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DC58324">
      <w:pPr>
        <w:pStyle w:val="10"/>
        <w:spacing w:line="360" w:lineRule="auto"/>
        <w:jc w:val="center"/>
        <w:rPr>
          <w:rFonts w:ascii="黑体" w:eastAsia="黑体"/>
          <w:b/>
          <w:bCs/>
          <w:sz w:val="32"/>
          <w:szCs w:val="32"/>
        </w:rPr>
      </w:pPr>
      <w:r>
        <w:rPr>
          <w:rFonts w:hint="eastAsia" w:ascii="黑体" w:eastAsia="黑体"/>
          <w:b/>
          <w:bCs/>
          <w:sz w:val="32"/>
          <w:szCs w:val="32"/>
        </w:rPr>
        <w:t>中国重汽集团济宁商用车有限公司</w:t>
      </w:r>
    </w:p>
    <w:p w14:paraId="6F7E39FA">
      <w:pPr>
        <w:pStyle w:val="10"/>
        <w:spacing w:line="360" w:lineRule="auto"/>
        <w:jc w:val="center"/>
        <w:rPr>
          <w:rFonts w:ascii="黑体" w:eastAsia="黑体"/>
          <w:b/>
          <w:bCs/>
          <w:sz w:val="32"/>
          <w:szCs w:val="32"/>
        </w:rPr>
      </w:pPr>
      <w:r>
        <w:rPr>
          <w:rFonts w:hint="eastAsia" w:ascii="黑体" w:eastAsia="黑体"/>
          <w:b/>
          <w:bCs/>
          <w:sz w:val="32"/>
          <w:szCs w:val="32"/>
        </w:rPr>
        <w:t>防暑降温冰块采购项目</w:t>
      </w:r>
    </w:p>
    <w:p w14:paraId="63955A66">
      <w:pPr>
        <w:pStyle w:val="10"/>
        <w:spacing w:line="360" w:lineRule="auto"/>
        <w:jc w:val="center"/>
        <w:rPr>
          <w:rFonts w:ascii="黑体" w:eastAsia="黑体"/>
          <w:b/>
          <w:bCs/>
          <w:sz w:val="32"/>
          <w:szCs w:val="32"/>
        </w:rPr>
      </w:pPr>
      <w:r>
        <w:rPr>
          <w:rFonts w:hint="eastAsia" w:ascii="黑体" w:eastAsia="黑体"/>
          <w:b/>
          <w:bCs/>
          <w:sz w:val="32"/>
          <w:szCs w:val="32"/>
        </w:rPr>
        <w:t xml:space="preserve">第一章 </w:t>
      </w:r>
      <w:r>
        <w:rPr>
          <w:rFonts w:ascii="黑体" w:eastAsia="黑体"/>
          <w:b/>
          <w:bCs/>
          <w:sz w:val="32"/>
          <w:szCs w:val="32"/>
        </w:rPr>
        <w:t xml:space="preserve"> </w:t>
      </w:r>
      <w:r>
        <w:rPr>
          <w:rFonts w:hint="eastAsia" w:ascii="黑体" w:eastAsia="黑体"/>
          <w:b/>
          <w:bCs/>
          <w:sz w:val="32"/>
          <w:szCs w:val="32"/>
        </w:rPr>
        <w:t>招标公告</w:t>
      </w:r>
    </w:p>
    <w:p w14:paraId="5F9C356F">
      <w:pPr>
        <w:pStyle w:val="10"/>
        <w:spacing w:line="360" w:lineRule="auto"/>
        <w:rPr>
          <w:rFonts w:ascii="黑体" w:eastAsia="黑体"/>
          <w:b/>
          <w:bCs/>
          <w:sz w:val="24"/>
          <w:szCs w:val="24"/>
        </w:rPr>
      </w:pPr>
      <w:r>
        <w:rPr>
          <w:rFonts w:hint="eastAsia" w:ascii="黑体" w:eastAsia="黑体"/>
          <w:b/>
          <w:bCs/>
          <w:sz w:val="24"/>
          <w:szCs w:val="24"/>
        </w:rPr>
        <w:t>一、项目名称</w:t>
      </w:r>
    </w:p>
    <w:p w14:paraId="3F98B600">
      <w:pPr>
        <w:spacing w:line="360" w:lineRule="auto"/>
        <w:ind w:firstLine="420" w:firstLineChars="200"/>
        <w:jc w:val="left"/>
        <w:rPr>
          <w:rFonts w:ascii="宋体" w:hAnsi="Courier New"/>
          <w:szCs w:val="22"/>
        </w:rPr>
      </w:pPr>
      <w:r>
        <w:rPr>
          <w:rFonts w:hint="eastAsia" w:ascii="宋体" w:hAnsi="Courier New"/>
          <w:szCs w:val="22"/>
        </w:rPr>
        <w:t>项目名称：</w:t>
      </w:r>
      <w:bookmarkStart w:id="0" w:name="OLE_LINK1"/>
      <w:r>
        <w:rPr>
          <w:rFonts w:hint="eastAsia" w:ascii="宋体" w:hAnsi="Courier New"/>
          <w:szCs w:val="22"/>
        </w:rPr>
        <w:t>防暑降温冰块采购项目</w:t>
      </w:r>
    </w:p>
    <w:bookmarkEnd w:id="0"/>
    <w:p w14:paraId="504DC22C">
      <w:pPr>
        <w:pStyle w:val="10"/>
        <w:spacing w:line="360" w:lineRule="auto"/>
        <w:rPr>
          <w:rFonts w:ascii="黑体" w:eastAsia="黑体"/>
          <w:b/>
          <w:bCs/>
          <w:sz w:val="24"/>
          <w:szCs w:val="24"/>
        </w:rPr>
      </w:pPr>
      <w:r>
        <w:rPr>
          <w:rFonts w:hint="eastAsia" w:ascii="黑体" w:eastAsia="黑体"/>
          <w:b/>
          <w:bCs/>
          <w:sz w:val="24"/>
          <w:szCs w:val="24"/>
        </w:rPr>
        <w:t>二、招标内容</w:t>
      </w:r>
    </w:p>
    <w:p w14:paraId="168C75E4">
      <w:pPr>
        <w:pStyle w:val="10"/>
        <w:spacing w:line="360" w:lineRule="auto"/>
        <w:ind w:firstLine="420" w:firstLineChars="200"/>
        <w:rPr>
          <w:sz w:val="24"/>
          <w:szCs w:val="24"/>
        </w:rPr>
      </w:pPr>
      <w:r>
        <w:rPr>
          <w:rFonts w:hint="eastAsia"/>
          <w:szCs w:val="22"/>
        </w:rPr>
        <w:t>1、招标内容：防暑降温物资</w:t>
      </w:r>
    </w:p>
    <w:tbl>
      <w:tblPr>
        <w:tblStyle w:val="16"/>
        <w:tblW w:w="793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42"/>
        <w:gridCol w:w="2030"/>
        <w:gridCol w:w="2268"/>
        <w:gridCol w:w="1276"/>
        <w:gridCol w:w="1417"/>
      </w:tblGrid>
      <w:tr w14:paraId="16B042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9" w:hRule="atLeast"/>
          <w:jc w:val="center"/>
        </w:trPr>
        <w:tc>
          <w:tcPr>
            <w:tcW w:w="942" w:type="dxa"/>
            <w:vAlign w:val="center"/>
          </w:tcPr>
          <w:p w14:paraId="71F32177">
            <w:pPr>
              <w:spacing w:after="200" w:line="360" w:lineRule="auto"/>
              <w:jc w:val="center"/>
              <w:rPr>
                <w:rFonts w:ascii="宋体" w:hAnsi="Courier New"/>
                <w:szCs w:val="22"/>
              </w:rPr>
            </w:pPr>
            <w:r>
              <w:rPr>
                <w:rFonts w:hint="eastAsia" w:ascii="宋体" w:hAnsi="Courier New"/>
                <w:szCs w:val="22"/>
              </w:rPr>
              <w:t>序号</w:t>
            </w:r>
          </w:p>
        </w:tc>
        <w:tc>
          <w:tcPr>
            <w:tcW w:w="2030" w:type="dxa"/>
            <w:vAlign w:val="center"/>
          </w:tcPr>
          <w:p w14:paraId="5FCE9501">
            <w:pPr>
              <w:spacing w:after="200" w:line="360" w:lineRule="auto"/>
              <w:jc w:val="center"/>
              <w:rPr>
                <w:rFonts w:ascii="宋体" w:hAnsi="Courier New"/>
                <w:szCs w:val="22"/>
              </w:rPr>
            </w:pPr>
            <w:r>
              <w:rPr>
                <w:rFonts w:hint="eastAsia" w:ascii="宋体" w:hAnsi="Courier New"/>
                <w:szCs w:val="22"/>
              </w:rPr>
              <w:t>防暑降温物资名称</w:t>
            </w:r>
          </w:p>
        </w:tc>
        <w:tc>
          <w:tcPr>
            <w:tcW w:w="2268" w:type="dxa"/>
            <w:vAlign w:val="center"/>
          </w:tcPr>
          <w:p w14:paraId="6CEB1AF1">
            <w:pPr>
              <w:spacing w:after="200" w:line="360" w:lineRule="auto"/>
              <w:jc w:val="center"/>
              <w:rPr>
                <w:rFonts w:ascii="宋体" w:hAnsi="Courier New"/>
                <w:szCs w:val="22"/>
              </w:rPr>
            </w:pPr>
            <w:r>
              <w:rPr>
                <w:rFonts w:hint="eastAsia" w:ascii="宋体" w:hAnsi="Courier New"/>
                <w:szCs w:val="22"/>
              </w:rPr>
              <w:t>规格</w:t>
            </w:r>
          </w:p>
        </w:tc>
        <w:tc>
          <w:tcPr>
            <w:tcW w:w="1276" w:type="dxa"/>
            <w:vAlign w:val="center"/>
          </w:tcPr>
          <w:p w14:paraId="1F977BCD">
            <w:pPr>
              <w:spacing w:after="200" w:line="360" w:lineRule="auto"/>
              <w:jc w:val="center"/>
              <w:rPr>
                <w:rFonts w:ascii="宋体" w:hAnsi="Courier New"/>
                <w:szCs w:val="22"/>
              </w:rPr>
            </w:pPr>
            <w:r>
              <w:rPr>
                <w:rFonts w:hint="eastAsia" w:ascii="宋体" w:hAnsi="Courier New"/>
                <w:szCs w:val="22"/>
              </w:rPr>
              <w:t>预计需求量</w:t>
            </w:r>
          </w:p>
        </w:tc>
        <w:tc>
          <w:tcPr>
            <w:tcW w:w="1417" w:type="dxa"/>
            <w:vAlign w:val="center"/>
          </w:tcPr>
          <w:p w14:paraId="224A1D2B">
            <w:pPr>
              <w:spacing w:after="200" w:line="360" w:lineRule="auto"/>
              <w:jc w:val="center"/>
              <w:rPr>
                <w:rFonts w:ascii="宋体" w:hAnsi="Courier New"/>
                <w:szCs w:val="22"/>
              </w:rPr>
            </w:pPr>
            <w:r>
              <w:rPr>
                <w:rFonts w:hint="eastAsia" w:ascii="宋体" w:hAnsi="Courier New"/>
                <w:szCs w:val="22"/>
              </w:rPr>
              <w:t>备注</w:t>
            </w:r>
          </w:p>
        </w:tc>
      </w:tr>
      <w:tr w14:paraId="0A9479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1" w:hRule="atLeast"/>
          <w:jc w:val="center"/>
        </w:trPr>
        <w:tc>
          <w:tcPr>
            <w:tcW w:w="942" w:type="dxa"/>
            <w:vAlign w:val="center"/>
          </w:tcPr>
          <w:p w14:paraId="6ED0BDDF">
            <w:pPr>
              <w:spacing w:after="200" w:line="360" w:lineRule="auto"/>
              <w:ind w:firstLine="420" w:firstLineChars="200"/>
              <w:rPr>
                <w:rFonts w:ascii="宋体" w:hAnsi="Courier New"/>
                <w:szCs w:val="22"/>
              </w:rPr>
            </w:pPr>
            <w:r>
              <w:rPr>
                <w:rFonts w:hint="eastAsia" w:ascii="宋体" w:hAnsi="Courier New"/>
                <w:szCs w:val="22"/>
              </w:rPr>
              <w:t>1</w:t>
            </w:r>
          </w:p>
        </w:tc>
        <w:tc>
          <w:tcPr>
            <w:tcW w:w="2030" w:type="dxa"/>
            <w:vAlign w:val="center"/>
          </w:tcPr>
          <w:p w14:paraId="5D54ACE5">
            <w:pPr>
              <w:spacing w:after="200" w:line="360" w:lineRule="auto"/>
              <w:ind w:firstLine="420" w:firstLineChars="200"/>
              <w:rPr>
                <w:rFonts w:ascii="宋体" w:hAnsi="Courier New"/>
                <w:szCs w:val="22"/>
              </w:rPr>
            </w:pPr>
            <w:r>
              <w:rPr>
                <w:rFonts w:hint="eastAsia" w:ascii="宋体" w:hAnsi="Courier New"/>
                <w:szCs w:val="22"/>
              </w:rPr>
              <w:t>大冰块</w:t>
            </w:r>
          </w:p>
        </w:tc>
        <w:tc>
          <w:tcPr>
            <w:tcW w:w="2268" w:type="dxa"/>
            <w:vAlign w:val="center"/>
          </w:tcPr>
          <w:p w14:paraId="3D634E29">
            <w:pPr>
              <w:spacing w:after="200" w:line="360" w:lineRule="auto"/>
              <w:jc w:val="center"/>
              <w:rPr>
                <w:rFonts w:ascii="宋体" w:hAnsi="Courier New"/>
                <w:szCs w:val="22"/>
              </w:rPr>
            </w:pPr>
            <w:r>
              <w:rPr>
                <w:rFonts w:ascii="宋体" w:hAnsi="Courier New"/>
                <w:szCs w:val="22"/>
              </w:rPr>
              <w:t>80</w:t>
            </w:r>
            <w:r>
              <w:rPr>
                <w:rFonts w:hint="eastAsia" w:ascii="宋体" w:hAnsi="Courier New"/>
                <w:szCs w:val="22"/>
              </w:rPr>
              <w:t>㎝*</w:t>
            </w:r>
            <w:r>
              <w:rPr>
                <w:rFonts w:ascii="宋体" w:hAnsi="Courier New"/>
                <w:szCs w:val="22"/>
              </w:rPr>
              <w:t>30</w:t>
            </w:r>
            <w:r>
              <w:rPr>
                <w:rFonts w:hint="eastAsia" w:ascii="宋体" w:hAnsi="Courier New"/>
                <w:szCs w:val="22"/>
              </w:rPr>
              <w:t>㎝*</w:t>
            </w:r>
            <w:r>
              <w:rPr>
                <w:rFonts w:ascii="宋体" w:hAnsi="Courier New"/>
                <w:szCs w:val="22"/>
              </w:rPr>
              <w:t>13.5</w:t>
            </w:r>
            <w:r>
              <w:rPr>
                <w:rFonts w:hint="eastAsia" w:ascii="宋体" w:hAnsi="Courier New"/>
                <w:szCs w:val="22"/>
              </w:rPr>
              <w:t>㎝</w:t>
            </w:r>
          </w:p>
        </w:tc>
        <w:tc>
          <w:tcPr>
            <w:tcW w:w="1276" w:type="dxa"/>
            <w:vAlign w:val="center"/>
          </w:tcPr>
          <w:p w14:paraId="7B3CDFD6">
            <w:pPr>
              <w:spacing w:after="200" w:line="360" w:lineRule="auto"/>
              <w:rPr>
                <w:rFonts w:ascii="宋体" w:hAnsi="Courier New"/>
                <w:szCs w:val="22"/>
              </w:rPr>
            </w:pPr>
            <w:r>
              <w:rPr>
                <w:rFonts w:hint="eastAsia" w:ascii="宋体" w:hAnsi="Courier New"/>
                <w:szCs w:val="22"/>
                <w:lang w:val="en-US" w:eastAsia="zh-CN"/>
              </w:rPr>
              <w:t>5340</w:t>
            </w:r>
            <w:r>
              <w:rPr>
                <w:rFonts w:hint="eastAsia" w:ascii="宋体" w:hAnsi="Courier New"/>
                <w:szCs w:val="22"/>
              </w:rPr>
              <w:t>块</w:t>
            </w:r>
          </w:p>
        </w:tc>
        <w:tc>
          <w:tcPr>
            <w:tcW w:w="1417" w:type="dxa"/>
            <w:vAlign w:val="center"/>
          </w:tcPr>
          <w:p w14:paraId="5561CE3D">
            <w:pPr>
              <w:spacing w:after="200" w:line="240" w:lineRule="auto"/>
              <w:rPr>
                <w:rFonts w:ascii="宋体" w:hAnsi="Courier New"/>
                <w:szCs w:val="22"/>
              </w:rPr>
            </w:pPr>
            <w:r>
              <w:rPr>
                <w:rFonts w:hint="eastAsia" w:ascii="宋体" w:hAnsi="Courier New"/>
                <w:szCs w:val="22"/>
              </w:rPr>
              <w:t>不低于前述规格，据实结算</w:t>
            </w:r>
          </w:p>
        </w:tc>
      </w:tr>
    </w:tbl>
    <w:p w14:paraId="08B20A92">
      <w:pPr>
        <w:spacing w:line="360" w:lineRule="auto"/>
        <w:ind w:firstLine="420" w:firstLineChars="200"/>
        <w:jc w:val="left"/>
        <w:rPr>
          <w:rFonts w:ascii="宋体" w:hAnsi="Courier New"/>
          <w:szCs w:val="22"/>
        </w:rPr>
      </w:pPr>
      <w:r>
        <w:rPr>
          <w:rFonts w:hint="eastAsia" w:ascii="宋体" w:hAnsi="Courier New"/>
          <w:szCs w:val="22"/>
        </w:rPr>
        <w:t>2、投标报价包括：人工费、成本费、运输费、利润、税费、与其他费用等所有费用的单价。</w:t>
      </w:r>
    </w:p>
    <w:p w14:paraId="5A070D62">
      <w:pPr>
        <w:spacing w:line="360" w:lineRule="auto"/>
        <w:ind w:firstLine="420" w:firstLineChars="200"/>
        <w:jc w:val="left"/>
        <w:rPr>
          <w:rFonts w:ascii="宋体" w:hAnsi="Courier New"/>
          <w:szCs w:val="22"/>
        </w:rPr>
      </w:pPr>
      <w:r>
        <w:rPr>
          <w:rFonts w:hint="eastAsia" w:ascii="宋体" w:hAnsi="Courier New"/>
          <w:szCs w:val="22"/>
        </w:rPr>
        <w:t>3、招标人向投标人提供相关防暑降温用品的质量要求，投标人根据要求进行项目投标报价。</w:t>
      </w:r>
    </w:p>
    <w:p w14:paraId="46EFBF95">
      <w:pPr>
        <w:pStyle w:val="10"/>
        <w:spacing w:line="360" w:lineRule="auto"/>
        <w:ind w:firstLine="420" w:firstLineChars="200"/>
        <w:rPr>
          <w:szCs w:val="22"/>
        </w:rPr>
      </w:pPr>
      <w:r>
        <w:rPr>
          <w:rFonts w:hint="eastAsia"/>
          <w:szCs w:val="22"/>
        </w:rPr>
        <w:t>4、所有投标均以人民币报价（包括不含税金额、税率、价税合计金额）。</w:t>
      </w:r>
    </w:p>
    <w:p w14:paraId="64FD0E11">
      <w:pPr>
        <w:pStyle w:val="10"/>
        <w:spacing w:line="360" w:lineRule="auto"/>
        <w:rPr>
          <w:rFonts w:ascii="黑体" w:eastAsia="黑体"/>
          <w:b/>
          <w:bCs/>
          <w:sz w:val="24"/>
          <w:szCs w:val="24"/>
        </w:rPr>
      </w:pPr>
      <w:r>
        <w:rPr>
          <w:rFonts w:hint="eastAsia" w:ascii="黑体" w:eastAsia="黑体"/>
          <w:b/>
          <w:bCs/>
          <w:sz w:val="24"/>
          <w:szCs w:val="24"/>
        </w:rPr>
        <w:t>三、招标形式</w:t>
      </w:r>
    </w:p>
    <w:p w14:paraId="04F1A6F7">
      <w:pPr>
        <w:pStyle w:val="10"/>
        <w:spacing w:line="360" w:lineRule="auto"/>
        <w:ind w:firstLine="420" w:firstLineChars="200"/>
        <w:rPr>
          <w:szCs w:val="22"/>
        </w:rPr>
      </w:pPr>
      <w:r>
        <w:rPr>
          <w:rFonts w:hint="eastAsia"/>
          <w:szCs w:val="22"/>
        </w:rPr>
        <w:t>招标形式：公开招标</w:t>
      </w:r>
    </w:p>
    <w:p w14:paraId="7B2E21C0">
      <w:pPr>
        <w:pStyle w:val="10"/>
        <w:spacing w:line="360" w:lineRule="auto"/>
        <w:rPr>
          <w:rFonts w:ascii="黑体" w:eastAsia="黑体"/>
          <w:b/>
          <w:bCs/>
          <w:sz w:val="24"/>
          <w:szCs w:val="24"/>
        </w:rPr>
      </w:pPr>
      <w:r>
        <w:rPr>
          <w:rFonts w:hint="eastAsia" w:ascii="黑体" w:eastAsia="黑体"/>
          <w:b/>
          <w:bCs/>
          <w:sz w:val="24"/>
          <w:szCs w:val="24"/>
        </w:rPr>
        <w:t>四、议程安排</w:t>
      </w:r>
    </w:p>
    <w:p w14:paraId="342D670D">
      <w:pPr>
        <w:pStyle w:val="10"/>
        <w:spacing w:line="360" w:lineRule="auto"/>
        <w:ind w:firstLine="420" w:firstLineChars="200"/>
        <w:rPr>
          <w:szCs w:val="22"/>
        </w:rPr>
      </w:pPr>
      <w:r>
        <w:rPr>
          <w:rFonts w:hint="eastAsia"/>
          <w:szCs w:val="22"/>
        </w:rPr>
        <w:t>1.答疑时间：截止至20</w:t>
      </w:r>
      <w:r>
        <w:rPr>
          <w:szCs w:val="22"/>
        </w:rPr>
        <w:t>2</w:t>
      </w:r>
      <w:r>
        <w:rPr>
          <w:rFonts w:hint="eastAsia"/>
          <w:szCs w:val="22"/>
          <w:lang w:val="en-US" w:eastAsia="zh-CN"/>
        </w:rPr>
        <w:t>5</w:t>
      </w:r>
      <w:r>
        <w:rPr>
          <w:rFonts w:hint="eastAsia"/>
          <w:szCs w:val="22"/>
        </w:rPr>
        <w:t>年</w:t>
      </w:r>
      <w:r>
        <w:rPr>
          <w:rFonts w:hint="eastAsia"/>
          <w:szCs w:val="22"/>
          <w:lang w:val="en-US" w:eastAsia="zh-CN"/>
        </w:rPr>
        <w:t>5</w:t>
      </w:r>
      <w:r>
        <w:rPr>
          <w:rFonts w:hint="eastAsia"/>
          <w:szCs w:val="22"/>
        </w:rPr>
        <w:t>月</w:t>
      </w:r>
      <w:r>
        <w:rPr>
          <w:szCs w:val="22"/>
        </w:rPr>
        <w:t>2</w:t>
      </w:r>
      <w:r>
        <w:rPr>
          <w:rFonts w:hint="eastAsia"/>
          <w:szCs w:val="22"/>
          <w:lang w:val="en-US" w:eastAsia="zh-CN"/>
        </w:rPr>
        <w:t>7</w:t>
      </w:r>
      <w:r>
        <w:rPr>
          <w:rFonts w:hint="eastAsia"/>
          <w:szCs w:val="22"/>
        </w:rPr>
        <w:t>日1</w:t>
      </w:r>
      <w:r>
        <w:rPr>
          <w:rFonts w:hint="eastAsia"/>
          <w:szCs w:val="22"/>
          <w:lang w:val="en-US" w:eastAsia="zh-CN"/>
        </w:rPr>
        <w:t>2</w:t>
      </w:r>
      <w:r>
        <w:rPr>
          <w:rFonts w:hint="eastAsia"/>
          <w:szCs w:val="22"/>
        </w:rPr>
        <w:t>点前。</w:t>
      </w:r>
    </w:p>
    <w:p w14:paraId="5B1EE5E0">
      <w:pPr>
        <w:pStyle w:val="10"/>
        <w:spacing w:line="360" w:lineRule="auto"/>
        <w:ind w:firstLine="630" w:firstLineChars="300"/>
        <w:rPr>
          <w:szCs w:val="22"/>
        </w:rPr>
      </w:pPr>
      <w:r>
        <w:rPr>
          <w:rFonts w:hint="eastAsia"/>
          <w:szCs w:val="22"/>
        </w:rPr>
        <w:t>答疑方式：书面（或电话）答疑。</w:t>
      </w:r>
    </w:p>
    <w:p w14:paraId="57EB3FC5">
      <w:pPr>
        <w:pStyle w:val="10"/>
        <w:spacing w:line="360" w:lineRule="auto"/>
        <w:ind w:firstLine="630" w:firstLineChars="300"/>
        <w:rPr>
          <w:szCs w:val="22"/>
        </w:rPr>
      </w:pPr>
      <w:r>
        <w:rPr>
          <w:rFonts w:hint="eastAsia"/>
          <w:szCs w:val="22"/>
        </w:rPr>
        <w:t>答疑联系人：王正义</w:t>
      </w:r>
    </w:p>
    <w:p w14:paraId="339DE921">
      <w:pPr>
        <w:pStyle w:val="10"/>
        <w:spacing w:line="360" w:lineRule="auto"/>
        <w:ind w:firstLine="630" w:firstLineChars="300"/>
        <w:rPr>
          <w:szCs w:val="22"/>
        </w:rPr>
      </w:pPr>
      <w:r>
        <w:rPr>
          <w:rFonts w:hint="eastAsia"/>
          <w:szCs w:val="22"/>
        </w:rPr>
        <w:t>联系电话：</w:t>
      </w:r>
      <w:r>
        <w:rPr>
          <w:szCs w:val="22"/>
        </w:rPr>
        <w:t>0537-3317756</w:t>
      </w:r>
    </w:p>
    <w:p w14:paraId="4BCA0665">
      <w:pPr>
        <w:pStyle w:val="10"/>
        <w:spacing w:line="360" w:lineRule="auto"/>
        <w:ind w:firstLine="420" w:firstLineChars="200"/>
        <w:rPr>
          <w:szCs w:val="22"/>
        </w:rPr>
      </w:pPr>
      <w:r>
        <w:rPr>
          <w:rFonts w:hint="eastAsia"/>
          <w:szCs w:val="22"/>
        </w:rPr>
        <w:t>2.开标时间：20</w:t>
      </w:r>
      <w:r>
        <w:rPr>
          <w:szCs w:val="22"/>
        </w:rPr>
        <w:t>2</w:t>
      </w:r>
      <w:r>
        <w:rPr>
          <w:rFonts w:hint="eastAsia"/>
          <w:szCs w:val="22"/>
          <w:lang w:val="en-US" w:eastAsia="zh-CN"/>
        </w:rPr>
        <w:t>5</w:t>
      </w:r>
      <w:r>
        <w:rPr>
          <w:rFonts w:hint="eastAsia"/>
          <w:szCs w:val="22"/>
        </w:rPr>
        <w:t>年</w:t>
      </w:r>
      <w:r>
        <w:rPr>
          <w:rFonts w:hint="eastAsia"/>
          <w:szCs w:val="22"/>
          <w:lang w:val="en-US" w:eastAsia="zh-CN"/>
        </w:rPr>
        <w:t>5</w:t>
      </w:r>
      <w:r>
        <w:rPr>
          <w:rFonts w:hint="eastAsia"/>
          <w:szCs w:val="22"/>
        </w:rPr>
        <w:t>月</w:t>
      </w:r>
      <w:r>
        <w:rPr>
          <w:szCs w:val="22"/>
        </w:rPr>
        <w:t>2</w:t>
      </w:r>
      <w:r>
        <w:rPr>
          <w:rFonts w:hint="eastAsia"/>
          <w:szCs w:val="22"/>
          <w:lang w:val="en-US" w:eastAsia="zh-CN"/>
        </w:rPr>
        <w:t>8</w:t>
      </w:r>
      <w:r>
        <w:rPr>
          <w:rFonts w:hint="eastAsia"/>
          <w:szCs w:val="22"/>
        </w:rPr>
        <w:t>日</w:t>
      </w:r>
      <w:r>
        <w:rPr>
          <w:szCs w:val="22"/>
        </w:rPr>
        <w:t>10</w:t>
      </w:r>
      <w:r>
        <w:rPr>
          <w:rFonts w:hint="eastAsia"/>
          <w:szCs w:val="22"/>
        </w:rPr>
        <w:t>时（若有变动另行通知）。</w:t>
      </w:r>
    </w:p>
    <w:p w14:paraId="5E3E34A6">
      <w:pPr>
        <w:pStyle w:val="10"/>
        <w:spacing w:line="360" w:lineRule="auto"/>
        <w:ind w:firstLine="420" w:firstLineChars="200"/>
        <w:rPr>
          <w:szCs w:val="22"/>
        </w:rPr>
      </w:pPr>
      <w:r>
        <w:rPr>
          <w:rFonts w:hint="eastAsia"/>
          <w:szCs w:val="22"/>
        </w:rPr>
        <w:t>3. 线上招投标：投标方登录“中国重汽e采通”平台“https://ecaitong.sinotruk.com:8012/#/login”完成注册及投标相关工作，具体步骤详见后附操作手册。</w:t>
      </w:r>
    </w:p>
    <w:p w14:paraId="776E8407">
      <w:pPr>
        <w:pStyle w:val="10"/>
        <w:spacing w:line="360" w:lineRule="auto"/>
        <w:ind w:firstLine="560"/>
        <w:rPr>
          <w:szCs w:val="22"/>
        </w:rPr>
      </w:pPr>
      <w:r>
        <w:rPr>
          <w:rFonts w:hint="eastAsia"/>
          <w:szCs w:val="22"/>
        </w:rPr>
        <w:t>本项目的采购形式编号：CGZX2025040227。</w:t>
      </w:r>
    </w:p>
    <w:p w14:paraId="1FD9682D">
      <w:pPr>
        <w:pStyle w:val="10"/>
        <w:spacing w:line="360" w:lineRule="auto"/>
        <w:ind w:firstLine="560"/>
        <w:rPr>
          <w:szCs w:val="22"/>
        </w:rPr>
      </w:pPr>
      <w:r>
        <w:rPr>
          <w:rFonts w:hint="eastAsia"/>
          <w:szCs w:val="22"/>
        </w:rPr>
        <w:t>如有疑问请联系答疑人。</w:t>
      </w:r>
    </w:p>
    <w:p w14:paraId="5A579722">
      <w:pPr>
        <w:pStyle w:val="10"/>
        <w:spacing w:line="360" w:lineRule="auto"/>
        <w:rPr>
          <w:rFonts w:ascii="黑体" w:eastAsia="黑体"/>
          <w:b/>
          <w:bCs/>
          <w:sz w:val="24"/>
          <w:szCs w:val="24"/>
        </w:rPr>
      </w:pPr>
      <w:r>
        <w:rPr>
          <w:rFonts w:hint="eastAsia" w:ascii="黑体" w:eastAsia="黑体"/>
          <w:b/>
          <w:bCs/>
          <w:sz w:val="24"/>
          <w:szCs w:val="24"/>
        </w:rPr>
        <w:t>五、获取招标文件</w:t>
      </w:r>
    </w:p>
    <w:p w14:paraId="2A0FBB2E">
      <w:pPr>
        <w:pStyle w:val="10"/>
        <w:spacing w:line="360" w:lineRule="auto"/>
        <w:ind w:firstLine="420" w:firstLineChars="200"/>
        <w:rPr>
          <w:color w:val="000000"/>
        </w:rPr>
      </w:pPr>
      <w:r>
        <w:rPr>
          <w:rFonts w:hint="eastAsia"/>
          <w:color w:val="000000"/>
        </w:rPr>
        <w:t>1、招标文件发布方式：招标人在</w:t>
      </w:r>
      <w:r>
        <w:rPr>
          <w:rFonts w:hint="eastAsia"/>
          <w:color w:val="000000"/>
          <w:lang w:val="en-US" w:eastAsia="zh-CN"/>
        </w:rPr>
        <w:t>5</w:t>
      </w:r>
      <w:r>
        <w:rPr>
          <w:color w:val="000000"/>
        </w:rPr>
        <w:t>月</w:t>
      </w:r>
      <w:r>
        <w:rPr>
          <w:rFonts w:hint="eastAsia"/>
          <w:color w:val="000000"/>
          <w:lang w:val="en-US" w:eastAsia="zh-CN"/>
        </w:rPr>
        <w:t>23</w:t>
      </w:r>
      <w:r>
        <w:rPr>
          <w:rFonts w:hint="eastAsia"/>
          <w:color w:val="000000"/>
        </w:rPr>
        <w:t>日</w:t>
      </w:r>
      <w:r>
        <w:rPr>
          <w:rFonts w:hint="eastAsia"/>
          <w:color w:val="000000"/>
          <w:lang w:val="en-US" w:eastAsia="zh-CN"/>
        </w:rPr>
        <w:t>10</w:t>
      </w:r>
      <w:r>
        <w:rPr>
          <w:rFonts w:hint="eastAsia"/>
          <w:color w:val="000000"/>
        </w:rPr>
        <w:t>点前将本项目招标书电子版，发送至中国重汽官网，招标人不对投标人能否及时接收相关文件负责，招标人电子版挂网即视为送达。</w:t>
      </w:r>
    </w:p>
    <w:p w14:paraId="4B2894E2">
      <w:pPr>
        <w:pStyle w:val="10"/>
        <w:spacing w:line="360" w:lineRule="auto"/>
        <w:ind w:firstLine="420" w:firstLineChars="200"/>
        <w:rPr>
          <w:szCs w:val="22"/>
        </w:rPr>
      </w:pPr>
      <w:r>
        <w:rPr>
          <w:rFonts w:hint="eastAsia"/>
          <w:szCs w:val="22"/>
        </w:rPr>
        <w:t>2、联系人：王正义（联系方式：</w:t>
      </w:r>
      <w:r>
        <w:rPr>
          <w:szCs w:val="22"/>
        </w:rPr>
        <w:t>0537-3317756</w:t>
      </w:r>
      <w:r>
        <w:rPr>
          <w:rFonts w:hint="eastAsia"/>
          <w:szCs w:val="22"/>
        </w:rPr>
        <w:t>）</w:t>
      </w:r>
    </w:p>
    <w:p w14:paraId="24802B2F">
      <w:pPr>
        <w:pStyle w:val="10"/>
        <w:spacing w:line="360" w:lineRule="auto"/>
        <w:rPr>
          <w:rFonts w:ascii="黑体" w:eastAsia="黑体"/>
          <w:b/>
          <w:bCs/>
          <w:sz w:val="24"/>
          <w:szCs w:val="24"/>
        </w:rPr>
      </w:pPr>
      <w:r>
        <w:rPr>
          <w:rFonts w:hint="eastAsia" w:ascii="黑体" w:eastAsia="黑体"/>
          <w:b/>
          <w:bCs/>
          <w:sz w:val="24"/>
          <w:szCs w:val="24"/>
        </w:rPr>
        <w:t>六、投标须知</w:t>
      </w:r>
    </w:p>
    <w:p w14:paraId="26AFD53D">
      <w:pPr>
        <w:pStyle w:val="10"/>
        <w:spacing w:line="360" w:lineRule="auto"/>
        <w:ind w:firstLine="482" w:firstLineChars="200"/>
        <w:rPr>
          <w:b/>
          <w:sz w:val="24"/>
          <w:szCs w:val="24"/>
        </w:rPr>
      </w:pPr>
      <w:r>
        <w:rPr>
          <w:rFonts w:hint="eastAsia"/>
          <w:b/>
          <w:sz w:val="24"/>
          <w:szCs w:val="24"/>
        </w:rPr>
        <w:t>1.合格投标人：</w:t>
      </w:r>
    </w:p>
    <w:p w14:paraId="42DD2135">
      <w:pPr>
        <w:pStyle w:val="10"/>
        <w:spacing w:line="360" w:lineRule="auto"/>
        <w:rPr>
          <w:color w:val="000000"/>
        </w:rPr>
      </w:pPr>
      <w:bookmarkStart w:id="1" w:name="_Toc48665536"/>
      <w:bookmarkStart w:id="2" w:name="_Toc482606850"/>
      <w:r>
        <w:rPr>
          <w:rFonts w:hint="eastAsia"/>
          <w:color w:val="000000"/>
        </w:rPr>
        <w:t>（1）投标人须遵守《中华人民共和国招标投标法》、《中华人民共和国民法典》及其它有关的法律和法规；</w:t>
      </w:r>
    </w:p>
    <w:p w14:paraId="18863DFE">
      <w:pPr>
        <w:pStyle w:val="10"/>
        <w:spacing w:line="360" w:lineRule="auto"/>
        <w:rPr>
          <w:color w:val="000000"/>
        </w:rPr>
      </w:pPr>
      <w:r>
        <w:rPr>
          <w:rFonts w:hint="eastAsia"/>
          <w:color w:val="000000"/>
        </w:rPr>
        <w:t>（2）标投人必须是在中华人民共和国境内注册的独立法人机构，具有独立承担民事责任能力，公司成立</w:t>
      </w:r>
      <w:r>
        <w:rPr>
          <w:rFonts w:hint="eastAsia"/>
          <w:color w:val="000000"/>
          <w:lang w:val="en-US" w:eastAsia="zh-CN"/>
        </w:rPr>
        <w:t>壹</w:t>
      </w:r>
      <w:r>
        <w:rPr>
          <w:rFonts w:hint="eastAsia"/>
          <w:color w:val="000000"/>
        </w:rPr>
        <w:t>年以上（以营业执照成立日期到开标当日满</w:t>
      </w:r>
      <w:r>
        <w:rPr>
          <w:rFonts w:hint="eastAsia"/>
          <w:color w:val="000000"/>
          <w:lang w:val="en-US" w:eastAsia="zh-CN"/>
        </w:rPr>
        <w:t>壹</w:t>
      </w:r>
      <w:r>
        <w:rPr>
          <w:rFonts w:hint="eastAsia"/>
          <w:color w:val="000000"/>
        </w:rPr>
        <w:t>年为准）；且经营范围满足招标人需求；并在人员、设备、资金等方面具有承担本项目的能力；</w:t>
      </w:r>
    </w:p>
    <w:p w14:paraId="2BEF1663">
      <w:pPr>
        <w:pStyle w:val="10"/>
        <w:spacing w:line="360" w:lineRule="auto"/>
        <w:rPr>
          <w:color w:val="000000"/>
        </w:rPr>
      </w:pPr>
      <w:r>
        <w:rPr>
          <w:rFonts w:hint="eastAsia"/>
          <w:color w:val="000000"/>
        </w:rPr>
        <w:t>（3）投标人应提供三证合一的营业执照原件副本（加盖公章）；</w:t>
      </w:r>
    </w:p>
    <w:p w14:paraId="635F4905">
      <w:pPr>
        <w:pStyle w:val="10"/>
        <w:spacing w:line="360" w:lineRule="auto"/>
        <w:rPr>
          <w:color w:val="000000"/>
        </w:rPr>
      </w:pPr>
      <w:r>
        <w:rPr>
          <w:rFonts w:hint="eastAsia"/>
          <w:color w:val="000000"/>
        </w:rPr>
        <w:t>（4）投标人提供经会计师事务所审计且出具无保留意见的近</w:t>
      </w:r>
      <w:r>
        <w:rPr>
          <w:rFonts w:hint="eastAsia"/>
          <w:color w:val="000000"/>
          <w:lang w:val="en-US" w:eastAsia="zh-CN"/>
        </w:rPr>
        <w:t>期</w:t>
      </w:r>
      <w:r>
        <w:rPr>
          <w:rFonts w:hint="eastAsia"/>
          <w:color w:val="000000"/>
        </w:rPr>
        <w:t>的财务审计报告原件，并加盖公章，包括但不限于报告页、经审计的资产负债表、利润表、现金流量表及报表附注。如投标人公司没有经审计的财务报告，可提供加盖公章的近</w:t>
      </w:r>
      <w:r>
        <w:rPr>
          <w:rFonts w:hint="eastAsia"/>
          <w:color w:val="000000"/>
          <w:lang w:val="en-US" w:eastAsia="zh-CN"/>
        </w:rPr>
        <w:t>期</w:t>
      </w:r>
      <w:r>
        <w:rPr>
          <w:rFonts w:hint="eastAsia"/>
          <w:color w:val="000000"/>
        </w:rPr>
        <w:t>财务报表，包括但不限于资产负债表、利润表、现金流量表。</w:t>
      </w:r>
    </w:p>
    <w:p w14:paraId="045E87DD">
      <w:pPr>
        <w:pStyle w:val="10"/>
        <w:spacing w:line="360" w:lineRule="auto"/>
        <w:rPr>
          <w:color w:val="000000"/>
        </w:rPr>
      </w:pPr>
      <w:r>
        <w:rPr>
          <w:rFonts w:hint="eastAsia"/>
          <w:color w:val="000000"/>
        </w:rPr>
        <w:t>（5）投标人在《国家企业信用信息公示系统》、信用中国、天眼查、启信宝等企业信息查询系统中不存在不良记录；</w:t>
      </w:r>
    </w:p>
    <w:p w14:paraId="67858CDE">
      <w:pPr>
        <w:pStyle w:val="10"/>
        <w:spacing w:line="360" w:lineRule="auto"/>
        <w:rPr>
          <w:color w:val="000000"/>
        </w:rPr>
      </w:pPr>
      <w:r>
        <w:rPr>
          <w:rFonts w:hint="eastAsia"/>
          <w:color w:val="000000"/>
        </w:rPr>
        <w:t>（6）投标人须提供法人授权委托书原件（在投标文件副本中可用复印件）及投标单位的法定代表人或授权代表的身份证原件及复印件（加盖公章）；</w:t>
      </w:r>
    </w:p>
    <w:p w14:paraId="41148BB9">
      <w:pPr>
        <w:pStyle w:val="10"/>
        <w:spacing w:line="360" w:lineRule="auto"/>
        <w:rPr>
          <w:color w:val="000000"/>
        </w:rPr>
      </w:pPr>
      <w:r>
        <w:rPr>
          <w:rFonts w:hint="eastAsia"/>
          <w:color w:val="000000"/>
        </w:rPr>
        <w:t>（7）本次参与投标人在中标后交付标的物时所需使用的运输车辆机具、驾乘人员必须符合国家相关法律、法规应具备的资质和资格。</w:t>
      </w:r>
    </w:p>
    <w:p w14:paraId="3BA90885">
      <w:pPr>
        <w:pStyle w:val="10"/>
        <w:spacing w:line="360" w:lineRule="auto"/>
        <w:rPr>
          <w:color w:val="000000"/>
        </w:rPr>
      </w:pPr>
      <w:r>
        <w:rPr>
          <w:rFonts w:hint="eastAsia"/>
          <w:color w:val="000000"/>
        </w:rPr>
        <w:t>（8）凡参与投标的单位，皆要求开具与投标单位抬头一致的增值税发票。</w:t>
      </w:r>
    </w:p>
    <w:p w14:paraId="59C28180">
      <w:pPr>
        <w:pStyle w:val="10"/>
        <w:spacing w:line="360" w:lineRule="auto"/>
        <w:rPr>
          <w:color w:val="000000"/>
        </w:rPr>
      </w:pPr>
      <w:r>
        <w:rPr>
          <w:rFonts w:hint="eastAsia"/>
          <w:color w:val="000000"/>
        </w:rPr>
        <w:t>（9）投标人必须是最终投标、签订合同的单位，不得以任何理由将已中标项目以任何形式转包给其他单位；</w:t>
      </w:r>
    </w:p>
    <w:p w14:paraId="1DFF1A07">
      <w:pPr>
        <w:pStyle w:val="10"/>
        <w:spacing w:line="360" w:lineRule="auto"/>
        <w:rPr>
          <w:color w:val="000000"/>
        </w:rPr>
      </w:pPr>
      <w:r>
        <w:rPr>
          <w:rFonts w:hint="eastAsia"/>
          <w:color w:val="000000"/>
        </w:rPr>
        <w:t>（10）拟投标人</w:t>
      </w:r>
      <w:r>
        <w:rPr>
          <w:rFonts w:hint="eastAsia"/>
          <w:color w:val="000000"/>
          <w:lang w:val="en-US" w:eastAsia="zh-CN"/>
        </w:rPr>
        <w:t>成立至今</w:t>
      </w:r>
      <w:r>
        <w:rPr>
          <w:rFonts w:hint="eastAsia"/>
          <w:color w:val="000000"/>
        </w:rPr>
        <w:t>无违法及重大违规情况。</w:t>
      </w:r>
    </w:p>
    <w:p w14:paraId="758E2522">
      <w:pPr>
        <w:pStyle w:val="10"/>
        <w:spacing w:line="360" w:lineRule="auto"/>
        <w:rPr>
          <w:rFonts w:ascii="黑体" w:eastAsia="黑体"/>
          <w:b/>
          <w:bCs/>
          <w:color w:val="FF0000"/>
          <w:sz w:val="24"/>
          <w:szCs w:val="24"/>
        </w:rPr>
      </w:pPr>
      <w:r>
        <w:rPr>
          <w:rFonts w:hint="eastAsia" w:ascii="黑体" w:eastAsia="黑体"/>
          <w:b/>
          <w:bCs/>
          <w:sz w:val="24"/>
          <w:szCs w:val="24"/>
        </w:rPr>
        <w:t>七、投标保证金</w:t>
      </w:r>
    </w:p>
    <w:p w14:paraId="43046244">
      <w:pPr>
        <w:pStyle w:val="10"/>
        <w:spacing w:line="360" w:lineRule="auto"/>
        <w:ind w:firstLine="560"/>
        <w:rPr>
          <w:color w:val="000000"/>
        </w:rPr>
      </w:pPr>
      <w:r>
        <w:rPr>
          <w:rFonts w:hint="eastAsia"/>
          <w:color w:val="000000"/>
        </w:rPr>
        <w:t>⑴投标人向招标人财务部门缴纳5000元（人民币），作为投标人本次投标的保证金；</w:t>
      </w:r>
    </w:p>
    <w:p w14:paraId="3B7E41D3">
      <w:pPr>
        <w:pStyle w:val="10"/>
        <w:spacing w:line="360" w:lineRule="auto"/>
        <w:ind w:firstLine="560"/>
        <w:rPr>
          <w:color w:val="000000"/>
        </w:rPr>
      </w:pPr>
      <w:r>
        <w:rPr>
          <w:rFonts w:hint="eastAsia"/>
          <w:color w:val="000000"/>
        </w:rPr>
        <w:t>⑵缴纳方式：电汇，投标保证金应从基本账户转入需备注“</w:t>
      </w:r>
      <w:r>
        <w:rPr>
          <w:rFonts w:hint="eastAsia"/>
          <w:color w:val="000000"/>
          <w:lang w:val="en-US" w:eastAsia="zh-CN"/>
        </w:rPr>
        <w:t>防暑降温冰块采购</w:t>
      </w:r>
      <w:r>
        <w:rPr>
          <w:rFonts w:hint="eastAsia"/>
          <w:color w:val="000000"/>
        </w:rPr>
        <w:t>项目投标保证金”；</w:t>
      </w:r>
    </w:p>
    <w:p w14:paraId="4CA293DB">
      <w:pPr>
        <w:pStyle w:val="10"/>
        <w:spacing w:line="360" w:lineRule="auto"/>
        <w:ind w:firstLine="560"/>
        <w:rPr>
          <w:color w:val="000000"/>
        </w:rPr>
      </w:pPr>
      <w:r>
        <w:rPr>
          <w:rFonts w:hint="eastAsia"/>
          <w:color w:val="000000"/>
        </w:rPr>
        <w:t>⑶接收单位：中国重汽集团济宁商用车有限公司；</w:t>
      </w:r>
    </w:p>
    <w:p w14:paraId="71C6BC23">
      <w:pPr>
        <w:pStyle w:val="10"/>
        <w:spacing w:line="360" w:lineRule="auto"/>
        <w:ind w:firstLine="560"/>
        <w:rPr>
          <w:color w:val="000000"/>
        </w:rPr>
      </w:pPr>
      <w:r>
        <w:rPr>
          <w:rFonts w:hint="eastAsia"/>
          <w:color w:val="000000"/>
        </w:rPr>
        <w:t>⑷转账信息：</w:t>
      </w:r>
    </w:p>
    <w:tbl>
      <w:tblPr>
        <w:tblStyle w:val="15"/>
        <w:tblW w:w="8287" w:type="dxa"/>
        <w:tblInd w:w="47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14:paraId="5A706A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8287" w:type="dxa"/>
            <w:vAlign w:val="center"/>
          </w:tcPr>
          <w:p w14:paraId="19332862">
            <w:pPr>
              <w:ind w:firstLine="420"/>
              <w:rPr>
                <w:rFonts w:ascii="宋体" w:hAnsi="Courier New"/>
              </w:rPr>
            </w:pPr>
            <w:r>
              <w:rPr>
                <w:rFonts w:hint="eastAsia" w:ascii="宋体" w:hAnsi="Courier New"/>
              </w:rPr>
              <w:t>开户银行：</w:t>
            </w:r>
            <w:r>
              <w:rPr>
                <w:rFonts w:ascii="宋体" w:hAnsi="Courier New"/>
              </w:rPr>
              <w:t>中行</w:t>
            </w:r>
            <w:r>
              <w:rPr>
                <w:rFonts w:hint="eastAsia" w:ascii="宋体" w:hAnsi="Courier New"/>
              </w:rPr>
              <w:t>济宁分行</w:t>
            </w:r>
          </w:p>
        </w:tc>
      </w:tr>
      <w:tr w14:paraId="473983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trPr>
        <w:tc>
          <w:tcPr>
            <w:tcW w:w="8287" w:type="dxa"/>
            <w:vAlign w:val="center"/>
          </w:tcPr>
          <w:p w14:paraId="5F1B6214">
            <w:pPr>
              <w:ind w:firstLine="420"/>
              <w:rPr>
                <w:rFonts w:ascii="宋体" w:hAnsi="Courier New"/>
              </w:rPr>
            </w:pPr>
            <w:r>
              <w:rPr>
                <w:rFonts w:hint="eastAsia" w:ascii="宋体" w:hAnsi="Courier New"/>
              </w:rPr>
              <w:t>户名：中国重汽集团</w:t>
            </w:r>
            <w:r>
              <w:rPr>
                <w:rFonts w:ascii="宋体" w:hAnsi="Courier New"/>
              </w:rPr>
              <w:t>济宁商用车有限公司</w:t>
            </w:r>
          </w:p>
        </w:tc>
      </w:tr>
      <w:tr w14:paraId="0749C1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8" w:hRule="atLeast"/>
        </w:trPr>
        <w:tc>
          <w:tcPr>
            <w:tcW w:w="8287" w:type="dxa"/>
            <w:vAlign w:val="center"/>
          </w:tcPr>
          <w:p w14:paraId="16D3FD38">
            <w:pPr>
              <w:ind w:firstLine="420"/>
              <w:rPr>
                <w:rFonts w:ascii="宋体" w:hAnsi="Courier New"/>
              </w:rPr>
            </w:pPr>
            <w:r>
              <w:rPr>
                <w:rFonts w:hint="eastAsia" w:ascii="宋体" w:hAnsi="Courier New"/>
              </w:rPr>
              <w:t>账号：</w:t>
            </w:r>
            <w:r>
              <w:rPr>
                <w:rFonts w:ascii="宋体" w:hAnsi="Courier New"/>
              </w:rPr>
              <w:t>231202725157</w:t>
            </w:r>
          </w:p>
        </w:tc>
      </w:tr>
      <w:tr w14:paraId="776E23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8" w:hRule="atLeast"/>
        </w:trPr>
        <w:tc>
          <w:tcPr>
            <w:tcW w:w="8287" w:type="dxa"/>
            <w:vAlign w:val="center"/>
          </w:tcPr>
          <w:p w14:paraId="70F38AF5">
            <w:pPr>
              <w:ind w:firstLine="420"/>
              <w:rPr>
                <w:rFonts w:ascii="宋体" w:hAnsi="Courier New"/>
              </w:rPr>
            </w:pPr>
            <w:r>
              <w:rPr>
                <w:rFonts w:hint="eastAsia" w:ascii="宋体" w:hAnsi="Courier New"/>
              </w:rPr>
              <w:t>纳税人识别号：</w:t>
            </w:r>
            <w:r>
              <w:rPr>
                <w:rFonts w:ascii="宋体" w:hAnsi="Courier New"/>
              </w:rPr>
              <w:t>91370800771000850L</w:t>
            </w:r>
          </w:p>
        </w:tc>
      </w:tr>
    </w:tbl>
    <w:p w14:paraId="4A67DC75">
      <w:pPr>
        <w:pStyle w:val="10"/>
        <w:spacing w:line="360" w:lineRule="auto"/>
        <w:ind w:firstLine="560"/>
        <w:rPr>
          <w:color w:val="000000"/>
        </w:rPr>
      </w:pPr>
      <w:r>
        <w:rPr>
          <w:rFonts w:hint="eastAsia"/>
          <w:color w:val="000000"/>
        </w:rPr>
        <w:t>⑸保证金截止时间：202</w:t>
      </w:r>
      <w:r>
        <w:rPr>
          <w:rFonts w:hint="eastAsia"/>
          <w:color w:val="000000"/>
          <w:lang w:val="en-US" w:eastAsia="zh-CN"/>
        </w:rPr>
        <w:t>5</w:t>
      </w:r>
      <w:r>
        <w:rPr>
          <w:rFonts w:hint="eastAsia"/>
          <w:color w:val="000000"/>
        </w:rPr>
        <w:t>年</w:t>
      </w:r>
      <w:r>
        <w:rPr>
          <w:rFonts w:hint="eastAsia"/>
          <w:color w:val="000000"/>
          <w:lang w:val="en-US" w:eastAsia="zh-CN"/>
        </w:rPr>
        <w:t>5</w:t>
      </w:r>
      <w:r>
        <w:rPr>
          <w:rFonts w:hint="eastAsia"/>
          <w:color w:val="000000"/>
        </w:rPr>
        <w:t>月</w:t>
      </w:r>
      <w:r>
        <w:rPr>
          <w:rFonts w:hint="eastAsia"/>
          <w:color w:val="000000"/>
          <w:lang w:val="en-US" w:eastAsia="zh-CN"/>
        </w:rPr>
        <w:t>27</w:t>
      </w:r>
      <w:r>
        <w:rPr>
          <w:rFonts w:hint="eastAsia"/>
          <w:color w:val="000000"/>
        </w:rPr>
        <w:t>日</w:t>
      </w:r>
      <w:r>
        <w:rPr>
          <w:color w:val="000000"/>
        </w:rPr>
        <w:t>17</w:t>
      </w:r>
      <w:r>
        <w:rPr>
          <w:rFonts w:hint="eastAsia"/>
          <w:color w:val="000000"/>
        </w:rPr>
        <w:t>时00分前</w:t>
      </w:r>
    </w:p>
    <w:p w14:paraId="7F8BE681">
      <w:pPr>
        <w:pStyle w:val="10"/>
        <w:spacing w:line="360" w:lineRule="auto"/>
        <w:ind w:firstLine="560"/>
        <w:rPr>
          <w:color w:val="000000"/>
        </w:rPr>
      </w:pPr>
      <w:r>
        <w:rPr>
          <w:rFonts w:hint="eastAsia"/>
          <w:color w:val="000000"/>
        </w:rPr>
        <w:t>⑹说明：</w:t>
      </w:r>
    </w:p>
    <w:p w14:paraId="0A77D59F">
      <w:pPr>
        <w:pStyle w:val="10"/>
        <w:spacing w:line="360" w:lineRule="auto"/>
        <w:ind w:firstLine="560"/>
        <w:rPr>
          <w:color w:val="000000"/>
        </w:rPr>
      </w:pPr>
      <w:r>
        <w:rPr>
          <w:rFonts w:hint="eastAsia"/>
          <w:color w:val="000000"/>
        </w:rPr>
        <w:t>(a)无正当理由随意放弃投标、撤销投标文件、中标后无正当理由拒签合同、在签订合同时向招标方提出无理附加条件的，投标保证金不予返还，该投标人2年不得参与招标人组织的招投标项目。不存在以上违规情况的投标人，招标人按照退款程序退还投标保证金（本金，不计息）。</w:t>
      </w:r>
    </w:p>
    <w:p w14:paraId="7B66B3BD">
      <w:pPr>
        <w:pStyle w:val="10"/>
        <w:spacing w:line="360" w:lineRule="auto"/>
        <w:ind w:firstLine="560"/>
        <w:rPr>
          <w:color w:val="000000"/>
        </w:rPr>
      </w:pPr>
      <w:r>
        <w:rPr>
          <w:rFonts w:hint="eastAsia"/>
          <w:color w:val="000000"/>
        </w:rPr>
        <w:t>(b)投标人在向招标人出示《投标保证金缴纳凭证》后方可进行投标；</w:t>
      </w:r>
    </w:p>
    <w:p w14:paraId="25C711D4">
      <w:pPr>
        <w:pStyle w:val="10"/>
        <w:spacing w:line="360" w:lineRule="auto"/>
        <w:ind w:firstLine="560"/>
        <w:rPr>
          <w:color w:val="000000"/>
        </w:rPr>
      </w:pPr>
      <w:r>
        <w:rPr>
          <w:rFonts w:hint="eastAsia"/>
          <w:color w:val="000000"/>
        </w:rPr>
        <w:t>(c)发生以下情况时，项目实施单位有权没收保证金：</w:t>
      </w:r>
    </w:p>
    <w:p w14:paraId="7B09CD69">
      <w:pPr>
        <w:pStyle w:val="10"/>
        <w:spacing w:line="360" w:lineRule="auto"/>
        <w:ind w:firstLine="560"/>
        <w:rPr>
          <w:color w:val="000000"/>
        </w:rPr>
      </w:pPr>
      <w:r>
        <w:rPr>
          <w:rFonts w:hint="eastAsia"/>
          <w:color w:val="000000"/>
        </w:rPr>
        <w:t>1）截至开标前，投标人无正当理由且未以书面形式递交说明而在投标截止日不来投标的；</w:t>
      </w:r>
    </w:p>
    <w:p w14:paraId="653A2202">
      <w:pPr>
        <w:pStyle w:val="10"/>
        <w:spacing w:line="360" w:lineRule="auto"/>
        <w:ind w:firstLine="560"/>
        <w:rPr>
          <w:color w:val="000000"/>
        </w:rPr>
      </w:pPr>
      <w:r>
        <w:rPr>
          <w:rFonts w:hint="eastAsia"/>
          <w:color w:val="000000"/>
        </w:rPr>
        <w:t>2）投标人递送投标文件后，无正当理由放弃投标的；</w:t>
      </w:r>
    </w:p>
    <w:p w14:paraId="19EF78BC">
      <w:pPr>
        <w:pStyle w:val="10"/>
        <w:spacing w:line="360" w:lineRule="auto"/>
        <w:ind w:firstLine="560"/>
        <w:rPr>
          <w:color w:val="000000"/>
        </w:rPr>
      </w:pPr>
      <w:r>
        <w:rPr>
          <w:rFonts w:hint="eastAsia"/>
          <w:color w:val="000000"/>
        </w:rPr>
        <w:t>3）自中标通知书发出之日起30日内，中标人无正当理由不签订合同的；</w:t>
      </w:r>
    </w:p>
    <w:p w14:paraId="463EDEEE">
      <w:pPr>
        <w:pStyle w:val="10"/>
        <w:spacing w:line="360" w:lineRule="auto"/>
        <w:ind w:firstLine="560"/>
        <w:rPr>
          <w:color w:val="000000"/>
        </w:rPr>
      </w:pPr>
      <w:r>
        <w:rPr>
          <w:rFonts w:hint="eastAsia"/>
          <w:color w:val="000000"/>
        </w:rPr>
        <w:t>4）投标人在投标过程中被查实有串标、围标、陪标等违规违纪行为的；</w:t>
      </w:r>
    </w:p>
    <w:p w14:paraId="1BACD1F5">
      <w:pPr>
        <w:pStyle w:val="10"/>
        <w:spacing w:line="360" w:lineRule="auto"/>
        <w:ind w:firstLine="560"/>
        <w:rPr>
          <w:color w:val="000000"/>
        </w:rPr>
      </w:pPr>
      <w:r>
        <w:rPr>
          <w:rFonts w:hint="eastAsia"/>
          <w:color w:val="000000"/>
        </w:rPr>
        <w:t>5）投标人有违约违规行为或被投诉、举报的，在调查处理期间，保证金暂不退还，待调查处理结束后按有关规定处理。</w:t>
      </w:r>
    </w:p>
    <w:p w14:paraId="5F23D178">
      <w:pPr>
        <w:pStyle w:val="9"/>
        <w:rPr>
          <w:rFonts w:ascii="黑体" w:hAnsi="Courier New" w:eastAsia="黑体"/>
          <w:b/>
          <w:bCs/>
          <w:sz w:val="24"/>
          <w:szCs w:val="24"/>
        </w:rPr>
      </w:pPr>
      <w:r>
        <w:rPr>
          <w:rFonts w:hint="eastAsia" w:ascii="黑体" w:hAnsi="Courier New" w:eastAsia="黑体"/>
          <w:b/>
          <w:bCs/>
          <w:sz w:val="24"/>
          <w:szCs w:val="24"/>
        </w:rPr>
        <w:t>八、服务期限</w:t>
      </w:r>
    </w:p>
    <w:p w14:paraId="48B98667">
      <w:pPr>
        <w:pStyle w:val="10"/>
        <w:spacing w:line="360" w:lineRule="auto"/>
        <w:ind w:firstLine="560"/>
        <w:rPr>
          <w:color w:val="000000"/>
        </w:rPr>
      </w:pPr>
      <w:r>
        <w:rPr>
          <w:rFonts w:hint="eastAsia"/>
          <w:color w:val="000000"/>
        </w:rPr>
        <w:t>壹年，自合同</w:t>
      </w:r>
      <w:r>
        <w:rPr>
          <w:color w:val="000000"/>
        </w:rPr>
        <w:t>签订后一年</w:t>
      </w:r>
      <w:r>
        <w:rPr>
          <w:rFonts w:hint="eastAsia"/>
          <w:color w:val="000000"/>
        </w:rPr>
        <w:t>。</w:t>
      </w:r>
    </w:p>
    <w:p w14:paraId="558D04D0">
      <w:pPr>
        <w:pStyle w:val="9"/>
        <w:rPr>
          <w:rFonts w:ascii="黑体" w:hAnsi="Courier New" w:eastAsia="黑体"/>
          <w:b/>
          <w:bCs/>
          <w:sz w:val="24"/>
          <w:szCs w:val="24"/>
        </w:rPr>
      </w:pPr>
      <w:r>
        <w:rPr>
          <w:rFonts w:hint="eastAsia" w:ascii="黑体" w:hAnsi="Courier New" w:eastAsia="黑体"/>
          <w:b/>
          <w:bCs/>
          <w:sz w:val="24"/>
          <w:szCs w:val="24"/>
        </w:rPr>
        <w:t>九、产品配送及结算方式：</w:t>
      </w:r>
    </w:p>
    <w:p w14:paraId="4856C76E">
      <w:pPr>
        <w:pStyle w:val="10"/>
        <w:spacing w:line="360" w:lineRule="auto"/>
        <w:ind w:firstLine="420" w:firstLineChars="200"/>
        <w:rPr>
          <w:color w:val="000000"/>
        </w:rPr>
      </w:pPr>
      <w:r>
        <w:rPr>
          <w:rFonts w:hint="eastAsia"/>
          <w:color w:val="000000"/>
        </w:rPr>
        <w:t>（1）配送方式：次日天气预报气温在3</w:t>
      </w:r>
      <w:r>
        <w:rPr>
          <w:rFonts w:hint="eastAsia"/>
          <w:color w:val="000000"/>
          <w:lang w:val="en-US" w:eastAsia="zh-CN"/>
        </w:rPr>
        <w:t>3</w:t>
      </w:r>
      <w:r>
        <w:rPr>
          <w:rFonts w:hint="eastAsia"/>
          <w:color w:val="000000"/>
        </w:rPr>
        <w:t>℃及以上，招标方与投标方联系确定次日需配送上述尺寸规格的冰块的数量，投标方须按照要货的数量、配送时间送达招标方指定的地点卸货。</w:t>
      </w:r>
    </w:p>
    <w:p w14:paraId="3676B4B9">
      <w:pPr>
        <w:adjustRightInd w:val="0"/>
        <w:snapToGrid w:val="0"/>
        <w:spacing w:line="360" w:lineRule="auto"/>
        <w:ind w:firstLine="420" w:firstLineChars="200"/>
        <w:rPr>
          <w:rFonts w:ascii="宋体" w:hAnsi="Courier New"/>
          <w:color w:val="000000"/>
        </w:rPr>
      </w:pPr>
      <w:r>
        <w:rPr>
          <w:rFonts w:hint="eastAsia" w:ascii="宋体" w:hAnsi="Courier New"/>
          <w:color w:val="000000"/>
        </w:rPr>
        <w:t>（2）支付方式：电汇。</w:t>
      </w:r>
    </w:p>
    <w:p w14:paraId="05D407BC">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eastAsia" w:ascii="宋体" w:hAnsi="Courier New" w:eastAsia="宋体" w:cs="Times New Roman"/>
          <w:color w:val="000000"/>
          <w:kern w:val="2"/>
          <w:sz w:val="21"/>
          <w:lang w:val="en-US" w:eastAsia="zh-CN" w:bidi="ar-SA"/>
        </w:rPr>
      </w:pPr>
      <w:r>
        <w:rPr>
          <w:rFonts w:hint="eastAsia" w:ascii="宋体" w:hAnsi="Courier New" w:eastAsia="宋体" w:cs="Times New Roman"/>
          <w:color w:val="000000"/>
          <w:kern w:val="2"/>
          <w:sz w:val="21"/>
          <w:lang w:val="en-US" w:eastAsia="zh-CN" w:bidi="ar-SA"/>
        </w:rPr>
        <w:t>（3）支付条款：实行先送货后结账方式，次月十日前甲乙双方对上月冰块采购数量核对无误后，乙方据此向甲方开具正规增值税发票，甲方在收到发票审核无误挂账当月以电汇方式向乙方付款。</w:t>
      </w:r>
    </w:p>
    <w:p w14:paraId="768D6683">
      <w:pPr>
        <w:tabs>
          <w:tab w:val="left" w:pos="0"/>
        </w:tabs>
        <w:spacing w:line="360" w:lineRule="auto"/>
        <w:rPr>
          <w:rFonts w:ascii="宋体" w:hAnsi="Courier New"/>
          <w:color w:val="000000"/>
        </w:rPr>
      </w:pPr>
      <w:r>
        <w:rPr>
          <w:rFonts w:hint="eastAsia" w:ascii="黑体" w:eastAsia="黑体"/>
          <w:b/>
          <w:bCs/>
          <w:sz w:val="24"/>
          <w:szCs w:val="24"/>
        </w:rPr>
        <w:t>十、评标</w:t>
      </w:r>
    </w:p>
    <w:p w14:paraId="344CCC40">
      <w:pPr>
        <w:pStyle w:val="10"/>
        <w:spacing w:line="360" w:lineRule="auto"/>
        <w:ind w:firstLine="560"/>
        <w:rPr>
          <w:color w:val="000000"/>
        </w:rPr>
      </w:pPr>
      <w:r>
        <w:rPr>
          <w:rFonts w:hint="eastAsia"/>
          <w:color w:val="000000"/>
        </w:rPr>
        <w:t>评标工作由招标人为该项目依法组织的、由三人或三人以上单数成员（视标的额大小按规定确定专家人数）组成的评标专家小组负责，采用投标最低价中标，即由评标工作小组按照国家招投标有关规定，本着公平、公正、公开、有序的原则，在满足招标文件实质性要求和技术要求的前提下，招标专家组可与投标人进行两轮或以上商务谈判，对最终报价最低的投标方确定推荐中标人。</w:t>
      </w:r>
    </w:p>
    <w:p w14:paraId="7C27E490">
      <w:pPr>
        <w:pStyle w:val="10"/>
        <w:spacing w:line="360" w:lineRule="auto"/>
        <w:ind w:firstLine="562"/>
        <w:rPr>
          <w:b/>
          <w:color w:val="000000"/>
        </w:rPr>
      </w:pPr>
      <w:r>
        <w:rPr>
          <w:rFonts w:hint="eastAsia"/>
          <w:b/>
          <w:color w:val="000000"/>
        </w:rPr>
        <w:t>投标前请各投标方按照标书技术要求对项目方案进行充分准备，有意投标的单位应默认认同上述开标、评标过程，无异议。对未入围投标方及未中标人不做任何解释。</w:t>
      </w:r>
    </w:p>
    <w:p w14:paraId="63D6424D">
      <w:pPr>
        <w:tabs>
          <w:tab w:val="left" w:pos="0"/>
        </w:tabs>
        <w:spacing w:line="360" w:lineRule="auto"/>
        <w:rPr>
          <w:rFonts w:ascii="黑体" w:eastAsia="黑体"/>
          <w:b/>
          <w:bCs/>
          <w:sz w:val="24"/>
          <w:szCs w:val="24"/>
        </w:rPr>
      </w:pPr>
      <w:r>
        <w:rPr>
          <w:rFonts w:hint="eastAsia" w:ascii="黑体" w:eastAsia="黑体"/>
          <w:b/>
          <w:bCs/>
          <w:sz w:val="24"/>
          <w:szCs w:val="24"/>
        </w:rPr>
        <w:t>十一、合同签订</w:t>
      </w:r>
    </w:p>
    <w:p w14:paraId="506E60E2">
      <w:pPr>
        <w:pStyle w:val="10"/>
        <w:spacing w:line="360" w:lineRule="auto"/>
        <w:ind w:firstLine="560"/>
        <w:rPr>
          <w:color w:val="000000"/>
        </w:rPr>
      </w:pPr>
      <w:r>
        <w:rPr>
          <w:rFonts w:hint="eastAsia"/>
          <w:color w:val="000000"/>
        </w:rPr>
        <w:t>1）根据评标工作小组的评标结果并按相关法律法规的规定及公司相关制度要求，确定中标人。中标人承诺无条件服从招标人针对该项目的后续所有安排。招标人不对未中标人做任何解释。</w:t>
      </w:r>
    </w:p>
    <w:p w14:paraId="2BE1B847">
      <w:pPr>
        <w:pStyle w:val="10"/>
        <w:spacing w:line="360" w:lineRule="auto"/>
        <w:ind w:firstLine="560"/>
        <w:rPr>
          <w:color w:val="000000"/>
        </w:rPr>
      </w:pPr>
      <w:r>
        <w:rPr>
          <w:rFonts w:hint="eastAsia"/>
          <w:color w:val="000000"/>
        </w:rPr>
        <w:t>2）招标人发送《中标通知书》给中标人，中标人应及时与招标人联系，在招标人要求的时间内完成合同签订，如果中标人接到《中标通知书》后，无正当理由拒绝按其规定的期限签订合同或在签订合同时向招标人提出附加条件或者更改合同实质性内容的，招标人有权取消其中标资格，招标人将从剩余投标人中依序重新确定中标人，或重新组织招标。</w:t>
      </w:r>
    </w:p>
    <w:p w14:paraId="5597CDB4">
      <w:pPr>
        <w:pStyle w:val="10"/>
        <w:spacing w:line="360" w:lineRule="auto"/>
        <w:ind w:firstLine="560"/>
        <w:rPr>
          <w:color w:val="000000"/>
        </w:rPr>
      </w:pPr>
      <w:r>
        <w:rPr>
          <w:rFonts w:hint="eastAsia"/>
          <w:color w:val="000000"/>
        </w:rPr>
        <w:t>3）中标人应在保证质量的前提下完成中标项目，不得将中标项目转包或分包给他人，否则视为违约，招标人有权解除合同。</w:t>
      </w:r>
    </w:p>
    <w:p w14:paraId="21721B48">
      <w:pPr>
        <w:pStyle w:val="10"/>
        <w:spacing w:line="360" w:lineRule="auto"/>
        <w:ind w:firstLine="560"/>
        <w:rPr>
          <w:color w:val="000000"/>
        </w:rPr>
      </w:pPr>
      <w:r>
        <w:rPr>
          <w:rFonts w:hint="eastAsia"/>
          <w:color w:val="000000"/>
        </w:rPr>
        <w:t>4）中标人由于履行义务的能力或信用有严重缺陷，其余投标人中依序重新确定中标人，或重新组织招标。招标人有权取消其中标资格，招标人将从剩余投标人中依序重新确定中标人，或重新组织招标。</w:t>
      </w:r>
    </w:p>
    <w:p w14:paraId="6ABB333F">
      <w:pPr>
        <w:pStyle w:val="10"/>
        <w:spacing w:line="360" w:lineRule="auto"/>
        <w:ind w:firstLine="560"/>
        <w:rPr>
          <w:color w:val="000000"/>
        </w:rPr>
      </w:pPr>
      <w:r>
        <w:rPr>
          <w:rFonts w:hint="eastAsia"/>
          <w:color w:val="000000"/>
        </w:rPr>
        <w:t>5）招标人与中标人签署相关合同，具体权利义务以双方最终签署的合同为准。</w:t>
      </w:r>
    </w:p>
    <w:p w14:paraId="7323AF10">
      <w:pPr>
        <w:pStyle w:val="10"/>
        <w:spacing w:line="360" w:lineRule="auto"/>
        <w:ind w:firstLine="560"/>
        <w:rPr>
          <w:color w:val="000000"/>
        </w:rPr>
      </w:pPr>
      <w:r>
        <w:rPr>
          <w:rFonts w:hint="eastAsia"/>
          <w:color w:val="000000"/>
        </w:rPr>
        <w:t>6）中标人须认可由于招标人上级集团公司政策变化引起的合同签订前终止项目的要求。</w:t>
      </w:r>
    </w:p>
    <w:p w14:paraId="1F7D13F3">
      <w:pPr>
        <w:pStyle w:val="10"/>
        <w:spacing w:line="360" w:lineRule="auto"/>
        <w:outlineLvl w:val="1"/>
        <w:rPr>
          <w:rFonts w:ascii="黑体" w:hAnsi="Times New Roman" w:eastAsia="黑体"/>
          <w:b/>
          <w:bCs/>
          <w:sz w:val="24"/>
          <w:szCs w:val="24"/>
        </w:rPr>
      </w:pPr>
      <w:r>
        <w:rPr>
          <w:rFonts w:hint="eastAsia" w:ascii="黑体" w:hAnsi="Times New Roman" w:eastAsia="黑体"/>
          <w:b/>
          <w:bCs/>
          <w:sz w:val="24"/>
          <w:szCs w:val="24"/>
        </w:rPr>
        <w:t>十二、废标及终止招标</w:t>
      </w:r>
    </w:p>
    <w:p w14:paraId="285E9C13">
      <w:pPr>
        <w:pStyle w:val="10"/>
        <w:spacing w:line="360" w:lineRule="auto"/>
        <w:ind w:firstLine="560"/>
        <w:rPr>
          <w:color w:val="000000"/>
        </w:rPr>
      </w:pPr>
      <w:r>
        <w:rPr>
          <w:rFonts w:hint="eastAsia"/>
          <w:color w:val="000000"/>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547D42FE">
      <w:pPr>
        <w:pStyle w:val="10"/>
        <w:spacing w:line="360" w:lineRule="auto"/>
        <w:ind w:firstLine="560"/>
        <w:rPr>
          <w:color w:val="000000"/>
        </w:rPr>
      </w:pPr>
      <w:r>
        <w:rPr>
          <w:rFonts w:hint="eastAsia"/>
          <w:color w:val="000000"/>
        </w:rPr>
        <w:t>⑴投标人提供的有关资格、资质证明文件不合格、不真实或提供虚假投标材料；</w:t>
      </w:r>
    </w:p>
    <w:p w14:paraId="71F7567F">
      <w:pPr>
        <w:pStyle w:val="10"/>
        <w:spacing w:line="360" w:lineRule="auto"/>
        <w:ind w:firstLine="560"/>
        <w:rPr>
          <w:color w:val="000000"/>
        </w:rPr>
      </w:pPr>
      <w:r>
        <w:rPr>
          <w:rFonts w:hint="eastAsia"/>
          <w:color w:val="000000"/>
        </w:rPr>
        <w:t>⑵投标人在报价有效期内撤回投标；</w:t>
      </w:r>
    </w:p>
    <w:p w14:paraId="329051B1">
      <w:pPr>
        <w:pStyle w:val="10"/>
        <w:spacing w:line="360" w:lineRule="auto"/>
        <w:ind w:firstLine="560"/>
        <w:rPr>
          <w:color w:val="000000"/>
        </w:rPr>
      </w:pPr>
      <w:r>
        <w:rPr>
          <w:rFonts w:hint="eastAsia"/>
          <w:color w:val="000000"/>
        </w:rPr>
        <w:t>⑶在整个评标过程中，投标人有企图影响评标结果公正性的任何活动；</w:t>
      </w:r>
    </w:p>
    <w:p w14:paraId="7846E6AB">
      <w:pPr>
        <w:pStyle w:val="10"/>
        <w:spacing w:line="360" w:lineRule="auto"/>
        <w:ind w:firstLine="560"/>
        <w:rPr>
          <w:color w:val="000000"/>
        </w:rPr>
      </w:pPr>
      <w:r>
        <w:rPr>
          <w:rFonts w:hint="eastAsia"/>
          <w:color w:val="000000"/>
        </w:rPr>
        <w:t>⑷投标人以任何方式诋毁其他投标人；</w:t>
      </w:r>
    </w:p>
    <w:p w14:paraId="196A8ABD">
      <w:pPr>
        <w:pStyle w:val="10"/>
        <w:spacing w:line="360" w:lineRule="auto"/>
        <w:ind w:firstLine="560"/>
        <w:rPr>
          <w:color w:val="000000"/>
        </w:rPr>
      </w:pPr>
      <w:r>
        <w:rPr>
          <w:rFonts w:hint="eastAsia"/>
          <w:color w:val="000000"/>
        </w:rPr>
        <w:t>⑸投标人串通投标；</w:t>
      </w:r>
    </w:p>
    <w:p w14:paraId="553423E1">
      <w:pPr>
        <w:pStyle w:val="10"/>
        <w:spacing w:line="360" w:lineRule="auto"/>
        <w:ind w:firstLine="560"/>
        <w:rPr>
          <w:color w:val="000000"/>
        </w:rPr>
      </w:pPr>
      <w:r>
        <w:rPr>
          <w:rFonts w:hint="eastAsia"/>
          <w:color w:val="000000"/>
        </w:rPr>
        <w:t>⑹以他人名义投标或者以其他方式弄虚作假，骗取中标的；</w:t>
      </w:r>
    </w:p>
    <w:p w14:paraId="6C527145">
      <w:pPr>
        <w:pStyle w:val="10"/>
        <w:spacing w:line="360" w:lineRule="auto"/>
        <w:ind w:firstLine="560"/>
        <w:rPr>
          <w:color w:val="000000"/>
        </w:rPr>
      </w:pPr>
      <w:r>
        <w:rPr>
          <w:rFonts w:hint="eastAsia"/>
          <w:color w:val="000000"/>
        </w:rPr>
        <w:t>⑺中标人不按规定签订合同；</w:t>
      </w:r>
    </w:p>
    <w:p w14:paraId="3B30F383">
      <w:pPr>
        <w:pStyle w:val="10"/>
        <w:spacing w:line="360" w:lineRule="auto"/>
        <w:ind w:firstLine="560"/>
        <w:rPr>
          <w:color w:val="000000"/>
        </w:rPr>
      </w:pPr>
      <w:r>
        <w:rPr>
          <w:rFonts w:hint="eastAsia"/>
          <w:color w:val="000000"/>
        </w:rPr>
        <w:t>⑻法律、法规规定的其他情况。</w:t>
      </w:r>
    </w:p>
    <w:p w14:paraId="359E9BA2">
      <w:pPr>
        <w:pStyle w:val="10"/>
        <w:spacing w:line="360" w:lineRule="auto"/>
        <w:ind w:firstLine="560"/>
        <w:rPr>
          <w:color w:val="000000"/>
        </w:rPr>
      </w:pPr>
      <w:r>
        <w:rPr>
          <w:rFonts w:hint="eastAsia"/>
          <w:color w:val="000000"/>
        </w:rPr>
        <w:t>2.出现下列情形之一，招标人有权否决所有投标人的投标，并终止招标。</w:t>
      </w:r>
    </w:p>
    <w:p w14:paraId="303430C5">
      <w:pPr>
        <w:pStyle w:val="10"/>
        <w:spacing w:line="360" w:lineRule="auto"/>
        <w:ind w:firstLine="560"/>
        <w:rPr>
          <w:color w:val="000000"/>
        </w:rPr>
      </w:pPr>
      <w:r>
        <w:rPr>
          <w:rFonts w:hint="eastAsia"/>
          <w:color w:val="000000"/>
        </w:rPr>
        <w:t>⑴出现影响采购公正的违法、违规行为的。</w:t>
      </w:r>
    </w:p>
    <w:p w14:paraId="26822451">
      <w:pPr>
        <w:pStyle w:val="10"/>
        <w:spacing w:line="360" w:lineRule="auto"/>
        <w:ind w:firstLine="560"/>
        <w:rPr>
          <w:color w:val="000000"/>
        </w:rPr>
      </w:pPr>
      <w:r>
        <w:rPr>
          <w:rFonts w:hint="eastAsia"/>
          <w:color w:val="000000"/>
        </w:rPr>
        <w:t>⑵评标委员会经评审，认为所有投标都不符合招标文件要求的</w:t>
      </w:r>
    </w:p>
    <w:p w14:paraId="52F1052D">
      <w:pPr>
        <w:pStyle w:val="10"/>
        <w:spacing w:line="360" w:lineRule="auto"/>
        <w:ind w:firstLine="560"/>
        <w:rPr>
          <w:color w:val="000000"/>
        </w:rPr>
      </w:pPr>
      <w:r>
        <w:rPr>
          <w:rFonts w:hint="eastAsia"/>
          <w:color w:val="000000"/>
        </w:rPr>
        <w:t>⑶因重大变故，采购任务取消的。</w:t>
      </w:r>
    </w:p>
    <w:p w14:paraId="07708FA2">
      <w:pPr>
        <w:pStyle w:val="10"/>
        <w:spacing w:line="360" w:lineRule="auto"/>
        <w:ind w:firstLine="560"/>
        <w:rPr>
          <w:color w:val="000000"/>
        </w:rPr>
      </w:pPr>
      <w:r>
        <w:rPr>
          <w:rFonts w:hint="eastAsia"/>
          <w:color w:val="000000"/>
        </w:rPr>
        <w:t>⑷有效参与投标的单位不足三家以上的。</w:t>
      </w:r>
    </w:p>
    <w:p w14:paraId="0AD24DCC">
      <w:pPr>
        <w:pStyle w:val="10"/>
        <w:spacing w:line="360" w:lineRule="auto"/>
        <w:ind w:firstLine="560"/>
        <w:rPr>
          <w:color w:val="000000"/>
        </w:rPr>
      </w:pPr>
      <w:r>
        <w:rPr>
          <w:rFonts w:hint="eastAsia"/>
          <w:color w:val="000000"/>
        </w:rPr>
        <w:t>⑸招标人认为其他应终止招标的情形。</w:t>
      </w:r>
    </w:p>
    <w:p w14:paraId="3D08EE75">
      <w:pPr>
        <w:pStyle w:val="10"/>
        <w:spacing w:line="360" w:lineRule="auto"/>
        <w:outlineLvl w:val="1"/>
        <w:rPr>
          <w:rFonts w:ascii="黑体" w:hAnsi="Times New Roman" w:eastAsia="黑体"/>
          <w:b/>
          <w:bCs/>
          <w:sz w:val="24"/>
          <w:szCs w:val="24"/>
        </w:rPr>
      </w:pPr>
      <w:r>
        <w:rPr>
          <w:rFonts w:hint="eastAsia" w:ascii="黑体" w:hAnsi="Times New Roman" w:eastAsia="黑体"/>
          <w:b/>
          <w:bCs/>
          <w:sz w:val="24"/>
          <w:szCs w:val="24"/>
        </w:rPr>
        <w:t>十三、中标人瑕疵滞后发现的处理原则</w:t>
      </w:r>
    </w:p>
    <w:p w14:paraId="3FDAD198">
      <w:pPr>
        <w:pStyle w:val="10"/>
        <w:spacing w:line="360" w:lineRule="auto"/>
        <w:ind w:firstLine="560"/>
        <w:rPr>
          <w:color w:val="000000"/>
        </w:rPr>
      </w:pPr>
      <w:r>
        <w:rPr>
          <w:rFonts w:hint="eastAsia"/>
          <w:color w:val="000000"/>
        </w:rPr>
        <w:t>无论基于何种原因，各项本应作为拒绝处理的情形即便未被及时发现而使该中标人通过了资格审核、初评、现场复审、终评或其他所有相关程序，包括已签订合同的情形，一旦中标人被拒绝或该中标人此前的评议结果被取消，相关的一切损失均由该中标人承担。</w:t>
      </w:r>
    </w:p>
    <w:p w14:paraId="203312CF">
      <w:pPr>
        <w:pStyle w:val="10"/>
        <w:spacing w:line="360" w:lineRule="auto"/>
        <w:outlineLvl w:val="1"/>
        <w:rPr>
          <w:rFonts w:ascii="黑体" w:hAnsi="Times New Roman" w:eastAsia="黑体"/>
          <w:b/>
          <w:bCs/>
          <w:sz w:val="24"/>
          <w:szCs w:val="24"/>
        </w:rPr>
      </w:pPr>
      <w:r>
        <w:rPr>
          <w:rFonts w:hint="eastAsia" w:ascii="黑体" w:hAnsi="Times New Roman" w:eastAsia="黑体"/>
          <w:b/>
          <w:bCs/>
          <w:sz w:val="24"/>
          <w:szCs w:val="24"/>
        </w:rPr>
        <w:t>十四、其他</w:t>
      </w:r>
    </w:p>
    <w:p w14:paraId="10217997">
      <w:pPr>
        <w:spacing w:line="360" w:lineRule="auto"/>
        <w:ind w:right="2" w:firstLine="560"/>
        <w:rPr>
          <w:rFonts w:ascii="宋体" w:hAnsi="Courier New"/>
          <w:color w:val="000000"/>
        </w:rPr>
      </w:pPr>
      <w:r>
        <w:rPr>
          <w:rFonts w:hint="eastAsia" w:ascii="宋体" w:hAnsi="Courier New"/>
          <w:color w:val="000000"/>
        </w:rPr>
        <w:t>1.其余未尽事宜均以协议（或合同）约定为准。</w:t>
      </w:r>
    </w:p>
    <w:p w14:paraId="3CE70737">
      <w:pPr>
        <w:pStyle w:val="10"/>
        <w:spacing w:line="360" w:lineRule="auto"/>
        <w:ind w:firstLine="560"/>
        <w:rPr>
          <w:color w:val="000000"/>
        </w:rPr>
      </w:pPr>
      <w:r>
        <w:rPr>
          <w:rFonts w:hint="eastAsia"/>
          <w:color w:val="000000"/>
        </w:rPr>
        <w:t>2.要求招标人或相关合同签订单位提供的配合，在标书文件中说明。</w:t>
      </w:r>
    </w:p>
    <w:p w14:paraId="31277DEF">
      <w:pPr>
        <w:spacing w:line="360" w:lineRule="auto"/>
        <w:ind w:right="2" w:firstLine="560"/>
        <w:rPr>
          <w:rFonts w:ascii="宋体" w:hAnsi="Courier New"/>
          <w:color w:val="000000"/>
        </w:rPr>
      </w:pPr>
      <w:r>
        <w:rPr>
          <w:rFonts w:hint="eastAsia" w:ascii="宋体" w:hAnsi="Courier New"/>
          <w:color w:val="000000"/>
        </w:rPr>
        <w:t>3.凡对本次招标提出的问询，均以招标人的书面答复为准。招标人的任何工作人员对投标人所作的任何口头解释、介绍、答复，对招标人和投标人均无任何约束力。</w:t>
      </w:r>
    </w:p>
    <w:p w14:paraId="3551DDB4">
      <w:pPr>
        <w:spacing w:line="360" w:lineRule="auto"/>
        <w:ind w:right="2" w:firstLine="560"/>
        <w:rPr>
          <w:rFonts w:ascii="宋体" w:hAnsi="Courier New"/>
          <w:color w:val="000000"/>
        </w:rPr>
      </w:pPr>
      <w:r>
        <w:rPr>
          <w:rFonts w:hint="eastAsia" w:ascii="宋体" w:hAnsi="Courier New"/>
          <w:color w:val="000000"/>
        </w:rPr>
        <w:t>4.投标人应承担所有与准备和参加投标有关的全部费用，包含但不限于取样化验或投标过程中的产生的其他各项费用，招标人在任何情况下均无义务和责任承担此费用。</w:t>
      </w:r>
    </w:p>
    <w:p w14:paraId="0E0E8D7F">
      <w:pPr>
        <w:adjustRightInd w:val="0"/>
        <w:snapToGrid w:val="0"/>
        <w:spacing w:line="360" w:lineRule="auto"/>
        <w:ind w:firstLine="560"/>
        <w:rPr>
          <w:rFonts w:ascii="宋体" w:hAnsi="Courier New"/>
          <w:color w:val="000000"/>
        </w:rPr>
      </w:pPr>
    </w:p>
    <w:p w14:paraId="106BEF1B">
      <w:pPr>
        <w:pStyle w:val="9"/>
        <w:adjustRightInd w:val="0"/>
        <w:snapToGrid w:val="0"/>
        <w:spacing w:line="360" w:lineRule="auto"/>
        <w:ind w:firstLine="560"/>
        <w:jc w:val="right"/>
        <w:rPr>
          <w:rFonts w:ascii="宋体" w:hAnsi="Courier New" w:eastAsia="宋体"/>
          <w:color w:val="000000"/>
          <w:sz w:val="21"/>
        </w:rPr>
      </w:pPr>
      <w:r>
        <w:rPr>
          <w:rFonts w:hint="eastAsia" w:ascii="宋体" w:hAnsi="Courier New" w:eastAsia="宋体"/>
          <w:color w:val="000000"/>
          <w:sz w:val="21"/>
        </w:rPr>
        <w:t>中国重汽集团济宁商用车有限公司</w:t>
      </w:r>
    </w:p>
    <w:p w14:paraId="114B79C8">
      <w:pPr>
        <w:ind w:firstLine="560"/>
        <w:jc w:val="right"/>
        <w:rPr>
          <w:rFonts w:hint="default" w:ascii="宋体" w:hAnsi="Courier New" w:eastAsia="宋体"/>
          <w:color w:val="000000"/>
          <w:lang w:val="en-US" w:eastAsia="zh-CN"/>
        </w:rPr>
      </w:pPr>
      <w:r>
        <w:rPr>
          <w:rFonts w:hint="eastAsia" w:ascii="宋体" w:hAnsi="Courier New"/>
          <w:color w:val="000000"/>
        </w:rPr>
        <w:t>202</w:t>
      </w:r>
      <w:r>
        <w:rPr>
          <w:rFonts w:hint="eastAsia" w:ascii="宋体" w:hAnsi="Courier New"/>
          <w:color w:val="000000"/>
          <w:lang w:val="en-US" w:eastAsia="zh-CN"/>
        </w:rPr>
        <w:t>5</w:t>
      </w:r>
      <w:r>
        <w:rPr>
          <w:rFonts w:hint="eastAsia" w:ascii="宋体" w:hAnsi="Courier New"/>
          <w:color w:val="000000"/>
        </w:rPr>
        <w:t>-</w:t>
      </w:r>
      <w:r>
        <w:rPr>
          <w:rFonts w:hint="eastAsia" w:ascii="宋体" w:hAnsi="Courier New"/>
          <w:color w:val="000000"/>
          <w:lang w:val="en-US" w:eastAsia="zh-CN"/>
        </w:rPr>
        <w:t>5</w:t>
      </w:r>
      <w:r>
        <w:rPr>
          <w:rFonts w:hint="eastAsia" w:ascii="宋体" w:hAnsi="Courier New"/>
          <w:color w:val="000000"/>
        </w:rPr>
        <w:t>-</w:t>
      </w:r>
      <w:r>
        <w:rPr>
          <w:rFonts w:hint="eastAsia" w:ascii="宋体" w:hAnsi="Courier New"/>
          <w:color w:val="000000"/>
          <w:lang w:val="en-US" w:eastAsia="zh-CN"/>
        </w:rPr>
        <w:t>22</w:t>
      </w:r>
    </w:p>
    <w:p w14:paraId="02C70607">
      <w:pPr>
        <w:pStyle w:val="9"/>
        <w:ind w:firstLine="420"/>
        <w:rPr>
          <w:rFonts w:ascii="宋体" w:hAnsi="Courier New" w:eastAsia="宋体"/>
          <w:color w:val="000000"/>
          <w:sz w:val="21"/>
        </w:rPr>
      </w:pPr>
    </w:p>
    <w:p w14:paraId="2F26B1DA">
      <w:pPr>
        <w:pStyle w:val="9"/>
        <w:ind w:firstLine="420"/>
      </w:pPr>
    </w:p>
    <w:p w14:paraId="1BE63F71">
      <w:pPr>
        <w:pStyle w:val="9"/>
        <w:ind w:firstLine="420"/>
      </w:pPr>
    </w:p>
    <w:p w14:paraId="6D253BFA">
      <w:pPr>
        <w:pStyle w:val="9"/>
        <w:ind w:firstLine="420"/>
      </w:pPr>
    </w:p>
    <w:p w14:paraId="46969176">
      <w:pPr>
        <w:pStyle w:val="9"/>
        <w:ind w:firstLine="420"/>
      </w:pPr>
    </w:p>
    <w:p w14:paraId="3E7A865C">
      <w:pPr>
        <w:pStyle w:val="9"/>
        <w:ind w:firstLine="420"/>
      </w:pPr>
    </w:p>
    <w:p w14:paraId="3D0A06A8">
      <w:pPr>
        <w:pStyle w:val="9"/>
        <w:ind w:firstLine="420"/>
      </w:pPr>
    </w:p>
    <w:p w14:paraId="12550271">
      <w:pPr>
        <w:pStyle w:val="9"/>
      </w:pPr>
    </w:p>
    <w:p w14:paraId="69DE2332">
      <w:pPr>
        <w:pStyle w:val="9"/>
      </w:pPr>
    </w:p>
    <w:p w14:paraId="6C526B86">
      <w:pPr>
        <w:ind w:firstLine="643"/>
        <w:rPr>
          <w:rFonts w:ascii="宋体" w:hAnsi="宋体"/>
          <w:b/>
          <w:sz w:val="32"/>
          <w:szCs w:val="32"/>
        </w:rPr>
      </w:pPr>
      <w:r>
        <w:rPr>
          <w:rFonts w:hint="eastAsia" w:ascii="宋体" w:hAnsi="宋体"/>
          <w:b/>
          <w:sz w:val="32"/>
          <w:szCs w:val="32"/>
        </w:rPr>
        <w:t>附件1：</w:t>
      </w:r>
    </w:p>
    <w:p w14:paraId="28B39D59">
      <w:pPr>
        <w:ind w:firstLine="420"/>
        <w:rPr>
          <w:rFonts w:ascii="宋体" w:hAnsi="宋体"/>
          <w:u w:val="single"/>
        </w:rPr>
      </w:pPr>
      <w:r>
        <w:rPr>
          <w:rFonts w:hint="eastAsia" w:ascii="宋体" w:hAnsi="宋体"/>
        </w:rPr>
        <w:t>项目名称：</w:t>
      </w:r>
      <w:r>
        <w:rPr>
          <w:rFonts w:hint="eastAsia" w:ascii="宋体" w:hAnsi="宋体"/>
          <w:u w:val="single"/>
        </w:rPr>
        <w:t>防暑降温冰块采购项目</w:t>
      </w:r>
    </w:p>
    <w:p w14:paraId="00A2198C">
      <w:pPr>
        <w:pStyle w:val="10"/>
        <w:spacing w:line="360" w:lineRule="auto"/>
        <w:ind w:firstLine="420"/>
        <w:rPr>
          <w:rFonts w:hAnsi="宋体"/>
          <w:szCs w:val="21"/>
        </w:rPr>
      </w:pPr>
      <w:r>
        <w:rPr>
          <w:rFonts w:hint="eastAsia" w:hAnsi="宋体"/>
          <w:szCs w:val="21"/>
        </w:rPr>
        <w:t>日期：  年   月   日</w:t>
      </w:r>
    </w:p>
    <w:p w14:paraId="56F8D104">
      <w:pPr>
        <w:ind w:firstLine="562"/>
        <w:jc w:val="center"/>
        <w:rPr>
          <w:rFonts w:eastAsia="黑体"/>
          <w:b/>
          <w:bCs/>
          <w:sz w:val="28"/>
        </w:rPr>
      </w:pPr>
      <w:r>
        <w:rPr>
          <w:rFonts w:hint="eastAsia" w:eastAsia="黑体"/>
          <w:b/>
          <w:bCs/>
          <w:sz w:val="28"/>
        </w:rPr>
        <w:t>法人授权委托书</w:t>
      </w:r>
    </w:p>
    <w:p w14:paraId="16101F6A">
      <w:pPr>
        <w:ind w:firstLine="420"/>
        <w:rPr>
          <w:rFonts w:ascii="宋体" w:hAnsi="宋体"/>
          <w:u w:val="single"/>
        </w:rPr>
      </w:pPr>
      <w:r>
        <w:rPr>
          <w:rFonts w:hint="eastAsia" w:ascii="宋体" w:hAnsi="宋体"/>
        </w:rPr>
        <w:t>致</w:t>
      </w:r>
      <w:r>
        <w:rPr>
          <w:rFonts w:hint="eastAsia" w:ascii="宋体" w:hAnsi="宋体"/>
          <w:u w:val="single"/>
        </w:rPr>
        <w:t>中国重汽集团济宁商用车有限公司：</w:t>
      </w:r>
    </w:p>
    <w:p w14:paraId="40C964BC">
      <w:pPr>
        <w:spacing w:line="360" w:lineRule="auto"/>
        <w:ind w:firstLine="420"/>
        <w:rPr>
          <w:rFonts w:ascii="宋体" w:hAnsi="宋体"/>
          <w:kern w:val="0"/>
        </w:rPr>
      </w:pPr>
      <w:r>
        <w:rPr>
          <w:rFonts w:hint="eastAsia" w:ascii="宋体" w:hAnsi="宋体"/>
          <w:kern w:val="0"/>
        </w:rPr>
        <w:t>本授权委托书声明：我</w:t>
      </w:r>
      <w:r>
        <w:rPr>
          <w:rFonts w:hint="eastAsia" w:ascii="宋体" w:hAnsi="宋体"/>
          <w:kern w:val="0"/>
          <w:u w:val="single"/>
        </w:rPr>
        <w:t xml:space="preserve">（法人姓名）       </w:t>
      </w:r>
      <w:r>
        <w:rPr>
          <w:rFonts w:hint="eastAsia" w:ascii="宋体" w:hAnsi="宋体"/>
          <w:kern w:val="0"/>
        </w:rPr>
        <w:t>系</w:t>
      </w:r>
      <w:r>
        <w:rPr>
          <w:rFonts w:hint="eastAsia" w:ascii="宋体" w:hAnsi="宋体"/>
          <w:kern w:val="0"/>
          <w:u w:val="single"/>
        </w:rPr>
        <w:t xml:space="preserve">（投标人名称）                  </w:t>
      </w:r>
      <w:r>
        <w:rPr>
          <w:rFonts w:hint="eastAsia" w:ascii="宋体" w:hAnsi="宋体"/>
          <w:kern w:val="0"/>
        </w:rPr>
        <w:t xml:space="preserve"> 的法定代表人，现授权委托</w:t>
      </w:r>
      <w:r>
        <w:rPr>
          <w:rFonts w:hint="eastAsia" w:ascii="宋体" w:hAnsi="宋体"/>
          <w:kern w:val="0"/>
          <w:u w:val="single"/>
        </w:rPr>
        <w:t xml:space="preserve">（投标人名称）                   </w:t>
      </w:r>
      <w:r>
        <w:rPr>
          <w:rFonts w:hint="eastAsia" w:ascii="宋体" w:hAnsi="宋体"/>
          <w:kern w:val="0"/>
        </w:rPr>
        <w:t xml:space="preserve"> 的</w:t>
      </w:r>
      <w:r>
        <w:rPr>
          <w:rFonts w:hint="eastAsia" w:ascii="宋体" w:hAnsi="宋体"/>
          <w:kern w:val="0"/>
          <w:u w:val="single"/>
        </w:rPr>
        <w:t xml:space="preserve"> （授权代表姓名）</w:t>
      </w:r>
      <w:r>
        <w:rPr>
          <w:rFonts w:hint="eastAsia" w:ascii="宋体" w:hAnsi="宋体"/>
          <w:kern w:val="0"/>
        </w:rPr>
        <w:t xml:space="preserve"> 为我公司参加贵方组织的</w:t>
      </w:r>
      <w:r>
        <w:rPr>
          <w:rFonts w:hint="eastAsia" w:ascii="宋体" w:hAnsi="宋体"/>
          <w:u w:val="single"/>
        </w:rPr>
        <w:t>防暑降温冰块采购项目</w:t>
      </w:r>
      <w:r>
        <w:rPr>
          <w:rFonts w:hint="eastAsia" w:ascii="宋体" w:hAnsi="宋体"/>
          <w:kern w:val="0"/>
        </w:rPr>
        <w:t>法定代表人授权委托代理人，全权代表本公司处理投标过程的一切事宜，包括：投标、参与开标、谈判、签约等。投标人授权代表在投标过程中所签署的一切文件和处理与之有关的一切事务，我公司均予认可并对此承担全部责任。</w:t>
      </w:r>
    </w:p>
    <w:p w14:paraId="589D23D7">
      <w:pPr>
        <w:spacing w:line="360" w:lineRule="auto"/>
        <w:ind w:firstLine="420"/>
        <w:rPr>
          <w:rFonts w:ascii="宋体"/>
          <w:kern w:val="0"/>
        </w:rPr>
      </w:pPr>
      <w:r>
        <w:rPr>
          <w:rFonts w:hint="eastAsia" w:ascii="宋体" w:hAnsi="宋体"/>
          <w:kern w:val="0"/>
        </w:rPr>
        <w:t>委托期限：</w:t>
      </w:r>
      <w:r>
        <w:rPr>
          <w:rFonts w:ascii="宋体" w:hAnsi="宋体"/>
          <w:kern w:val="0"/>
          <w:u w:val="single"/>
        </w:rPr>
        <w:t>20</w:t>
      </w:r>
      <w:r>
        <w:rPr>
          <w:rFonts w:hint="eastAsia" w:ascii="宋体" w:hAnsi="宋体"/>
          <w:kern w:val="0"/>
          <w:u w:val="single"/>
        </w:rPr>
        <w:t>XX</w:t>
      </w:r>
      <w:r>
        <w:rPr>
          <w:rFonts w:ascii="宋体" w:hAnsi="宋体"/>
          <w:kern w:val="0"/>
          <w:u w:val="single"/>
        </w:rPr>
        <w:t xml:space="preserve">  </w:t>
      </w:r>
      <w:r>
        <w:rPr>
          <w:rFonts w:hint="eastAsia" w:ascii="宋体" w:hAnsi="宋体"/>
          <w:kern w:val="0"/>
          <w:u w:val="single"/>
        </w:rPr>
        <w:t>年X</w:t>
      </w:r>
      <w:r>
        <w:rPr>
          <w:rFonts w:ascii="宋体" w:hAnsi="宋体"/>
          <w:kern w:val="0"/>
          <w:u w:val="single"/>
        </w:rPr>
        <w:t xml:space="preserve"> </w:t>
      </w:r>
      <w:r>
        <w:rPr>
          <w:rFonts w:hint="eastAsia" w:ascii="宋体" w:hAnsi="宋体"/>
          <w:kern w:val="0"/>
          <w:u w:val="single"/>
        </w:rPr>
        <w:t>月</w:t>
      </w:r>
      <w:r>
        <w:rPr>
          <w:rFonts w:ascii="宋体" w:hAnsi="宋体"/>
          <w:kern w:val="0"/>
          <w:u w:val="single"/>
        </w:rPr>
        <w:t xml:space="preserve"> </w:t>
      </w:r>
      <w:r>
        <w:rPr>
          <w:rFonts w:hint="eastAsia" w:ascii="宋体" w:hAnsi="宋体"/>
          <w:kern w:val="0"/>
          <w:u w:val="single"/>
        </w:rPr>
        <w:t>X</w:t>
      </w:r>
      <w:r>
        <w:rPr>
          <w:rFonts w:ascii="宋体" w:hAnsi="宋体"/>
          <w:kern w:val="0"/>
          <w:u w:val="single"/>
        </w:rPr>
        <w:t xml:space="preserve"> </w:t>
      </w:r>
      <w:r>
        <w:rPr>
          <w:rFonts w:hint="eastAsia" w:ascii="宋体" w:hAnsi="宋体"/>
          <w:kern w:val="0"/>
          <w:u w:val="single"/>
        </w:rPr>
        <w:t>日至</w:t>
      </w:r>
      <w:r>
        <w:rPr>
          <w:rFonts w:ascii="宋体" w:hAnsi="宋体"/>
          <w:kern w:val="0"/>
          <w:u w:val="single"/>
        </w:rPr>
        <w:t xml:space="preserve"> 20</w:t>
      </w:r>
      <w:r>
        <w:rPr>
          <w:rFonts w:hint="eastAsia" w:ascii="宋体" w:hAnsi="宋体"/>
          <w:kern w:val="0"/>
          <w:u w:val="single"/>
        </w:rPr>
        <w:t>XX</w:t>
      </w:r>
      <w:r>
        <w:rPr>
          <w:rFonts w:ascii="宋体" w:hAnsi="宋体"/>
          <w:kern w:val="0"/>
          <w:u w:val="single"/>
        </w:rPr>
        <w:t xml:space="preserve">  </w:t>
      </w:r>
      <w:r>
        <w:rPr>
          <w:rFonts w:hint="eastAsia" w:ascii="宋体" w:hAnsi="宋体"/>
          <w:kern w:val="0"/>
          <w:u w:val="single"/>
        </w:rPr>
        <w:t>年</w:t>
      </w:r>
      <w:r>
        <w:rPr>
          <w:rFonts w:ascii="宋体" w:hAnsi="宋体"/>
          <w:kern w:val="0"/>
          <w:u w:val="single"/>
        </w:rPr>
        <w:t xml:space="preserve"> </w:t>
      </w:r>
      <w:r>
        <w:rPr>
          <w:rFonts w:hint="eastAsia" w:ascii="宋体" w:hAnsi="宋体"/>
          <w:kern w:val="0"/>
          <w:u w:val="single"/>
        </w:rPr>
        <w:t>X</w:t>
      </w:r>
      <w:r>
        <w:rPr>
          <w:rFonts w:ascii="宋体" w:hAnsi="宋体"/>
          <w:kern w:val="0"/>
          <w:u w:val="single"/>
        </w:rPr>
        <w:t xml:space="preserve"> </w:t>
      </w:r>
      <w:r>
        <w:rPr>
          <w:rFonts w:hint="eastAsia" w:ascii="宋体" w:hAnsi="宋体"/>
          <w:kern w:val="0"/>
          <w:u w:val="single"/>
        </w:rPr>
        <w:t>月</w:t>
      </w:r>
      <w:r>
        <w:rPr>
          <w:rFonts w:ascii="宋体" w:hAnsi="宋体"/>
          <w:kern w:val="0"/>
          <w:u w:val="single"/>
        </w:rPr>
        <w:t xml:space="preserve"> </w:t>
      </w:r>
      <w:r>
        <w:rPr>
          <w:rFonts w:hint="eastAsia" w:ascii="宋体" w:hAnsi="宋体"/>
          <w:kern w:val="0"/>
          <w:u w:val="single"/>
        </w:rPr>
        <w:t>X</w:t>
      </w:r>
      <w:r>
        <w:rPr>
          <w:rFonts w:ascii="宋体" w:hAnsi="宋体"/>
          <w:kern w:val="0"/>
          <w:u w:val="single"/>
        </w:rPr>
        <w:t xml:space="preserve"> </w:t>
      </w:r>
      <w:r>
        <w:rPr>
          <w:rFonts w:hint="eastAsia" w:ascii="宋体" w:hAnsi="宋体"/>
          <w:kern w:val="0"/>
          <w:u w:val="single"/>
        </w:rPr>
        <w:t>日</w:t>
      </w:r>
    </w:p>
    <w:p w14:paraId="0BE3B1DB">
      <w:pPr>
        <w:spacing w:line="360" w:lineRule="auto"/>
        <w:ind w:firstLine="420"/>
        <w:rPr>
          <w:rFonts w:ascii="宋体"/>
          <w:kern w:val="0"/>
        </w:rPr>
      </w:pPr>
      <w:r>
        <w:rPr>
          <w:rFonts w:hint="eastAsia" w:ascii="宋体" w:hAnsi="宋体"/>
          <w:kern w:val="0"/>
        </w:rPr>
        <w:t>授权代表无转委托权，特此委托。</w:t>
      </w:r>
    </w:p>
    <w:p w14:paraId="01A2BE4D">
      <w:pPr>
        <w:spacing w:line="360" w:lineRule="auto"/>
        <w:ind w:firstLine="420"/>
        <w:rPr>
          <w:rFonts w:ascii="宋体"/>
          <w:kern w:val="0"/>
        </w:rPr>
      </w:pPr>
      <w:r>
        <w:rPr>
          <w:rFonts w:hint="eastAsia" w:ascii="宋体" w:hAnsi="宋体"/>
          <w:kern w:val="0"/>
          <w:u w:val="single"/>
        </w:rPr>
        <w:t>授权代表</w:t>
      </w:r>
      <w:r>
        <w:rPr>
          <w:rFonts w:hint="eastAsia" w:ascii="宋体" w:hAnsi="宋体"/>
          <w:kern w:val="0"/>
        </w:rPr>
        <w:t>姓名：</w:t>
      </w:r>
      <w:r>
        <w:rPr>
          <w:rFonts w:ascii="宋体" w:hAnsi="宋体"/>
          <w:kern w:val="0"/>
          <w:u w:val="single"/>
        </w:rPr>
        <w:t xml:space="preserve"> </w:t>
      </w:r>
      <w:r>
        <w:rPr>
          <w:rFonts w:hint="eastAsia" w:ascii="宋体" w:hAnsi="宋体"/>
          <w:kern w:val="0"/>
          <w:u w:val="single"/>
        </w:rPr>
        <w:t xml:space="preserve">     </w:t>
      </w:r>
      <w:r>
        <w:rPr>
          <w:rFonts w:ascii="宋体" w:hAnsi="宋体"/>
          <w:kern w:val="0"/>
          <w:u w:val="single"/>
        </w:rPr>
        <w:t xml:space="preserve"> </w:t>
      </w:r>
      <w:r>
        <w:rPr>
          <w:rFonts w:ascii="宋体" w:hAnsi="宋体"/>
          <w:kern w:val="0"/>
        </w:rPr>
        <w:t xml:space="preserve">   </w:t>
      </w:r>
      <w:r>
        <w:rPr>
          <w:rFonts w:hint="eastAsia" w:ascii="宋体" w:hAnsi="宋体"/>
          <w:kern w:val="0"/>
        </w:rPr>
        <w:t>性别：</w:t>
      </w:r>
      <w:r>
        <w:rPr>
          <w:rFonts w:ascii="宋体" w:hAnsi="宋体"/>
          <w:kern w:val="0"/>
        </w:rPr>
        <w:t xml:space="preserve"> </w:t>
      </w:r>
      <w:r>
        <w:rPr>
          <w:rFonts w:ascii="宋体" w:hAnsi="宋体"/>
          <w:kern w:val="0"/>
          <w:u w:val="single"/>
        </w:rPr>
        <w:t xml:space="preserve">  </w:t>
      </w:r>
      <w:r>
        <w:rPr>
          <w:rFonts w:hint="eastAsia" w:ascii="宋体" w:hAnsi="宋体"/>
          <w:kern w:val="0"/>
          <w:u w:val="single"/>
        </w:rPr>
        <w:t xml:space="preserve">  </w:t>
      </w:r>
      <w:r>
        <w:rPr>
          <w:rFonts w:ascii="宋体" w:hAnsi="宋体"/>
          <w:kern w:val="0"/>
          <w:u w:val="single"/>
        </w:rPr>
        <w:t xml:space="preserve">  </w:t>
      </w:r>
      <w:r>
        <w:rPr>
          <w:rFonts w:ascii="宋体" w:hAnsi="宋体"/>
          <w:kern w:val="0"/>
        </w:rPr>
        <w:t xml:space="preserve">    </w:t>
      </w:r>
      <w:r>
        <w:rPr>
          <w:rFonts w:hint="eastAsia" w:ascii="宋体" w:hAnsi="宋体"/>
          <w:kern w:val="0"/>
        </w:rPr>
        <w:t>年龄：</w:t>
      </w:r>
      <w:r>
        <w:rPr>
          <w:rFonts w:ascii="宋体" w:hAnsi="宋体"/>
          <w:kern w:val="0"/>
        </w:rPr>
        <w:t xml:space="preserve"> </w:t>
      </w:r>
      <w:r>
        <w:rPr>
          <w:rFonts w:ascii="宋体" w:hAnsi="宋体"/>
          <w:kern w:val="0"/>
          <w:u w:val="single"/>
        </w:rPr>
        <w:t xml:space="preserve">  </w:t>
      </w:r>
      <w:r>
        <w:rPr>
          <w:rFonts w:hint="eastAsia" w:ascii="宋体" w:hAnsi="宋体"/>
          <w:kern w:val="0"/>
          <w:u w:val="single"/>
        </w:rPr>
        <w:t xml:space="preserve">  </w:t>
      </w:r>
      <w:r>
        <w:rPr>
          <w:rFonts w:ascii="宋体" w:hAnsi="宋体"/>
          <w:kern w:val="0"/>
          <w:u w:val="single"/>
        </w:rPr>
        <w:t xml:space="preserve">  </w:t>
      </w:r>
    </w:p>
    <w:p w14:paraId="67AA5FC2">
      <w:pPr>
        <w:spacing w:line="360" w:lineRule="auto"/>
        <w:ind w:firstLine="420"/>
        <w:rPr>
          <w:rFonts w:ascii="宋体"/>
          <w:kern w:val="0"/>
        </w:rPr>
      </w:pPr>
      <w:r>
        <w:rPr>
          <w:rFonts w:hint="eastAsia" w:ascii="宋体" w:hAnsi="宋体"/>
          <w:kern w:val="0"/>
        </w:rPr>
        <w:t>身份证号码：</w:t>
      </w:r>
      <w:r>
        <w:rPr>
          <w:rFonts w:ascii="宋体" w:hAnsi="宋体"/>
          <w:kern w:val="0"/>
          <w:u w:val="single"/>
        </w:rPr>
        <w:t xml:space="preserve"> </w:t>
      </w:r>
      <w:r>
        <w:rPr>
          <w:rFonts w:hint="eastAsia" w:ascii="宋体" w:hAnsi="宋体"/>
          <w:kern w:val="0"/>
          <w:u w:val="single"/>
        </w:rPr>
        <w:t xml:space="preserve">                  </w:t>
      </w:r>
      <w:r>
        <w:rPr>
          <w:rFonts w:ascii="宋体" w:hAnsi="宋体"/>
          <w:kern w:val="0"/>
          <w:u w:val="single"/>
        </w:rPr>
        <w:t xml:space="preserve"> </w:t>
      </w:r>
      <w:r>
        <w:rPr>
          <w:rFonts w:ascii="宋体" w:hAnsi="宋体"/>
          <w:kern w:val="0"/>
        </w:rPr>
        <w:t xml:space="preserve">  </w:t>
      </w:r>
      <w:r>
        <w:rPr>
          <w:rFonts w:hint="eastAsia" w:ascii="宋体" w:hAnsi="宋体"/>
          <w:kern w:val="0"/>
        </w:rPr>
        <w:t>职务：</w:t>
      </w:r>
      <w:r>
        <w:rPr>
          <w:rFonts w:ascii="宋体" w:hAnsi="宋体"/>
          <w:kern w:val="0"/>
        </w:rPr>
        <w:t xml:space="preserve"> </w:t>
      </w:r>
      <w:r>
        <w:rPr>
          <w:rFonts w:hint="eastAsia" w:ascii="宋体" w:hAnsi="宋体"/>
          <w:kern w:val="0"/>
          <w:u w:val="single"/>
        </w:rPr>
        <w:t xml:space="preserve">       </w:t>
      </w:r>
      <w:r>
        <w:rPr>
          <w:rFonts w:ascii="宋体" w:hAnsi="宋体"/>
          <w:kern w:val="0"/>
        </w:rPr>
        <w:t xml:space="preserve">    </w:t>
      </w:r>
    </w:p>
    <w:p w14:paraId="5D6CB11D">
      <w:pPr>
        <w:spacing w:line="360" w:lineRule="auto"/>
        <w:ind w:firstLine="420"/>
        <w:rPr>
          <w:rFonts w:ascii="宋体"/>
          <w:kern w:val="0"/>
        </w:rPr>
      </w:pPr>
      <w:r>
        <w:rPr>
          <w:rFonts w:hint="eastAsia" w:ascii="宋体" w:hAnsi="宋体"/>
          <w:kern w:val="0"/>
        </w:rPr>
        <w:t>投标人名称：（盖单位公章）</w:t>
      </w:r>
    </w:p>
    <w:p w14:paraId="47D79538">
      <w:pPr>
        <w:spacing w:line="360" w:lineRule="auto"/>
        <w:ind w:firstLine="420"/>
        <w:rPr>
          <w:rFonts w:ascii="宋体"/>
          <w:kern w:val="0"/>
        </w:rPr>
      </w:pPr>
      <w:r>
        <w:rPr>
          <w:rFonts w:hint="eastAsia" w:ascii="宋体" w:hAnsi="宋体"/>
          <w:kern w:val="0"/>
        </w:rPr>
        <w:t>法定代表人：（签字）</w:t>
      </w:r>
    </w:p>
    <w:p w14:paraId="68789022">
      <w:pPr>
        <w:adjustRightInd w:val="0"/>
        <w:spacing w:line="480" w:lineRule="exact"/>
        <w:ind w:firstLine="562"/>
        <w:jc w:val="left"/>
        <w:textAlignment w:val="baseline"/>
        <w:rPr>
          <w:rFonts w:ascii="宋体"/>
          <w:b/>
          <w:kern w:val="0"/>
        </w:rPr>
      </w:pPr>
      <w:r>
        <w:rPr>
          <w:rFonts w:hint="eastAsia" w:ascii="宋体" w:hAnsi="宋体"/>
          <w:b/>
          <w:kern w:val="0"/>
          <w:sz w:val="28"/>
          <w:szCs w:val="28"/>
        </w:rPr>
        <w:t>附法人代表及被授权人（授权代表）有效的身份证正反两面复印件</w:t>
      </w:r>
    </w:p>
    <w:p w14:paraId="05F8E07A">
      <w:pPr>
        <w:pStyle w:val="2"/>
      </w:pPr>
    </w:p>
    <w:p w14:paraId="653AADD4">
      <w:pPr>
        <w:spacing w:line="660" w:lineRule="exact"/>
        <w:ind w:firstLine="562"/>
        <w:rPr>
          <w:rFonts w:ascii="宋体" w:hAnsi="宋体" w:eastAsia="黑体"/>
          <w:sz w:val="24"/>
        </w:rPr>
      </w:pPr>
      <w:r>
        <w:rPr>
          <w:rFonts w:hint="eastAsia" w:eastAsia="黑体"/>
          <w:b/>
          <w:bCs/>
          <w:sz w:val="28"/>
        </w:rPr>
        <w:t>附件</w:t>
      </w:r>
      <w:r>
        <w:rPr>
          <w:rFonts w:eastAsia="黑体"/>
          <w:b/>
          <w:bCs/>
          <w:sz w:val="28"/>
        </w:rPr>
        <w:t>2</w:t>
      </w:r>
    </w:p>
    <w:p w14:paraId="4FC278FF">
      <w:pPr>
        <w:ind w:firstLine="420"/>
        <w:rPr>
          <w:rFonts w:ascii="宋体" w:hAnsi="宋体"/>
        </w:rPr>
      </w:pPr>
      <w:r>
        <w:rPr>
          <w:rFonts w:hint="eastAsia" w:ascii="宋体" w:hAnsi="宋体"/>
        </w:rPr>
        <w:t>项目名称：</w:t>
      </w:r>
      <w:r>
        <w:rPr>
          <w:rFonts w:hint="eastAsia" w:ascii="宋体" w:hAnsi="宋体"/>
          <w:u w:val="single"/>
        </w:rPr>
        <w:t>防暑降温冰块采购项目</w:t>
      </w:r>
    </w:p>
    <w:p w14:paraId="0FC127F6">
      <w:pPr>
        <w:ind w:firstLine="420"/>
        <w:rPr>
          <w:rFonts w:ascii="宋体" w:hAnsi="宋体"/>
        </w:rPr>
      </w:pPr>
    </w:p>
    <w:p w14:paraId="0E59CF13">
      <w:pPr>
        <w:ind w:firstLine="420"/>
        <w:rPr>
          <w:rFonts w:ascii="宋体" w:hAnsi="宋体"/>
        </w:rPr>
      </w:pPr>
      <w:r>
        <w:rPr>
          <w:rFonts w:hint="eastAsia" w:ascii="宋体" w:hAnsi="宋体"/>
        </w:rPr>
        <w:t>日期：  年   月   日</w:t>
      </w:r>
    </w:p>
    <w:tbl>
      <w:tblPr>
        <w:tblStyle w:val="1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286"/>
      </w:tblGrid>
      <w:tr w14:paraId="165FB7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88" w:hRule="atLeast"/>
        </w:trPr>
        <w:tc>
          <w:tcPr>
            <w:tcW w:w="9286" w:type="dxa"/>
          </w:tcPr>
          <w:p w14:paraId="29021230">
            <w:pPr>
              <w:ind w:firstLine="480"/>
              <w:rPr>
                <w:rFonts w:ascii="仿宋_GB2312" w:hAnsi="宋体" w:eastAsia="仿宋_GB2312"/>
                <w:sz w:val="24"/>
              </w:rPr>
            </w:pPr>
            <w:r>
              <w:rPr>
                <w:rFonts w:hint="eastAsia" w:ascii="仿宋_GB2312" w:hAnsi="宋体" w:eastAsia="仿宋_GB2312"/>
                <w:sz w:val="24"/>
              </w:rPr>
              <w:t>投标人承诺：</w:t>
            </w:r>
          </w:p>
          <w:p w14:paraId="65CE4BDC">
            <w:pPr>
              <w:pStyle w:val="10"/>
              <w:spacing w:line="360" w:lineRule="auto"/>
              <w:ind w:firstLine="480"/>
              <w:rPr>
                <w:rFonts w:ascii="仿宋_GB2312" w:hAnsi="宋体" w:eastAsia="仿宋_GB2312"/>
                <w:sz w:val="24"/>
              </w:rPr>
            </w:pPr>
            <w:r>
              <w:rPr>
                <w:rFonts w:hint="eastAsia" w:ascii="仿宋_GB2312" w:hAnsi="宋体" w:eastAsia="仿宋_GB2312"/>
                <w:sz w:val="24"/>
              </w:rPr>
              <w:t>我公司承诺遵</w:t>
            </w:r>
            <w:r>
              <w:rPr>
                <w:rFonts w:hint="eastAsia" w:ascii="仿宋_GB2312" w:hAnsi="宋体" w:eastAsia="仿宋_GB2312"/>
                <w:sz w:val="24"/>
                <w:szCs w:val="22"/>
              </w:rPr>
              <w:t>守贵公司由于招标人上级集团公司政策变化引起的合同签订前终止项目的要求，并承担由此带来的一切损失。</w:t>
            </w:r>
          </w:p>
          <w:p w14:paraId="2516B39D">
            <w:pPr>
              <w:ind w:firstLine="480"/>
              <w:rPr>
                <w:rFonts w:ascii="仿宋_GB2312" w:hAnsi="宋体" w:eastAsia="仿宋_GB2312"/>
                <w:sz w:val="24"/>
              </w:rPr>
            </w:pPr>
          </w:p>
        </w:tc>
      </w:tr>
    </w:tbl>
    <w:p w14:paraId="03CF1A0E">
      <w:pPr>
        <w:ind w:firstLine="480"/>
        <w:rPr>
          <w:rFonts w:ascii="仿宋_GB2312" w:hAnsi="宋体" w:eastAsia="仿宋_GB2312"/>
          <w:sz w:val="24"/>
        </w:rPr>
      </w:pPr>
    </w:p>
    <w:p w14:paraId="68CAFC22">
      <w:pPr>
        <w:ind w:firstLine="480"/>
        <w:rPr>
          <w:rFonts w:ascii="仿宋_GB2312" w:hAnsi="宋体" w:eastAsia="仿宋_GB2312"/>
          <w:sz w:val="24"/>
        </w:rPr>
      </w:pPr>
    </w:p>
    <w:p w14:paraId="647195E9">
      <w:pPr>
        <w:ind w:firstLine="480"/>
        <w:rPr>
          <w:rFonts w:ascii="仿宋_GB2312" w:hAnsi="宋体" w:eastAsia="仿宋_GB2312"/>
          <w:sz w:val="24"/>
        </w:rPr>
      </w:pPr>
    </w:p>
    <w:p w14:paraId="173487B6">
      <w:pPr>
        <w:ind w:firstLine="480"/>
        <w:rPr>
          <w:rFonts w:ascii="仿宋_GB2312" w:hAnsi="宋体" w:eastAsia="仿宋_GB2312"/>
          <w:sz w:val="24"/>
        </w:rPr>
      </w:pPr>
      <w:r>
        <w:rPr>
          <w:rFonts w:hint="eastAsia" w:ascii="仿宋_GB2312" w:hAnsi="宋体" w:eastAsia="仿宋_GB2312"/>
          <w:sz w:val="24"/>
        </w:rPr>
        <w:t>投标人名称（盖章）：              法定代表人或授权代表签字：</w:t>
      </w:r>
    </w:p>
    <w:p w14:paraId="28102FC4">
      <w:pPr>
        <w:ind w:firstLine="562"/>
        <w:rPr>
          <w:rFonts w:eastAsia="黑体"/>
          <w:b/>
          <w:bCs/>
          <w:sz w:val="28"/>
        </w:rPr>
      </w:pPr>
    </w:p>
    <w:p w14:paraId="2FB27ADD">
      <w:pPr>
        <w:ind w:firstLine="562"/>
        <w:rPr>
          <w:rFonts w:eastAsia="黑体"/>
          <w:b/>
          <w:bCs/>
          <w:sz w:val="28"/>
        </w:rPr>
      </w:pPr>
      <w:r>
        <w:rPr>
          <w:rFonts w:hint="eastAsia" w:eastAsia="黑体"/>
          <w:b/>
          <w:bCs/>
          <w:sz w:val="28"/>
        </w:rPr>
        <w:t>附件3：</w:t>
      </w:r>
    </w:p>
    <w:p w14:paraId="0664D1B7">
      <w:pPr>
        <w:ind w:firstLine="420"/>
        <w:rPr>
          <w:rFonts w:ascii="宋体" w:hAnsi="宋体"/>
          <w:u w:val="single"/>
        </w:rPr>
      </w:pPr>
      <w:r>
        <w:rPr>
          <w:rFonts w:hint="eastAsia" w:ascii="宋体" w:hAnsi="宋体"/>
        </w:rPr>
        <w:t>项目名称：</w:t>
      </w:r>
      <w:r>
        <w:rPr>
          <w:rFonts w:hint="eastAsia" w:ascii="宋体" w:hAnsi="宋体"/>
          <w:u w:val="single"/>
        </w:rPr>
        <w:t xml:space="preserve"> 防暑降温冰块采购项目</w:t>
      </w:r>
    </w:p>
    <w:p w14:paraId="6FEB82B2">
      <w:pPr>
        <w:ind w:firstLine="420"/>
        <w:rPr>
          <w:rFonts w:ascii="宋体" w:hAnsi="宋体"/>
        </w:rPr>
      </w:pPr>
      <w:r>
        <w:rPr>
          <w:rFonts w:hint="eastAsia" w:ascii="宋体" w:hAnsi="宋体"/>
        </w:rPr>
        <w:t>日期：      年     月      日</w:t>
      </w:r>
    </w:p>
    <w:p w14:paraId="2F52FCB4">
      <w:pPr>
        <w:pStyle w:val="9"/>
        <w:spacing w:line="460" w:lineRule="exact"/>
        <w:ind w:firstLine="422"/>
        <w:jc w:val="center"/>
        <w:rPr>
          <w:rFonts w:ascii="宋体" w:hAnsi="宋体" w:cs="宋体"/>
          <w:b/>
          <w:bCs/>
          <w:szCs w:val="32"/>
        </w:rPr>
      </w:pPr>
      <w:r>
        <w:rPr>
          <w:rFonts w:ascii="宋体" w:hAnsi="宋体" w:cs="宋体"/>
          <w:b/>
          <w:bCs/>
          <w:szCs w:val="32"/>
        </w:rPr>
        <w:t>投标总报价</w:t>
      </w:r>
    </w:p>
    <w:tbl>
      <w:tblPr>
        <w:tblStyle w:val="15"/>
        <w:tblW w:w="10857" w:type="dxa"/>
        <w:jc w:val="center"/>
        <w:tblLayout w:type="fixed"/>
        <w:tblCellMar>
          <w:top w:w="0" w:type="dxa"/>
          <w:left w:w="108" w:type="dxa"/>
          <w:bottom w:w="0" w:type="dxa"/>
          <w:right w:w="108" w:type="dxa"/>
        </w:tblCellMar>
      </w:tblPr>
      <w:tblGrid>
        <w:gridCol w:w="846"/>
        <w:gridCol w:w="1134"/>
        <w:gridCol w:w="1559"/>
        <w:gridCol w:w="1134"/>
        <w:gridCol w:w="1276"/>
        <w:gridCol w:w="1984"/>
        <w:gridCol w:w="1418"/>
        <w:gridCol w:w="1506"/>
      </w:tblGrid>
      <w:tr w14:paraId="25E5B65D">
        <w:tblPrEx>
          <w:tblCellMar>
            <w:top w:w="0" w:type="dxa"/>
            <w:left w:w="108" w:type="dxa"/>
            <w:bottom w:w="0" w:type="dxa"/>
            <w:right w:w="108" w:type="dxa"/>
          </w:tblCellMar>
        </w:tblPrEx>
        <w:trPr>
          <w:trHeight w:val="699" w:hRule="atLeast"/>
          <w:jc w:val="center"/>
        </w:trPr>
        <w:tc>
          <w:tcPr>
            <w:tcW w:w="846" w:type="dxa"/>
            <w:tcBorders>
              <w:top w:val="single" w:color="auto" w:sz="4" w:space="0"/>
              <w:left w:val="single" w:color="auto" w:sz="4" w:space="0"/>
              <w:bottom w:val="single" w:color="auto" w:sz="4" w:space="0"/>
              <w:right w:val="single" w:color="auto" w:sz="4" w:space="0"/>
            </w:tcBorders>
            <w:noWrap/>
            <w:vAlign w:val="center"/>
          </w:tcPr>
          <w:p w14:paraId="2E1A880D">
            <w:pPr>
              <w:jc w:val="center"/>
              <w:rPr>
                <w:rFonts w:ascii="宋体" w:hAnsi="宋体" w:cs="宋体"/>
                <w:color w:val="000000"/>
                <w:kern w:val="0"/>
              </w:rPr>
            </w:pPr>
            <w:r>
              <w:rPr>
                <w:rFonts w:hint="eastAsia" w:ascii="宋体" w:hAnsi="宋体" w:cs="宋体"/>
                <w:color w:val="000000"/>
                <w:kern w:val="0"/>
              </w:rPr>
              <w:t>序号</w:t>
            </w:r>
          </w:p>
        </w:tc>
        <w:tc>
          <w:tcPr>
            <w:tcW w:w="1134" w:type="dxa"/>
            <w:tcBorders>
              <w:top w:val="single" w:color="auto" w:sz="4" w:space="0"/>
              <w:left w:val="nil"/>
              <w:bottom w:val="single" w:color="auto" w:sz="4" w:space="0"/>
              <w:right w:val="single" w:color="auto" w:sz="4" w:space="0"/>
            </w:tcBorders>
            <w:noWrap/>
            <w:vAlign w:val="center"/>
          </w:tcPr>
          <w:p w14:paraId="1DDE82D1">
            <w:pPr>
              <w:ind w:firstLine="420"/>
              <w:jc w:val="center"/>
              <w:rPr>
                <w:rFonts w:ascii="宋体" w:hAnsi="宋体" w:cs="宋体"/>
                <w:color w:val="000000"/>
                <w:kern w:val="0"/>
              </w:rPr>
            </w:pPr>
            <w:r>
              <w:rPr>
                <w:rFonts w:hint="eastAsia" w:ascii="宋体" w:hAnsi="宋体" w:cs="宋体"/>
                <w:color w:val="000000"/>
                <w:kern w:val="0"/>
              </w:rPr>
              <w:t>单位</w:t>
            </w:r>
          </w:p>
        </w:tc>
        <w:tc>
          <w:tcPr>
            <w:tcW w:w="1559" w:type="dxa"/>
            <w:tcBorders>
              <w:top w:val="single" w:color="auto" w:sz="4" w:space="0"/>
              <w:left w:val="nil"/>
              <w:bottom w:val="single" w:color="auto" w:sz="4" w:space="0"/>
              <w:right w:val="single" w:color="auto" w:sz="4" w:space="0"/>
            </w:tcBorders>
            <w:noWrap/>
            <w:vAlign w:val="center"/>
          </w:tcPr>
          <w:p w14:paraId="51AB66B6">
            <w:pPr>
              <w:ind w:firstLine="420"/>
              <w:jc w:val="center"/>
              <w:rPr>
                <w:rFonts w:ascii="宋体" w:hAnsi="宋体" w:cs="宋体"/>
                <w:color w:val="000000"/>
                <w:kern w:val="0"/>
              </w:rPr>
            </w:pPr>
            <w:r>
              <w:rPr>
                <w:rFonts w:hint="eastAsia" w:ascii="宋体" w:hAnsi="宋体" w:cs="宋体"/>
                <w:color w:val="000000"/>
                <w:kern w:val="0"/>
              </w:rPr>
              <w:t>名称</w:t>
            </w:r>
          </w:p>
        </w:tc>
        <w:tc>
          <w:tcPr>
            <w:tcW w:w="1134" w:type="dxa"/>
            <w:tcBorders>
              <w:top w:val="single" w:color="auto" w:sz="4" w:space="0"/>
              <w:left w:val="nil"/>
              <w:bottom w:val="single" w:color="auto" w:sz="4" w:space="0"/>
              <w:right w:val="single" w:color="auto" w:sz="4" w:space="0"/>
            </w:tcBorders>
          </w:tcPr>
          <w:p w14:paraId="11C4750D">
            <w:pPr>
              <w:jc w:val="center"/>
              <w:rPr>
                <w:rFonts w:ascii="宋体" w:hAnsi="宋体" w:cs="宋体"/>
                <w:color w:val="000000"/>
                <w:kern w:val="0"/>
              </w:rPr>
            </w:pPr>
            <w:r>
              <w:rPr>
                <w:rFonts w:hint="eastAsia" w:ascii="宋体" w:hAnsi="宋体" w:cs="宋体"/>
                <w:color w:val="000000"/>
                <w:kern w:val="0"/>
              </w:rPr>
              <w:t>预估数量（块）</w:t>
            </w:r>
          </w:p>
        </w:tc>
        <w:tc>
          <w:tcPr>
            <w:tcW w:w="1276" w:type="dxa"/>
            <w:tcBorders>
              <w:top w:val="single" w:color="auto" w:sz="4" w:space="0"/>
              <w:left w:val="single" w:color="auto" w:sz="4" w:space="0"/>
              <w:bottom w:val="single" w:color="auto" w:sz="4" w:space="0"/>
              <w:right w:val="single" w:color="auto" w:sz="4" w:space="0"/>
            </w:tcBorders>
            <w:vAlign w:val="center"/>
          </w:tcPr>
          <w:p w14:paraId="23CCD85E">
            <w:pPr>
              <w:jc w:val="center"/>
              <w:rPr>
                <w:rFonts w:ascii="宋体" w:hAnsi="宋体" w:cs="宋体"/>
                <w:color w:val="000000"/>
                <w:kern w:val="0"/>
              </w:rPr>
            </w:pPr>
            <w:r>
              <w:rPr>
                <w:rFonts w:hint="eastAsia" w:ascii="宋体" w:hAnsi="宋体" w:cs="宋体"/>
                <w:color w:val="000000"/>
                <w:kern w:val="0"/>
              </w:rPr>
              <w:t>未税单价（元）</w:t>
            </w:r>
          </w:p>
        </w:tc>
        <w:tc>
          <w:tcPr>
            <w:tcW w:w="1984" w:type="dxa"/>
            <w:tcBorders>
              <w:top w:val="single" w:color="auto" w:sz="4" w:space="0"/>
              <w:left w:val="nil"/>
              <w:bottom w:val="single" w:color="auto" w:sz="4" w:space="0"/>
              <w:right w:val="single" w:color="auto" w:sz="4" w:space="0"/>
            </w:tcBorders>
          </w:tcPr>
          <w:p w14:paraId="1D461DD1">
            <w:pPr>
              <w:ind w:firstLine="199" w:firstLineChars="95"/>
              <w:jc w:val="center"/>
              <w:rPr>
                <w:rFonts w:ascii="宋体" w:hAnsi="宋体" w:cs="宋体"/>
                <w:color w:val="000000"/>
                <w:kern w:val="0"/>
              </w:rPr>
            </w:pPr>
            <w:r>
              <w:rPr>
                <w:rFonts w:hint="eastAsia" w:ascii="宋体" w:hAnsi="宋体" w:cs="宋体"/>
                <w:color w:val="000000"/>
                <w:kern w:val="0"/>
              </w:rPr>
              <w:t>开标价</w:t>
            </w:r>
          </w:p>
          <w:p w14:paraId="25CA15F2">
            <w:pPr>
              <w:jc w:val="center"/>
              <w:rPr>
                <w:rFonts w:ascii="宋体" w:hAnsi="宋体" w:cs="宋体"/>
                <w:color w:val="000000"/>
                <w:kern w:val="0"/>
              </w:rPr>
            </w:pPr>
            <w:r>
              <w:rPr>
                <w:rFonts w:hint="eastAsia" w:ascii="宋体" w:hAnsi="宋体" w:cs="宋体"/>
                <w:color w:val="000000"/>
                <w:kern w:val="0"/>
              </w:rPr>
              <w:t>（元，未税总价）</w:t>
            </w:r>
          </w:p>
        </w:tc>
        <w:tc>
          <w:tcPr>
            <w:tcW w:w="1418" w:type="dxa"/>
            <w:tcBorders>
              <w:top w:val="single" w:color="auto" w:sz="4" w:space="0"/>
              <w:left w:val="single" w:color="auto" w:sz="4" w:space="0"/>
              <w:bottom w:val="single" w:color="auto" w:sz="4" w:space="0"/>
              <w:right w:val="single" w:color="auto" w:sz="4" w:space="0"/>
            </w:tcBorders>
            <w:vAlign w:val="center"/>
          </w:tcPr>
          <w:p w14:paraId="1BA1F6D7">
            <w:pPr>
              <w:jc w:val="center"/>
              <w:rPr>
                <w:rFonts w:ascii="宋体" w:hAnsi="宋体" w:cs="宋体"/>
                <w:color w:val="000000"/>
                <w:kern w:val="0"/>
              </w:rPr>
            </w:pPr>
            <w:r>
              <w:rPr>
                <w:rFonts w:hint="eastAsia" w:ascii="宋体" w:hAnsi="宋体" w:cs="宋体"/>
                <w:color w:val="000000"/>
                <w:kern w:val="0"/>
              </w:rPr>
              <w:t>税率</w:t>
            </w:r>
          </w:p>
          <w:p w14:paraId="71583BB0">
            <w:pPr>
              <w:jc w:val="center"/>
              <w:rPr>
                <w:rFonts w:ascii="宋体" w:hAnsi="宋体" w:cs="宋体"/>
                <w:color w:val="000000"/>
                <w:kern w:val="0"/>
              </w:rPr>
            </w:pPr>
            <w:r>
              <w:rPr>
                <w:rFonts w:hint="eastAsia" w:ascii="宋体" w:hAnsi="宋体" w:cs="宋体"/>
                <w:color w:val="000000"/>
                <w:kern w:val="0"/>
              </w:rPr>
              <w:t>（%）</w:t>
            </w:r>
          </w:p>
        </w:tc>
        <w:tc>
          <w:tcPr>
            <w:tcW w:w="1506" w:type="dxa"/>
            <w:tcBorders>
              <w:top w:val="single" w:color="auto" w:sz="4" w:space="0"/>
              <w:left w:val="nil"/>
              <w:bottom w:val="single" w:color="auto" w:sz="4" w:space="0"/>
              <w:right w:val="single" w:color="auto" w:sz="4" w:space="0"/>
            </w:tcBorders>
          </w:tcPr>
          <w:p w14:paraId="521621DE">
            <w:pPr>
              <w:jc w:val="center"/>
              <w:rPr>
                <w:rFonts w:ascii="宋体" w:hAnsi="宋体" w:cs="宋体"/>
                <w:color w:val="000000"/>
                <w:kern w:val="0"/>
              </w:rPr>
            </w:pPr>
            <w:r>
              <w:rPr>
                <w:rFonts w:hint="eastAsia" w:ascii="宋体" w:hAnsi="宋体" w:cs="宋体"/>
                <w:color w:val="000000"/>
                <w:kern w:val="0"/>
              </w:rPr>
              <w:t>含税总价</w:t>
            </w:r>
          </w:p>
          <w:p w14:paraId="56736C38">
            <w:pPr>
              <w:ind w:firstLine="199" w:firstLineChars="95"/>
              <w:jc w:val="center"/>
              <w:rPr>
                <w:rFonts w:ascii="宋体" w:hAnsi="宋体" w:cs="宋体"/>
                <w:color w:val="000000"/>
                <w:kern w:val="0"/>
              </w:rPr>
            </w:pPr>
            <w:r>
              <w:rPr>
                <w:rFonts w:hint="eastAsia" w:ascii="宋体" w:hAnsi="宋体" w:cs="宋体"/>
                <w:color w:val="000000"/>
                <w:kern w:val="0"/>
              </w:rPr>
              <w:t>（元）</w:t>
            </w:r>
          </w:p>
        </w:tc>
      </w:tr>
      <w:tr w14:paraId="0279A142">
        <w:tblPrEx>
          <w:tblCellMar>
            <w:top w:w="0" w:type="dxa"/>
            <w:left w:w="108" w:type="dxa"/>
            <w:bottom w:w="0" w:type="dxa"/>
            <w:right w:w="108" w:type="dxa"/>
          </w:tblCellMar>
        </w:tblPrEx>
        <w:trPr>
          <w:trHeight w:val="567" w:hRule="atLeast"/>
          <w:jc w:val="center"/>
        </w:trPr>
        <w:tc>
          <w:tcPr>
            <w:tcW w:w="846" w:type="dxa"/>
            <w:tcBorders>
              <w:top w:val="single" w:color="auto" w:sz="4" w:space="0"/>
              <w:left w:val="single" w:color="auto" w:sz="4" w:space="0"/>
              <w:bottom w:val="single" w:color="auto" w:sz="4" w:space="0"/>
              <w:right w:val="single" w:color="auto" w:sz="4" w:space="0"/>
            </w:tcBorders>
            <w:noWrap/>
            <w:vAlign w:val="center"/>
          </w:tcPr>
          <w:p w14:paraId="17979B5F">
            <w:pPr>
              <w:ind w:firstLine="360"/>
              <w:jc w:val="center"/>
              <w:rPr>
                <w:rFonts w:ascii="宋体" w:hAnsi="宋体" w:cs="宋体"/>
                <w:color w:val="000000"/>
                <w:kern w:val="0"/>
                <w:sz w:val="18"/>
                <w:szCs w:val="18"/>
              </w:rPr>
            </w:pPr>
            <w:r>
              <w:rPr>
                <w:rFonts w:hint="eastAsia" w:hAnsi="宋体"/>
                <w:sz w:val="18"/>
                <w:szCs w:val="18"/>
              </w:rPr>
              <w:t>1</w:t>
            </w:r>
          </w:p>
        </w:tc>
        <w:tc>
          <w:tcPr>
            <w:tcW w:w="1134" w:type="dxa"/>
            <w:tcBorders>
              <w:top w:val="nil"/>
              <w:left w:val="nil"/>
              <w:bottom w:val="single" w:color="auto" w:sz="4" w:space="0"/>
              <w:right w:val="single" w:color="auto" w:sz="4" w:space="0"/>
            </w:tcBorders>
            <w:noWrap/>
            <w:vAlign w:val="center"/>
          </w:tcPr>
          <w:p w14:paraId="49AF83D0">
            <w:pPr>
              <w:jc w:val="center"/>
              <w:rPr>
                <w:rFonts w:hAnsi="宋体"/>
                <w:sz w:val="18"/>
                <w:szCs w:val="18"/>
              </w:rPr>
            </w:pPr>
            <w:r>
              <w:rPr>
                <w:rFonts w:hint="eastAsia" w:hAnsi="宋体"/>
                <w:sz w:val="18"/>
                <w:szCs w:val="18"/>
              </w:rPr>
              <w:t>济宁商用车</w:t>
            </w:r>
            <w:r>
              <w:rPr>
                <w:rFonts w:hAnsi="宋体"/>
                <w:sz w:val="18"/>
                <w:szCs w:val="18"/>
              </w:rPr>
              <w:t>有限公司</w:t>
            </w:r>
          </w:p>
        </w:tc>
        <w:tc>
          <w:tcPr>
            <w:tcW w:w="1559" w:type="dxa"/>
            <w:tcBorders>
              <w:top w:val="nil"/>
              <w:left w:val="nil"/>
              <w:bottom w:val="single" w:color="auto" w:sz="4" w:space="0"/>
              <w:right w:val="single" w:color="auto" w:sz="4" w:space="0"/>
            </w:tcBorders>
            <w:vAlign w:val="center"/>
          </w:tcPr>
          <w:p w14:paraId="2442B174">
            <w:pPr>
              <w:jc w:val="center"/>
              <w:rPr>
                <w:rFonts w:eastAsia="等线"/>
                <w:color w:val="000000"/>
                <w:kern w:val="0"/>
                <w:sz w:val="24"/>
                <w:szCs w:val="24"/>
              </w:rPr>
            </w:pPr>
            <w:r>
              <w:rPr>
                <w:rFonts w:hint="eastAsia" w:ascii="宋体" w:hAnsi="宋体"/>
              </w:rPr>
              <w:t>防暑降温冰块采购项目</w:t>
            </w:r>
          </w:p>
        </w:tc>
        <w:tc>
          <w:tcPr>
            <w:tcW w:w="1134" w:type="dxa"/>
            <w:tcBorders>
              <w:top w:val="single" w:color="auto" w:sz="4" w:space="0"/>
              <w:left w:val="nil"/>
              <w:bottom w:val="single" w:color="auto" w:sz="4" w:space="0"/>
              <w:right w:val="single" w:color="auto" w:sz="4" w:space="0"/>
            </w:tcBorders>
            <w:vAlign w:val="center"/>
          </w:tcPr>
          <w:p w14:paraId="2D983F5F">
            <w:pPr>
              <w:jc w:val="center"/>
              <w:rPr>
                <w:rFonts w:eastAsia="等线"/>
                <w:color w:val="000000"/>
                <w:kern w:val="0"/>
                <w:sz w:val="24"/>
                <w:szCs w:val="24"/>
              </w:rPr>
            </w:pPr>
            <w:r>
              <w:rPr>
                <w:rFonts w:hint="eastAsia" w:ascii="宋体" w:hAnsi="Courier New"/>
                <w:szCs w:val="22"/>
                <w:lang w:val="en-US" w:eastAsia="zh-CN"/>
              </w:rPr>
              <w:t>5340</w:t>
            </w:r>
            <w:r>
              <w:rPr>
                <w:rFonts w:hint="eastAsia" w:ascii="宋体" w:hAnsi="Courier New"/>
                <w:szCs w:val="22"/>
              </w:rPr>
              <w:t>块</w:t>
            </w:r>
          </w:p>
        </w:tc>
        <w:tc>
          <w:tcPr>
            <w:tcW w:w="1276" w:type="dxa"/>
            <w:tcBorders>
              <w:top w:val="single" w:color="auto" w:sz="4" w:space="0"/>
              <w:left w:val="single" w:color="auto" w:sz="4" w:space="0"/>
              <w:bottom w:val="single" w:color="auto" w:sz="4" w:space="0"/>
              <w:right w:val="single" w:color="auto" w:sz="4" w:space="0"/>
            </w:tcBorders>
            <w:vAlign w:val="center"/>
          </w:tcPr>
          <w:p w14:paraId="3911E64F">
            <w:pPr>
              <w:ind w:firstLine="480"/>
              <w:jc w:val="center"/>
              <w:rPr>
                <w:rFonts w:eastAsia="等线"/>
                <w:color w:val="000000"/>
                <w:kern w:val="0"/>
                <w:sz w:val="24"/>
                <w:szCs w:val="24"/>
              </w:rPr>
            </w:pPr>
          </w:p>
        </w:tc>
        <w:tc>
          <w:tcPr>
            <w:tcW w:w="1984" w:type="dxa"/>
            <w:tcBorders>
              <w:top w:val="single" w:color="auto" w:sz="4" w:space="0"/>
              <w:left w:val="nil"/>
              <w:bottom w:val="single" w:color="auto" w:sz="4" w:space="0"/>
              <w:right w:val="single" w:color="auto" w:sz="4" w:space="0"/>
            </w:tcBorders>
          </w:tcPr>
          <w:p w14:paraId="24EE25C9">
            <w:pPr>
              <w:ind w:firstLine="480"/>
              <w:jc w:val="center"/>
              <w:rPr>
                <w:rFonts w:ascii="等线" w:hAnsi="等线" w:eastAsia="等线" w:cs="宋体"/>
                <w:color w:val="000000"/>
                <w:kern w:val="0"/>
                <w:sz w:val="24"/>
                <w:szCs w:val="24"/>
              </w:rPr>
            </w:pPr>
          </w:p>
        </w:tc>
        <w:tc>
          <w:tcPr>
            <w:tcW w:w="1418" w:type="dxa"/>
            <w:tcBorders>
              <w:top w:val="single" w:color="auto" w:sz="4" w:space="0"/>
              <w:left w:val="single" w:color="auto" w:sz="4" w:space="0"/>
              <w:bottom w:val="single" w:color="auto" w:sz="4" w:space="0"/>
              <w:right w:val="single" w:color="auto" w:sz="4" w:space="0"/>
            </w:tcBorders>
            <w:noWrap/>
            <w:vAlign w:val="bottom"/>
          </w:tcPr>
          <w:p w14:paraId="40728379">
            <w:pPr>
              <w:ind w:firstLine="480"/>
              <w:jc w:val="center"/>
              <w:rPr>
                <w:rFonts w:ascii="等线" w:hAnsi="等线" w:eastAsia="等线" w:cs="宋体"/>
                <w:color w:val="000000"/>
                <w:kern w:val="0"/>
                <w:sz w:val="24"/>
                <w:szCs w:val="24"/>
              </w:rPr>
            </w:pPr>
          </w:p>
        </w:tc>
        <w:tc>
          <w:tcPr>
            <w:tcW w:w="1506" w:type="dxa"/>
            <w:tcBorders>
              <w:top w:val="nil"/>
              <w:left w:val="nil"/>
              <w:bottom w:val="single" w:color="auto" w:sz="4" w:space="0"/>
              <w:right w:val="single" w:color="auto" w:sz="4" w:space="0"/>
            </w:tcBorders>
          </w:tcPr>
          <w:p w14:paraId="3D967C0C">
            <w:pPr>
              <w:ind w:firstLine="480"/>
              <w:jc w:val="center"/>
              <w:rPr>
                <w:rFonts w:ascii="等线" w:hAnsi="等线" w:eastAsia="等线" w:cs="宋体"/>
                <w:color w:val="000000"/>
                <w:kern w:val="0"/>
                <w:sz w:val="24"/>
                <w:szCs w:val="24"/>
              </w:rPr>
            </w:pPr>
          </w:p>
        </w:tc>
      </w:tr>
    </w:tbl>
    <w:p w14:paraId="57952097">
      <w:pPr>
        <w:spacing w:line="400" w:lineRule="exact"/>
        <w:ind w:firstLine="422"/>
        <w:rPr>
          <w:rFonts w:ascii="宋体" w:hAnsi="宋体"/>
          <w:b/>
          <w:bCs/>
        </w:rPr>
      </w:pPr>
      <w:r>
        <w:rPr>
          <w:rFonts w:hint="eastAsia" w:ascii="宋体" w:hAnsi="宋体"/>
          <w:b/>
          <w:bCs/>
        </w:rPr>
        <w:t>注：1、此表中的报价必须与相应的报价明细表中的报价一致。</w:t>
      </w:r>
      <w:r>
        <w:rPr>
          <w:rFonts w:ascii="宋体" w:hAnsi="宋体"/>
          <w:b/>
          <w:bCs/>
        </w:rPr>
        <w:t xml:space="preserve"> </w:t>
      </w:r>
    </w:p>
    <w:p w14:paraId="5907760E">
      <w:pPr>
        <w:spacing w:line="300" w:lineRule="auto"/>
        <w:ind w:firstLine="420"/>
        <w:rPr>
          <w:rFonts w:ascii="宋体" w:hAnsi="宋体"/>
        </w:rPr>
      </w:pPr>
      <w:r>
        <w:rPr>
          <w:rFonts w:hint="eastAsia" w:ascii="宋体" w:hAnsi="宋体"/>
        </w:rPr>
        <w:t>投标人：（盖章）</w:t>
      </w:r>
    </w:p>
    <w:p w14:paraId="18E77C22">
      <w:pPr>
        <w:spacing w:line="660" w:lineRule="exact"/>
        <w:ind w:firstLine="420"/>
        <w:rPr>
          <w:rFonts w:ascii="宋体" w:hAnsi="宋体"/>
        </w:rPr>
      </w:pPr>
      <w:r>
        <w:rPr>
          <w:rFonts w:hint="eastAsia" w:ascii="宋体" w:hAnsi="宋体"/>
        </w:rPr>
        <w:t>法定代表人（授权代表）：（签字）</w:t>
      </w:r>
    </w:p>
    <w:tbl>
      <w:tblPr>
        <w:tblStyle w:val="15"/>
        <w:tblpPr w:leftFromText="180" w:rightFromText="180" w:vertAnchor="text" w:horzAnchor="margin" w:tblpXSpec="center" w:tblpY="720"/>
        <w:tblW w:w="9427" w:type="dxa"/>
        <w:tblInd w:w="0" w:type="dxa"/>
        <w:tblLayout w:type="fixed"/>
        <w:tblCellMar>
          <w:top w:w="0" w:type="dxa"/>
          <w:left w:w="108" w:type="dxa"/>
          <w:bottom w:w="0" w:type="dxa"/>
          <w:right w:w="108" w:type="dxa"/>
        </w:tblCellMar>
      </w:tblPr>
      <w:tblGrid>
        <w:gridCol w:w="2205"/>
        <w:gridCol w:w="4218"/>
        <w:gridCol w:w="3004"/>
      </w:tblGrid>
      <w:tr w14:paraId="676A8565">
        <w:tblPrEx>
          <w:tblCellMar>
            <w:top w:w="0" w:type="dxa"/>
            <w:left w:w="108" w:type="dxa"/>
            <w:bottom w:w="0" w:type="dxa"/>
            <w:right w:w="108" w:type="dxa"/>
          </w:tblCellMar>
        </w:tblPrEx>
        <w:trPr>
          <w:trHeight w:val="227" w:hRule="atLeast"/>
        </w:trPr>
        <w:tc>
          <w:tcPr>
            <w:tcW w:w="9427" w:type="dxa"/>
            <w:gridSpan w:val="3"/>
            <w:tcBorders>
              <w:top w:val="nil"/>
              <w:left w:val="nil"/>
              <w:bottom w:val="nil"/>
              <w:right w:val="nil"/>
            </w:tcBorders>
            <w:noWrap/>
            <w:vAlign w:val="center"/>
          </w:tcPr>
          <w:p w14:paraId="6AB1FBDE">
            <w:pPr>
              <w:jc w:val="left"/>
              <w:rPr>
                <w:rFonts w:ascii="宋体" w:hAnsi="宋体" w:cs="宋体"/>
                <w:color w:val="000000"/>
                <w:kern w:val="0"/>
                <w:sz w:val="22"/>
                <w:szCs w:val="22"/>
              </w:rPr>
            </w:pPr>
          </w:p>
        </w:tc>
      </w:tr>
      <w:tr w14:paraId="29596CB0">
        <w:tblPrEx>
          <w:tblCellMar>
            <w:top w:w="0" w:type="dxa"/>
            <w:left w:w="108" w:type="dxa"/>
            <w:bottom w:w="0" w:type="dxa"/>
            <w:right w:w="108" w:type="dxa"/>
          </w:tblCellMar>
        </w:tblPrEx>
        <w:trPr>
          <w:trHeight w:val="249" w:hRule="atLeast"/>
        </w:trPr>
        <w:tc>
          <w:tcPr>
            <w:tcW w:w="9427" w:type="dxa"/>
            <w:gridSpan w:val="3"/>
            <w:tcBorders>
              <w:top w:val="nil"/>
              <w:left w:val="nil"/>
              <w:bottom w:val="nil"/>
              <w:right w:val="nil"/>
            </w:tcBorders>
            <w:noWrap/>
            <w:vAlign w:val="center"/>
          </w:tcPr>
          <w:p w14:paraId="3CFCE9D9">
            <w:pPr>
              <w:spacing w:line="660" w:lineRule="exact"/>
              <w:ind w:firstLine="562"/>
              <w:rPr>
                <w:rFonts w:ascii="宋体" w:hAnsi="宋体" w:cs="宋体"/>
                <w:color w:val="000000"/>
                <w:kern w:val="0"/>
                <w:sz w:val="22"/>
                <w:szCs w:val="22"/>
              </w:rPr>
            </w:pPr>
            <w:r>
              <w:rPr>
                <w:rFonts w:hint="eastAsia" w:eastAsia="黑体"/>
                <w:b/>
                <w:bCs/>
                <w:sz w:val="28"/>
              </w:rPr>
              <w:t>报价清单</w:t>
            </w:r>
          </w:p>
        </w:tc>
      </w:tr>
      <w:tr w14:paraId="20B038C7">
        <w:tblPrEx>
          <w:tblCellMar>
            <w:top w:w="0" w:type="dxa"/>
            <w:left w:w="108" w:type="dxa"/>
            <w:bottom w:w="0" w:type="dxa"/>
            <w:right w:w="108" w:type="dxa"/>
          </w:tblCellMar>
        </w:tblPrEx>
        <w:trPr>
          <w:trHeight w:val="366" w:hRule="atLeast"/>
        </w:trPr>
        <w:tc>
          <w:tcPr>
            <w:tcW w:w="2205" w:type="dxa"/>
            <w:tcBorders>
              <w:top w:val="single" w:color="auto" w:sz="4" w:space="0"/>
              <w:left w:val="single" w:color="auto" w:sz="4" w:space="0"/>
              <w:bottom w:val="single" w:color="auto" w:sz="4" w:space="0"/>
              <w:right w:val="single" w:color="auto" w:sz="4" w:space="0"/>
            </w:tcBorders>
            <w:noWrap/>
            <w:vAlign w:val="center"/>
          </w:tcPr>
          <w:p w14:paraId="3ED27E70">
            <w:pPr>
              <w:ind w:firstLine="442"/>
              <w:jc w:val="center"/>
              <w:rPr>
                <w:rFonts w:ascii="宋体" w:hAnsi="宋体" w:cs="宋体"/>
                <w:b/>
                <w:bCs/>
                <w:color w:val="000000"/>
                <w:kern w:val="0"/>
                <w:sz w:val="22"/>
                <w:szCs w:val="22"/>
              </w:rPr>
            </w:pPr>
            <w:r>
              <w:rPr>
                <w:rFonts w:hint="eastAsia" w:ascii="宋体" w:hAnsi="宋体" w:cs="宋体"/>
                <w:b/>
                <w:bCs/>
                <w:color w:val="000000"/>
                <w:kern w:val="0"/>
                <w:sz w:val="22"/>
                <w:szCs w:val="22"/>
              </w:rPr>
              <w:t>项目</w:t>
            </w:r>
          </w:p>
        </w:tc>
        <w:tc>
          <w:tcPr>
            <w:tcW w:w="4218" w:type="dxa"/>
            <w:tcBorders>
              <w:top w:val="single" w:color="auto" w:sz="4" w:space="0"/>
              <w:left w:val="nil"/>
              <w:bottom w:val="single" w:color="auto" w:sz="4" w:space="0"/>
              <w:right w:val="single" w:color="auto" w:sz="4" w:space="0"/>
            </w:tcBorders>
            <w:noWrap/>
            <w:vAlign w:val="center"/>
          </w:tcPr>
          <w:p w14:paraId="79BEB2C3">
            <w:pPr>
              <w:ind w:firstLine="442"/>
              <w:jc w:val="center"/>
              <w:rPr>
                <w:rFonts w:ascii="宋体" w:hAnsi="宋体" w:cs="宋体"/>
                <w:b/>
                <w:bCs/>
                <w:color w:val="000000"/>
                <w:kern w:val="0"/>
                <w:sz w:val="22"/>
                <w:szCs w:val="22"/>
              </w:rPr>
            </w:pPr>
            <w:r>
              <w:rPr>
                <w:rFonts w:hint="eastAsia" w:ascii="宋体" w:hAnsi="宋体" w:cs="宋体"/>
                <w:b/>
                <w:bCs/>
                <w:color w:val="000000"/>
                <w:kern w:val="0"/>
                <w:sz w:val="22"/>
                <w:szCs w:val="22"/>
              </w:rPr>
              <w:t>类别</w:t>
            </w:r>
          </w:p>
        </w:tc>
        <w:tc>
          <w:tcPr>
            <w:tcW w:w="3004" w:type="dxa"/>
            <w:tcBorders>
              <w:top w:val="single" w:color="auto" w:sz="4" w:space="0"/>
              <w:left w:val="nil"/>
              <w:bottom w:val="single" w:color="auto" w:sz="4" w:space="0"/>
              <w:right w:val="single" w:color="auto" w:sz="4" w:space="0"/>
            </w:tcBorders>
            <w:noWrap/>
            <w:vAlign w:val="center"/>
          </w:tcPr>
          <w:p w14:paraId="416E8C7D">
            <w:pPr>
              <w:ind w:firstLine="442"/>
              <w:jc w:val="center"/>
              <w:rPr>
                <w:rFonts w:ascii="宋体" w:hAnsi="宋体" w:cs="宋体"/>
                <w:b/>
                <w:bCs/>
                <w:color w:val="000000"/>
                <w:kern w:val="0"/>
                <w:sz w:val="22"/>
                <w:szCs w:val="22"/>
              </w:rPr>
            </w:pPr>
            <w:r>
              <w:rPr>
                <w:rFonts w:hint="eastAsia" w:ascii="宋体" w:hAnsi="宋体" w:cs="宋体"/>
                <w:b/>
                <w:bCs/>
                <w:color w:val="000000"/>
                <w:kern w:val="0"/>
                <w:sz w:val="22"/>
                <w:szCs w:val="22"/>
              </w:rPr>
              <w:t>金额</w:t>
            </w:r>
          </w:p>
        </w:tc>
      </w:tr>
      <w:tr w14:paraId="7A41F7C5">
        <w:tblPrEx>
          <w:tblCellMar>
            <w:top w:w="0" w:type="dxa"/>
            <w:left w:w="108" w:type="dxa"/>
            <w:bottom w:w="0" w:type="dxa"/>
            <w:right w:w="108" w:type="dxa"/>
          </w:tblCellMar>
        </w:tblPrEx>
        <w:trPr>
          <w:trHeight w:val="366" w:hRule="atLeast"/>
        </w:trPr>
        <w:tc>
          <w:tcPr>
            <w:tcW w:w="2205" w:type="dxa"/>
            <w:vMerge w:val="restart"/>
            <w:tcBorders>
              <w:top w:val="nil"/>
              <w:left w:val="single" w:color="auto" w:sz="4" w:space="0"/>
              <w:right w:val="single" w:color="auto" w:sz="4" w:space="0"/>
            </w:tcBorders>
            <w:noWrap/>
            <w:vAlign w:val="center"/>
          </w:tcPr>
          <w:p w14:paraId="47A753CE">
            <w:pPr>
              <w:ind w:firstLine="440"/>
              <w:jc w:val="center"/>
              <w:rPr>
                <w:rFonts w:ascii="宋体" w:hAnsi="宋体" w:cs="宋体"/>
                <w:color w:val="000000"/>
                <w:kern w:val="0"/>
                <w:sz w:val="22"/>
                <w:szCs w:val="22"/>
              </w:rPr>
            </w:pPr>
            <w:r>
              <w:rPr>
                <w:rFonts w:hint="eastAsia" w:ascii="宋体" w:hAnsi="宋体" w:cs="宋体"/>
                <w:color w:val="000000"/>
                <w:kern w:val="0"/>
                <w:sz w:val="22"/>
                <w:szCs w:val="22"/>
              </w:rPr>
              <w:t>成本构成</w:t>
            </w:r>
          </w:p>
        </w:tc>
        <w:tc>
          <w:tcPr>
            <w:tcW w:w="4218" w:type="dxa"/>
            <w:tcBorders>
              <w:top w:val="nil"/>
              <w:left w:val="nil"/>
              <w:bottom w:val="single" w:color="auto" w:sz="4" w:space="0"/>
              <w:right w:val="single" w:color="auto" w:sz="4" w:space="0"/>
            </w:tcBorders>
            <w:noWrap/>
            <w:vAlign w:val="center"/>
          </w:tcPr>
          <w:p w14:paraId="295CAC1B">
            <w:pPr>
              <w:ind w:firstLine="440"/>
              <w:jc w:val="center"/>
              <w:rPr>
                <w:rFonts w:ascii="宋体" w:hAnsi="宋体" w:cs="宋体"/>
                <w:color w:val="000000"/>
                <w:kern w:val="0"/>
                <w:sz w:val="22"/>
                <w:szCs w:val="22"/>
              </w:rPr>
            </w:pPr>
          </w:p>
        </w:tc>
        <w:tc>
          <w:tcPr>
            <w:tcW w:w="3004" w:type="dxa"/>
            <w:tcBorders>
              <w:top w:val="nil"/>
              <w:left w:val="nil"/>
              <w:bottom w:val="single" w:color="auto" w:sz="4" w:space="0"/>
              <w:right w:val="single" w:color="auto" w:sz="4" w:space="0"/>
            </w:tcBorders>
            <w:noWrap/>
            <w:vAlign w:val="center"/>
          </w:tcPr>
          <w:p w14:paraId="115AF42E">
            <w:pPr>
              <w:ind w:firstLine="440"/>
              <w:jc w:val="center"/>
              <w:rPr>
                <w:rFonts w:ascii="宋体" w:hAnsi="宋体" w:cs="宋体"/>
                <w:color w:val="000000"/>
                <w:kern w:val="0"/>
                <w:sz w:val="22"/>
                <w:szCs w:val="22"/>
              </w:rPr>
            </w:pPr>
            <w:r>
              <w:rPr>
                <w:rFonts w:hint="eastAsia" w:ascii="宋体" w:hAnsi="宋体" w:cs="宋体"/>
                <w:color w:val="000000"/>
                <w:kern w:val="0"/>
                <w:sz w:val="22"/>
                <w:szCs w:val="22"/>
              </w:rPr>
              <w:t>　</w:t>
            </w:r>
          </w:p>
        </w:tc>
      </w:tr>
      <w:tr w14:paraId="76D8C9B7">
        <w:tblPrEx>
          <w:tblCellMar>
            <w:top w:w="0" w:type="dxa"/>
            <w:left w:w="108" w:type="dxa"/>
            <w:bottom w:w="0" w:type="dxa"/>
            <w:right w:w="108" w:type="dxa"/>
          </w:tblCellMar>
        </w:tblPrEx>
        <w:trPr>
          <w:trHeight w:val="366" w:hRule="atLeast"/>
        </w:trPr>
        <w:tc>
          <w:tcPr>
            <w:tcW w:w="2205" w:type="dxa"/>
            <w:vMerge w:val="continue"/>
            <w:tcBorders>
              <w:left w:val="single" w:color="auto" w:sz="4" w:space="0"/>
              <w:right w:val="single" w:color="auto" w:sz="4" w:space="0"/>
            </w:tcBorders>
            <w:vAlign w:val="center"/>
          </w:tcPr>
          <w:p w14:paraId="2AFC5B74">
            <w:pPr>
              <w:ind w:firstLine="440"/>
              <w:jc w:val="left"/>
              <w:rPr>
                <w:rFonts w:ascii="宋体" w:hAnsi="宋体" w:cs="宋体"/>
                <w:color w:val="000000"/>
                <w:kern w:val="0"/>
                <w:sz w:val="22"/>
                <w:szCs w:val="22"/>
              </w:rPr>
            </w:pPr>
          </w:p>
        </w:tc>
        <w:tc>
          <w:tcPr>
            <w:tcW w:w="4218" w:type="dxa"/>
            <w:tcBorders>
              <w:top w:val="nil"/>
              <w:left w:val="nil"/>
              <w:bottom w:val="single" w:color="auto" w:sz="4" w:space="0"/>
              <w:right w:val="single" w:color="auto" w:sz="4" w:space="0"/>
            </w:tcBorders>
            <w:noWrap/>
            <w:vAlign w:val="center"/>
          </w:tcPr>
          <w:p w14:paraId="7D9FE661">
            <w:pPr>
              <w:ind w:firstLine="440"/>
              <w:jc w:val="center"/>
              <w:rPr>
                <w:rFonts w:ascii="宋体" w:hAnsi="宋体" w:cs="宋体"/>
                <w:color w:val="000000"/>
                <w:kern w:val="0"/>
                <w:sz w:val="22"/>
                <w:szCs w:val="22"/>
              </w:rPr>
            </w:pPr>
          </w:p>
        </w:tc>
        <w:tc>
          <w:tcPr>
            <w:tcW w:w="3004" w:type="dxa"/>
            <w:tcBorders>
              <w:top w:val="nil"/>
              <w:left w:val="nil"/>
              <w:bottom w:val="single" w:color="auto" w:sz="4" w:space="0"/>
              <w:right w:val="single" w:color="auto" w:sz="4" w:space="0"/>
            </w:tcBorders>
            <w:noWrap/>
            <w:vAlign w:val="center"/>
          </w:tcPr>
          <w:p w14:paraId="26D40819">
            <w:pPr>
              <w:ind w:firstLine="440"/>
              <w:jc w:val="center"/>
              <w:rPr>
                <w:rFonts w:ascii="宋体" w:hAnsi="宋体" w:cs="宋体"/>
                <w:color w:val="000000"/>
                <w:kern w:val="0"/>
                <w:sz w:val="22"/>
                <w:szCs w:val="22"/>
              </w:rPr>
            </w:pPr>
            <w:r>
              <w:rPr>
                <w:rFonts w:hint="eastAsia" w:ascii="宋体" w:hAnsi="宋体" w:cs="宋体"/>
                <w:color w:val="000000"/>
                <w:kern w:val="0"/>
                <w:sz w:val="22"/>
                <w:szCs w:val="22"/>
              </w:rPr>
              <w:t>　</w:t>
            </w:r>
          </w:p>
        </w:tc>
      </w:tr>
      <w:tr w14:paraId="06C39B06">
        <w:tblPrEx>
          <w:tblCellMar>
            <w:top w:w="0" w:type="dxa"/>
            <w:left w:w="108" w:type="dxa"/>
            <w:bottom w:w="0" w:type="dxa"/>
            <w:right w:w="108" w:type="dxa"/>
          </w:tblCellMar>
        </w:tblPrEx>
        <w:trPr>
          <w:trHeight w:val="366" w:hRule="atLeast"/>
        </w:trPr>
        <w:tc>
          <w:tcPr>
            <w:tcW w:w="2205" w:type="dxa"/>
            <w:vMerge w:val="continue"/>
            <w:tcBorders>
              <w:left w:val="single" w:color="auto" w:sz="4" w:space="0"/>
              <w:right w:val="single" w:color="auto" w:sz="4" w:space="0"/>
            </w:tcBorders>
            <w:vAlign w:val="center"/>
          </w:tcPr>
          <w:p w14:paraId="0E5DFE86">
            <w:pPr>
              <w:ind w:firstLine="440"/>
              <w:jc w:val="left"/>
              <w:rPr>
                <w:rFonts w:ascii="宋体" w:hAnsi="宋体" w:cs="宋体"/>
                <w:color w:val="000000"/>
                <w:kern w:val="0"/>
                <w:sz w:val="22"/>
                <w:szCs w:val="22"/>
              </w:rPr>
            </w:pPr>
          </w:p>
        </w:tc>
        <w:tc>
          <w:tcPr>
            <w:tcW w:w="4218" w:type="dxa"/>
            <w:tcBorders>
              <w:top w:val="nil"/>
              <w:left w:val="nil"/>
              <w:bottom w:val="single" w:color="auto" w:sz="4" w:space="0"/>
              <w:right w:val="single" w:color="auto" w:sz="4" w:space="0"/>
            </w:tcBorders>
            <w:noWrap/>
            <w:vAlign w:val="center"/>
          </w:tcPr>
          <w:p w14:paraId="38370B9D">
            <w:pPr>
              <w:ind w:firstLine="440"/>
              <w:jc w:val="center"/>
              <w:rPr>
                <w:rFonts w:ascii="宋体" w:hAnsi="宋体" w:cs="宋体"/>
                <w:color w:val="000000"/>
                <w:kern w:val="0"/>
                <w:sz w:val="22"/>
                <w:szCs w:val="22"/>
              </w:rPr>
            </w:pPr>
          </w:p>
        </w:tc>
        <w:tc>
          <w:tcPr>
            <w:tcW w:w="3004" w:type="dxa"/>
            <w:tcBorders>
              <w:top w:val="nil"/>
              <w:left w:val="nil"/>
              <w:bottom w:val="single" w:color="auto" w:sz="4" w:space="0"/>
              <w:right w:val="single" w:color="auto" w:sz="4" w:space="0"/>
            </w:tcBorders>
            <w:noWrap/>
            <w:vAlign w:val="center"/>
          </w:tcPr>
          <w:p w14:paraId="62410AF7">
            <w:pPr>
              <w:ind w:firstLine="440"/>
              <w:jc w:val="center"/>
              <w:rPr>
                <w:rFonts w:ascii="宋体" w:hAnsi="宋体" w:cs="宋体"/>
                <w:color w:val="000000"/>
                <w:kern w:val="0"/>
                <w:sz w:val="22"/>
                <w:szCs w:val="22"/>
              </w:rPr>
            </w:pPr>
            <w:r>
              <w:rPr>
                <w:rFonts w:hint="eastAsia" w:ascii="宋体" w:hAnsi="宋体" w:cs="宋体"/>
                <w:color w:val="000000"/>
                <w:kern w:val="0"/>
                <w:sz w:val="22"/>
                <w:szCs w:val="22"/>
              </w:rPr>
              <w:t>　</w:t>
            </w:r>
          </w:p>
        </w:tc>
      </w:tr>
      <w:tr w14:paraId="139249C7">
        <w:tblPrEx>
          <w:tblCellMar>
            <w:top w:w="0" w:type="dxa"/>
            <w:left w:w="108" w:type="dxa"/>
            <w:bottom w:w="0" w:type="dxa"/>
            <w:right w:w="108" w:type="dxa"/>
          </w:tblCellMar>
        </w:tblPrEx>
        <w:trPr>
          <w:trHeight w:val="253" w:hRule="atLeast"/>
        </w:trPr>
        <w:tc>
          <w:tcPr>
            <w:tcW w:w="2205" w:type="dxa"/>
            <w:vMerge w:val="continue"/>
            <w:tcBorders>
              <w:left w:val="single" w:color="auto" w:sz="4" w:space="0"/>
              <w:right w:val="single" w:color="auto" w:sz="4" w:space="0"/>
            </w:tcBorders>
            <w:vAlign w:val="center"/>
          </w:tcPr>
          <w:p w14:paraId="2243DC60">
            <w:pPr>
              <w:ind w:firstLine="440"/>
              <w:jc w:val="left"/>
              <w:rPr>
                <w:rFonts w:ascii="宋体" w:hAnsi="宋体" w:cs="宋体"/>
                <w:color w:val="000000"/>
                <w:kern w:val="0"/>
                <w:sz w:val="22"/>
                <w:szCs w:val="22"/>
              </w:rPr>
            </w:pPr>
          </w:p>
        </w:tc>
        <w:tc>
          <w:tcPr>
            <w:tcW w:w="4218" w:type="dxa"/>
            <w:tcBorders>
              <w:top w:val="nil"/>
              <w:left w:val="nil"/>
              <w:bottom w:val="single" w:color="auto" w:sz="4" w:space="0"/>
              <w:right w:val="single" w:color="auto" w:sz="4" w:space="0"/>
            </w:tcBorders>
            <w:noWrap/>
            <w:vAlign w:val="center"/>
          </w:tcPr>
          <w:p w14:paraId="1942F339">
            <w:pPr>
              <w:ind w:firstLine="440"/>
              <w:jc w:val="center"/>
              <w:rPr>
                <w:rFonts w:ascii="宋体" w:hAnsi="宋体" w:cs="宋体"/>
                <w:color w:val="000000"/>
                <w:kern w:val="0"/>
                <w:sz w:val="22"/>
                <w:szCs w:val="22"/>
              </w:rPr>
            </w:pPr>
          </w:p>
        </w:tc>
        <w:tc>
          <w:tcPr>
            <w:tcW w:w="3004" w:type="dxa"/>
            <w:tcBorders>
              <w:top w:val="nil"/>
              <w:left w:val="nil"/>
              <w:bottom w:val="single" w:color="auto" w:sz="4" w:space="0"/>
              <w:right w:val="single" w:color="auto" w:sz="4" w:space="0"/>
            </w:tcBorders>
            <w:noWrap/>
            <w:vAlign w:val="center"/>
          </w:tcPr>
          <w:p w14:paraId="5D623281">
            <w:pPr>
              <w:ind w:firstLine="440"/>
              <w:jc w:val="left"/>
              <w:rPr>
                <w:rFonts w:ascii="宋体" w:hAnsi="宋体" w:cs="宋体"/>
                <w:color w:val="000000"/>
                <w:kern w:val="0"/>
                <w:sz w:val="22"/>
                <w:szCs w:val="22"/>
              </w:rPr>
            </w:pPr>
            <w:r>
              <w:rPr>
                <w:rFonts w:hint="eastAsia" w:ascii="宋体" w:hAnsi="宋体" w:cs="宋体"/>
                <w:color w:val="000000"/>
                <w:kern w:val="0"/>
                <w:sz w:val="22"/>
                <w:szCs w:val="22"/>
              </w:rPr>
              <w:t>　</w:t>
            </w:r>
          </w:p>
        </w:tc>
      </w:tr>
      <w:tr w14:paraId="488DDBD0">
        <w:tblPrEx>
          <w:tblCellMar>
            <w:top w:w="0" w:type="dxa"/>
            <w:left w:w="108" w:type="dxa"/>
            <w:bottom w:w="0" w:type="dxa"/>
            <w:right w:w="108" w:type="dxa"/>
          </w:tblCellMar>
        </w:tblPrEx>
        <w:trPr>
          <w:trHeight w:val="253" w:hRule="atLeast"/>
        </w:trPr>
        <w:tc>
          <w:tcPr>
            <w:tcW w:w="2205" w:type="dxa"/>
            <w:vMerge w:val="continue"/>
            <w:tcBorders>
              <w:left w:val="single" w:color="auto" w:sz="4" w:space="0"/>
              <w:right w:val="single" w:color="auto" w:sz="4" w:space="0"/>
            </w:tcBorders>
            <w:vAlign w:val="center"/>
          </w:tcPr>
          <w:p w14:paraId="5A3568D7">
            <w:pPr>
              <w:ind w:firstLine="440"/>
              <w:jc w:val="left"/>
              <w:rPr>
                <w:rFonts w:ascii="宋体" w:hAnsi="宋体" w:cs="宋体"/>
                <w:color w:val="000000"/>
                <w:kern w:val="0"/>
                <w:sz w:val="22"/>
                <w:szCs w:val="22"/>
              </w:rPr>
            </w:pPr>
          </w:p>
        </w:tc>
        <w:tc>
          <w:tcPr>
            <w:tcW w:w="4218" w:type="dxa"/>
            <w:tcBorders>
              <w:top w:val="nil"/>
              <w:left w:val="nil"/>
              <w:bottom w:val="single" w:color="auto" w:sz="4" w:space="0"/>
              <w:right w:val="single" w:color="auto" w:sz="4" w:space="0"/>
            </w:tcBorders>
            <w:noWrap/>
            <w:vAlign w:val="center"/>
          </w:tcPr>
          <w:p w14:paraId="5CA36ABA">
            <w:pPr>
              <w:ind w:firstLine="440"/>
              <w:jc w:val="center"/>
              <w:rPr>
                <w:rFonts w:ascii="宋体" w:hAnsi="宋体" w:cs="宋体"/>
                <w:color w:val="000000"/>
                <w:kern w:val="0"/>
                <w:sz w:val="22"/>
                <w:szCs w:val="22"/>
              </w:rPr>
            </w:pPr>
          </w:p>
        </w:tc>
        <w:tc>
          <w:tcPr>
            <w:tcW w:w="3004" w:type="dxa"/>
            <w:tcBorders>
              <w:top w:val="nil"/>
              <w:left w:val="nil"/>
              <w:bottom w:val="single" w:color="auto" w:sz="4" w:space="0"/>
              <w:right w:val="single" w:color="auto" w:sz="4" w:space="0"/>
            </w:tcBorders>
            <w:noWrap/>
            <w:vAlign w:val="center"/>
          </w:tcPr>
          <w:p w14:paraId="6CD2834D">
            <w:pPr>
              <w:ind w:firstLine="440"/>
              <w:jc w:val="left"/>
              <w:rPr>
                <w:rFonts w:ascii="宋体" w:hAnsi="宋体" w:cs="宋体"/>
                <w:color w:val="000000"/>
                <w:kern w:val="0"/>
                <w:sz w:val="22"/>
                <w:szCs w:val="22"/>
              </w:rPr>
            </w:pPr>
            <w:r>
              <w:rPr>
                <w:rFonts w:hint="eastAsia" w:ascii="宋体" w:hAnsi="宋体" w:cs="宋体"/>
                <w:color w:val="000000"/>
                <w:kern w:val="0"/>
                <w:sz w:val="22"/>
                <w:szCs w:val="22"/>
              </w:rPr>
              <w:t>　</w:t>
            </w:r>
          </w:p>
        </w:tc>
      </w:tr>
      <w:tr w14:paraId="38BDF710">
        <w:tblPrEx>
          <w:tblCellMar>
            <w:top w:w="0" w:type="dxa"/>
            <w:left w:w="108" w:type="dxa"/>
            <w:bottom w:w="0" w:type="dxa"/>
            <w:right w:w="108" w:type="dxa"/>
          </w:tblCellMar>
        </w:tblPrEx>
        <w:trPr>
          <w:trHeight w:val="227" w:hRule="atLeast"/>
        </w:trPr>
        <w:tc>
          <w:tcPr>
            <w:tcW w:w="2205" w:type="dxa"/>
            <w:vMerge w:val="continue"/>
            <w:tcBorders>
              <w:left w:val="single" w:color="auto" w:sz="4" w:space="0"/>
              <w:right w:val="single" w:color="auto" w:sz="4" w:space="0"/>
            </w:tcBorders>
            <w:vAlign w:val="center"/>
          </w:tcPr>
          <w:p w14:paraId="4DB0691F">
            <w:pPr>
              <w:ind w:firstLine="440"/>
              <w:jc w:val="left"/>
              <w:rPr>
                <w:rFonts w:ascii="宋体" w:hAnsi="宋体" w:cs="宋体"/>
                <w:color w:val="000000"/>
                <w:kern w:val="0"/>
                <w:sz w:val="22"/>
                <w:szCs w:val="22"/>
              </w:rPr>
            </w:pPr>
          </w:p>
        </w:tc>
        <w:tc>
          <w:tcPr>
            <w:tcW w:w="4218" w:type="dxa"/>
            <w:tcBorders>
              <w:top w:val="nil"/>
              <w:left w:val="nil"/>
              <w:bottom w:val="single" w:color="auto" w:sz="4" w:space="0"/>
              <w:right w:val="single" w:color="auto" w:sz="4" w:space="0"/>
            </w:tcBorders>
            <w:noWrap/>
            <w:vAlign w:val="center"/>
          </w:tcPr>
          <w:p w14:paraId="2E8364B1">
            <w:pPr>
              <w:ind w:firstLine="440"/>
              <w:jc w:val="center"/>
              <w:rPr>
                <w:rFonts w:ascii="宋体" w:hAnsi="宋体" w:cs="宋体"/>
                <w:color w:val="000000"/>
                <w:kern w:val="0"/>
                <w:sz w:val="22"/>
                <w:szCs w:val="22"/>
              </w:rPr>
            </w:pPr>
          </w:p>
        </w:tc>
        <w:tc>
          <w:tcPr>
            <w:tcW w:w="3004" w:type="dxa"/>
            <w:tcBorders>
              <w:top w:val="nil"/>
              <w:left w:val="nil"/>
              <w:bottom w:val="single" w:color="auto" w:sz="4" w:space="0"/>
              <w:right w:val="single" w:color="auto" w:sz="4" w:space="0"/>
            </w:tcBorders>
            <w:noWrap/>
            <w:vAlign w:val="center"/>
          </w:tcPr>
          <w:p w14:paraId="76308962">
            <w:pPr>
              <w:ind w:firstLine="440"/>
              <w:jc w:val="left"/>
              <w:rPr>
                <w:rFonts w:ascii="宋体" w:hAnsi="宋体" w:cs="宋体"/>
                <w:color w:val="000000"/>
                <w:kern w:val="0"/>
                <w:sz w:val="22"/>
                <w:szCs w:val="22"/>
              </w:rPr>
            </w:pPr>
            <w:r>
              <w:rPr>
                <w:rFonts w:hint="eastAsia" w:ascii="宋体" w:hAnsi="宋体" w:cs="宋体"/>
                <w:color w:val="000000"/>
                <w:kern w:val="0"/>
                <w:sz w:val="22"/>
                <w:szCs w:val="22"/>
              </w:rPr>
              <w:t>　</w:t>
            </w:r>
          </w:p>
        </w:tc>
      </w:tr>
      <w:tr w14:paraId="48AB5869">
        <w:tblPrEx>
          <w:tblCellMar>
            <w:top w:w="0" w:type="dxa"/>
            <w:left w:w="108" w:type="dxa"/>
            <w:bottom w:w="0" w:type="dxa"/>
            <w:right w:w="108" w:type="dxa"/>
          </w:tblCellMar>
        </w:tblPrEx>
        <w:trPr>
          <w:trHeight w:val="227" w:hRule="atLeast"/>
        </w:trPr>
        <w:tc>
          <w:tcPr>
            <w:tcW w:w="2205" w:type="dxa"/>
            <w:vMerge w:val="continue"/>
            <w:tcBorders>
              <w:left w:val="single" w:color="auto" w:sz="4" w:space="0"/>
              <w:right w:val="single" w:color="auto" w:sz="4" w:space="0"/>
            </w:tcBorders>
            <w:vAlign w:val="center"/>
          </w:tcPr>
          <w:p w14:paraId="496F4481">
            <w:pPr>
              <w:ind w:firstLine="440"/>
              <w:jc w:val="left"/>
              <w:rPr>
                <w:rFonts w:ascii="宋体" w:hAnsi="宋体" w:cs="宋体"/>
                <w:color w:val="000000"/>
                <w:kern w:val="0"/>
                <w:sz w:val="22"/>
                <w:szCs w:val="22"/>
              </w:rPr>
            </w:pPr>
          </w:p>
        </w:tc>
        <w:tc>
          <w:tcPr>
            <w:tcW w:w="4218" w:type="dxa"/>
            <w:tcBorders>
              <w:top w:val="nil"/>
              <w:left w:val="nil"/>
              <w:bottom w:val="single" w:color="auto" w:sz="4" w:space="0"/>
              <w:right w:val="single" w:color="auto" w:sz="4" w:space="0"/>
            </w:tcBorders>
            <w:noWrap/>
            <w:vAlign w:val="center"/>
          </w:tcPr>
          <w:p w14:paraId="58281C79">
            <w:pPr>
              <w:ind w:firstLine="440"/>
              <w:jc w:val="center"/>
              <w:rPr>
                <w:rFonts w:ascii="宋体" w:hAnsi="宋体" w:cs="宋体"/>
                <w:color w:val="000000"/>
                <w:kern w:val="0"/>
                <w:sz w:val="22"/>
                <w:szCs w:val="22"/>
              </w:rPr>
            </w:pPr>
            <w:r>
              <w:rPr>
                <w:rFonts w:hint="eastAsia" w:ascii="宋体" w:hAnsi="宋体" w:cs="宋体"/>
                <w:color w:val="000000"/>
                <w:kern w:val="0"/>
                <w:sz w:val="22"/>
                <w:szCs w:val="22"/>
              </w:rPr>
              <w:t>…</w:t>
            </w:r>
          </w:p>
        </w:tc>
        <w:tc>
          <w:tcPr>
            <w:tcW w:w="3004" w:type="dxa"/>
            <w:tcBorders>
              <w:top w:val="nil"/>
              <w:left w:val="nil"/>
              <w:bottom w:val="single" w:color="auto" w:sz="4" w:space="0"/>
              <w:right w:val="single" w:color="auto" w:sz="4" w:space="0"/>
            </w:tcBorders>
            <w:noWrap/>
            <w:vAlign w:val="center"/>
          </w:tcPr>
          <w:p w14:paraId="2785C263">
            <w:pPr>
              <w:ind w:firstLine="440"/>
              <w:jc w:val="left"/>
              <w:rPr>
                <w:rFonts w:ascii="宋体" w:hAnsi="宋体" w:cs="宋体"/>
                <w:color w:val="000000"/>
                <w:kern w:val="0"/>
                <w:sz w:val="22"/>
                <w:szCs w:val="22"/>
              </w:rPr>
            </w:pPr>
            <w:r>
              <w:rPr>
                <w:rFonts w:hint="eastAsia" w:ascii="宋体" w:hAnsi="宋体" w:cs="宋体"/>
                <w:color w:val="000000"/>
                <w:kern w:val="0"/>
                <w:sz w:val="22"/>
                <w:szCs w:val="22"/>
              </w:rPr>
              <w:t>　</w:t>
            </w:r>
          </w:p>
        </w:tc>
      </w:tr>
      <w:tr w14:paraId="6D48E715">
        <w:tblPrEx>
          <w:tblCellMar>
            <w:top w:w="0" w:type="dxa"/>
            <w:left w:w="108" w:type="dxa"/>
            <w:bottom w:w="0" w:type="dxa"/>
            <w:right w:w="108" w:type="dxa"/>
          </w:tblCellMar>
        </w:tblPrEx>
        <w:trPr>
          <w:trHeight w:val="227" w:hRule="atLeast"/>
        </w:trPr>
        <w:tc>
          <w:tcPr>
            <w:tcW w:w="2205" w:type="dxa"/>
            <w:vMerge w:val="continue"/>
            <w:tcBorders>
              <w:left w:val="single" w:color="auto" w:sz="4" w:space="0"/>
              <w:bottom w:val="single" w:color="auto" w:sz="4" w:space="0"/>
              <w:right w:val="single" w:color="auto" w:sz="4" w:space="0"/>
            </w:tcBorders>
            <w:vAlign w:val="center"/>
          </w:tcPr>
          <w:p w14:paraId="63907AEC">
            <w:pPr>
              <w:ind w:firstLine="440"/>
              <w:jc w:val="center"/>
              <w:rPr>
                <w:rFonts w:ascii="宋体" w:hAnsi="宋体" w:cs="宋体"/>
                <w:color w:val="000000"/>
                <w:kern w:val="0"/>
                <w:sz w:val="22"/>
                <w:szCs w:val="22"/>
              </w:rPr>
            </w:pPr>
          </w:p>
        </w:tc>
        <w:tc>
          <w:tcPr>
            <w:tcW w:w="4218" w:type="dxa"/>
            <w:tcBorders>
              <w:top w:val="nil"/>
              <w:left w:val="nil"/>
              <w:bottom w:val="single" w:color="auto" w:sz="4" w:space="0"/>
              <w:right w:val="single" w:color="auto" w:sz="4" w:space="0"/>
            </w:tcBorders>
            <w:noWrap/>
            <w:vAlign w:val="center"/>
          </w:tcPr>
          <w:p w14:paraId="0F2E38BE">
            <w:pPr>
              <w:ind w:firstLine="440"/>
              <w:jc w:val="center"/>
              <w:rPr>
                <w:rFonts w:ascii="宋体" w:hAnsi="宋体" w:cs="宋体"/>
                <w:color w:val="000000"/>
                <w:kern w:val="0"/>
                <w:sz w:val="22"/>
                <w:szCs w:val="22"/>
              </w:rPr>
            </w:pPr>
            <w:r>
              <w:rPr>
                <w:rFonts w:hint="eastAsia" w:ascii="宋体" w:hAnsi="宋体" w:cs="宋体"/>
                <w:color w:val="000000"/>
                <w:kern w:val="0"/>
                <w:sz w:val="22"/>
                <w:szCs w:val="22"/>
              </w:rPr>
              <w:t>合计（不含税）</w:t>
            </w:r>
          </w:p>
        </w:tc>
        <w:tc>
          <w:tcPr>
            <w:tcW w:w="3004" w:type="dxa"/>
            <w:tcBorders>
              <w:top w:val="nil"/>
              <w:left w:val="nil"/>
              <w:bottom w:val="single" w:color="auto" w:sz="4" w:space="0"/>
              <w:right w:val="single" w:color="auto" w:sz="4" w:space="0"/>
            </w:tcBorders>
            <w:noWrap/>
            <w:vAlign w:val="center"/>
          </w:tcPr>
          <w:p w14:paraId="5F2C3624">
            <w:pPr>
              <w:ind w:firstLine="440"/>
              <w:jc w:val="left"/>
              <w:rPr>
                <w:rFonts w:ascii="宋体" w:hAnsi="宋体" w:cs="宋体"/>
                <w:color w:val="000000"/>
                <w:kern w:val="0"/>
                <w:sz w:val="22"/>
                <w:szCs w:val="22"/>
              </w:rPr>
            </w:pPr>
          </w:p>
        </w:tc>
      </w:tr>
      <w:tr w14:paraId="6F96AD1B">
        <w:tblPrEx>
          <w:tblCellMar>
            <w:top w:w="0" w:type="dxa"/>
            <w:left w:w="108" w:type="dxa"/>
            <w:bottom w:w="0" w:type="dxa"/>
            <w:right w:w="108" w:type="dxa"/>
          </w:tblCellMar>
        </w:tblPrEx>
        <w:trPr>
          <w:trHeight w:val="227" w:hRule="atLeast"/>
        </w:trPr>
        <w:tc>
          <w:tcPr>
            <w:tcW w:w="9427" w:type="dxa"/>
            <w:gridSpan w:val="3"/>
            <w:tcBorders>
              <w:top w:val="single" w:color="auto" w:sz="4" w:space="0"/>
              <w:left w:val="nil"/>
              <w:bottom w:val="nil"/>
              <w:right w:val="nil"/>
            </w:tcBorders>
            <w:noWrap/>
            <w:vAlign w:val="center"/>
          </w:tcPr>
          <w:p w14:paraId="3E987AF8">
            <w:pPr>
              <w:ind w:firstLine="440"/>
              <w:jc w:val="center"/>
              <w:rPr>
                <w:rFonts w:ascii="宋体" w:hAnsi="宋体" w:cs="宋体"/>
                <w:color w:val="000000"/>
                <w:kern w:val="0"/>
                <w:sz w:val="22"/>
                <w:szCs w:val="22"/>
              </w:rPr>
            </w:pPr>
            <w:r>
              <w:rPr>
                <w:rFonts w:hint="eastAsia" w:ascii="宋体" w:hAnsi="宋体" w:cs="宋体"/>
                <w:color w:val="000000"/>
                <w:kern w:val="0"/>
                <w:sz w:val="22"/>
                <w:szCs w:val="22"/>
              </w:rPr>
              <w:t>注：该表可根据实际情况做适当调整或增加附件说明，该表合计价必须与投标总报价中的未税单价报价一致。</w:t>
            </w:r>
          </w:p>
        </w:tc>
      </w:tr>
    </w:tbl>
    <w:p w14:paraId="792243E8">
      <w:pPr>
        <w:spacing w:line="660" w:lineRule="exact"/>
        <w:ind w:firstLine="420"/>
        <w:rPr>
          <w:rFonts w:ascii="宋体" w:hAnsi="宋体"/>
        </w:rPr>
        <w:sectPr>
          <w:headerReference r:id="rId5" w:type="first"/>
          <w:footerReference r:id="rId8" w:type="first"/>
          <w:headerReference r:id="rId3" w:type="default"/>
          <w:footerReference r:id="rId6" w:type="default"/>
          <w:headerReference r:id="rId4" w:type="even"/>
          <w:footerReference r:id="rId7" w:type="even"/>
          <w:pgSz w:w="11906" w:h="16838"/>
          <w:pgMar w:top="1701" w:right="1418" w:bottom="1134" w:left="1418" w:header="851" w:footer="992" w:gutter="0"/>
          <w:cols w:space="720" w:num="1"/>
          <w:titlePg/>
          <w:docGrid w:type="lines" w:linePitch="312" w:charSpace="0"/>
        </w:sectPr>
      </w:pPr>
      <w:r>
        <w:rPr>
          <w:rFonts w:hint="eastAsia" w:ascii="宋体" w:hAnsi="宋体"/>
        </w:rPr>
        <w:t>日  期：</w:t>
      </w:r>
      <w:r>
        <w:rPr>
          <w:rFonts w:hint="eastAsia" w:ascii="宋体" w:hAnsi="宋体"/>
          <w:u w:val="single"/>
        </w:rPr>
        <w:t xml:space="preserve">       </w:t>
      </w:r>
      <w:r>
        <w:rPr>
          <w:rFonts w:hint="eastAsia" w:ascii="宋体" w:hAnsi="宋体"/>
        </w:rPr>
        <w:t xml:space="preserve">年  </w:t>
      </w:r>
      <w:r>
        <w:rPr>
          <w:rFonts w:hint="eastAsia" w:ascii="宋体" w:hAnsi="宋体"/>
          <w:u w:val="single"/>
        </w:rPr>
        <w:t xml:space="preserve">    </w:t>
      </w:r>
      <w:r>
        <w:rPr>
          <w:rFonts w:hint="eastAsia" w:ascii="宋体" w:hAnsi="宋体"/>
        </w:rPr>
        <w:t>月</w:t>
      </w:r>
      <w:r>
        <w:rPr>
          <w:rFonts w:hint="eastAsia" w:ascii="宋体" w:hAnsi="宋体"/>
          <w:u w:val="single"/>
        </w:rPr>
        <w:t xml:space="preserve">  </w:t>
      </w:r>
    </w:p>
    <w:p w14:paraId="32660DEC">
      <w:pPr>
        <w:pStyle w:val="5"/>
        <w:spacing w:after="156" w:afterLines="50" w:line="240" w:lineRule="auto"/>
        <w:ind w:left="0"/>
        <w:rPr>
          <w:rFonts w:ascii="宋体" w:hAnsi="宋体"/>
        </w:rPr>
      </w:pPr>
      <w:r>
        <w:rPr>
          <w:rFonts w:hint="eastAsia" w:ascii="宋体" w:hAnsi="宋体"/>
        </w:rPr>
        <w:t>第二章 标的物规范及要求</w:t>
      </w:r>
    </w:p>
    <w:p w14:paraId="5D4FAEAB">
      <w:pPr>
        <w:autoSpaceDE w:val="0"/>
        <w:autoSpaceDN w:val="0"/>
        <w:adjustRightInd w:val="0"/>
        <w:snapToGrid w:val="0"/>
        <w:spacing w:line="360" w:lineRule="auto"/>
        <w:jc w:val="left"/>
        <w:rPr>
          <w:rFonts w:ascii="宋体" w:hAnsi="宋体" w:cs="黑体"/>
          <w:b/>
          <w:kern w:val="0"/>
          <w:sz w:val="24"/>
        </w:rPr>
      </w:pPr>
      <w:r>
        <w:rPr>
          <w:rFonts w:hint="eastAsia" w:ascii="宋体" w:hAnsi="宋体" w:cs="黑体"/>
          <w:b/>
          <w:kern w:val="0"/>
          <w:sz w:val="24"/>
        </w:rPr>
        <w:t>一、标的物范围及内容</w:t>
      </w:r>
    </w:p>
    <w:p w14:paraId="1F828AF1">
      <w:pPr>
        <w:spacing w:line="360" w:lineRule="auto"/>
        <w:ind w:firstLine="420" w:firstLineChars="200"/>
        <w:rPr>
          <w:rFonts w:ascii="宋体" w:hAnsi="Courier New"/>
          <w:szCs w:val="21"/>
        </w:rPr>
      </w:pPr>
      <w:r>
        <w:rPr>
          <w:rFonts w:hint="eastAsia" w:ascii="宋体" w:hAnsi="Courier New"/>
          <w:szCs w:val="21"/>
        </w:rPr>
        <w:t>1.1标的物范围：中国重汽集团济宁商用车有限公司</w:t>
      </w:r>
    </w:p>
    <w:p w14:paraId="6D07E040">
      <w:pPr>
        <w:spacing w:line="360" w:lineRule="auto"/>
        <w:ind w:firstLine="420" w:firstLineChars="200"/>
        <w:rPr>
          <w:rFonts w:ascii="宋体" w:hAnsi="Courier New"/>
          <w:szCs w:val="21"/>
        </w:rPr>
      </w:pPr>
      <w:r>
        <w:rPr>
          <w:rFonts w:hint="eastAsia" w:ascii="宋体" w:hAnsi="Courier New"/>
          <w:szCs w:val="21"/>
        </w:rPr>
        <w:t>1.2需方需求：按照中国重汽集团济宁</w:t>
      </w:r>
      <w:r>
        <w:rPr>
          <w:rFonts w:hint="eastAsia" w:ascii="宋体" w:hAnsi="宋体" w:cs="宋体"/>
          <w:szCs w:val="21"/>
        </w:rPr>
        <w:t>商用</w:t>
      </w:r>
      <w:r>
        <w:rPr>
          <w:rFonts w:hint="eastAsia" w:ascii="宋体" w:hAnsi="Courier New"/>
          <w:szCs w:val="21"/>
        </w:rPr>
        <w:t>车有限公司实际采购数量为准。</w:t>
      </w:r>
    </w:p>
    <w:p w14:paraId="259090AB">
      <w:pPr>
        <w:spacing w:line="360" w:lineRule="auto"/>
        <w:ind w:firstLine="420" w:firstLineChars="200"/>
        <w:rPr>
          <w:rFonts w:ascii="宋体" w:hAnsi="Courier New"/>
          <w:szCs w:val="21"/>
        </w:rPr>
      </w:pPr>
      <w:r>
        <w:rPr>
          <w:rFonts w:hint="eastAsia" w:ascii="宋体" w:hAnsi="Courier New"/>
          <w:szCs w:val="21"/>
        </w:rPr>
        <w:t>1.3内容：</w:t>
      </w:r>
    </w:p>
    <w:p w14:paraId="401AA9E9">
      <w:pPr>
        <w:spacing w:line="360" w:lineRule="auto"/>
        <w:jc w:val="center"/>
        <w:rPr>
          <w:rFonts w:ascii="宋体" w:hAnsi="宋体"/>
          <w:bCs/>
          <w:sz w:val="24"/>
        </w:rPr>
      </w:pPr>
      <w:r>
        <w:rPr>
          <w:rFonts w:hint="eastAsia" w:ascii="宋体" w:hAnsi="宋体"/>
          <w:bCs/>
          <w:sz w:val="24"/>
        </w:rPr>
        <w:t>防暑降温物资明细</w:t>
      </w:r>
    </w:p>
    <w:tbl>
      <w:tblPr>
        <w:tblStyle w:val="16"/>
        <w:tblW w:w="878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16"/>
        <w:gridCol w:w="1464"/>
        <w:gridCol w:w="2126"/>
        <w:gridCol w:w="1422"/>
        <w:gridCol w:w="1559"/>
        <w:gridCol w:w="1697"/>
      </w:tblGrid>
      <w:tr w14:paraId="3312F3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3" w:hRule="atLeast"/>
          <w:jc w:val="center"/>
        </w:trPr>
        <w:tc>
          <w:tcPr>
            <w:tcW w:w="516" w:type="dxa"/>
            <w:vAlign w:val="center"/>
          </w:tcPr>
          <w:p w14:paraId="5E000D95">
            <w:pPr>
              <w:pStyle w:val="27"/>
              <w:spacing w:after="200" w:line="276" w:lineRule="auto"/>
              <w:ind w:firstLine="0" w:firstLineChars="0"/>
              <w:contextualSpacing/>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序号</w:t>
            </w:r>
          </w:p>
        </w:tc>
        <w:tc>
          <w:tcPr>
            <w:tcW w:w="1464" w:type="dxa"/>
            <w:vAlign w:val="center"/>
          </w:tcPr>
          <w:p w14:paraId="4CC88E9E">
            <w:pPr>
              <w:pStyle w:val="27"/>
              <w:spacing w:after="200" w:line="276" w:lineRule="auto"/>
              <w:ind w:firstLine="0" w:firstLineChars="0"/>
              <w:contextualSpacing/>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防暑降温物资名称</w:t>
            </w:r>
          </w:p>
        </w:tc>
        <w:tc>
          <w:tcPr>
            <w:tcW w:w="2126" w:type="dxa"/>
            <w:vAlign w:val="center"/>
          </w:tcPr>
          <w:p w14:paraId="5A4A1273">
            <w:pPr>
              <w:pStyle w:val="27"/>
              <w:spacing w:after="200" w:line="276" w:lineRule="auto"/>
              <w:ind w:firstLine="0" w:firstLineChars="0"/>
              <w:contextualSpacing/>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规格</w:t>
            </w:r>
          </w:p>
        </w:tc>
        <w:tc>
          <w:tcPr>
            <w:tcW w:w="1422" w:type="dxa"/>
            <w:vAlign w:val="center"/>
          </w:tcPr>
          <w:p w14:paraId="5F2FD7CE">
            <w:pPr>
              <w:pStyle w:val="27"/>
              <w:spacing w:after="200" w:line="276" w:lineRule="auto"/>
              <w:ind w:firstLine="0" w:firstLineChars="0"/>
              <w:contextualSpacing/>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预计总共需求量</w:t>
            </w:r>
          </w:p>
        </w:tc>
        <w:tc>
          <w:tcPr>
            <w:tcW w:w="1559" w:type="dxa"/>
            <w:vAlign w:val="center"/>
          </w:tcPr>
          <w:p w14:paraId="4124298D">
            <w:pPr>
              <w:pStyle w:val="27"/>
              <w:spacing w:after="200" w:line="276" w:lineRule="auto"/>
              <w:ind w:firstLine="0" w:firstLineChars="0"/>
              <w:contextualSpacing/>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交货期</w:t>
            </w:r>
          </w:p>
        </w:tc>
        <w:tc>
          <w:tcPr>
            <w:tcW w:w="1697" w:type="dxa"/>
            <w:vAlign w:val="center"/>
          </w:tcPr>
          <w:p w14:paraId="0AA189A3">
            <w:pPr>
              <w:pStyle w:val="27"/>
              <w:spacing w:after="200" w:line="276" w:lineRule="auto"/>
              <w:ind w:firstLine="0" w:firstLineChars="0"/>
              <w:contextualSpacing/>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备注</w:t>
            </w:r>
          </w:p>
        </w:tc>
      </w:tr>
      <w:tr w14:paraId="11B3EF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6" w:hRule="atLeast"/>
          <w:jc w:val="center"/>
        </w:trPr>
        <w:tc>
          <w:tcPr>
            <w:tcW w:w="516" w:type="dxa"/>
            <w:vAlign w:val="center"/>
          </w:tcPr>
          <w:p w14:paraId="09E02607">
            <w:pPr>
              <w:pStyle w:val="27"/>
              <w:spacing w:after="200" w:line="276" w:lineRule="auto"/>
              <w:ind w:firstLine="0" w:firstLineChars="0"/>
              <w:contextualSpacing/>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1</w:t>
            </w:r>
          </w:p>
        </w:tc>
        <w:tc>
          <w:tcPr>
            <w:tcW w:w="1464" w:type="dxa"/>
            <w:vAlign w:val="center"/>
          </w:tcPr>
          <w:p w14:paraId="3408971F">
            <w:pPr>
              <w:spacing w:after="200" w:line="360" w:lineRule="auto"/>
              <w:ind w:firstLine="420" w:firstLineChars="200"/>
              <w:rPr>
                <w:rFonts w:ascii="宋体" w:hAnsi="Courier New"/>
                <w:szCs w:val="21"/>
              </w:rPr>
            </w:pPr>
            <w:r>
              <w:rPr>
                <w:rFonts w:hint="eastAsia" w:ascii="宋体" w:hAnsi="Courier New"/>
                <w:szCs w:val="21"/>
              </w:rPr>
              <w:t>大冰块</w:t>
            </w:r>
          </w:p>
        </w:tc>
        <w:tc>
          <w:tcPr>
            <w:tcW w:w="2126" w:type="dxa"/>
            <w:vAlign w:val="center"/>
          </w:tcPr>
          <w:p w14:paraId="098F6A38">
            <w:pPr>
              <w:spacing w:after="200" w:line="360" w:lineRule="auto"/>
              <w:rPr>
                <w:rFonts w:ascii="宋体" w:hAnsi="Courier New"/>
                <w:szCs w:val="22"/>
              </w:rPr>
            </w:pPr>
            <w:r>
              <w:rPr>
                <w:rFonts w:ascii="宋体" w:hAnsi="Courier New"/>
                <w:szCs w:val="22"/>
              </w:rPr>
              <w:t>80</w:t>
            </w:r>
            <w:r>
              <w:rPr>
                <w:rFonts w:hint="eastAsia" w:ascii="宋体" w:hAnsi="Courier New"/>
                <w:szCs w:val="22"/>
              </w:rPr>
              <w:t>㎝*</w:t>
            </w:r>
            <w:r>
              <w:rPr>
                <w:rFonts w:ascii="宋体" w:hAnsi="Courier New"/>
                <w:szCs w:val="22"/>
              </w:rPr>
              <w:t>30</w:t>
            </w:r>
            <w:r>
              <w:rPr>
                <w:rFonts w:hint="eastAsia" w:ascii="宋体" w:hAnsi="Courier New"/>
                <w:szCs w:val="22"/>
              </w:rPr>
              <w:t>㎝*</w:t>
            </w:r>
            <w:r>
              <w:rPr>
                <w:rFonts w:ascii="宋体" w:hAnsi="Courier New"/>
                <w:szCs w:val="22"/>
              </w:rPr>
              <w:t>13.5</w:t>
            </w:r>
            <w:r>
              <w:rPr>
                <w:rFonts w:hint="eastAsia" w:ascii="宋体" w:hAnsi="Courier New"/>
                <w:szCs w:val="22"/>
              </w:rPr>
              <w:t>㎝</w:t>
            </w:r>
          </w:p>
        </w:tc>
        <w:tc>
          <w:tcPr>
            <w:tcW w:w="1422" w:type="dxa"/>
            <w:vAlign w:val="center"/>
          </w:tcPr>
          <w:p w14:paraId="4DA9A7C2">
            <w:pPr>
              <w:spacing w:after="200" w:line="360" w:lineRule="auto"/>
              <w:ind w:firstLine="420" w:firstLineChars="200"/>
              <w:rPr>
                <w:rFonts w:ascii="宋体" w:hAnsi="Courier New"/>
                <w:szCs w:val="22"/>
              </w:rPr>
            </w:pPr>
            <w:r>
              <w:rPr>
                <w:rFonts w:hint="eastAsia" w:ascii="宋体" w:hAnsi="Courier New"/>
                <w:szCs w:val="22"/>
                <w:lang w:val="en-US" w:eastAsia="zh-CN"/>
              </w:rPr>
              <w:t>5340</w:t>
            </w:r>
            <w:r>
              <w:rPr>
                <w:rFonts w:hint="eastAsia" w:ascii="宋体" w:hAnsi="Courier New"/>
                <w:szCs w:val="22"/>
              </w:rPr>
              <w:t>块</w:t>
            </w:r>
          </w:p>
        </w:tc>
        <w:tc>
          <w:tcPr>
            <w:tcW w:w="1559" w:type="dxa"/>
            <w:vAlign w:val="center"/>
          </w:tcPr>
          <w:p w14:paraId="552DFE3F">
            <w:pPr>
              <w:pStyle w:val="27"/>
              <w:spacing w:after="200" w:line="276" w:lineRule="auto"/>
              <w:ind w:firstLine="0" w:firstLineChars="0"/>
              <w:contextualSpacing/>
              <w:jc w:val="center"/>
              <w:rPr>
                <w:rFonts w:ascii="仿宋_GB2312" w:hAnsi="仿宋_GB2312" w:eastAsia="仿宋_GB2312" w:cs="仿宋_GB2312"/>
                <w:kern w:val="0"/>
                <w:szCs w:val="21"/>
              </w:rPr>
            </w:pPr>
            <w:r>
              <w:rPr>
                <w:rFonts w:ascii="仿宋_GB2312" w:hAnsi="仿宋_GB2312" w:eastAsia="仿宋_GB2312" w:cs="仿宋_GB2312"/>
                <w:kern w:val="0"/>
                <w:szCs w:val="21"/>
              </w:rPr>
              <w:t>以甲方通知时间为准</w:t>
            </w:r>
          </w:p>
        </w:tc>
        <w:tc>
          <w:tcPr>
            <w:tcW w:w="1697" w:type="dxa"/>
            <w:vAlign w:val="center"/>
          </w:tcPr>
          <w:p w14:paraId="703652EF">
            <w:pPr>
              <w:spacing w:after="200" w:line="240" w:lineRule="auto"/>
              <w:rPr>
                <w:rFonts w:ascii="宋体" w:hAnsi="Courier New"/>
                <w:szCs w:val="22"/>
              </w:rPr>
            </w:pPr>
            <w:r>
              <w:rPr>
                <w:rFonts w:hint="eastAsia" w:ascii="宋体" w:hAnsi="Courier New"/>
                <w:szCs w:val="22"/>
              </w:rPr>
              <w:t>据实结算</w:t>
            </w:r>
          </w:p>
          <w:p w14:paraId="04D23E4C">
            <w:pPr>
              <w:pStyle w:val="27"/>
              <w:spacing w:after="200" w:line="240" w:lineRule="auto"/>
              <w:ind w:firstLine="0" w:firstLineChars="0"/>
              <w:contextualSpacing/>
              <w:jc w:val="center"/>
              <w:rPr>
                <w:rFonts w:ascii="仿宋_GB2312" w:hAnsi="仿宋_GB2312" w:eastAsia="仿宋_GB2312" w:cs="仿宋_GB2312"/>
                <w:kern w:val="0"/>
                <w:szCs w:val="21"/>
              </w:rPr>
            </w:pPr>
            <w:r>
              <w:rPr>
                <w:rFonts w:hint="eastAsia" w:ascii="宋体" w:hAnsi="Courier New"/>
                <w:szCs w:val="22"/>
              </w:rPr>
              <w:t>不低于前述规格</w:t>
            </w:r>
          </w:p>
        </w:tc>
      </w:tr>
      <w:bookmarkEnd w:id="1"/>
      <w:bookmarkEnd w:id="2"/>
    </w:tbl>
    <w:p w14:paraId="03591A90">
      <w:pPr>
        <w:autoSpaceDE w:val="0"/>
        <w:autoSpaceDN w:val="0"/>
        <w:adjustRightInd w:val="0"/>
        <w:snapToGrid w:val="0"/>
        <w:spacing w:line="360" w:lineRule="auto"/>
        <w:jc w:val="left"/>
        <w:rPr>
          <w:rFonts w:ascii="宋体" w:hAnsi="宋体" w:cs="黑体"/>
          <w:b/>
          <w:kern w:val="0"/>
          <w:sz w:val="24"/>
        </w:rPr>
      </w:pPr>
      <w:bookmarkStart w:id="3" w:name="_Toc518655787"/>
      <w:bookmarkStart w:id="4" w:name="_Toc48665541"/>
      <w:r>
        <w:rPr>
          <w:rFonts w:hint="eastAsia" w:ascii="宋体" w:hAnsi="宋体" w:cs="黑体"/>
          <w:b/>
          <w:kern w:val="0"/>
          <w:sz w:val="24"/>
        </w:rPr>
        <w:t>二、技术要求</w:t>
      </w:r>
    </w:p>
    <w:p w14:paraId="642128F4">
      <w:pPr>
        <w:widowControl/>
        <w:spacing w:line="360" w:lineRule="auto"/>
        <w:ind w:firstLine="420" w:firstLineChars="200"/>
        <w:jc w:val="left"/>
        <w:rPr>
          <w:rFonts w:ascii="宋体" w:hAnsi="宋体" w:cs="宋体"/>
          <w:bCs/>
          <w:kern w:val="0"/>
          <w:szCs w:val="21"/>
        </w:rPr>
      </w:pPr>
      <w:r>
        <w:rPr>
          <w:rFonts w:hint="eastAsia" w:ascii="宋体" w:hAnsi="宋体" w:cs="宋体"/>
          <w:bCs/>
          <w:kern w:val="0"/>
          <w:szCs w:val="21"/>
        </w:rPr>
        <w:t>2.1招标基本要求</w:t>
      </w:r>
      <w:bookmarkEnd w:id="3"/>
      <w:bookmarkEnd w:id="4"/>
    </w:p>
    <w:p w14:paraId="72EF05F2">
      <w:pPr>
        <w:spacing w:line="360" w:lineRule="auto"/>
        <w:ind w:firstLine="420" w:firstLineChars="200"/>
        <w:rPr>
          <w:rFonts w:ascii="宋体" w:hAnsi="宋体"/>
          <w:szCs w:val="21"/>
        </w:rPr>
      </w:pPr>
      <w:r>
        <w:rPr>
          <w:rFonts w:hint="eastAsia" w:ascii="宋体" w:hAnsi="宋体"/>
          <w:szCs w:val="21"/>
        </w:rPr>
        <w:t>2.1.1 投标人所供物资，必须符合中国最新版的法律、法规和相关标准、规范的要求，符合项目所在地政府有关特殊要求；</w:t>
      </w:r>
    </w:p>
    <w:p w14:paraId="3BC39522">
      <w:pPr>
        <w:spacing w:line="360" w:lineRule="auto"/>
        <w:ind w:firstLine="420" w:firstLineChars="200"/>
        <w:rPr>
          <w:rFonts w:ascii="宋体" w:hAnsi="宋体"/>
          <w:szCs w:val="21"/>
        </w:rPr>
      </w:pPr>
      <w:r>
        <w:rPr>
          <w:rFonts w:hint="eastAsia" w:ascii="宋体" w:hAnsi="宋体"/>
          <w:szCs w:val="21"/>
        </w:rPr>
        <w:t>2.1.</w:t>
      </w:r>
      <w:r>
        <w:rPr>
          <w:rFonts w:ascii="宋体" w:hAnsi="宋体"/>
          <w:szCs w:val="21"/>
        </w:rPr>
        <w:t>2</w:t>
      </w:r>
      <w:r>
        <w:rPr>
          <w:rFonts w:hint="eastAsia" w:ascii="宋体" w:hAnsi="宋体"/>
          <w:szCs w:val="21"/>
        </w:rPr>
        <w:t xml:space="preserve"> 提供的物资需满足规格尺寸要求包装完好且无熔化变形等，保证产品质量，最近批次生产产品，对人体没有</w:t>
      </w:r>
      <w:r>
        <w:rPr>
          <w:rFonts w:hint="eastAsia" w:ascii="宋体" w:hAnsi="宋体"/>
          <w:szCs w:val="21"/>
          <w:lang w:val="en-US" w:eastAsia="zh-CN"/>
        </w:rPr>
        <w:t>有害成分</w:t>
      </w:r>
      <w:r>
        <w:rPr>
          <w:rFonts w:hint="eastAsia" w:ascii="宋体" w:hAnsi="宋体"/>
          <w:szCs w:val="21"/>
        </w:rPr>
        <w:t>。</w:t>
      </w:r>
    </w:p>
    <w:p w14:paraId="5C1889E1">
      <w:pPr>
        <w:spacing w:line="360" w:lineRule="auto"/>
        <w:ind w:firstLine="420" w:firstLineChars="200"/>
        <w:rPr>
          <w:rFonts w:ascii="宋体" w:hAnsi="宋体"/>
          <w:szCs w:val="21"/>
        </w:rPr>
      </w:pPr>
      <w:r>
        <w:rPr>
          <w:rFonts w:hint="eastAsia" w:ascii="宋体" w:hAnsi="宋体"/>
          <w:szCs w:val="21"/>
        </w:rPr>
        <w:t>2.1.</w:t>
      </w:r>
      <w:r>
        <w:rPr>
          <w:rFonts w:ascii="宋体" w:hAnsi="宋体"/>
          <w:szCs w:val="21"/>
        </w:rPr>
        <w:t>3</w:t>
      </w:r>
      <w:r>
        <w:rPr>
          <w:rFonts w:hint="eastAsia" w:ascii="宋体" w:hAnsi="宋体"/>
          <w:szCs w:val="21"/>
        </w:rPr>
        <w:t>投标人应保证所供防暑降温用品的可靠性、经济性、有效性。</w:t>
      </w:r>
    </w:p>
    <w:p w14:paraId="19C1137B">
      <w:pPr>
        <w:spacing w:line="360" w:lineRule="auto"/>
        <w:ind w:firstLine="420" w:firstLineChars="200"/>
        <w:rPr>
          <w:rFonts w:ascii="宋体" w:hAnsi="宋体"/>
          <w:szCs w:val="21"/>
        </w:rPr>
      </w:pPr>
      <w:r>
        <w:rPr>
          <w:rFonts w:hint="eastAsia" w:ascii="宋体" w:hAnsi="宋体"/>
          <w:szCs w:val="21"/>
        </w:rPr>
        <w:t>2</w:t>
      </w:r>
      <w:r>
        <w:rPr>
          <w:rFonts w:ascii="宋体" w:hAnsi="宋体"/>
          <w:szCs w:val="21"/>
        </w:rPr>
        <w:t xml:space="preserve">.2 </w:t>
      </w:r>
      <w:r>
        <w:rPr>
          <w:rFonts w:hint="eastAsia" w:ascii="宋体" w:hAnsi="宋体"/>
          <w:szCs w:val="21"/>
        </w:rPr>
        <w:t>运输要求</w:t>
      </w:r>
    </w:p>
    <w:p w14:paraId="5B40AAF2">
      <w:pPr>
        <w:spacing w:line="360" w:lineRule="auto"/>
        <w:ind w:firstLine="420" w:firstLineChars="200"/>
        <w:rPr>
          <w:rFonts w:ascii="宋体" w:hAnsi="宋体"/>
          <w:szCs w:val="21"/>
        </w:rPr>
      </w:pPr>
      <w:r>
        <w:rPr>
          <w:rFonts w:hint="eastAsia" w:ascii="宋体" w:hAnsi="宋体"/>
          <w:szCs w:val="21"/>
        </w:rPr>
        <w:t>2</w:t>
      </w:r>
      <w:r>
        <w:rPr>
          <w:rFonts w:ascii="宋体" w:hAnsi="宋体"/>
          <w:szCs w:val="21"/>
        </w:rPr>
        <w:t xml:space="preserve">.2.1 </w:t>
      </w:r>
      <w:r>
        <w:rPr>
          <w:rFonts w:hint="eastAsia" w:ascii="宋体" w:hAnsi="宋体"/>
          <w:szCs w:val="21"/>
        </w:rPr>
        <w:t>投标人应在规定时间内将物资运送至招标人指定位置，且负责卸车搬运。</w:t>
      </w:r>
    </w:p>
    <w:p w14:paraId="5C707FD8">
      <w:pPr>
        <w:spacing w:line="360" w:lineRule="auto"/>
        <w:ind w:firstLine="420" w:firstLineChars="200"/>
        <w:rPr>
          <w:rFonts w:ascii="宋体" w:hAnsi="宋体"/>
          <w:szCs w:val="21"/>
        </w:rPr>
      </w:pPr>
      <w:r>
        <w:rPr>
          <w:rFonts w:hint="eastAsia" w:ascii="宋体" w:hAnsi="宋体"/>
          <w:szCs w:val="21"/>
        </w:rPr>
        <w:t>2</w:t>
      </w:r>
      <w:r>
        <w:rPr>
          <w:rFonts w:ascii="宋体" w:hAnsi="宋体"/>
          <w:szCs w:val="21"/>
        </w:rPr>
        <w:t xml:space="preserve">.2.2 </w:t>
      </w:r>
      <w:r>
        <w:rPr>
          <w:rFonts w:hint="eastAsia" w:ascii="宋体" w:hAnsi="宋体"/>
          <w:szCs w:val="21"/>
        </w:rPr>
        <w:t>运输搬运过程中造成的货物损坏等损失均由投标人承担。</w:t>
      </w:r>
    </w:p>
    <w:p w14:paraId="059AD4D4">
      <w:pPr>
        <w:spacing w:line="360" w:lineRule="auto"/>
        <w:ind w:firstLine="420" w:firstLineChars="200"/>
        <w:rPr>
          <w:rFonts w:ascii="宋体" w:hAnsi="宋体"/>
          <w:szCs w:val="21"/>
        </w:rPr>
      </w:pPr>
      <w:r>
        <w:rPr>
          <w:rFonts w:hint="eastAsia" w:ascii="宋体" w:hAnsi="宋体"/>
          <w:szCs w:val="21"/>
        </w:rPr>
        <w:t>2</w:t>
      </w:r>
      <w:r>
        <w:rPr>
          <w:rFonts w:ascii="宋体" w:hAnsi="宋体"/>
          <w:szCs w:val="21"/>
        </w:rPr>
        <w:t xml:space="preserve">.2.3 </w:t>
      </w:r>
      <w:r>
        <w:rPr>
          <w:rFonts w:hint="eastAsia" w:ascii="宋体" w:hAnsi="宋体"/>
          <w:szCs w:val="21"/>
        </w:rPr>
        <w:t>投标人需遵守招标人物资进出门管理及园区车辆管理要求，运输车辆若为总质量1</w:t>
      </w:r>
      <w:r>
        <w:rPr>
          <w:rFonts w:ascii="宋体" w:hAnsi="宋体"/>
          <w:szCs w:val="21"/>
        </w:rPr>
        <w:t>.8</w:t>
      </w:r>
      <w:r>
        <w:rPr>
          <w:rFonts w:hint="eastAsia" w:ascii="宋体" w:hAnsi="宋体"/>
          <w:szCs w:val="21"/>
        </w:rPr>
        <w:t>吨以上车辆应为重汽品牌。</w:t>
      </w:r>
    </w:p>
    <w:p w14:paraId="254A465E">
      <w:pPr>
        <w:pStyle w:val="2"/>
      </w:pPr>
    </w:p>
    <w:p w14:paraId="74DDB436"/>
    <w:p w14:paraId="01E6CDDE"/>
    <w:p w14:paraId="546919B5">
      <w:pPr>
        <w:jc w:val="center"/>
        <w:rPr>
          <w:rFonts w:ascii="方正小标宋简体" w:hAnsi="方正小标宋简体" w:eastAsia="方正小标宋简体" w:cs="方正小标宋简体"/>
          <w:sz w:val="44"/>
          <w:szCs w:val="44"/>
        </w:rPr>
      </w:pPr>
    </w:p>
    <w:p w14:paraId="5B46948B">
      <w:pPr>
        <w:pStyle w:val="2"/>
      </w:pPr>
    </w:p>
    <w:p w14:paraId="305CA029">
      <w:pPr>
        <w:jc w:val="center"/>
        <w:rPr>
          <w:rFonts w:ascii="方正小标宋简体" w:hAnsi="方正小标宋简体" w:eastAsia="方正小标宋简体" w:cs="方正小标宋简体"/>
          <w:sz w:val="44"/>
          <w:szCs w:val="44"/>
        </w:rPr>
      </w:pPr>
    </w:p>
    <w:p w14:paraId="3DF448FD">
      <w:pPr>
        <w:jc w:val="center"/>
        <w:rPr>
          <w:rFonts w:ascii="宋体" w:hAnsi="宋体"/>
          <w:b/>
          <w:iCs/>
          <w:sz w:val="36"/>
        </w:rPr>
      </w:pPr>
      <w:r>
        <w:rPr>
          <w:rFonts w:ascii="宋体" w:hAnsi="宋体"/>
          <w:b/>
          <w:iCs/>
          <w:sz w:val="36"/>
        </w:rPr>
        <w:t>第</w:t>
      </w:r>
      <w:r>
        <w:rPr>
          <w:rFonts w:hint="eastAsia" w:ascii="宋体" w:hAnsi="宋体"/>
          <w:b/>
          <w:iCs/>
          <w:sz w:val="36"/>
        </w:rPr>
        <w:t>三</w:t>
      </w:r>
      <w:r>
        <w:rPr>
          <w:rFonts w:ascii="宋体" w:hAnsi="宋体"/>
          <w:b/>
          <w:iCs/>
          <w:sz w:val="36"/>
        </w:rPr>
        <w:t>章</w:t>
      </w:r>
      <w:r>
        <w:rPr>
          <w:rFonts w:hint="eastAsia" w:ascii="宋体" w:hAnsi="宋体"/>
          <w:b/>
          <w:iCs/>
          <w:sz w:val="36"/>
        </w:rPr>
        <w:t>：</w:t>
      </w:r>
      <w:r>
        <w:rPr>
          <w:rFonts w:ascii="宋体" w:hAnsi="宋体"/>
          <w:b/>
          <w:iCs/>
          <w:sz w:val="36"/>
        </w:rPr>
        <w:t>合同样</w:t>
      </w:r>
      <w:r>
        <w:rPr>
          <w:rFonts w:hint="eastAsia" w:ascii="宋体" w:hAnsi="宋体"/>
          <w:b/>
          <w:iCs/>
          <w:sz w:val="36"/>
        </w:rPr>
        <w:t>本</w:t>
      </w:r>
    </w:p>
    <w:p w14:paraId="5310E2E8">
      <w:pPr>
        <w:jc w:val="center"/>
        <w:rPr>
          <w:rFonts w:ascii="宋体" w:hAnsi="宋体"/>
          <w:b/>
          <w:iCs/>
          <w:sz w:val="36"/>
        </w:rPr>
      </w:pPr>
      <w:r>
        <w:rPr>
          <w:rFonts w:hint="eastAsia" w:ascii="宋体" w:hAnsi="宋体"/>
          <w:b/>
          <w:iCs/>
          <w:sz w:val="36"/>
        </w:rPr>
        <w:t>防暑降温冰块采购合同</w:t>
      </w:r>
    </w:p>
    <w:p w14:paraId="34BD9323">
      <w:pPr>
        <w:spacing w:line="360" w:lineRule="auto"/>
        <w:ind w:firstLine="420" w:firstLineChars="200"/>
        <w:rPr>
          <w:rFonts w:ascii="宋体" w:hAnsi="宋体"/>
          <w:szCs w:val="21"/>
        </w:rPr>
      </w:pPr>
      <w:r>
        <w:rPr>
          <w:rFonts w:hint="eastAsia" w:ascii="宋体" w:hAnsi="宋体"/>
          <w:szCs w:val="21"/>
        </w:rPr>
        <w:t>甲方:中国重汽集团济宁商用车有限公司</w:t>
      </w:r>
    </w:p>
    <w:p w14:paraId="5307ADFA">
      <w:pPr>
        <w:spacing w:line="360" w:lineRule="auto"/>
        <w:ind w:firstLine="420" w:firstLineChars="200"/>
        <w:rPr>
          <w:rFonts w:ascii="宋体" w:hAnsi="宋体"/>
          <w:szCs w:val="21"/>
        </w:rPr>
      </w:pPr>
      <w:r>
        <w:rPr>
          <w:rFonts w:hint="eastAsia" w:ascii="宋体" w:hAnsi="宋体"/>
          <w:szCs w:val="21"/>
        </w:rPr>
        <w:t>乙方:</w:t>
      </w:r>
    </w:p>
    <w:p w14:paraId="64267C30">
      <w:pPr>
        <w:spacing w:line="360" w:lineRule="auto"/>
        <w:ind w:firstLine="420" w:firstLineChars="200"/>
        <w:rPr>
          <w:rFonts w:ascii="宋体" w:hAnsi="宋体"/>
          <w:szCs w:val="21"/>
        </w:rPr>
      </w:pPr>
      <w:r>
        <w:rPr>
          <w:rFonts w:hint="eastAsia" w:ascii="宋体" w:hAnsi="宋体"/>
          <w:szCs w:val="21"/>
        </w:rPr>
        <w:t>签订地点:山东省济宁市</w:t>
      </w:r>
    </w:p>
    <w:p w14:paraId="2CE6013B">
      <w:pPr>
        <w:spacing w:line="360" w:lineRule="auto"/>
        <w:ind w:firstLine="420" w:firstLineChars="200"/>
        <w:rPr>
          <w:rFonts w:ascii="宋体" w:hAnsi="宋体"/>
          <w:szCs w:val="21"/>
        </w:rPr>
      </w:pPr>
      <w:r>
        <w:rPr>
          <w:rFonts w:hint="eastAsia" w:ascii="宋体" w:hAnsi="宋体"/>
          <w:szCs w:val="21"/>
        </w:rPr>
        <w:t>根据甲方需求和乙方意向，按互利共赢、真诚合作的原则，经甲乙双方共同协商，签订《防暑降温物资采购合同》（以下简称本合同），双方共同信守。</w:t>
      </w:r>
    </w:p>
    <w:p w14:paraId="40BFF860">
      <w:pPr>
        <w:spacing w:line="360" w:lineRule="auto"/>
        <w:ind w:firstLine="420" w:firstLineChars="200"/>
        <w:rPr>
          <w:rFonts w:ascii="宋体" w:hAnsi="宋体"/>
          <w:szCs w:val="21"/>
        </w:rPr>
      </w:pPr>
      <w:r>
        <w:rPr>
          <w:rFonts w:hint="eastAsia" w:ascii="宋体" w:hAnsi="宋体"/>
          <w:szCs w:val="21"/>
        </w:rPr>
        <w:t>一、产品名称及单价:</w:t>
      </w:r>
    </w:p>
    <w:tbl>
      <w:tblPr>
        <w:tblStyle w:val="16"/>
        <w:tblW w:w="892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42"/>
        <w:gridCol w:w="2030"/>
        <w:gridCol w:w="1985"/>
        <w:gridCol w:w="1417"/>
        <w:gridCol w:w="1418"/>
        <w:gridCol w:w="1134"/>
      </w:tblGrid>
      <w:tr w14:paraId="5B2A38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9" w:hRule="atLeast"/>
          <w:jc w:val="center"/>
        </w:trPr>
        <w:tc>
          <w:tcPr>
            <w:tcW w:w="942" w:type="dxa"/>
            <w:vAlign w:val="center"/>
          </w:tcPr>
          <w:p w14:paraId="5B51D0E7">
            <w:pPr>
              <w:spacing w:after="200" w:line="360" w:lineRule="auto"/>
              <w:jc w:val="center"/>
              <w:rPr>
                <w:rFonts w:ascii="宋体" w:hAnsi="Courier New"/>
                <w:szCs w:val="22"/>
              </w:rPr>
            </w:pPr>
            <w:r>
              <w:rPr>
                <w:rFonts w:hint="eastAsia" w:ascii="宋体" w:hAnsi="Courier New"/>
                <w:szCs w:val="22"/>
              </w:rPr>
              <w:t>序号</w:t>
            </w:r>
          </w:p>
        </w:tc>
        <w:tc>
          <w:tcPr>
            <w:tcW w:w="2030" w:type="dxa"/>
            <w:vAlign w:val="center"/>
          </w:tcPr>
          <w:p w14:paraId="5A818D80">
            <w:pPr>
              <w:spacing w:after="200" w:line="360" w:lineRule="auto"/>
              <w:jc w:val="center"/>
              <w:rPr>
                <w:rFonts w:ascii="宋体" w:hAnsi="Courier New"/>
                <w:szCs w:val="22"/>
              </w:rPr>
            </w:pPr>
            <w:r>
              <w:rPr>
                <w:rFonts w:hint="eastAsia" w:ascii="宋体" w:hAnsi="Courier New"/>
                <w:szCs w:val="22"/>
              </w:rPr>
              <w:t>防暑降温物资名称</w:t>
            </w:r>
          </w:p>
        </w:tc>
        <w:tc>
          <w:tcPr>
            <w:tcW w:w="1985" w:type="dxa"/>
            <w:vAlign w:val="center"/>
          </w:tcPr>
          <w:p w14:paraId="7F3BD66E">
            <w:pPr>
              <w:spacing w:after="200" w:line="360" w:lineRule="auto"/>
              <w:jc w:val="center"/>
              <w:rPr>
                <w:rFonts w:ascii="宋体" w:hAnsi="Courier New"/>
                <w:szCs w:val="22"/>
              </w:rPr>
            </w:pPr>
            <w:r>
              <w:rPr>
                <w:rFonts w:hint="eastAsia" w:ascii="宋体" w:hAnsi="Courier New"/>
                <w:szCs w:val="22"/>
              </w:rPr>
              <w:t>规格</w:t>
            </w:r>
          </w:p>
        </w:tc>
        <w:tc>
          <w:tcPr>
            <w:tcW w:w="1417" w:type="dxa"/>
            <w:vAlign w:val="center"/>
          </w:tcPr>
          <w:p w14:paraId="2EDBE7AA">
            <w:pPr>
              <w:spacing w:after="200" w:line="360" w:lineRule="auto"/>
              <w:jc w:val="center"/>
              <w:rPr>
                <w:rFonts w:ascii="宋体" w:hAnsi="Courier New"/>
                <w:szCs w:val="22"/>
              </w:rPr>
            </w:pPr>
            <w:r>
              <w:rPr>
                <w:rFonts w:ascii="宋体" w:hAnsi="Courier New"/>
                <w:szCs w:val="22"/>
              </w:rPr>
              <w:t>不含税单价</w:t>
            </w:r>
          </w:p>
        </w:tc>
        <w:tc>
          <w:tcPr>
            <w:tcW w:w="1418" w:type="dxa"/>
            <w:vAlign w:val="center"/>
          </w:tcPr>
          <w:p w14:paraId="7FF94F44">
            <w:pPr>
              <w:spacing w:after="200" w:line="360" w:lineRule="auto"/>
              <w:jc w:val="center"/>
              <w:rPr>
                <w:rFonts w:ascii="宋体" w:hAnsi="Courier New"/>
                <w:szCs w:val="22"/>
              </w:rPr>
            </w:pPr>
            <w:r>
              <w:rPr>
                <w:rFonts w:hint="eastAsia" w:ascii="宋体" w:hAnsi="Courier New"/>
                <w:szCs w:val="22"/>
              </w:rPr>
              <w:t>预计需求量</w:t>
            </w:r>
          </w:p>
        </w:tc>
        <w:tc>
          <w:tcPr>
            <w:tcW w:w="1134" w:type="dxa"/>
            <w:vAlign w:val="center"/>
          </w:tcPr>
          <w:p w14:paraId="1BD6B5FB">
            <w:pPr>
              <w:spacing w:after="200" w:line="360" w:lineRule="auto"/>
              <w:jc w:val="center"/>
              <w:rPr>
                <w:rFonts w:ascii="宋体" w:hAnsi="Courier New"/>
                <w:szCs w:val="22"/>
              </w:rPr>
            </w:pPr>
            <w:r>
              <w:rPr>
                <w:rFonts w:hint="eastAsia" w:ascii="宋体" w:hAnsi="Courier New"/>
                <w:szCs w:val="22"/>
              </w:rPr>
              <w:t>备注</w:t>
            </w:r>
          </w:p>
        </w:tc>
      </w:tr>
      <w:tr w14:paraId="0E3344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1" w:hRule="atLeast"/>
          <w:jc w:val="center"/>
        </w:trPr>
        <w:tc>
          <w:tcPr>
            <w:tcW w:w="942" w:type="dxa"/>
            <w:vAlign w:val="center"/>
          </w:tcPr>
          <w:p w14:paraId="628E9761">
            <w:pPr>
              <w:spacing w:after="200" w:line="360" w:lineRule="auto"/>
              <w:ind w:firstLine="420" w:firstLineChars="200"/>
              <w:rPr>
                <w:rFonts w:ascii="宋体" w:hAnsi="Courier New"/>
                <w:szCs w:val="22"/>
              </w:rPr>
            </w:pPr>
            <w:r>
              <w:rPr>
                <w:rFonts w:hint="eastAsia" w:ascii="宋体" w:hAnsi="Courier New"/>
                <w:szCs w:val="22"/>
              </w:rPr>
              <w:t>1</w:t>
            </w:r>
          </w:p>
        </w:tc>
        <w:tc>
          <w:tcPr>
            <w:tcW w:w="2030" w:type="dxa"/>
            <w:vAlign w:val="center"/>
          </w:tcPr>
          <w:p w14:paraId="409DA4DE">
            <w:pPr>
              <w:spacing w:after="200" w:line="360" w:lineRule="auto"/>
              <w:ind w:firstLine="420" w:firstLineChars="200"/>
              <w:rPr>
                <w:rFonts w:ascii="宋体" w:hAnsi="Courier New"/>
                <w:szCs w:val="22"/>
              </w:rPr>
            </w:pPr>
            <w:r>
              <w:rPr>
                <w:rFonts w:hint="eastAsia" w:ascii="宋体" w:hAnsi="Courier New"/>
                <w:szCs w:val="22"/>
              </w:rPr>
              <w:t>大冰块</w:t>
            </w:r>
          </w:p>
        </w:tc>
        <w:tc>
          <w:tcPr>
            <w:tcW w:w="1985" w:type="dxa"/>
            <w:vAlign w:val="center"/>
          </w:tcPr>
          <w:p w14:paraId="129B2F8D">
            <w:pPr>
              <w:spacing w:after="200" w:line="360" w:lineRule="auto"/>
              <w:rPr>
                <w:rFonts w:ascii="宋体" w:hAnsi="Courier New"/>
                <w:szCs w:val="22"/>
              </w:rPr>
            </w:pPr>
            <w:r>
              <w:rPr>
                <w:rFonts w:ascii="宋体" w:hAnsi="Courier New"/>
                <w:szCs w:val="22"/>
              </w:rPr>
              <w:t>80</w:t>
            </w:r>
            <w:r>
              <w:rPr>
                <w:rFonts w:hint="eastAsia" w:ascii="宋体" w:hAnsi="Courier New"/>
                <w:szCs w:val="22"/>
              </w:rPr>
              <w:t>㎝*</w:t>
            </w:r>
            <w:r>
              <w:rPr>
                <w:rFonts w:ascii="宋体" w:hAnsi="Courier New"/>
                <w:szCs w:val="22"/>
              </w:rPr>
              <w:t>30</w:t>
            </w:r>
            <w:r>
              <w:rPr>
                <w:rFonts w:hint="eastAsia" w:ascii="宋体" w:hAnsi="Courier New"/>
                <w:szCs w:val="22"/>
              </w:rPr>
              <w:t>㎝*</w:t>
            </w:r>
            <w:r>
              <w:rPr>
                <w:rFonts w:ascii="宋体" w:hAnsi="Courier New"/>
                <w:szCs w:val="22"/>
              </w:rPr>
              <w:t>13.5</w:t>
            </w:r>
            <w:r>
              <w:rPr>
                <w:rFonts w:hint="eastAsia" w:ascii="宋体" w:hAnsi="Courier New"/>
                <w:szCs w:val="22"/>
              </w:rPr>
              <w:t>㎝</w:t>
            </w:r>
          </w:p>
        </w:tc>
        <w:tc>
          <w:tcPr>
            <w:tcW w:w="1417" w:type="dxa"/>
            <w:vAlign w:val="center"/>
          </w:tcPr>
          <w:p w14:paraId="342D71A3">
            <w:pPr>
              <w:spacing w:after="200" w:line="360" w:lineRule="auto"/>
              <w:ind w:firstLine="420" w:firstLineChars="200"/>
              <w:rPr>
                <w:rFonts w:ascii="宋体" w:hAnsi="Courier New"/>
                <w:szCs w:val="22"/>
              </w:rPr>
            </w:pPr>
          </w:p>
        </w:tc>
        <w:tc>
          <w:tcPr>
            <w:tcW w:w="1418" w:type="dxa"/>
            <w:vAlign w:val="center"/>
          </w:tcPr>
          <w:p w14:paraId="238CB199">
            <w:pPr>
              <w:spacing w:after="200" w:line="360" w:lineRule="auto"/>
              <w:ind w:firstLine="420" w:firstLineChars="200"/>
              <w:rPr>
                <w:rFonts w:ascii="宋体" w:hAnsi="Courier New"/>
                <w:szCs w:val="22"/>
              </w:rPr>
            </w:pPr>
            <w:r>
              <w:rPr>
                <w:rFonts w:hint="eastAsia" w:ascii="宋体" w:hAnsi="Courier New"/>
                <w:szCs w:val="22"/>
                <w:lang w:val="en-US" w:eastAsia="zh-CN"/>
              </w:rPr>
              <w:t>5340</w:t>
            </w:r>
            <w:r>
              <w:rPr>
                <w:rFonts w:hint="eastAsia" w:ascii="宋体" w:hAnsi="Courier New"/>
                <w:szCs w:val="22"/>
              </w:rPr>
              <w:t>块</w:t>
            </w:r>
          </w:p>
        </w:tc>
        <w:tc>
          <w:tcPr>
            <w:tcW w:w="1134" w:type="dxa"/>
            <w:vAlign w:val="center"/>
          </w:tcPr>
          <w:p w14:paraId="7B4B850E">
            <w:pPr>
              <w:spacing w:after="200" w:line="240" w:lineRule="auto"/>
              <w:rPr>
                <w:rFonts w:ascii="宋体" w:hAnsi="Courier New"/>
                <w:szCs w:val="22"/>
              </w:rPr>
            </w:pPr>
            <w:r>
              <w:rPr>
                <w:rFonts w:hint="eastAsia" w:ascii="宋体" w:hAnsi="Courier New"/>
                <w:szCs w:val="22"/>
              </w:rPr>
              <w:t>据实结算</w:t>
            </w:r>
          </w:p>
          <w:p w14:paraId="7FC5D3BB">
            <w:pPr>
              <w:spacing w:after="200" w:line="240" w:lineRule="auto"/>
              <w:rPr>
                <w:rFonts w:ascii="宋体" w:hAnsi="Courier New"/>
                <w:szCs w:val="22"/>
              </w:rPr>
            </w:pPr>
            <w:r>
              <w:rPr>
                <w:rFonts w:hint="eastAsia" w:ascii="宋体" w:hAnsi="Courier New"/>
                <w:szCs w:val="22"/>
              </w:rPr>
              <w:t>不低于前述规格</w:t>
            </w:r>
          </w:p>
        </w:tc>
      </w:tr>
    </w:tbl>
    <w:p w14:paraId="4A054F86">
      <w:pPr>
        <w:rPr>
          <w:rFonts w:ascii="宋体" w:hAnsi="宋体"/>
          <w:szCs w:val="21"/>
        </w:rPr>
      </w:pPr>
      <w:r>
        <w:rPr>
          <w:rFonts w:hint="eastAsia" w:ascii="宋体" w:hAnsi="宋体"/>
          <w:szCs w:val="21"/>
        </w:rPr>
        <w:t>二、产品质量:</w:t>
      </w:r>
    </w:p>
    <w:p w14:paraId="629AC88E">
      <w:pPr>
        <w:spacing w:line="360" w:lineRule="auto"/>
        <w:ind w:firstLine="420" w:firstLineChars="200"/>
        <w:rPr>
          <w:rFonts w:ascii="宋体" w:hAnsi="宋体"/>
          <w:szCs w:val="21"/>
        </w:rPr>
      </w:pPr>
      <w:r>
        <w:rPr>
          <w:rFonts w:hint="eastAsia" w:ascii="宋体" w:hAnsi="宋体"/>
          <w:szCs w:val="21"/>
        </w:rPr>
        <w:t>1.内在质量: 保证产品质量，最近批次生产产品，对人体没有</w:t>
      </w:r>
      <w:r>
        <w:rPr>
          <w:rFonts w:hint="eastAsia" w:ascii="宋体" w:hAnsi="宋体"/>
          <w:szCs w:val="21"/>
          <w:lang w:val="en-US" w:eastAsia="zh-CN"/>
        </w:rPr>
        <w:t>有害成分</w:t>
      </w:r>
      <w:r>
        <w:rPr>
          <w:rFonts w:hint="eastAsia" w:ascii="宋体" w:hAnsi="宋体"/>
          <w:szCs w:val="21"/>
        </w:rPr>
        <w:t>。</w:t>
      </w:r>
    </w:p>
    <w:p w14:paraId="7D68E816">
      <w:pPr>
        <w:spacing w:line="360" w:lineRule="auto"/>
        <w:ind w:firstLine="420" w:firstLineChars="200"/>
        <w:rPr>
          <w:rFonts w:ascii="宋体" w:hAnsi="宋体"/>
          <w:szCs w:val="21"/>
        </w:rPr>
      </w:pPr>
      <w:r>
        <w:rPr>
          <w:rFonts w:hint="eastAsia" w:ascii="宋体" w:hAnsi="宋体"/>
          <w:szCs w:val="21"/>
        </w:rPr>
        <w:t>2.外观质量:</w:t>
      </w:r>
      <w:r>
        <w:rPr>
          <w:rFonts w:ascii="宋体" w:hAnsi="宋体"/>
          <w:szCs w:val="21"/>
        </w:rPr>
        <w:t xml:space="preserve"> </w:t>
      </w:r>
      <w:r>
        <w:rPr>
          <w:rFonts w:hint="eastAsia" w:ascii="宋体" w:hAnsi="宋体"/>
          <w:szCs w:val="21"/>
        </w:rPr>
        <w:t>规格尺寸要求包装完好且无熔化变形等，保证产品质量，对人体没有伤害。</w:t>
      </w:r>
    </w:p>
    <w:p w14:paraId="1BFEEF8E">
      <w:pPr>
        <w:spacing w:line="360" w:lineRule="auto"/>
        <w:rPr>
          <w:rFonts w:ascii="宋体" w:hAnsi="宋体"/>
          <w:szCs w:val="21"/>
        </w:rPr>
      </w:pPr>
      <w:r>
        <w:rPr>
          <w:rFonts w:hint="eastAsia" w:ascii="宋体" w:hAnsi="宋体"/>
          <w:szCs w:val="21"/>
        </w:rPr>
        <w:t>三、供货时间:</w:t>
      </w:r>
    </w:p>
    <w:p w14:paraId="16761721">
      <w:pPr>
        <w:spacing w:line="360" w:lineRule="auto"/>
        <w:ind w:firstLine="420" w:firstLineChars="200"/>
        <w:rPr>
          <w:rFonts w:ascii="宋体" w:hAnsi="宋体"/>
          <w:szCs w:val="21"/>
        </w:rPr>
      </w:pPr>
      <w:r>
        <w:rPr>
          <w:rFonts w:hint="eastAsia" w:ascii="宋体" w:hAnsi="宋体"/>
          <w:szCs w:val="21"/>
        </w:rPr>
        <w:t>乙方按照甲方要求的时间送至甲方指定地点，运费由乙方承担并承担运输过程中的毁损、灭失风险，每延迟一天，按逾期交货部分货款总额的3%向甲方支付违约金。(如因天气因素不能按时交货需与甲方协商解决)。</w:t>
      </w:r>
    </w:p>
    <w:p w14:paraId="7C6766E5">
      <w:pPr>
        <w:spacing w:line="360" w:lineRule="auto"/>
        <w:rPr>
          <w:rFonts w:ascii="宋体" w:hAnsi="宋体"/>
          <w:szCs w:val="21"/>
        </w:rPr>
      </w:pPr>
      <w:r>
        <w:rPr>
          <w:rFonts w:hint="eastAsia" w:ascii="宋体" w:hAnsi="宋体"/>
          <w:szCs w:val="21"/>
        </w:rPr>
        <w:t>四、付款方式:</w:t>
      </w:r>
    </w:p>
    <w:p w14:paraId="600905EA">
      <w:pPr>
        <w:tabs>
          <w:tab w:val="left" w:pos="0"/>
        </w:tabs>
        <w:spacing w:line="360" w:lineRule="auto"/>
        <w:ind w:firstLine="420" w:firstLineChars="200"/>
        <w:rPr>
          <w:rFonts w:ascii="宋体" w:hAnsi="宋体"/>
          <w:szCs w:val="21"/>
        </w:rPr>
      </w:pPr>
      <w:r>
        <w:rPr>
          <w:rFonts w:hint="eastAsia" w:ascii="宋体" w:hAnsi="Courier New" w:eastAsia="宋体" w:cs="Times New Roman"/>
          <w:color w:val="000000"/>
          <w:kern w:val="2"/>
          <w:sz w:val="21"/>
          <w:lang w:val="en-US" w:eastAsia="zh-CN" w:bidi="ar-SA"/>
        </w:rPr>
        <w:t>实行先送货后结账方式，次月十日前甲乙双方对上月冰块采购数量核对无误后，乙方据此向甲方开具正规增值税发票，甲方在收到发票审核无误挂账当月以电汇方式向乙方付款</w:t>
      </w:r>
      <w:r>
        <w:rPr>
          <w:rFonts w:hint="eastAsia" w:ascii="宋体" w:hAnsi="宋体"/>
          <w:szCs w:val="21"/>
        </w:rPr>
        <w:t>。</w:t>
      </w:r>
    </w:p>
    <w:p w14:paraId="4D170D2E">
      <w:pPr>
        <w:spacing w:line="360" w:lineRule="auto"/>
        <w:ind w:firstLine="420" w:firstLineChars="200"/>
        <w:rPr>
          <w:rFonts w:ascii="宋体" w:hAnsi="宋体"/>
          <w:szCs w:val="21"/>
        </w:rPr>
      </w:pPr>
      <w:r>
        <w:rPr>
          <w:rFonts w:ascii="宋体" w:hAnsi="宋体"/>
          <w:szCs w:val="21"/>
        </w:rPr>
        <w:t>支付方式</w:t>
      </w:r>
      <w:r>
        <w:rPr>
          <w:rFonts w:hint="eastAsia" w:ascii="宋体" w:hAnsi="宋体"/>
          <w:szCs w:val="21"/>
        </w:rPr>
        <w:t>：电汇</w:t>
      </w:r>
      <w:r>
        <w:rPr>
          <w:rFonts w:ascii="宋体" w:hAnsi="宋体"/>
          <w:szCs w:val="21"/>
        </w:rPr>
        <w:t>。</w:t>
      </w:r>
    </w:p>
    <w:p w14:paraId="0D0C6329">
      <w:pPr>
        <w:spacing w:line="360" w:lineRule="auto"/>
        <w:rPr>
          <w:rFonts w:ascii="宋体" w:hAnsi="宋体"/>
          <w:szCs w:val="21"/>
        </w:rPr>
      </w:pPr>
      <w:r>
        <w:rPr>
          <w:rFonts w:hint="eastAsia" w:ascii="宋体" w:hAnsi="宋体"/>
          <w:szCs w:val="21"/>
        </w:rPr>
        <w:t>五、针对环境与职业健康安全管理体系的承诺:</w:t>
      </w:r>
    </w:p>
    <w:p w14:paraId="070F69D1">
      <w:pPr>
        <w:spacing w:line="360" w:lineRule="auto"/>
        <w:ind w:firstLine="420" w:firstLineChars="200"/>
        <w:rPr>
          <w:rFonts w:ascii="宋体" w:hAnsi="宋体"/>
          <w:szCs w:val="21"/>
        </w:rPr>
      </w:pPr>
      <w:r>
        <w:rPr>
          <w:rFonts w:hint="eastAsia" w:ascii="宋体" w:hAnsi="宋体"/>
          <w:szCs w:val="21"/>
        </w:rPr>
        <w:t>乙方根据环境与职业健康安全管理体系对所提供物资的要求做出以下承诺:</w:t>
      </w:r>
    </w:p>
    <w:p w14:paraId="672E26ED">
      <w:pPr>
        <w:spacing w:line="360" w:lineRule="auto"/>
        <w:ind w:firstLine="420" w:firstLineChars="200"/>
        <w:rPr>
          <w:rFonts w:ascii="宋体" w:hAnsi="宋体"/>
          <w:szCs w:val="21"/>
        </w:rPr>
      </w:pPr>
      <w:r>
        <w:rPr>
          <w:rFonts w:hint="eastAsia" w:ascii="宋体" w:hAnsi="宋体"/>
          <w:szCs w:val="21"/>
        </w:rPr>
        <w:t>1.承诺遵守国家和地方有关职业健康安全、环境保护的法律法规及其他要求;</w:t>
      </w:r>
    </w:p>
    <w:p w14:paraId="1963349A">
      <w:pPr>
        <w:spacing w:line="360" w:lineRule="auto"/>
        <w:ind w:firstLine="420" w:firstLineChars="200"/>
        <w:rPr>
          <w:rFonts w:ascii="宋体" w:hAnsi="宋体"/>
          <w:szCs w:val="21"/>
        </w:rPr>
      </w:pPr>
      <w:r>
        <w:rPr>
          <w:rFonts w:hint="eastAsia" w:ascii="宋体" w:hAnsi="宋体"/>
          <w:szCs w:val="21"/>
        </w:rPr>
        <w:t>2.承诺对所提供的物资及服务可能产生的环境影响和职业健康安全风险进行全过程控制，并防止上述风险的发生。</w:t>
      </w:r>
    </w:p>
    <w:p w14:paraId="14D7DB84">
      <w:pPr>
        <w:spacing w:line="360" w:lineRule="auto"/>
        <w:ind w:firstLine="420" w:firstLineChars="200"/>
        <w:rPr>
          <w:rFonts w:ascii="宋体" w:hAnsi="宋体"/>
          <w:szCs w:val="21"/>
        </w:rPr>
      </w:pPr>
      <w:r>
        <w:rPr>
          <w:rFonts w:hint="eastAsia" w:ascii="宋体" w:hAnsi="宋体"/>
          <w:szCs w:val="21"/>
        </w:rPr>
        <w:t>3.坚持和谐发展，创造企业内部安全、健康的工作环境，承担企业的社会责任，做社会的有益成员。</w:t>
      </w:r>
    </w:p>
    <w:p w14:paraId="191E66EE">
      <w:pPr>
        <w:spacing w:line="360" w:lineRule="auto"/>
        <w:rPr>
          <w:rFonts w:ascii="宋体" w:hAnsi="宋体"/>
          <w:szCs w:val="21"/>
        </w:rPr>
      </w:pPr>
      <w:r>
        <w:rPr>
          <w:rFonts w:hint="eastAsia" w:ascii="宋体" w:hAnsi="宋体"/>
          <w:szCs w:val="21"/>
        </w:rPr>
        <w:t>六、权利义务及违约责任</w:t>
      </w:r>
    </w:p>
    <w:p w14:paraId="233F8778">
      <w:pPr>
        <w:spacing w:line="360" w:lineRule="auto"/>
        <w:ind w:firstLine="420" w:firstLineChars="200"/>
        <w:rPr>
          <w:rFonts w:ascii="宋体" w:hAnsi="宋体"/>
          <w:szCs w:val="21"/>
        </w:rPr>
      </w:pPr>
      <w:r>
        <w:rPr>
          <w:rFonts w:hint="eastAsia" w:ascii="宋体" w:hAnsi="宋体"/>
          <w:szCs w:val="21"/>
        </w:rPr>
        <w:t>1.乙方应提供给甲方符合相关要求标准的防暑降温物资，如质量和重量与本协议不符，违约金为货款总值的10%-20%，且甲方可提出要求补足，乙方承担由此而造成的一切损失。</w:t>
      </w:r>
    </w:p>
    <w:p w14:paraId="63965F0E">
      <w:pPr>
        <w:spacing w:line="360" w:lineRule="auto"/>
        <w:ind w:firstLine="420" w:firstLineChars="200"/>
        <w:rPr>
          <w:rFonts w:ascii="宋体" w:hAnsi="宋体"/>
          <w:szCs w:val="21"/>
        </w:rPr>
      </w:pPr>
      <w:r>
        <w:rPr>
          <w:rFonts w:hint="eastAsia" w:ascii="宋体" w:hAnsi="宋体"/>
          <w:szCs w:val="21"/>
        </w:rPr>
        <w:t>2.乙方不能按时交货的，应向甲方偿付违约金，违约金为不能交货部分货款总值的10%-20%。由于违约给对方造成的损失超过违约金的，还应进行赔偿。</w:t>
      </w:r>
    </w:p>
    <w:p w14:paraId="46C3DE66">
      <w:pPr>
        <w:spacing w:line="360" w:lineRule="auto"/>
        <w:ind w:firstLine="420" w:firstLineChars="200"/>
        <w:rPr>
          <w:rFonts w:ascii="宋体" w:hAnsi="宋体"/>
          <w:szCs w:val="21"/>
        </w:rPr>
      </w:pPr>
      <w:r>
        <w:rPr>
          <w:rFonts w:hint="eastAsia" w:ascii="宋体" w:hAnsi="宋体"/>
          <w:szCs w:val="21"/>
        </w:rPr>
        <w:t>3.乙方确保提供货品质量符合国家卫生标准及本合同要求。如因食用乙方提供货品，造成甲方员工身体受到伤害，乙方应进行赔偿，乙方承担甲方所有损失费用。</w:t>
      </w:r>
    </w:p>
    <w:p w14:paraId="17A18D51">
      <w:pPr>
        <w:spacing w:line="360" w:lineRule="auto"/>
        <w:rPr>
          <w:rFonts w:ascii="宋体" w:hAnsi="宋体"/>
          <w:szCs w:val="21"/>
        </w:rPr>
      </w:pPr>
      <w:r>
        <w:rPr>
          <w:rFonts w:hint="eastAsia" w:ascii="宋体" w:hAnsi="宋体"/>
          <w:szCs w:val="21"/>
        </w:rPr>
        <w:t>七、解决合同纠纷方式</w:t>
      </w:r>
    </w:p>
    <w:p w14:paraId="3C4B2BB4">
      <w:pPr>
        <w:spacing w:line="360" w:lineRule="auto"/>
        <w:ind w:firstLine="420" w:firstLineChars="200"/>
        <w:rPr>
          <w:rFonts w:ascii="宋体" w:hAnsi="宋体"/>
          <w:szCs w:val="21"/>
        </w:rPr>
      </w:pPr>
      <w:r>
        <w:rPr>
          <w:rFonts w:hint="eastAsia" w:ascii="宋体" w:hAnsi="宋体"/>
          <w:szCs w:val="21"/>
        </w:rPr>
        <w:t>双方协商解决或向甲方所在地人民法院提起诉讼。</w:t>
      </w:r>
    </w:p>
    <w:p w14:paraId="45C881BF">
      <w:pPr>
        <w:numPr>
          <w:ilvl w:val="0"/>
          <w:numId w:val="1"/>
        </w:numPr>
        <w:spacing w:line="360" w:lineRule="auto"/>
        <w:rPr>
          <w:rFonts w:hint="eastAsia" w:ascii="宋体" w:hAnsi="宋体"/>
          <w:szCs w:val="21"/>
        </w:rPr>
      </w:pPr>
      <w:r>
        <w:rPr>
          <w:rFonts w:hint="eastAsia" w:ascii="宋体" w:hAnsi="宋体"/>
          <w:szCs w:val="21"/>
        </w:rPr>
        <w:t>本合同有效期自202</w:t>
      </w:r>
      <w:r>
        <w:rPr>
          <w:rFonts w:hint="eastAsia" w:ascii="宋体" w:hAnsi="宋体"/>
          <w:szCs w:val="21"/>
          <w:lang w:val="en-US" w:eastAsia="zh-CN"/>
        </w:rPr>
        <w:t>5</w:t>
      </w:r>
      <w:r>
        <w:rPr>
          <w:rFonts w:hint="eastAsia" w:ascii="宋体" w:hAnsi="宋体"/>
          <w:szCs w:val="21"/>
        </w:rPr>
        <w:t>年</w:t>
      </w:r>
      <w:r>
        <w:rPr>
          <w:rFonts w:ascii="宋体" w:hAnsi="宋体"/>
          <w:szCs w:val="21"/>
        </w:rPr>
        <w:t>6</w:t>
      </w:r>
      <w:r>
        <w:rPr>
          <w:rFonts w:hint="eastAsia" w:ascii="宋体" w:hAnsi="宋体"/>
          <w:szCs w:val="21"/>
        </w:rPr>
        <w:t>月</w:t>
      </w:r>
      <w:r>
        <w:rPr>
          <w:rFonts w:hint="eastAsia" w:ascii="宋体" w:hAnsi="宋体"/>
          <w:szCs w:val="21"/>
          <w:lang w:val="en-US" w:eastAsia="zh-CN"/>
        </w:rPr>
        <w:t>1</w:t>
      </w:r>
      <w:r>
        <w:rPr>
          <w:rFonts w:hint="eastAsia" w:ascii="宋体" w:hAnsi="宋体"/>
          <w:szCs w:val="21"/>
        </w:rPr>
        <w:t>日至202</w:t>
      </w:r>
      <w:r>
        <w:rPr>
          <w:rFonts w:hint="eastAsia" w:ascii="宋体" w:hAnsi="宋体"/>
          <w:szCs w:val="21"/>
          <w:lang w:val="en-US" w:eastAsia="zh-CN"/>
        </w:rPr>
        <w:t>6</w:t>
      </w:r>
      <w:r>
        <w:rPr>
          <w:rFonts w:hint="eastAsia" w:ascii="宋体" w:hAnsi="宋体"/>
          <w:szCs w:val="21"/>
        </w:rPr>
        <w:t>年</w:t>
      </w:r>
      <w:r>
        <w:rPr>
          <w:rFonts w:ascii="宋体" w:hAnsi="宋体"/>
          <w:szCs w:val="21"/>
        </w:rPr>
        <w:t>6</w:t>
      </w:r>
      <w:r>
        <w:rPr>
          <w:rFonts w:hint="eastAsia" w:ascii="宋体" w:hAnsi="宋体"/>
          <w:szCs w:val="21"/>
        </w:rPr>
        <w:t>月</w:t>
      </w:r>
      <w:r>
        <w:rPr>
          <w:rFonts w:hint="eastAsia" w:ascii="宋体" w:hAnsi="宋体"/>
          <w:szCs w:val="21"/>
          <w:lang w:val="en-US" w:eastAsia="zh-CN"/>
        </w:rPr>
        <w:t>1</w:t>
      </w:r>
      <w:r>
        <w:rPr>
          <w:rFonts w:hint="eastAsia" w:ascii="宋体" w:hAnsi="宋体"/>
          <w:szCs w:val="21"/>
        </w:rPr>
        <w:t>日。合同一式四份，甲执三份，乙方执一份。本合同双方签字、盖章生效。</w:t>
      </w:r>
    </w:p>
    <w:p w14:paraId="20816D0A">
      <w:pPr>
        <w:pStyle w:val="2"/>
        <w:keepNext w:val="0"/>
        <w:keepLines w:val="0"/>
        <w:pageBreakBefore w:val="0"/>
        <w:widowControl w:val="0"/>
        <w:numPr>
          <w:ilvl w:val="0"/>
          <w:numId w:val="0"/>
        </w:numPr>
        <w:kinsoku/>
        <w:wordWrap/>
        <w:overflowPunct/>
        <w:topLinePunct w:val="0"/>
        <w:autoSpaceDE/>
        <w:autoSpaceDN/>
        <w:bidi w:val="0"/>
        <w:adjustRightInd/>
        <w:snapToGrid/>
        <w:ind w:firstLine="422" w:firstLineChars="200"/>
        <w:textAlignment w:val="auto"/>
        <w:rPr>
          <w:rFonts w:hint="eastAsia"/>
          <w:b/>
          <w:bCs/>
        </w:rPr>
      </w:pPr>
      <w:r>
        <w:rPr>
          <w:rFonts w:hint="eastAsia"/>
          <w:b/>
          <w:bCs/>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一方擅自增加、删改、篡改部分无效（个人手写签名除外）。</w:t>
      </w:r>
    </w:p>
    <w:p w14:paraId="7137B826">
      <w:pPr>
        <w:pStyle w:val="2"/>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b/>
          <w:bCs/>
        </w:rPr>
      </w:pPr>
      <w:r>
        <w:rPr>
          <w:rFonts w:hint="eastAsia"/>
          <w:b/>
          <w:bCs/>
        </w:rPr>
        <w:t xml:space="preserve">    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各方已签署完毕。</w:t>
      </w:r>
    </w:p>
    <w:p w14:paraId="724405E5">
      <w:pPr>
        <w:pStyle w:val="2"/>
      </w:pPr>
    </w:p>
    <w:p w14:paraId="02654A96"/>
    <w:p w14:paraId="323631D1">
      <w:pPr>
        <w:spacing w:line="360" w:lineRule="auto"/>
        <w:ind w:firstLine="630" w:firstLineChars="300"/>
        <w:rPr>
          <w:rFonts w:ascii="宋体" w:hAnsi="宋体"/>
          <w:szCs w:val="21"/>
        </w:rPr>
      </w:pPr>
      <w:r>
        <w:rPr>
          <w:rFonts w:hint="eastAsia" w:ascii="宋体" w:hAnsi="宋体"/>
          <w:szCs w:val="21"/>
        </w:rPr>
        <w:t>甲方（盖章）:</w:t>
      </w:r>
      <w:r>
        <w:rPr>
          <w:rFonts w:ascii="宋体" w:hAnsi="宋体"/>
          <w:szCs w:val="21"/>
        </w:rPr>
        <w:t xml:space="preserve">                   </w:t>
      </w:r>
      <w:r>
        <w:rPr>
          <w:rFonts w:hint="eastAsia" w:ascii="宋体" w:hAnsi="宋体"/>
          <w:szCs w:val="21"/>
        </w:rPr>
        <w:t>乙方（盖章）:</w:t>
      </w:r>
      <w:r>
        <w:rPr>
          <w:rFonts w:ascii="宋体" w:hAnsi="宋体"/>
          <w:szCs w:val="21"/>
        </w:rPr>
        <w:t xml:space="preserve">       </w:t>
      </w:r>
    </w:p>
    <w:p w14:paraId="75527C45">
      <w:pPr>
        <w:spacing w:line="360" w:lineRule="auto"/>
        <w:ind w:firstLine="630" w:firstLineChars="300"/>
        <w:rPr>
          <w:rFonts w:ascii="宋体" w:hAnsi="宋体"/>
          <w:szCs w:val="21"/>
        </w:rPr>
      </w:pPr>
      <w:r>
        <w:rPr>
          <w:rFonts w:hint="eastAsia" w:ascii="宋体" w:hAnsi="宋体"/>
          <w:szCs w:val="21"/>
        </w:rPr>
        <w:t>法定代表人:</w:t>
      </w:r>
      <w:r>
        <w:rPr>
          <w:rFonts w:ascii="宋体" w:hAnsi="宋体"/>
          <w:szCs w:val="21"/>
        </w:rPr>
        <w:t xml:space="preserve">                      </w:t>
      </w:r>
      <w:r>
        <w:rPr>
          <w:rFonts w:hint="eastAsia" w:ascii="宋体" w:hAnsi="宋体"/>
          <w:szCs w:val="21"/>
        </w:rPr>
        <w:t>法定代表人:</w:t>
      </w:r>
      <w:r>
        <w:rPr>
          <w:rFonts w:ascii="宋体" w:hAnsi="宋体"/>
          <w:szCs w:val="21"/>
        </w:rPr>
        <w:t xml:space="preserve">            </w:t>
      </w:r>
    </w:p>
    <w:p w14:paraId="5F5FE5A7">
      <w:pPr>
        <w:spacing w:line="360" w:lineRule="auto"/>
        <w:ind w:firstLine="630" w:firstLineChars="300"/>
        <w:rPr>
          <w:rFonts w:ascii="宋体" w:hAnsi="宋体"/>
          <w:szCs w:val="21"/>
        </w:rPr>
      </w:pPr>
      <w:r>
        <w:rPr>
          <w:rFonts w:hint="eastAsia" w:ascii="宋体" w:hAnsi="宋体"/>
          <w:szCs w:val="21"/>
        </w:rPr>
        <w:t>授权代理人:</w:t>
      </w:r>
      <w:r>
        <w:rPr>
          <w:rFonts w:ascii="宋体" w:hAnsi="宋体"/>
          <w:szCs w:val="21"/>
        </w:rPr>
        <w:t xml:space="preserve">                      </w:t>
      </w:r>
      <w:r>
        <w:rPr>
          <w:rFonts w:hint="eastAsia" w:ascii="宋体" w:hAnsi="宋体"/>
          <w:szCs w:val="21"/>
        </w:rPr>
        <w:t>授权代理人:</w:t>
      </w:r>
      <w:r>
        <w:rPr>
          <w:rFonts w:ascii="宋体" w:hAnsi="宋体"/>
          <w:szCs w:val="21"/>
        </w:rPr>
        <w:t xml:space="preserve">       </w:t>
      </w:r>
    </w:p>
    <w:p w14:paraId="260E0013">
      <w:pPr>
        <w:spacing w:line="360" w:lineRule="auto"/>
        <w:ind w:firstLine="630" w:firstLineChars="300"/>
        <w:rPr>
          <w:rFonts w:ascii="宋体" w:hAnsi="宋体"/>
          <w:szCs w:val="21"/>
        </w:rPr>
      </w:pPr>
      <w:r>
        <w:rPr>
          <w:rFonts w:hint="eastAsia" w:ascii="宋体" w:hAnsi="宋体"/>
          <w:szCs w:val="21"/>
        </w:rPr>
        <w:t xml:space="preserve">联系电话: </w:t>
      </w:r>
      <w:r>
        <w:rPr>
          <w:rFonts w:ascii="宋体" w:hAnsi="宋体"/>
          <w:szCs w:val="21"/>
        </w:rPr>
        <w:t xml:space="preserve">                       </w:t>
      </w:r>
      <w:r>
        <w:rPr>
          <w:rFonts w:hint="eastAsia" w:ascii="宋体" w:hAnsi="宋体"/>
          <w:szCs w:val="21"/>
        </w:rPr>
        <w:t>联系电话:</w:t>
      </w:r>
    </w:p>
    <w:p w14:paraId="2B09CE95">
      <w:pPr>
        <w:spacing w:line="360" w:lineRule="auto"/>
        <w:ind w:firstLine="630" w:firstLineChars="300"/>
        <w:rPr>
          <w:rFonts w:ascii="宋体" w:hAnsi="宋体"/>
          <w:szCs w:val="21"/>
        </w:rPr>
      </w:pPr>
      <w:r>
        <w:rPr>
          <w:rFonts w:hint="eastAsia" w:ascii="宋体" w:hAnsi="宋体"/>
          <w:szCs w:val="21"/>
        </w:rPr>
        <w:t>签订时间:</w:t>
      </w:r>
      <w:r>
        <w:rPr>
          <w:rFonts w:ascii="宋体" w:hAnsi="宋体"/>
          <w:szCs w:val="21"/>
        </w:rPr>
        <w:t xml:space="preserve">                        </w:t>
      </w:r>
      <w:r>
        <w:rPr>
          <w:rFonts w:hint="eastAsia" w:ascii="宋体" w:hAnsi="宋体"/>
          <w:szCs w:val="21"/>
        </w:rPr>
        <w:t>签订时间:</w:t>
      </w:r>
    </w:p>
    <w:p w14:paraId="5A88BF6D">
      <w:pPr>
        <w:rPr>
          <w:rFonts w:ascii="仿宋_GB2312" w:eastAsia="仿宋_GB2312"/>
          <w:sz w:val="32"/>
          <w:szCs w:val="32"/>
        </w:rPr>
      </w:pPr>
    </w:p>
    <w:p w14:paraId="0D46DCAF">
      <w:pPr>
        <w:rPr>
          <w:rFonts w:ascii="仿宋_GB2312" w:eastAsia="仿宋_GB2312"/>
          <w:sz w:val="32"/>
          <w:szCs w:val="32"/>
        </w:rPr>
      </w:pPr>
    </w:p>
    <w:p w14:paraId="104C4796">
      <w:pPr>
        <w:pStyle w:val="2"/>
        <w:ind w:left="0" w:leftChars="0" w:firstLine="0"/>
      </w:pPr>
      <w:r>
        <w:rPr>
          <w:rFonts w:ascii="仿宋_GB2312" w:eastAsia="仿宋_GB2312"/>
          <w:sz w:val="32"/>
          <w:szCs w:val="32"/>
        </w:rPr>
        <w:t xml:space="preserve">     </w:t>
      </w:r>
    </w:p>
    <w:p w14:paraId="5E8F85CE">
      <w:pPr>
        <w:jc w:val="center"/>
        <w:rPr>
          <w:rFonts w:ascii="宋体" w:hAnsi="宋体"/>
          <w:b/>
          <w:iCs/>
          <w:sz w:val="36"/>
        </w:rPr>
      </w:pPr>
      <w:r>
        <w:rPr>
          <w:rFonts w:ascii="宋体" w:hAnsi="宋体"/>
          <w:b/>
          <w:iCs/>
          <w:sz w:val="36"/>
        </w:rPr>
        <w:t>第</w:t>
      </w:r>
      <w:r>
        <w:rPr>
          <w:rFonts w:hint="eastAsia" w:ascii="宋体" w:hAnsi="宋体"/>
          <w:b/>
          <w:iCs/>
          <w:sz w:val="36"/>
        </w:rPr>
        <w:t>四</w:t>
      </w:r>
      <w:r>
        <w:rPr>
          <w:rFonts w:ascii="宋体" w:hAnsi="宋体"/>
          <w:b/>
          <w:iCs/>
          <w:sz w:val="36"/>
        </w:rPr>
        <w:t>章</w:t>
      </w:r>
      <w:r>
        <w:rPr>
          <w:rFonts w:hint="eastAsia" w:ascii="宋体" w:hAnsi="宋体"/>
          <w:b/>
          <w:iCs/>
          <w:sz w:val="36"/>
        </w:rPr>
        <w:t>：重汽</w:t>
      </w:r>
      <w:r>
        <w:rPr>
          <w:rFonts w:ascii="宋体" w:hAnsi="宋体"/>
          <w:b/>
          <w:iCs/>
          <w:sz w:val="36"/>
        </w:rPr>
        <w:t>e</w:t>
      </w:r>
      <w:r>
        <w:rPr>
          <w:rFonts w:hint="eastAsia" w:ascii="宋体" w:hAnsi="宋体"/>
          <w:b/>
          <w:iCs/>
          <w:sz w:val="36"/>
        </w:rPr>
        <w:t>彩通供应商使用说明</w:t>
      </w:r>
    </w:p>
    <w:p w14:paraId="108B8D5A">
      <w:pPr>
        <w:pStyle w:val="10"/>
        <w:outlineLvl w:val="2"/>
        <w:rPr>
          <w:rFonts w:hAnsi="宋体" w:cs="宋体"/>
          <w:b/>
          <w:bCs/>
          <w:color w:val="000000"/>
          <w:sz w:val="24"/>
          <w:szCs w:val="24"/>
        </w:rPr>
      </w:pPr>
      <w:r>
        <w:rPr>
          <w:rFonts w:hint="eastAsia" w:hAnsi="宋体" w:cs="宋体"/>
          <w:b/>
          <w:bCs/>
          <w:color w:val="000000"/>
          <w:sz w:val="24"/>
          <w:szCs w:val="24"/>
        </w:rPr>
        <w:t>1、SRM非生产供应商注册操作手册</w:t>
      </w:r>
    </w:p>
    <w:p w14:paraId="43D51567">
      <w:pPr>
        <w:adjustRightInd w:val="0"/>
        <w:snapToGrid w:val="0"/>
        <w:jc w:val="left"/>
        <w:rPr>
          <w:rFonts w:ascii="宋体" w:hAnsi="宋体" w:cs="宋体"/>
          <w:sz w:val="24"/>
          <w:szCs w:val="24"/>
        </w:rPr>
      </w:pPr>
    </w:p>
    <w:p w14:paraId="6F80944A">
      <w:pPr>
        <w:adjustRightInd w:val="0"/>
        <w:snapToGrid w:val="0"/>
        <w:spacing w:line="360" w:lineRule="auto"/>
        <w:jc w:val="left"/>
        <w:rPr>
          <w:rFonts w:ascii="宋体" w:hAnsi="宋体" w:cs="宋体"/>
          <w:sz w:val="24"/>
          <w:szCs w:val="24"/>
        </w:rPr>
      </w:pPr>
      <w:r>
        <w:rPr>
          <w:rFonts w:ascii="宋体" w:hAnsi="宋体" w:cs="宋体"/>
          <w:sz w:val="24"/>
          <w:szCs w:val="24"/>
        </w:rPr>
        <w:t>浏览器中输入地址;</w:t>
      </w:r>
    </w:p>
    <w:p w14:paraId="1F9C5C9B">
      <w:pPr>
        <w:adjustRightInd w:val="0"/>
        <w:snapToGrid w:val="0"/>
        <w:spacing w:line="360" w:lineRule="auto"/>
        <w:jc w:val="left"/>
        <w:rPr>
          <w:rFonts w:ascii="宋体" w:hAnsi="宋体" w:cs="宋体"/>
          <w:sz w:val="24"/>
          <w:szCs w:val="24"/>
        </w:rPr>
      </w:pPr>
      <w:r>
        <w:fldChar w:fldCharType="begin"/>
      </w:r>
      <w:r>
        <w:instrText xml:space="preserve"> HYPERLINK "https://ecaitong.sinotruk.com:8012/" \l "/login" </w:instrText>
      </w:r>
      <w:r>
        <w:fldChar w:fldCharType="separate"/>
      </w:r>
      <w:r>
        <w:rPr>
          <w:rStyle w:val="18"/>
          <w:rFonts w:ascii="宋体" w:hAnsi="宋体" w:cs="宋体"/>
          <w:sz w:val="24"/>
          <w:szCs w:val="24"/>
        </w:rPr>
        <w:t>https://ecaitong.sinotruk.com:8012/#/login</w:t>
      </w:r>
      <w:r>
        <w:rPr>
          <w:rStyle w:val="18"/>
          <w:rFonts w:ascii="宋体" w:hAnsi="宋体" w:cs="宋体"/>
          <w:sz w:val="24"/>
          <w:szCs w:val="24"/>
        </w:rPr>
        <w:fldChar w:fldCharType="end"/>
      </w:r>
    </w:p>
    <w:p w14:paraId="384879F4">
      <w:pPr>
        <w:adjustRightInd w:val="0"/>
        <w:snapToGrid w:val="0"/>
        <w:spacing w:line="360" w:lineRule="auto"/>
        <w:jc w:val="left"/>
        <w:rPr>
          <w:rFonts w:ascii="宋体" w:hAnsi="宋体" w:cs="宋体"/>
          <w:sz w:val="24"/>
          <w:szCs w:val="24"/>
        </w:rPr>
      </w:pPr>
      <w:r>
        <w:rPr>
          <w:rFonts w:ascii="宋体" w:hAnsi="宋体" w:cs="宋体"/>
          <w:sz w:val="24"/>
          <w:szCs w:val="24"/>
        </w:rPr>
        <w:t>1.点击立即注册</w:t>
      </w:r>
    </w:p>
    <w:p w14:paraId="3C1DF305">
      <w:pPr>
        <w:snapToGrid w:val="0"/>
        <w:spacing w:line="312" w:lineRule="auto"/>
      </w:pPr>
      <w:r>
        <w:drawing>
          <wp:inline distT="0" distB="0" distL="0" distR="0">
            <wp:extent cx="5764530" cy="2931795"/>
            <wp:effectExtent l="0" t="0" r="7620" b="1905"/>
            <wp:docPr id="16" name="图片 16" descr="descript"/>
            <wp:cNvGraphicFramePr/>
            <a:graphic xmlns:a="http://schemas.openxmlformats.org/drawingml/2006/main">
              <a:graphicData uri="http://schemas.openxmlformats.org/drawingml/2006/picture">
                <pic:pic xmlns:pic="http://schemas.openxmlformats.org/drawingml/2006/picture">
                  <pic:nvPicPr>
                    <pic:cNvPr id="16" name="图片 16" descr="descript"/>
                    <pic:cNvPicPr>
                      <a:picLocks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5764530" cy="2931795"/>
                    </a:xfrm>
                    <a:prstGeom prst="rect">
                      <a:avLst/>
                    </a:prstGeom>
                    <a:noFill/>
                    <a:ln>
                      <a:noFill/>
                    </a:ln>
                  </pic:spPr>
                </pic:pic>
              </a:graphicData>
            </a:graphic>
          </wp:inline>
        </w:drawing>
      </w:r>
    </w:p>
    <w:p w14:paraId="64BE18A5">
      <w:pPr>
        <w:spacing w:line="360" w:lineRule="auto"/>
        <w:rPr>
          <w:rFonts w:ascii="宋体" w:hAnsi="宋体" w:cs="宋体"/>
          <w:sz w:val="24"/>
          <w:szCs w:val="28"/>
        </w:rPr>
      </w:pPr>
      <w:r>
        <w:rPr>
          <w:rFonts w:hint="eastAsia" w:ascii="宋体" w:hAnsi="宋体" w:cs="宋体"/>
          <w:color w:val="000000"/>
          <w:sz w:val="24"/>
          <w:szCs w:val="28"/>
        </w:rPr>
        <w:t>2.</w:t>
      </w:r>
      <w:r>
        <w:rPr>
          <w:rFonts w:ascii="宋体" w:hAnsi="宋体" w:cs="宋体"/>
          <w:color w:val="000000"/>
          <w:sz w:val="24"/>
          <w:szCs w:val="28"/>
        </w:rPr>
        <w:t>填写手机号码（没有注册过的）</w:t>
      </w:r>
    </w:p>
    <w:p w14:paraId="13053FEE">
      <w:pPr>
        <w:snapToGrid w:val="0"/>
        <w:spacing w:line="312" w:lineRule="auto"/>
      </w:pPr>
      <w:r>
        <w:drawing>
          <wp:inline distT="0" distB="0" distL="0" distR="0">
            <wp:extent cx="5764530" cy="2762885"/>
            <wp:effectExtent l="0" t="0" r="7620" b="0"/>
            <wp:docPr id="15" name="图片 15" descr="descript"/>
            <wp:cNvGraphicFramePr/>
            <a:graphic xmlns:a="http://schemas.openxmlformats.org/drawingml/2006/main">
              <a:graphicData uri="http://schemas.openxmlformats.org/drawingml/2006/picture">
                <pic:pic xmlns:pic="http://schemas.openxmlformats.org/drawingml/2006/picture">
                  <pic:nvPicPr>
                    <pic:cNvPr id="15" name="图片 15" descr="descript"/>
                    <pic:cNvPicPr>
                      <a:picLocks noChangeArrowheads="1"/>
                    </pic:cNvPicPr>
                  </pic:nvPicPr>
                  <pic:blipFill>
                    <a:blip r:embed="rId11">
                      <a:extLst>
                        <a:ext uri="{28A0092B-C50C-407E-A947-70E740481C1C}">
                          <a14:useLocalDpi xmlns:a14="http://schemas.microsoft.com/office/drawing/2010/main" val="0"/>
                        </a:ext>
                      </a:extLst>
                    </a:blip>
                    <a:srcRect/>
                    <a:stretch>
                      <a:fillRect/>
                    </a:stretch>
                  </pic:blipFill>
                  <pic:spPr>
                    <a:xfrm>
                      <a:off x="0" y="0"/>
                      <a:ext cx="5764530" cy="2762885"/>
                    </a:xfrm>
                    <a:prstGeom prst="rect">
                      <a:avLst/>
                    </a:prstGeom>
                    <a:noFill/>
                    <a:ln>
                      <a:noFill/>
                    </a:ln>
                  </pic:spPr>
                </pic:pic>
              </a:graphicData>
            </a:graphic>
          </wp:inline>
        </w:drawing>
      </w:r>
    </w:p>
    <w:p w14:paraId="487069F8">
      <w:pPr>
        <w:spacing w:line="360" w:lineRule="auto"/>
        <w:rPr>
          <w:rFonts w:ascii="宋体" w:hAnsi="宋体" w:cs="宋体"/>
          <w:sz w:val="24"/>
          <w:szCs w:val="28"/>
        </w:rPr>
      </w:pPr>
      <w:r>
        <w:rPr>
          <w:rFonts w:hint="eastAsia" w:ascii="宋体" w:hAnsi="宋体" w:cs="宋体"/>
          <w:color w:val="000000"/>
          <w:sz w:val="24"/>
          <w:szCs w:val="28"/>
        </w:rPr>
        <w:t>3.</w:t>
      </w:r>
      <w:r>
        <w:rPr>
          <w:rFonts w:ascii="宋体" w:hAnsi="宋体" w:cs="宋体"/>
          <w:color w:val="000000"/>
          <w:sz w:val="24"/>
          <w:szCs w:val="28"/>
        </w:rPr>
        <w:t>注册成功登录这个手机号码的账号进入系统，点击供应商注册</w:t>
      </w:r>
    </w:p>
    <w:p w14:paraId="747CD031">
      <w:pPr>
        <w:snapToGrid w:val="0"/>
        <w:spacing w:line="312" w:lineRule="auto"/>
      </w:pPr>
      <w:r>
        <w:drawing>
          <wp:inline distT="0" distB="0" distL="0" distR="0">
            <wp:extent cx="5764530" cy="2872105"/>
            <wp:effectExtent l="0" t="0" r="7620" b="4445"/>
            <wp:docPr id="14" name="图片 14" descr="descript"/>
            <wp:cNvGraphicFramePr/>
            <a:graphic xmlns:a="http://schemas.openxmlformats.org/drawingml/2006/main">
              <a:graphicData uri="http://schemas.openxmlformats.org/drawingml/2006/picture">
                <pic:pic xmlns:pic="http://schemas.openxmlformats.org/drawingml/2006/picture">
                  <pic:nvPicPr>
                    <pic:cNvPr id="14" name="图片 14" descr="descript"/>
                    <pic:cNvPicPr>
                      <a:picLocks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5764530" cy="2872105"/>
                    </a:xfrm>
                    <a:prstGeom prst="rect">
                      <a:avLst/>
                    </a:prstGeom>
                    <a:noFill/>
                    <a:ln>
                      <a:noFill/>
                    </a:ln>
                  </pic:spPr>
                </pic:pic>
              </a:graphicData>
            </a:graphic>
          </wp:inline>
        </w:drawing>
      </w:r>
    </w:p>
    <w:p w14:paraId="63931BCD">
      <w:pPr>
        <w:spacing w:line="360" w:lineRule="auto"/>
        <w:rPr>
          <w:rFonts w:ascii="宋体" w:hAnsi="宋体" w:cs="宋体"/>
          <w:sz w:val="24"/>
          <w:szCs w:val="28"/>
        </w:rPr>
      </w:pPr>
      <w:r>
        <w:rPr>
          <w:rFonts w:hint="eastAsia" w:ascii="宋体" w:hAnsi="宋体" w:cs="宋体"/>
          <w:color w:val="000000"/>
          <w:sz w:val="24"/>
          <w:szCs w:val="28"/>
        </w:rPr>
        <w:t>4.</w:t>
      </w:r>
      <w:r>
        <w:rPr>
          <w:rFonts w:ascii="宋体" w:hAnsi="宋体" w:cs="宋体"/>
          <w:color w:val="000000"/>
          <w:sz w:val="24"/>
          <w:szCs w:val="28"/>
        </w:rPr>
        <w:t>点击新增</w:t>
      </w:r>
    </w:p>
    <w:p w14:paraId="6C72AEB3">
      <w:pPr>
        <w:snapToGrid w:val="0"/>
        <w:spacing w:line="312" w:lineRule="auto"/>
      </w:pPr>
      <w:r>
        <w:drawing>
          <wp:inline distT="0" distB="0" distL="0" distR="0">
            <wp:extent cx="5764530" cy="2852420"/>
            <wp:effectExtent l="0" t="0" r="7620" b="5080"/>
            <wp:docPr id="13" name="图片 13" descr="descript"/>
            <wp:cNvGraphicFramePr/>
            <a:graphic xmlns:a="http://schemas.openxmlformats.org/drawingml/2006/main">
              <a:graphicData uri="http://schemas.openxmlformats.org/drawingml/2006/picture">
                <pic:pic xmlns:pic="http://schemas.openxmlformats.org/drawingml/2006/picture">
                  <pic:nvPicPr>
                    <pic:cNvPr id="13" name="图片 13" descr="descript"/>
                    <pic:cNvPicPr>
                      <a:picLocks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5764530" cy="2852420"/>
                    </a:xfrm>
                    <a:prstGeom prst="rect">
                      <a:avLst/>
                    </a:prstGeom>
                    <a:noFill/>
                    <a:ln>
                      <a:noFill/>
                    </a:ln>
                  </pic:spPr>
                </pic:pic>
              </a:graphicData>
            </a:graphic>
          </wp:inline>
        </w:drawing>
      </w:r>
    </w:p>
    <w:p w14:paraId="0EC7E82E">
      <w:pPr>
        <w:spacing w:line="360" w:lineRule="auto"/>
        <w:rPr>
          <w:rFonts w:ascii="宋体" w:hAnsi="宋体" w:cs="宋体"/>
          <w:sz w:val="24"/>
          <w:szCs w:val="28"/>
        </w:rPr>
      </w:pPr>
      <w:r>
        <w:rPr>
          <w:rFonts w:hint="eastAsia" w:ascii="宋体" w:hAnsi="宋体" w:cs="宋体"/>
          <w:sz w:val="24"/>
          <w:szCs w:val="28"/>
        </w:rPr>
        <w:t>5</w:t>
      </w:r>
      <w:r>
        <w:rPr>
          <w:rFonts w:hint="eastAsia" w:ascii="宋体" w:hAnsi="宋体" w:cs="宋体"/>
          <w:color w:val="000000"/>
          <w:sz w:val="24"/>
          <w:szCs w:val="28"/>
        </w:rPr>
        <w:t>.</w:t>
      </w:r>
      <w:r>
        <w:rPr>
          <w:rFonts w:ascii="宋体" w:hAnsi="宋体" w:cs="宋体"/>
          <w:color w:val="000000"/>
          <w:sz w:val="24"/>
          <w:szCs w:val="28"/>
        </w:rPr>
        <w:t>按要求填写所有信息，注意非生产类要填写合作单位，最后提交审批</w:t>
      </w:r>
    </w:p>
    <w:p w14:paraId="78069C99">
      <w:pPr>
        <w:rPr>
          <w:rFonts w:ascii="宋体" w:hAnsi="宋体" w:cs="宋体"/>
          <w:color w:val="000000"/>
        </w:rPr>
      </w:pPr>
    </w:p>
    <w:p w14:paraId="660E3C94">
      <w:r>
        <w:drawing>
          <wp:inline distT="0" distB="0" distL="0" distR="0">
            <wp:extent cx="5764530" cy="2813050"/>
            <wp:effectExtent l="0" t="0" r="7620" b="6350"/>
            <wp:docPr id="12" name="图片 12" descr="descript"/>
            <wp:cNvGraphicFramePr/>
            <a:graphic xmlns:a="http://schemas.openxmlformats.org/drawingml/2006/main">
              <a:graphicData uri="http://schemas.openxmlformats.org/drawingml/2006/picture">
                <pic:pic xmlns:pic="http://schemas.openxmlformats.org/drawingml/2006/picture">
                  <pic:nvPicPr>
                    <pic:cNvPr id="12" name="图片 12" descr="descript"/>
                    <pic:cNvPicPr>
                      <a:picLocks noChangeArrowheads="1"/>
                    </pic:cNvPicPr>
                  </pic:nvPicPr>
                  <pic:blipFill>
                    <a:blip r:embed="rId14">
                      <a:extLst>
                        <a:ext uri="{28A0092B-C50C-407E-A947-70E740481C1C}">
                          <a14:useLocalDpi xmlns:a14="http://schemas.microsoft.com/office/drawing/2010/main" val="0"/>
                        </a:ext>
                      </a:extLst>
                    </a:blip>
                    <a:srcRect/>
                    <a:stretch>
                      <a:fillRect/>
                    </a:stretch>
                  </pic:blipFill>
                  <pic:spPr>
                    <a:xfrm>
                      <a:off x="0" y="0"/>
                      <a:ext cx="5764530" cy="2813050"/>
                    </a:xfrm>
                    <a:prstGeom prst="rect">
                      <a:avLst/>
                    </a:prstGeom>
                    <a:noFill/>
                    <a:ln>
                      <a:noFill/>
                    </a:ln>
                  </pic:spPr>
                </pic:pic>
              </a:graphicData>
            </a:graphic>
          </wp:inline>
        </w:drawing>
      </w:r>
    </w:p>
    <w:p w14:paraId="63FD939C">
      <w:pPr>
        <w:pStyle w:val="10"/>
        <w:sectPr>
          <w:pgSz w:w="11906" w:h="16838"/>
          <w:pgMar w:top="1588" w:right="1418" w:bottom="1134" w:left="1418" w:header="851" w:footer="992" w:gutter="0"/>
          <w:cols w:space="720" w:num="1"/>
          <w:titlePg/>
          <w:docGrid w:type="lines" w:linePitch="312" w:charSpace="0"/>
        </w:sectPr>
      </w:pPr>
      <w:r>
        <w:drawing>
          <wp:inline distT="0" distB="0" distL="0" distR="0">
            <wp:extent cx="6470015" cy="3985260"/>
            <wp:effectExtent l="0" t="0" r="6985" b="0"/>
            <wp:docPr id="11" name="图片 11" descr="descript"/>
            <wp:cNvGraphicFramePr/>
            <a:graphic xmlns:a="http://schemas.openxmlformats.org/drawingml/2006/main">
              <a:graphicData uri="http://schemas.openxmlformats.org/drawingml/2006/picture">
                <pic:pic xmlns:pic="http://schemas.openxmlformats.org/drawingml/2006/picture">
                  <pic:nvPicPr>
                    <pic:cNvPr id="11" name="图片 11" descr="descript"/>
                    <pic:cNvPicPr>
                      <a:picLocks noChangeArrowheads="1"/>
                    </pic:cNvPicPr>
                  </pic:nvPicPr>
                  <pic:blipFill>
                    <a:blip r:embed="rId15">
                      <a:extLst>
                        <a:ext uri="{28A0092B-C50C-407E-A947-70E740481C1C}">
                          <a14:useLocalDpi xmlns:a14="http://schemas.microsoft.com/office/drawing/2010/main" val="0"/>
                        </a:ext>
                      </a:extLst>
                    </a:blip>
                    <a:srcRect/>
                    <a:stretch>
                      <a:fillRect/>
                    </a:stretch>
                  </pic:blipFill>
                  <pic:spPr>
                    <a:xfrm>
                      <a:off x="0" y="0"/>
                      <a:ext cx="6478739" cy="3990744"/>
                    </a:xfrm>
                    <a:prstGeom prst="rect">
                      <a:avLst/>
                    </a:prstGeom>
                    <a:noFill/>
                    <a:ln>
                      <a:noFill/>
                    </a:ln>
                  </pic:spPr>
                </pic:pic>
              </a:graphicData>
            </a:graphic>
          </wp:inline>
        </w:drawing>
      </w:r>
    </w:p>
    <w:p w14:paraId="7C54E45D">
      <w:pPr>
        <w:pStyle w:val="10"/>
        <w:outlineLvl w:val="2"/>
        <w:rPr>
          <w:rFonts w:hAnsi="宋体"/>
          <w:b/>
          <w:color w:val="000000"/>
          <w:sz w:val="24"/>
          <w:szCs w:val="24"/>
        </w:rPr>
      </w:pPr>
      <w:r>
        <w:rPr>
          <w:rFonts w:hint="eastAsia" w:hAnsi="宋体" w:cs="宋体"/>
          <w:b/>
          <w:bCs/>
          <w:color w:val="000000"/>
          <w:sz w:val="24"/>
          <w:szCs w:val="24"/>
        </w:rPr>
        <w:t xml:space="preserve"> </w:t>
      </w:r>
      <w:r>
        <w:rPr>
          <w:rFonts w:hAnsi="宋体" w:cs="宋体"/>
          <w:b/>
          <w:bCs/>
          <w:color w:val="000000"/>
          <w:sz w:val="24"/>
          <w:szCs w:val="24"/>
        </w:rPr>
        <w:t>2</w:t>
      </w:r>
      <w:r>
        <w:rPr>
          <w:rFonts w:hint="eastAsia" w:hAnsi="宋体" w:cs="宋体"/>
          <w:b/>
          <w:bCs/>
          <w:color w:val="000000"/>
          <w:sz w:val="24"/>
          <w:szCs w:val="24"/>
        </w:rPr>
        <w:t>、</w:t>
      </w:r>
      <w:r>
        <w:rPr>
          <w:rFonts w:hint="eastAsia" w:hAnsi="宋体"/>
          <w:b/>
          <w:color w:val="000000"/>
          <w:sz w:val="24"/>
          <w:szCs w:val="24"/>
        </w:rPr>
        <w:t>SRM系统供应商用户手册</w:t>
      </w:r>
    </w:p>
    <w:p w14:paraId="1A38D650">
      <w:pPr>
        <w:spacing w:line="360" w:lineRule="auto"/>
        <w:rPr>
          <w:rFonts w:ascii="宋体" w:hAnsi="宋体" w:cs="宋体"/>
          <w:sz w:val="24"/>
          <w:szCs w:val="24"/>
        </w:rPr>
      </w:pPr>
      <w:r>
        <w:rPr>
          <w:rFonts w:hint="eastAsia" w:ascii="宋体" w:hAnsi="宋体" w:cs="宋体"/>
          <w:color w:val="000000"/>
          <w:sz w:val="24"/>
          <w:szCs w:val="24"/>
        </w:rPr>
        <w:t>系统网址：</w:t>
      </w:r>
      <w:r>
        <w:fldChar w:fldCharType="begin"/>
      </w:r>
      <w:r>
        <w:instrText xml:space="preserve"> HYPERLINK "https://ecaitong.sinotruk.com:8012/" </w:instrText>
      </w:r>
      <w:r>
        <w:fldChar w:fldCharType="separate"/>
      </w:r>
      <w:r>
        <w:rPr>
          <w:rStyle w:val="18"/>
          <w:rFonts w:hint="eastAsia" w:ascii="宋体" w:hAnsi="宋体" w:cs="宋体"/>
          <w:sz w:val="24"/>
          <w:szCs w:val="24"/>
        </w:rPr>
        <w:t>https://ecaitong.sinotruk.com:8012/</w:t>
      </w:r>
      <w:r>
        <w:rPr>
          <w:rStyle w:val="18"/>
          <w:rFonts w:hint="eastAsia" w:ascii="宋体" w:hAnsi="宋体" w:cs="宋体"/>
          <w:sz w:val="24"/>
          <w:szCs w:val="24"/>
        </w:rPr>
        <w:fldChar w:fldCharType="end"/>
      </w:r>
    </w:p>
    <w:p w14:paraId="5F7B556E">
      <w:pPr>
        <w:spacing w:line="360" w:lineRule="auto"/>
        <w:rPr>
          <w:rFonts w:ascii="宋体" w:hAnsi="宋体" w:cs="宋体"/>
          <w:sz w:val="24"/>
          <w:szCs w:val="24"/>
        </w:rPr>
      </w:pPr>
      <w:r>
        <w:rPr>
          <w:rFonts w:hint="eastAsia" w:ascii="宋体" w:hAnsi="宋体" w:cs="宋体"/>
          <w:color w:val="000000"/>
          <w:sz w:val="24"/>
          <w:szCs w:val="24"/>
        </w:rPr>
        <w:t>用 户 名：gys+供应商代码（</w:t>
      </w:r>
      <w:r>
        <w:rPr>
          <w:rFonts w:hint="eastAsia" w:ascii="宋体" w:hAnsi="宋体" w:cs="宋体"/>
          <w:color w:val="FF0000"/>
          <w:sz w:val="24"/>
          <w:szCs w:val="24"/>
        </w:rPr>
        <w:t>注意：注册完毕后，用户名不要用手机号登录</w:t>
      </w:r>
      <w:r>
        <w:rPr>
          <w:rFonts w:hint="eastAsia" w:ascii="宋体" w:hAnsi="宋体" w:cs="宋体"/>
          <w:color w:val="000000"/>
          <w:sz w:val="24"/>
          <w:szCs w:val="24"/>
        </w:rPr>
        <w:t>）</w:t>
      </w:r>
    </w:p>
    <w:p w14:paraId="26DA507C">
      <w:pPr>
        <w:spacing w:line="360" w:lineRule="auto"/>
        <w:rPr>
          <w:rFonts w:ascii="宋体" w:hAnsi="宋体" w:cs="宋体"/>
          <w:sz w:val="24"/>
          <w:szCs w:val="24"/>
        </w:rPr>
      </w:pPr>
      <w:r>
        <w:rPr>
          <w:rFonts w:hint="eastAsia" w:ascii="宋体" w:hAnsi="宋体" w:cs="宋体"/>
          <w:color w:val="000000"/>
          <w:sz w:val="24"/>
          <w:szCs w:val="24"/>
        </w:rPr>
        <w:t>初始密码：</w:t>
      </w:r>
      <w:r>
        <w:rPr>
          <w:rFonts w:hint="eastAsia" w:ascii="宋体" w:hAnsi="宋体" w:cs="宋体"/>
          <w:color w:val="000000"/>
          <w:sz w:val="24"/>
          <w:szCs w:val="24"/>
          <w:highlight w:val="yellow"/>
        </w:rPr>
        <w:t>scm@2022</w:t>
      </w:r>
    </w:p>
    <w:p w14:paraId="0633B839">
      <w:pPr>
        <w:spacing w:line="360" w:lineRule="auto"/>
        <w:rPr>
          <w:rFonts w:ascii="宋体" w:hAnsi="宋体" w:cs="宋体"/>
          <w:b/>
          <w:bCs/>
          <w:color w:val="000000"/>
          <w:sz w:val="24"/>
          <w:szCs w:val="24"/>
        </w:rPr>
      </w:pPr>
      <w:r>
        <w:rPr>
          <w:rFonts w:hint="eastAsia" w:ascii="宋体" w:hAnsi="宋体" w:cs="宋体"/>
          <w:b/>
          <w:bCs/>
          <w:color w:val="000000"/>
          <w:sz w:val="24"/>
          <w:szCs w:val="24"/>
        </w:rPr>
        <w:t>1.供应商应标</w:t>
      </w:r>
    </w:p>
    <w:p w14:paraId="43DF7875">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供应商应标</w:t>
      </w:r>
    </w:p>
    <w:p w14:paraId="273FFA0A">
      <w:pPr>
        <w:spacing w:line="360" w:lineRule="auto"/>
        <w:rPr>
          <w:rFonts w:ascii="宋体" w:hAnsi="宋体" w:cs="宋体"/>
          <w:color w:val="000000"/>
          <w:sz w:val="24"/>
          <w:szCs w:val="24"/>
        </w:rPr>
      </w:pPr>
      <w:r>
        <w:rPr>
          <w:rFonts w:ascii="宋体" w:hAnsi="宋体" w:cs="宋体"/>
          <w:color w:val="000000"/>
          <w:sz w:val="24"/>
          <w:szCs w:val="24"/>
        </w:rPr>
        <w:t>点击应标，上传文件之后点击提交。</w:t>
      </w:r>
    </w:p>
    <w:p w14:paraId="1243D83B">
      <w:r>
        <w:drawing>
          <wp:inline distT="0" distB="0" distL="0" distR="0">
            <wp:extent cx="5764530" cy="2266315"/>
            <wp:effectExtent l="0" t="0" r="7620" b="635"/>
            <wp:docPr id="10" name="图片 10" descr="descript"/>
            <wp:cNvGraphicFramePr/>
            <a:graphic xmlns:a="http://schemas.openxmlformats.org/drawingml/2006/main">
              <a:graphicData uri="http://schemas.openxmlformats.org/drawingml/2006/picture">
                <pic:pic xmlns:pic="http://schemas.openxmlformats.org/drawingml/2006/picture">
                  <pic:nvPicPr>
                    <pic:cNvPr id="10" name="图片 10" descr="descript"/>
                    <pic:cNvPicPr>
                      <a:picLocks noChangeArrowheads="1"/>
                    </pic:cNvPicPr>
                  </pic:nvPicPr>
                  <pic:blipFill>
                    <a:blip r:embed="rId16">
                      <a:extLst>
                        <a:ext uri="{28A0092B-C50C-407E-A947-70E740481C1C}">
                          <a14:useLocalDpi xmlns:a14="http://schemas.microsoft.com/office/drawing/2010/main" val="0"/>
                        </a:ext>
                      </a:extLst>
                    </a:blip>
                    <a:srcRect/>
                    <a:stretch>
                      <a:fillRect/>
                    </a:stretch>
                  </pic:blipFill>
                  <pic:spPr>
                    <a:xfrm>
                      <a:off x="0" y="0"/>
                      <a:ext cx="5764530" cy="2266315"/>
                    </a:xfrm>
                    <a:prstGeom prst="rect">
                      <a:avLst/>
                    </a:prstGeom>
                    <a:noFill/>
                    <a:ln>
                      <a:noFill/>
                    </a:ln>
                  </pic:spPr>
                </pic:pic>
              </a:graphicData>
            </a:graphic>
          </wp:inline>
        </w:drawing>
      </w:r>
    </w:p>
    <w:p w14:paraId="4C82D53F"/>
    <w:p w14:paraId="5C5102AE">
      <w:pPr>
        <w:spacing w:line="360" w:lineRule="auto"/>
        <w:rPr>
          <w:rFonts w:ascii="宋体" w:hAnsi="宋体" w:cs="宋体"/>
          <w:b/>
          <w:bCs/>
          <w:color w:val="000000"/>
          <w:sz w:val="24"/>
          <w:szCs w:val="24"/>
        </w:rPr>
      </w:pPr>
      <w:r>
        <w:rPr>
          <w:rFonts w:hint="eastAsia" w:ascii="宋体" w:hAnsi="宋体" w:cs="宋体"/>
          <w:b/>
          <w:bCs/>
          <w:color w:val="000000"/>
          <w:sz w:val="24"/>
          <w:szCs w:val="24"/>
        </w:rPr>
        <w:t>2.供应商投标</w:t>
      </w:r>
    </w:p>
    <w:p w14:paraId="413555BC">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供应商投标</w:t>
      </w:r>
    </w:p>
    <w:p w14:paraId="67703C31">
      <w:pPr>
        <w:rPr>
          <w:rFonts w:ascii="宋体" w:hAnsi="宋体" w:cs="宋体"/>
          <w:color w:val="000000"/>
        </w:rPr>
      </w:pPr>
      <w:r>
        <w:rPr>
          <w:rFonts w:ascii="宋体" w:hAnsi="宋体" w:cs="宋体"/>
          <w:color w:val="000000"/>
        </w:rPr>
        <w:drawing>
          <wp:inline distT="0" distB="0" distL="0" distR="0">
            <wp:extent cx="5764530" cy="2127250"/>
            <wp:effectExtent l="0" t="0" r="7620" b="6350"/>
            <wp:docPr id="9" name="图片 9" descr="descript"/>
            <wp:cNvGraphicFramePr/>
            <a:graphic xmlns:a="http://schemas.openxmlformats.org/drawingml/2006/main">
              <a:graphicData uri="http://schemas.openxmlformats.org/drawingml/2006/picture">
                <pic:pic xmlns:pic="http://schemas.openxmlformats.org/drawingml/2006/picture">
                  <pic:nvPicPr>
                    <pic:cNvPr id="9" name="图片 9" descr="descript"/>
                    <pic:cNvPicPr>
                      <a:picLocks noChangeArrowheads="1"/>
                    </pic:cNvPicPr>
                  </pic:nvPicPr>
                  <pic:blipFill>
                    <a:blip r:embed="rId17">
                      <a:extLst>
                        <a:ext uri="{28A0092B-C50C-407E-A947-70E740481C1C}">
                          <a14:useLocalDpi xmlns:a14="http://schemas.microsoft.com/office/drawing/2010/main" val="0"/>
                        </a:ext>
                      </a:extLst>
                    </a:blip>
                    <a:srcRect/>
                    <a:stretch>
                      <a:fillRect/>
                    </a:stretch>
                  </pic:blipFill>
                  <pic:spPr>
                    <a:xfrm>
                      <a:off x="0" y="0"/>
                      <a:ext cx="5764530" cy="2127250"/>
                    </a:xfrm>
                    <a:prstGeom prst="rect">
                      <a:avLst/>
                    </a:prstGeom>
                    <a:noFill/>
                    <a:ln>
                      <a:noFill/>
                    </a:ln>
                  </pic:spPr>
                </pic:pic>
              </a:graphicData>
            </a:graphic>
          </wp:inline>
        </w:drawing>
      </w:r>
    </w:p>
    <w:p w14:paraId="52FC6900">
      <w:pPr>
        <w:spacing w:line="360" w:lineRule="auto"/>
        <w:rPr>
          <w:rFonts w:ascii="宋体" w:hAnsi="宋体" w:cs="宋体"/>
          <w:color w:val="000000"/>
          <w:sz w:val="24"/>
          <w:szCs w:val="28"/>
        </w:rPr>
      </w:pPr>
      <w:r>
        <w:rPr>
          <w:rFonts w:ascii="宋体" w:hAnsi="宋体" w:cs="宋体"/>
          <w:color w:val="000000"/>
          <w:sz w:val="24"/>
          <w:szCs w:val="28"/>
        </w:rPr>
        <w:t>点击投标按钮，进入详情页，输入投标报价并上传相应的附件。</w:t>
      </w:r>
    </w:p>
    <w:p w14:paraId="5FCFDD86">
      <w:pPr>
        <w:rPr>
          <w:b/>
          <w:bCs/>
        </w:rPr>
      </w:pPr>
      <w:r>
        <w:rPr>
          <w:rFonts w:hint="eastAsia"/>
          <w:b/>
          <w:bCs/>
          <w:highlight w:val="yellow"/>
        </w:rPr>
        <w:t>请注意，投标报价单位为万元含税</w:t>
      </w:r>
    </w:p>
    <w:p w14:paraId="66BF117E">
      <w:pPr>
        <w:pStyle w:val="2"/>
      </w:pPr>
      <w:bookmarkStart w:id="5" w:name="_GoBack"/>
      <w:bookmarkEnd w:id="5"/>
    </w:p>
    <w:p w14:paraId="644A2973">
      <w:pPr>
        <w:pStyle w:val="7"/>
        <w:spacing w:line="372" w:lineRule="auto"/>
        <w:ind w:left="425" w:hanging="425"/>
        <w:rPr>
          <w:rFonts w:ascii="Arial" w:hAnsi="Arial" w:eastAsia="Arial" w:cs="Arial"/>
          <w:color w:val="000000"/>
        </w:rPr>
      </w:pPr>
      <w:r>
        <w:rPr>
          <w:rFonts w:ascii="Arial" w:hAnsi="Arial" w:eastAsia="Arial" w:cs="Arial"/>
          <w:color w:val="000000"/>
        </w:rPr>
        <w:drawing>
          <wp:inline distT="0" distB="0" distL="0" distR="0">
            <wp:extent cx="5486400" cy="2673350"/>
            <wp:effectExtent l="0" t="0" r="0" b="0"/>
            <wp:docPr id="8" name="图片 8" descr="descript"/>
            <wp:cNvGraphicFramePr/>
            <a:graphic xmlns:a="http://schemas.openxmlformats.org/drawingml/2006/main">
              <a:graphicData uri="http://schemas.openxmlformats.org/drawingml/2006/picture">
                <pic:pic xmlns:pic="http://schemas.openxmlformats.org/drawingml/2006/picture">
                  <pic:nvPicPr>
                    <pic:cNvPr id="8" name="图片 8" descr="descript"/>
                    <pic:cNvPicPr>
                      <a:picLocks noChangeArrowheads="1"/>
                    </pic:cNvPicPr>
                  </pic:nvPicPr>
                  <pic:blipFill>
                    <a:blip r:embed="rId18">
                      <a:extLst>
                        <a:ext uri="{28A0092B-C50C-407E-A947-70E740481C1C}">
                          <a14:useLocalDpi xmlns:a14="http://schemas.microsoft.com/office/drawing/2010/main" val="0"/>
                        </a:ext>
                      </a:extLst>
                    </a:blip>
                    <a:srcRect/>
                    <a:stretch>
                      <a:fillRect/>
                    </a:stretch>
                  </pic:blipFill>
                  <pic:spPr>
                    <a:xfrm>
                      <a:off x="0" y="0"/>
                      <a:ext cx="5486400" cy="2673350"/>
                    </a:xfrm>
                    <a:prstGeom prst="rect">
                      <a:avLst/>
                    </a:prstGeom>
                    <a:noFill/>
                    <a:ln>
                      <a:noFill/>
                    </a:ln>
                  </pic:spPr>
                </pic:pic>
              </a:graphicData>
            </a:graphic>
          </wp:inline>
        </w:drawing>
      </w:r>
    </w:p>
    <w:p w14:paraId="55151D6D">
      <w:pPr>
        <w:spacing w:line="360" w:lineRule="auto"/>
        <w:rPr>
          <w:rFonts w:ascii="宋体" w:hAnsi="宋体" w:cs="宋体"/>
          <w:b/>
          <w:bCs/>
          <w:color w:val="000000"/>
          <w:sz w:val="24"/>
          <w:szCs w:val="24"/>
        </w:rPr>
      </w:pPr>
      <w:r>
        <w:rPr>
          <w:rFonts w:hint="eastAsia" w:ascii="宋体" w:hAnsi="宋体" w:cs="宋体"/>
          <w:b/>
          <w:bCs/>
          <w:color w:val="000000"/>
          <w:sz w:val="24"/>
          <w:szCs w:val="24"/>
        </w:rPr>
        <w:t>3.供应商技术标澄清函</w:t>
      </w:r>
    </w:p>
    <w:p w14:paraId="77523892">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供应商技术标澄清函</w:t>
      </w:r>
    </w:p>
    <w:p w14:paraId="6C15398A">
      <w:pPr>
        <w:spacing w:line="360" w:lineRule="auto"/>
        <w:rPr>
          <w:rFonts w:ascii="宋体" w:hAnsi="宋体" w:cs="宋体"/>
          <w:sz w:val="24"/>
          <w:szCs w:val="24"/>
        </w:rPr>
      </w:pPr>
      <w:r>
        <w:rPr>
          <w:rFonts w:ascii="宋体" w:hAnsi="宋体" w:cs="宋体"/>
          <w:color w:val="000000"/>
          <w:sz w:val="24"/>
          <w:szCs w:val="24"/>
        </w:rPr>
        <w:t>点击编辑按钮进入系统，上传技术标澄清函。</w:t>
      </w:r>
    </w:p>
    <w:p w14:paraId="40D673EB">
      <w:pPr>
        <w:spacing w:line="360" w:lineRule="auto"/>
        <w:rPr>
          <w:rFonts w:ascii="Arial" w:hAnsi="Arial" w:eastAsia="Arial" w:cs="Arial"/>
          <w:color w:val="000000"/>
          <w:sz w:val="28"/>
        </w:rPr>
      </w:pPr>
      <w:r>
        <w:rPr>
          <w:rFonts w:ascii="宋体" w:hAnsi="宋体" w:cs="宋体"/>
          <w:color w:val="000000"/>
          <w:sz w:val="24"/>
          <w:szCs w:val="24"/>
        </w:rPr>
        <w:t>开标之后所有投标的供应商都可编辑提交，</w:t>
      </w:r>
      <w:r>
        <w:rPr>
          <w:rFonts w:hint="eastAsia" w:ascii="宋体" w:hAnsi="宋体" w:cs="宋体"/>
          <w:color w:val="000000"/>
          <w:sz w:val="24"/>
          <w:szCs w:val="24"/>
        </w:rPr>
        <w:t xml:space="preserve">资质审核完 </w:t>
      </w:r>
      <w:r>
        <w:rPr>
          <w:rFonts w:ascii="宋体" w:hAnsi="宋体" w:cs="宋体"/>
          <w:color w:val="000000"/>
          <w:sz w:val="24"/>
          <w:szCs w:val="24"/>
        </w:rPr>
        <w:t>都不可编辑</w:t>
      </w:r>
      <w:r>
        <w:rPr>
          <w:rFonts w:ascii="Arial" w:hAnsi="Arial" w:eastAsia="Arial" w:cs="Arial"/>
          <w:color w:val="000000"/>
          <w:sz w:val="28"/>
        </w:rPr>
        <w:drawing>
          <wp:inline distT="0" distB="0" distL="0" distR="0">
            <wp:extent cx="5486400" cy="1987550"/>
            <wp:effectExtent l="0" t="0" r="0" b="0"/>
            <wp:docPr id="7" name="图片 7" descr="descript"/>
            <wp:cNvGraphicFramePr/>
            <a:graphic xmlns:a="http://schemas.openxmlformats.org/drawingml/2006/main">
              <a:graphicData uri="http://schemas.openxmlformats.org/drawingml/2006/picture">
                <pic:pic xmlns:pic="http://schemas.openxmlformats.org/drawingml/2006/picture">
                  <pic:nvPicPr>
                    <pic:cNvPr id="7" name="图片 7" descr="descript"/>
                    <pic:cNvPicPr>
                      <a:picLocks noChangeArrowheads="1"/>
                    </pic:cNvPicPr>
                  </pic:nvPicPr>
                  <pic:blipFill>
                    <a:blip r:embed="rId19">
                      <a:extLst>
                        <a:ext uri="{28A0092B-C50C-407E-A947-70E740481C1C}">
                          <a14:useLocalDpi xmlns:a14="http://schemas.microsoft.com/office/drawing/2010/main" val="0"/>
                        </a:ext>
                      </a:extLst>
                    </a:blip>
                    <a:srcRect/>
                    <a:stretch>
                      <a:fillRect/>
                    </a:stretch>
                  </pic:blipFill>
                  <pic:spPr>
                    <a:xfrm>
                      <a:off x="0" y="0"/>
                      <a:ext cx="5486400" cy="1987550"/>
                    </a:xfrm>
                    <a:prstGeom prst="rect">
                      <a:avLst/>
                    </a:prstGeom>
                    <a:noFill/>
                    <a:ln>
                      <a:noFill/>
                    </a:ln>
                  </pic:spPr>
                </pic:pic>
              </a:graphicData>
            </a:graphic>
          </wp:inline>
        </w:drawing>
      </w:r>
    </w:p>
    <w:p w14:paraId="454FD7DB">
      <w:pPr>
        <w:spacing w:line="360" w:lineRule="auto"/>
        <w:rPr>
          <w:rFonts w:ascii="宋体" w:hAnsi="宋体" w:cs="宋体"/>
          <w:b/>
          <w:bCs/>
          <w:color w:val="000000"/>
          <w:sz w:val="24"/>
          <w:szCs w:val="24"/>
        </w:rPr>
      </w:pPr>
      <w:r>
        <w:rPr>
          <w:rFonts w:hint="eastAsia" w:ascii="宋体" w:hAnsi="宋体" w:cs="宋体"/>
          <w:b/>
          <w:bCs/>
          <w:color w:val="000000"/>
          <w:sz w:val="24"/>
          <w:szCs w:val="24"/>
        </w:rPr>
        <w:t>4.供应商报价</w:t>
      </w:r>
    </w:p>
    <w:p w14:paraId="5D02B39B">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供应商报价</w:t>
      </w:r>
    </w:p>
    <w:p w14:paraId="2643274D">
      <w:pPr>
        <w:spacing w:line="360" w:lineRule="auto"/>
        <w:rPr>
          <w:rFonts w:ascii="宋体" w:hAnsi="宋体" w:cs="宋体"/>
          <w:color w:val="000000"/>
          <w:sz w:val="24"/>
          <w:szCs w:val="24"/>
        </w:rPr>
      </w:pPr>
      <w:r>
        <w:rPr>
          <w:rFonts w:ascii="宋体" w:hAnsi="宋体" w:cs="宋体"/>
          <w:color w:val="000000"/>
          <w:sz w:val="24"/>
          <w:szCs w:val="24"/>
        </w:rPr>
        <w:t>点击报价按钮进入报价详情界面，请在此轮报价起止时间内报价，否则无法报价。</w:t>
      </w:r>
    </w:p>
    <w:p w14:paraId="73CCC843">
      <w:pPr>
        <w:rPr>
          <w:b/>
          <w:bCs/>
        </w:rPr>
      </w:pPr>
      <w:r>
        <w:rPr>
          <w:rFonts w:hint="eastAsia"/>
          <w:b/>
          <w:bCs/>
          <w:highlight w:val="yellow"/>
        </w:rPr>
        <w:t>请注意，报价单位为万元含税</w:t>
      </w:r>
    </w:p>
    <w:p w14:paraId="56899A70">
      <w:pPr>
        <w:spacing w:line="360" w:lineRule="auto"/>
        <w:rPr>
          <w:rFonts w:ascii="宋体" w:hAnsi="宋体" w:cs="宋体"/>
          <w:b/>
          <w:bCs/>
          <w:color w:val="000000"/>
          <w:sz w:val="24"/>
          <w:szCs w:val="24"/>
        </w:rPr>
      </w:pPr>
      <w:r>
        <w:rPr>
          <w:rFonts w:hint="eastAsia" w:ascii="宋体" w:hAnsi="宋体" w:cs="宋体"/>
          <w:b/>
          <w:bCs/>
          <w:color w:val="000000"/>
          <w:sz w:val="24"/>
          <w:szCs w:val="24"/>
        </w:rPr>
        <w:t>5.供应商澄清报价</w:t>
      </w:r>
    </w:p>
    <w:p w14:paraId="63080AAA">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供应商澄清报价</w:t>
      </w:r>
    </w:p>
    <w:p w14:paraId="7001881A">
      <w:pPr>
        <w:spacing w:line="360" w:lineRule="auto"/>
        <w:rPr>
          <w:rFonts w:ascii="宋体" w:hAnsi="宋体" w:cs="宋体"/>
          <w:sz w:val="24"/>
          <w:szCs w:val="24"/>
        </w:rPr>
      </w:pPr>
      <w:r>
        <w:rPr>
          <w:rFonts w:ascii="宋体" w:hAnsi="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1D1E106C">
      <w:pPr>
        <w:pStyle w:val="7"/>
        <w:spacing w:line="372" w:lineRule="auto"/>
        <w:ind w:left="425" w:hanging="425"/>
        <w:rPr>
          <w:rFonts w:ascii="Arial" w:hAnsi="Arial" w:eastAsia="Arial" w:cs="Arial"/>
          <w:color w:val="000000"/>
        </w:rPr>
      </w:pPr>
      <w:r>
        <w:rPr>
          <w:rFonts w:ascii="Arial" w:hAnsi="Arial" w:eastAsia="Arial" w:cs="Arial"/>
          <w:color w:val="000000"/>
        </w:rPr>
        <w:drawing>
          <wp:inline distT="0" distB="0" distL="0" distR="0">
            <wp:extent cx="5486400" cy="2544445"/>
            <wp:effectExtent l="0" t="0" r="0" b="8255"/>
            <wp:docPr id="6" name="图片 6" descr="descript"/>
            <wp:cNvGraphicFramePr/>
            <a:graphic xmlns:a="http://schemas.openxmlformats.org/drawingml/2006/main">
              <a:graphicData uri="http://schemas.openxmlformats.org/drawingml/2006/picture">
                <pic:pic xmlns:pic="http://schemas.openxmlformats.org/drawingml/2006/picture">
                  <pic:nvPicPr>
                    <pic:cNvPr id="6" name="图片 6" descr="descript"/>
                    <pic:cNvPicPr>
                      <a:picLocks noChangeArrowheads="1"/>
                    </pic:cNvPicPr>
                  </pic:nvPicPr>
                  <pic:blipFill>
                    <a:blip r:embed="rId20">
                      <a:extLst>
                        <a:ext uri="{28A0092B-C50C-407E-A947-70E740481C1C}">
                          <a14:useLocalDpi xmlns:a14="http://schemas.microsoft.com/office/drawing/2010/main" val="0"/>
                        </a:ext>
                      </a:extLst>
                    </a:blip>
                    <a:srcRect/>
                    <a:stretch>
                      <a:fillRect/>
                    </a:stretch>
                  </pic:blipFill>
                  <pic:spPr>
                    <a:xfrm>
                      <a:off x="0" y="0"/>
                      <a:ext cx="5486400" cy="2544445"/>
                    </a:xfrm>
                    <a:prstGeom prst="rect">
                      <a:avLst/>
                    </a:prstGeom>
                    <a:noFill/>
                    <a:ln>
                      <a:noFill/>
                    </a:ln>
                  </pic:spPr>
                </pic:pic>
              </a:graphicData>
            </a:graphic>
          </wp:inline>
        </w:drawing>
      </w:r>
    </w:p>
    <w:p w14:paraId="4C2853DB">
      <w:pPr>
        <w:spacing w:line="360" w:lineRule="auto"/>
        <w:rPr>
          <w:rFonts w:ascii="宋体" w:hAnsi="宋体" w:cs="宋体"/>
          <w:b/>
          <w:bCs/>
          <w:color w:val="000000"/>
          <w:sz w:val="24"/>
          <w:szCs w:val="24"/>
        </w:rPr>
      </w:pPr>
      <w:r>
        <w:rPr>
          <w:rFonts w:hint="eastAsia" w:ascii="宋体" w:hAnsi="宋体" w:cs="宋体"/>
          <w:b/>
          <w:bCs/>
          <w:color w:val="000000"/>
          <w:sz w:val="24"/>
          <w:szCs w:val="24"/>
        </w:rPr>
        <w:t>6.供应商查看中标通知</w:t>
      </w:r>
    </w:p>
    <w:p w14:paraId="02939A35">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中标项目</w:t>
      </w:r>
    </w:p>
    <w:p w14:paraId="59DBE310">
      <w:pPr>
        <w:spacing w:line="360" w:lineRule="auto"/>
        <w:rPr>
          <w:rFonts w:ascii="宋体" w:hAnsi="宋体" w:cs="宋体"/>
          <w:sz w:val="24"/>
          <w:szCs w:val="24"/>
        </w:rPr>
      </w:pPr>
      <w:r>
        <w:rPr>
          <w:rFonts w:ascii="宋体" w:hAnsi="宋体" w:cs="宋体"/>
          <w:color w:val="000000"/>
          <w:sz w:val="24"/>
          <w:szCs w:val="24"/>
        </w:rPr>
        <w:t>点击查看进入查看中标项目详情</w:t>
      </w:r>
    </w:p>
    <w:p w14:paraId="69C9F528">
      <w:r>
        <w:drawing>
          <wp:inline distT="0" distB="0" distL="0" distR="0">
            <wp:extent cx="5764530" cy="1957705"/>
            <wp:effectExtent l="0" t="0" r="7620" b="4445"/>
            <wp:docPr id="1" name="图片 1" descr="descript"/>
            <wp:cNvGraphicFramePr/>
            <a:graphic xmlns:a="http://schemas.openxmlformats.org/drawingml/2006/main">
              <a:graphicData uri="http://schemas.openxmlformats.org/drawingml/2006/picture">
                <pic:pic xmlns:pic="http://schemas.openxmlformats.org/drawingml/2006/picture">
                  <pic:nvPicPr>
                    <pic:cNvPr id="1" name="图片 1" descr="descript"/>
                    <pic:cNvPicPr>
                      <a:picLocks noChangeArrowheads="1"/>
                    </pic:cNvPicPr>
                  </pic:nvPicPr>
                  <pic:blipFill>
                    <a:blip r:embed="rId21">
                      <a:extLst>
                        <a:ext uri="{28A0092B-C50C-407E-A947-70E740481C1C}">
                          <a14:useLocalDpi xmlns:a14="http://schemas.microsoft.com/office/drawing/2010/main" val="0"/>
                        </a:ext>
                      </a:extLst>
                    </a:blip>
                    <a:srcRect/>
                    <a:stretch>
                      <a:fillRect/>
                    </a:stretch>
                  </pic:blipFill>
                  <pic:spPr>
                    <a:xfrm>
                      <a:off x="0" y="0"/>
                      <a:ext cx="5764530" cy="1957705"/>
                    </a:xfrm>
                    <a:prstGeom prst="rect">
                      <a:avLst/>
                    </a:prstGeom>
                    <a:noFill/>
                    <a:ln>
                      <a:noFill/>
                    </a:ln>
                  </pic:spPr>
                </pic:pic>
              </a:graphicData>
            </a:graphic>
          </wp:inline>
        </w:drawing>
      </w:r>
    </w:p>
    <w:p w14:paraId="262D3660">
      <w:pPr>
        <w:pStyle w:val="7"/>
      </w:pPr>
      <w:r>
        <w:rPr>
          <w:rFonts w:hint="eastAsia"/>
        </w:rPr>
        <w:t>7、评标纪律</w:t>
      </w:r>
    </w:p>
    <w:p w14:paraId="1538EC37">
      <w:r>
        <w:t>路径：招投标中心-非生产类招投标-</w:t>
      </w:r>
      <w:r>
        <w:rPr>
          <w:rFonts w:hint="eastAsia"/>
        </w:rPr>
        <w:t>供应商投标</w:t>
      </w:r>
    </w:p>
    <w:p w14:paraId="05347A7D"/>
    <w:p w14:paraId="4AE12B89">
      <w:r>
        <w:rPr>
          <w:rFonts w:hint="eastAsia"/>
        </w:rPr>
        <w:t>供应商投标时会弹窗展示评标纪律，要求供应商勾选我已阅知并保证遵守评标记录之后点击确定按钮进入投标界面。</w:t>
      </w:r>
    </w:p>
    <w:p w14:paraId="24B49BEE">
      <w:r>
        <w:drawing>
          <wp:inline distT="0" distB="0" distL="0" distR="0">
            <wp:extent cx="5274310" cy="5763895"/>
            <wp:effectExtent l="0" t="0" r="2540" b="8255"/>
            <wp:docPr id="805844583" name="图片 1" descr="图形用户界面, 文本, 应用程序&#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5844583" name="图片 1" descr="图形用户界面, 文本, 应用程序&#10;&#10;描述已自动生成"/>
                    <pic:cNvPicPr>
                      <a:picLocks noChangeAspect="1"/>
                    </pic:cNvPicPr>
                  </pic:nvPicPr>
                  <pic:blipFill>
                    <a:blip r:embed="rId22"/>
                    <a:stretch>
                      <a:fillRect/>
                    </a:stretch>
                  </pic:blipFill>
                  <pic:spPr>
                    <a:xfrm>
                      <a:off x="0" y="0"/>
                      <a:ext cx="5274310" cy="5763943"/>
                    </a:xfrm>
                    <a:prstGeom prst="rect">
                      <a:avLst/>
                    </a:prstGeom>
                  </pic:spPr>
                </pic:pic>
              </a:graphicData>
            </a:graphic>
          </wp:inline>
        </w:drawing>
      </w:r>
    </w:p>
    <w:p w14:paraId="1C6E6604">
      <w:pPr>
        <w:pStyle w:val="2"/>
        <w:ind w:left="0" w:leftChars="0" w:firstLine="0"/>
      </w:pPr>
    </w:p>
    <w:p w14:paraId="25A66DF2">
      <w:pPr>
        <w:pStyle w:val="10"/>
        <w:rPr>
          <w:rFonts w:hAnsi="宋体"/>
          <w:b/>
          <w:color w:val="000000"/>
          <w:sz w:val="24"/>
          <w:szCs w:val="24"/>
        </w:rPr>
      </w:pPr>
    </w:p>
    <w:p w14:paraId="58377225">
      <w:pPr>
        <w:pStyle w:val="10"/>
        <w:spacing w:line="360" w:lineRule="auto"/>
        <w:jc w:val="left"/>
        <w:rPr>
          <w:rFonts w:hAnsi="宋体" w:cs="仿宋"/>
          <w:szCs w:val="21"/>
        </w:rPr>
      </w:pPr>
    </w:p>
    <w:p w14:paraId="6935B79E">
      <w:pPr>
        <w:pStyle w:val="10"/>
        <w:spacing w:line="360" w:lineRule="auto"/>
        <w:jc w:val="left"/>
        <w:rPr>
          <w:rFonts w:hAnsi="宋体" w:cs="仿宋"/>
          <w:szCs w:val="21"/>
        </w:rPr>
      </w:pPr>
    </w:p>
    <w:p w14:paraId="4B9BA34C">
      <w:pPr>
        <w:rPr>
          <w:rFonts w:ascii="宋体" w:hAnsi="宋体" w:cs="仿宋"/>
          <w:b/>
          <w:bCs/>
          <w:szCs w:val="21"/>
        </w:rPr>
      </w:pPr>
    </w:p>
    <w:p w14:paraId="252C3D29"/>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Cambria">
    <w:panose1 w:val="02040503050406030204"/>
    <w:charset w:val="00"/>
    <w:family w:val="roman"/>
    <w:pitch w:val="default"/>
    <w:sig w:usb0="E00006FF" w:usb1="420024FF" w:usb2="02000000" w:usb3="00000000" w:csb0="2000019F"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方正小标宋简体">
    <w:panose1 w:val="02000000000000000000"/>
    <w:charset w:val="86"/>
    <w:family w:val="script"/>
    <w:pitch w:val="default"/>
    <w:sig w:usb0="A00002BF"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95243C">
    <w:pPr>
      <w:pStyle w:val="13"/>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DD7B75">
    <w:pPr>
      <w:pStyle w:val="13"/>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555BA3">
    <w:pPr>
      <w:pStyle w:val="13"/>
      <w:ind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42C60A">
    <w:pPr>
      <w:pStyle w:val="4"/>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E96B03">
    <w:pPr>
      <w:pStyle w:val="4"/>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3B5A68">
    <w:pPr>
      <w:pStyle w:val="4"/>
      <w:ind w:firstLine="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B23D2F0"/>
    <w:multiLevelType w:val="singleLevel"/>
    <w:tmpl w:val="CB23D2F0"/>
    <w:lvl w:ilvl="0" w:tentative="0">
      <w:start w:val="8"/>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mYwNzIyNzM2YzNiNzkyMjAzZDc0MDcyYTYyYjgwODQifQ=="/>
  </w:docVars>
  <w:rsids>
    <w:rsidRoot w:val="00754C00"/>
    <w:rsid w:val="00034742"/>
    <w:rsid w:val="00042E5B"/>
    <w:rsid w:val="00056026"/>
    <w:rsid w:val="00060D9A"/>
    <w:rsid w:val="00063277"/>
    <w:rsid w:val="000823BB"/>
    <w:rsid w:val="000A7531"/>
    <w:rsid w:val="000E2F78"/>
    <w:rsid w:val="000E352C"/>
    <w:rsid w:val="000E3DF6"/>
    <w:rsid w:val="000E6BE4"/>
    <w:rsid w:val="000F49D2"/>
    <w:rsid w:val="00137A80"/>
    <w:rsid w:val="0014319C"/>
    <w:rsid w:val="00146627"/>
    <w:rsid w:val="00151298"/>
    <w:rsid w:val="00162084"/>
    <w:rsid w:val="00181B0C"/>
    <w:rsid w:val="001969FB"/>
    <w:rsid w:val="001A3CD0"/>
    <w:rsid w:val="001A6801"/>
    <w:rsid w:val="001E0260"/>
    <w:rsid w:val="001F37F8"/>
    <w:rsid w:val="001F5075"/>
    <w:rsid w:val="002015E5"/>
    <w:rsid w:val="002101A1"/>
    <w:rsid w:val="00251B58"/>
    <w:rsid w:val="00257363"/>
    <w:rsid w:val="002719D0"/>
    <w:rsid w:val="00271A64"/>
    <w:rsid w:val="002A0E51"/>
    <w:rsid w:val="002A67A4"/>
    <w:rsid w:val="002C1DC9"/>
    <w:rsid w:val="002C2C1B"/>
    <w:rsid w:val="002C5EFC"/>
    <w:rsid w:val="002D28D2"/>
    <w:rsid w:val="002E0116"/>
    <w:rsid w:val="003039D3"/>
    <w:rsid w:val="00304A55"/>
    <w:rsid w:val="00325621"/>
    <w:rsid w:val="00325DA3"/>
    <w:rsid w:val="00356460"/>
    <w:rsid w:val="003607F8"/>
    <w:rsid w:val="00372EE0"/>
    <w:rsid w:val="003755C2"/>
    <w:rsid w:val="00380110"/>
    <w:rsid w:val="0038158B"/>
    <w:rsid w:val="00382AEF"/>
    <w:rsid w:val="0039444B"/>
    <w:rsid w:val="003965F1"/>
    <w:rsid w:val="003B4F25"/>
    <w:rsid w:val="003D09C1"/>
    <w:rsid w:val="003F172A"/>
    <w:rsid w:val="003F5449"/>
    <w:rsid w:val="00406CDE"/>
    <w:rsid w:val="00412FF3"/>
    <w:rsid w:val="00421525"/>
    <w:rsid w:val="00435BC9"/>
    <w:rsid w:val="00442FD0"/>
    <w:rsid w:val="00477DC0"/>
    <w:rsid w:val="00486CDA"/>
    <w:rsid w:val="00496EA1"/>
    <w:rsid w:val="004A4B87"/>
    <w:rsid w:val="004B1E2B"/>
    <w:rsid w:val="004B4714"/>
    <w:rsid w:val="004B4890"/>
    <w:rsid w:val="004C39D2"/>
    <w:rsid w:val="004C611F"/>
    <w:rsid w:val="004E350A"/>
    <w:rsid w:val="005169F5"/>
    <w:rsid w:val="00531B8F"/>
    <w:rsid w:val="00535488"/>
    <w:rsid w:val="00547655"/>
    <w:rsid w:val="00555438"/>
    <w:rsid w:val="005815BD"/>
    <w:rsid w:val="00594968"/>
    <w:rsid w:val="00597F57"/>
    <w:rsid w:val="005A4FB8"/>
    <w:rsid w:val="005B399F"/>
    <w:rsid w:val="005D2FE3"/>
    <w:rsid w:val="005D326F"/>
    <w:rsid w:val="005F1F1D"/>
    <w:rsid w:val="006061DD"/>
    <w:rsid w:val="00616640"/>
    <w:rsid w:val="00622CF6"/>
    <w:rsid w:val="00622EAF"/>
    <w:rsid w:val="00655D7D"/>
    <w:rsid w:val="00667CFC"/>
    <w:rsid w:val="006C1CA0"/>
    <w:rsid w:val="006C51A2"/>
    <w:rsid w:val="006D6481"/>
    <w:rsid w:val="006E4D6D"/>
    <w:rsid w:val="006F639E"/>
    <w:rsid w:val="00732F20"/>
    <w:rsid w:val="00754C00"/>
    <w:rsid w:val="0077424B"/>
    <w:rsid w:val="00780550"/>
    <w:rsid w:val="007A433C"/>
    <w:rsid w:val="007B6172"/>
    <w:rsid w:val="007D3C5C"/>
    <w:rsid w:val="007E7AE5"/>
    <w:rsid w:val="008226F3"/>
    <w:rsid w:val="0084781B"/>
    <w:rsid w:val="00863A4B"/>
    <w:rsid w:val="0088025D"/>
    <w:rsid w:val="008A57E1"/>
    <w:rsid w:val="00903920"/>
    <w:rsid w:val="009359B7"/>
    <w:rsid w:val="00955ABE"/>
    <w:rsid w:val="00962079"/>
    <w:rsid w:val="009635D9"/>
    <w:rsid w:val="0096617B"/>
    <w:rsid w:val="00973F52"/>
    <w:rsid w:val="00980E5D"/>
    <w:rsid w:val="009938C1"/>
    <w:rsid w:val="009C212C"/>
    <w:rsid w:val="00A15A1A"/>
    <w:rsid w:val="00A356ED"/>
    <w:rsid w:val="00A463F8"/>
    <w:rsid w:val="00A617B8"/>
    <w:rsid w:val="00A92D94"/>
    <w:rsid w:val="00AA52F5"/>
    <w:rsid w:val="00AB7B63"/>
    <w:rsid w:val="00AC21FA"/>
    <w:rsid w:val="00AF157A"/>
    <w:rsid w:val="00AF7333"/>
    <w:rsid w:val="00B14926"/>
    <w:rsid w:val="00B15789"/>
    <w:rsid w:val="00B306BC"/>
    <w:rsid w:val="00B476AD"/>
    <w:rsid w:val="00B47962"/>
    <w:rsid w:val="00B533A9"/>
    <w:rsid w:val="00B55A2C"/>
    <w:rsid w:val="00B578CD"/>
    <w:rsid w:val="00B72775"/>
    <w:rsid w:val="00B72E6F"/>
    <w:rsid w:val="00B83A4B"/>
    <w:rsid w:val="00B86167"/>
    <w:rsid w:val="00BA4412"/>
    <w:rsid w:val="00BC0627"/>
    <w:rsid w:val="00BD3875"/>
    <w:rsid w:val="00BE082A"/>
    <w:rsid w:val="00BE1BDB"/>
    <w:rsid w:val="00C04768"/>
    <w:rsid w:val="00C2578D"/>
    <w:rsid w:val="00C349EC"/>
    <w:rsid w:val="00C4551B"/>
    <w:rsid w:val="00C56669"/>
    <w:rsid w:val="00C870D3"/>
    <w:rsid w:val="00CA02D7"/>
    <w:rsid w:val="00CC2B01"/>
    <w:rsid w:val="00CF5F8F"/>
    <w:rsid w:val="00D21FD7"/>
    <w:rsid w:val="00D23D57"/>
    <w:rsid w:val="00D23F12"/>
    <w:rsid w:val="00D362F9"/>
    <w:rsid w:val="00D515D1"/>
    <w:rsid w:val="00D530D8"/>
    <w:rsid w:val="00D63939"/>
    <w:rsid w:val="00D84536"/>
    <w:rsid w:val="00DC2BAD"/>
    <w:rsid w:val="00DD24BF"/>
    <w:rsid w:val="00DD560E"/>
    <w:rsid w:val="00DF4119"/>
    <w:rsid w:val="00E06659"/>
    <w:rsid w:val="00E213A3"/>
    <w:rsid w:val="00E225A5"/>
    <w:rsid w:val="00E355F3"/>
    <w:rsid w:val="00E35B41"/>
    <w:rsid w:val="00E54303"/>
    <w:rsid w:val="00E57013"/>
    <w:rsid w:val="00E62D8F"/>
    <w:rsid w:val="00E63742"/>
    <w:rsid w:val="00E70E80"/>
    <w:rsid w:val="00E833F3"/>
    <w:rsid w:val="00E95BA5"/>
    <w:rsid w:val="00E9603B"/>
    <w:rsid w:val="00EA0B73"/>
    <w:rsid w:val="00EA0FA0"/>
    <w:rsid w:val="00EA2C6F"/>
    <w:rsid w:val="00EA5A69"/>
    <w:rsid w:val="00EB6ACC"/>
    <w:rsid w:val="00EC29C0"/>
    <w:rsid w:val="00EE4EFC"/>
    <w:rsid w:val="00EE67F8"/>
    <w:rsid w:val="00F34EA9"/>
    <w:rsid w:val="00F550ED"/>
    <w:rsid w:val="00F8403B"/>
    <w:rsid w:val="00F952F2"/>
    <w:rsid w:val="00F97605"/>
    <w:rsid w:val="00FA6CE2"/>
    <w:rsid w:val="00FB1ED2"/>
    <w:rsid w:val="00FB5663"/>
    <w:rsid w:val="00FB633B"/>
    <w:rsid w:val="00FD0ECC"/>
    <w:rsid w:val="00FF4247"/>
    <w:rsid w:val="0199627A"/>
    <w:rsid w:val="02557C87"/>
    <w:rsid w:val="04E6106A"/>
    <w:rsid w:val="08654E6E"/>
    <w:rsid w:val="0DAB2E51"/>
    <w:rsid w:val="0EC73CBB"/>
    <w:rsid w:val="10E90C13"/>
    <w:rsid w:val="11BD3153"/>
    <w:rsid w:val="124D1BEC"/>
    <w:rsid w:val="14076907"/>
    <w:rsid w:val="186427E3"/>
    <w:rsid w:val="19EC2827"/>
    <w:rsid w:val="1D991E2C"/>
    <w:rsid w:val="1EAF2075"/>
    <w:rsid w:val="202E7325"/>
    <w:rsid w:val="211A411E"/>
    <w:rsid w:val="2127683B"/>
    <w:rsid w:val="21676C37"/>
    <w:rsid w:val="21B77BBF"/>
    <w:rsid w:val="21BA320B"/>
    <w:rsid w:val="2355768F"/>
    <w:rsid w:val="25494FD2"/>
    <w:rsid w:val="25F3318F"/>
    <w:rsid w:val="26D146B9"/>
    <w:rsid w:val="28072F22"/>
    <w:rsid w:val="28D34C80"/>
    <w:rsid w:val="2A76264A"/>
    <w:rsid w:val="2B393DF5"/>
    <w:rsid w:val="2D597D7C"/>
    <w:rsid w:val="30EA5AFF"/>
    <w:rsid w:val="35245113"/>
    <w:rsid w:val="379320DC"/>
    <w:rsid w:val="3B976B1A"/>
    <w:rsid w:val="3CAF074F"/>
    <w:rsid w:val="41D97902"/>
    <w:rsid w:val="42680ED5"/>
    <w:rsid w:val="42DD4DD9"/>
    <w:rsid w:val="4E296E9F"/>
    <w:rsid w:val="552503C0"/>
    <w:rsid w:val="574F38C1"/>
    <w:rsid w:val="57711FE2"/>
    <w:rsid w:val="57F66044"/>
    <w:rsid w:val="58C3061C"/>
    <w:rsid w:val="592124C5"/>
    <w:rsid w:val="592B4413"/>
    <w:rsid w:val="5D403FF9"/>
    <w:rsid w:val="5EA20CD3"/>
    <w:rsid w:val="60376FC2"/>
    <w:rsid w:val="615121DF"/>
    <w:rsid w:val="61882403"/>
    <w:rsid w:val="63376FEF"/>
    <w:rsid w:val="648B4023"/>
    <w:rsid w:val="6A820B17"/>
    <w:rsid w:val="6C663340"/>
    <w:rsid w:val="6C7C0DB6"/>
    <w:rsid w:val="6CEB1A97"/>
    <w:rsid w:val="6F814935"/>
    <w:rsid w:val="71D02C6B"/>
    <w:rsid w:val="73A429A0"/>
    <w:rsid w:val="77F263D0"/>
    <w:rsid w:val="78C23FF4"/>
    <w:rsid w:val="7A4E7270"/>
    <w:rsid w:val="7C336FB7"/>
    <w:rsid w:val="7C613B24"/>
    <w:rsid w:val="7C8021F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nhideWhenUsed="0" w:uiPriority="0"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name="toc 1"/>
    <w:lsdException w:uiPriority="39" w:name="toc 2"/>
    <w:lsdException w:qFormat="1"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nhideWhenUsed="0"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nhideWhenUsed="0" w:uiPriority="0" w:semiHidden="0"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qFormat="1" w:uiPriority="99"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0"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5">
    <w:name w:val="heading 1"/>
    <w:basedOn w:val="6"/>
    <w:next w:val="1"/>
    <w:link w:val="28"/>
    <w:qFormat/>
    <w:uiPriority w:val="0"/>
    <w:pPr>
      <w:tabs>
        <w:tab w:val="right" w:leader="dot" w:pos="9061"/>
      </w:tabs>
      <w:spacing w:line="360" w:lineRule="auto"/>
      <w:ind w:left="420" w:leftChars="0"/>
      <w:jc w:val="center"/>
      <w:outlineLvl w:val="0"/>
    </w:pPr>
    <w:rPr>
      <w:b/>
      <w:iCs/>
      <w:sz w:val="36"/>
    </w:rPr>
  </w:style>
  <w:style w:type="paragraph" w:styleId="7">
    <w:name w:val="heading 4"/>
    <w:basedOn w:val="1"/>
    <w:next w:val="1"/>
    <w:link w:val="29"/>
    <w:qFormat/>
    <w:uiPriority w:val="0"/>
    <w:pPr>
      <w:keepNext/>
      <w:keepLines/>
      <w:spacing w:before="280" w:after="290" w:line="376" w:lineRule="auto"/>
      <w:outlineLvl w:val="3"/>
    </w:pPr>
    <w:rPr>
      <w:rFonts w:ascii="Cambria" w:hAnsi="Cambria"/>
      <w:b/>
      <w:bCs/>
      <w:sz w:val="28"/>
      <w:szCs w:val="28"/>
    </w:rPr>
  </w:style>
  <w:style w:type="character" w:default="1" w:styleId="17">
    <w:name w:val="Default Paragraph Font"/>
    <w:semiHidden/>
    <w:unhideWhenUsed/>
    <w:uiPriority w:val="1"/>
  </w:style>
  <w:style w:type="table" w:default="1" w:styleId="15">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next w:val="1"/>
    <w:unhideWhenUsed/>
    <w:qFormat/>
    <w:uiPriority w:val="99"/>
    <w:pPr>
      <w:ind w:firstLine="420"/>
    </w:pPr>
  </w:style>
  <w:style w:type="paragraph" w:styleId="3">
    <w:name w:val="Body Text Indent"/>
    <w:basedOn w:val="1"/>
    <w:next w:val="4"/>
    <w:link w:val="24"/>
    <w:unhideWhenUsed/>
    <w:qFormat/>
    <w:uiPriority w:val="99"/>
    <w:pPr>
      <w:spacing w:after="120"/>
      <w:ind w:left="420" w:leftChars="200"/>
    </w:pPr>
    <w:rPr>
      <w:rFonts w:ascii="Calibri" w:hAnsi="Calibri"/>
      <w:szCs w:val="22"/>
    </w:rPr>
  </w:style>
  <w:style w:type="paragraph" w:styleId="4">
    <w:name w:val="header"/>
    <w:basedOn w:val="1"/>
    <w:link w:val="20"/>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toc 3"/>
    <w:basedOn w:val="1"/>
    <w:next w:val="1"/>
    <w:semiHidden/>
    <w:unhideWhenUsed/>
    <w:qFormat/>
    <w:uiPriority w:val="39"/>
    <w:pPr>
      <w:ind w:left="840" w:leftChars="400"/>
    </w:pPr>
  </w:style>
  <w:style w:type="paragraph" w:styleId="8">
    <w:name w:val="annotation text"/>
    <w:basedOn w:val="1"/>
    <w:link w:val="25"/>
    <w:qFormat/>
    <w:uiPriority w:val="99"/>
    <w:pPr>
      <w:jc w:val="left"/>
    </w:pPr>
  </w:style>
  <w:style w:type="paragraph" w:styleId="9">
    <w:name w:val="Body Text"/>
    <w:basedOn w:val="1"/>
    <w:link w:val="23"/>
    <w:qFormat/>
    <w:uiPriority w:val="0"/>
    <w:rPr>
      <w:rFonts w:ascii="仿宋_GB2312" w:eastAsia="仿宋_GB2312"/>
      <w:sz w:val="32"/>
    </w:rPr>
  </w:style>
  <w:style w:type="paragraph" w:styleId="10">
    <w:name w:val="Plain Text"/>
    <w:basedOn w:val="1"/>
    <w:link w:val="22"/>
    <w:qFormat/>
    <w:uiPriority w:val="0"/>
    <w:rPr>
      <w:rFonts w:ascii="宋体" w:hAnsi="Courier New"/>
    </w:rPr>
  </w:style>
  <w:style w:type="paragraph" w:styleId="11">
    <w:name w:val="Date"/>
    <w:basedOn w:val="1"/>
    <w:next w:val="1"/>
    <w:link w:val="31"/>
    <w:qFormat/>
    <w:uiPriority w:val="0"/>
    <w:pPr>
      <w:ind w:left="100" w:leftChars="2500"/>
    </w:pPr>
    <w:rPr>
      <w:rFonts w:ascii="Calibri" w:hAnsi="Calibri"/>
    </w:rPr>
  </w:style>
  <w:style w:type="paragraph" w:styleId="12">
    <w:name w:val="Balloon Text"/>
    <w:basedOn w:val="1"/>
    <w:link w:val="26"/>
    <w:unhideWhenUsed/>
    <w:qFormat/>
    <w:uiPriority w:val="0"/>
    <w:rPr>
      <w:sz w:val="18"/>
      <w:szCs w:val="18"/>
    </w:rPr>
  </w:style>
  <w:style w:type="paragraph" w:styleId="13">
    <w:name w:val="footer"/>
    <w:basedOn w:val="1"/>
    <w:link w:val="21"/>
    <w:unhideWhenUsed/>
    <w:qFormat/>
    <w:uiPriority w:val="99"/>
    <w:pPr>
      <w:tabs>
        <w:tab w:val="center" w:pos="4153"/>
        <w:tab w:val="right" w:pos="8306"/>
      </w:tabs>
      <w:snapToGrid w:val="0"/>
      <w:jc w:val="left"/>
    </w:pPr>
    <w:rPr>
      <w:sz w:val="18"/>
      <w:szCs w:val="18"/>
    </w:rPr>
  </w:style>
  <w:style w:type="paragraph" w:styleId="14">
    <w:name w:val="toc 1"/>
    <w:basedOn w:val="1"/>
    <w:next w:val="1"/>
    <w:semiHidden/>
    <w:qFormat/>
    <w:uiPriority w:val="0"/>
    <w:pPr>
      <w:tabs>
        <w:tab w:val="right" w:leader="dot" w:pos="8729"/>
      </w:tabs>
      <w:spacing w:line="480" w:lineRule="auto"/>
      <w:jc w:val="left"/>
    </w:pPr>
    <w:rPr>
      <w:rFonts w:ascii="宋体" w:hAnsi="宋体"/>
      <w:b/>
      <w:caps/>
      <w:sz w:val="28"/>
      <w:szCs w:val="28"/>
    </w:rPr>
  </w:style>
  <w:style w:type="table" w:styleId="16">
    <w:name w:val="Table Grid"/>
    <w:basedOn w:val="15"/>
    <w:qFormat/>
    <w:uiPriority w:val="59"/>
    <w:pPr>
      <w:widowControl w:val="0"/>
      <w:spacing w:after="200" w:line="276" w:lineRule="auto"/>
    </w:pPr>
    <w:rPr>
      <w:rFonts w:ascii="Calibri" w:hAnsi="Calibri" w:eastAsia="宋体" w:cs="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8">
    <w:name w:val="Hyperlink"/>
    <w:semiHidden/>
    <w:qFormat/>
    <w:uiPriority w:val="99"/>
    <w:rPr>
      <w:rFonts w:cs="Times New Roman"/>
      <w:color w:val="1F4F88"/>
      <w:u w:val="none"/>
    </w:rPr>
  </w:style>
  <w:style w:type="character" w:styleId="19">
    <w:name w:val="annotation reference"/>
    <w:basedOn w:val="17"/>
    <w:semiHidden/>
    <w:unhideWhenUsed/>
    <w:qFormat/>
    <w:uiPriority w:val="99"/>
    <w:rPr>
      <w:sz w:val="21"/>
      <w:szCs w:val="21"/>
    </w:rPr>
  </w:style>
  <w:style w:type="character" w:customStyle="1" w:styleId="20">
    <w:name w:val="页眉 字符"/>
    <w:basedOn w:val="17"/>
    <w:link w:val="4"/>
    <w:qFormat/>
    <w:uiPriority w:val="99"/>
    <w:rPr>
      <w:sz w:val="18"/>
      <w:szCs w:val="18"/>
    </w:rPr>
  </w:style>
  <w:style w:type="character" w:customStyle="1" w:styleId="21">
    <w:name w:val="页脚 字符"/>
    <w:basedOn w:val="17"/>
    <w:link w:val="13"/>
    <w:qFormat/>
    <w:uiPriority w:val="99"/>
    <w:rPr>
      <w:sz w:val="18"/>
      <w:szCs w:val="18"/>
    </w:rPr>
  </w:style>
  <w:style w:type="character" w:customStyle="1" w:styleId="22">
    <w:name w:val="纯文本 字符"/>
    <w:basedOn w:val="17"/>
    <w:link w:val="10"/>
    <w:qFormat/>
    <w:uiPriority w:val="0"/>
    <w:rPr>
      <w:rFonts w:ascii="宋体" w:hAnsi="Courier New" w:eastAsia="宋体" w:cs="Times New Roman"/>
      <w:szCs w:val="20"/>
    </w:rPr>
  </w:style>
  <w:style w:type="character" w:customStyle="1" w:styleId="23">
    <w:name w:val="正文文本 字符"/>
    <w:basedOn w:val="17"/>
    <w:link w:val="9"/>
    <w:qFormat/>
    <w:uiPriority w:val="0"/>
    <w:rPr>
      <w:rFonts w:ascii="仿宋_GB2312" w:hAnsi="Times New Roman" w:eastAsia="仿宋_GB2312" w:cs="Times New Roman"/>
      <w:sz w:val="32"/>
      <w:szCs w:val="20"/>
    </w:rPr>
  </w:style>
  <w:style w:type="character" w:customStyle="1" w:styleId="24">
    <w:name w:val="正文文本缩进 字符"/>
    <w:basedOn w:val="17"/>
    <w:link w:val="3"/>
    <w:qFormat/>
    <w:uiPriority w:val="99"/>
    <w:rPr>
      <w:rFonts w:ascii="Calibri" w:hAnsi="Calibri" w:eastAsia="宋体" w:cs="Times New Roman"/>
    </w:rPr>
  </w:style>
  <w:style w:type="character" w:customStyle="1" w:styleId="25">
    <w:name w:val="批注文字 字符"/>
    <w:basedOn w:val="17"/>
    <w:link w:val="8"/>
    <w:qFormat/>
    <w:uiPriority w:val="99"/>
    <w:rPr>
      <w:rFonts w:ascii="Times New Roman" w:hAnsi="Times New Roman" w:eastAsia="宋体" w:cs="Times New Roman"/>
      <w:szCs w:val="20"/>
    </w:rPr>
  </w:style>
  <w:style w:type="character" w:customStyle="1" w:styleId="26">
    <w:name w:val="批注框文本 字符"/>
    <w:basedOn w:val="17"/>
    <w:link w:val="12"/>
    <w:qFormat/>
    <w:uiPriority w:val="0"/>
    <w:rPr>
      <w:rFonts w:ascii="Times New Roman" w:hAnsi="Times New Roman" w:eastAsia="宋体" w:cs="Times New Roman"/>
      <w:sz w:val="18"/>
      <w:szCs w:val="18"/>
    </w:rPr>
  </w:style>
  <w:style w:type="paragraph" w:styleId="27">
    <w:name w:val="List Paragraph"/>
    <w:basedOn w:val="1"/>
    <w:qFormat/>
    <w:uiPriority w:val="34"/>
    <w:pPr>
      <w:ind w:firstLine="420" w:firstLineChars="200"/>
    </w:pPr>
    <w:rPr>
      <w:szCs w:val="24"/>
    </w:rPr>
  </w:style>
  <w:style w:type="character" w:customStyle="1" w:styleId="28">
    <w:name w:val="标题 1 字符"/>
    <w:basedOn w:val="17"/>
    <w:link w:val="5"/>
    <w:qFormat/>
    <w:uiPriority w:val="0"/>
    <w:rPr>
      <w:rFonts w:ascii="Times New Roman" w:hAnsi="Times New Roman" w:eastAsia="宋体" w:cs="Times New Roman"/>
      <w:b/>
      <w:iCs/>
      <w:sz w:val="36"/>
      <w:szCs w:val="20"/>
    </w:rPr>
  </w:style>
  <w:style w:type="character" w:customStyle="1" w:styleId="29">
    <w:name w:val="标题 4 字符"/>
    <w:basedOn w:val="17"/>
    <w:link w:val="7"/>
    <w:qFormat/>
    <w:uiPriority w:val="0"/>
    <w:rPr>
      <w:rFonts w:ascii="Cambria" w:hAnsi="Cambria" w:eastAsia="宋体" w:cs="Times New Roman"/>
      <w:b/>
      <w:bCs/>
      <w:kern w:val="2"/>
      <w:sz w:val="28"/>
      <w:szCs w:val="28"/>
    </w:rPr>
  </w:style>
  <w:style w:type="character" w:customStyle="1" w:styleId="30">
    <w:name w:val="纯文本 Char2"/>
    <w:qFormat/>
    <w:uiPriority w:val="0"/>
    <w:rPr>
      <w:rFonts w:ascii="宋体" w:hAnsi="Courier New" w:eastAsia="宋体"/>
      <w:kern w:val="2"/>
      <w:sz w:val="21"/>
      <w:lang w:val="en-US" w:eastAsia="zh-CN" w:bidi="ar-SA"/>
    </w:rPr>
  </w:style>
  <w:style w:type="character" w:customStyle="1" w:styleId="31">
    <w:name w:val="日期 字符"/>
    <w:basedOn w:val="17"/>
    <w:link w:val="11"/>
    <w:qFormat/>
    <w:uiPriority w:val="0"/>
    <w:rPr>
      <w:rFonts w:ascii="Calibri" w:hAnsi="Calibri" w:eastAsia="宋体" w:cs="Times New Roman"/>
      <w:kern w:val="2"/>
      <w:sz w:val="21"/>
    </w:rPr>
  </w:style>
  <w:style w:type="paragraph" w:customStyle="1" w:styleId="32">
    <w:name w:val="列出段落1"/>
    <w:basedOn w:val="1"/>
    <w:qFormat/>
    <w:uiPriority w:val="34"/>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4" Type="http://schemas.openxmlformats.org/officeDocument/2006/relationships/fontTable" Target="fontTable.xml"/><Relationship Id="rId23" Type="http://schemas.openxmlformats.org/officeDocument/2006/relationships/numbering" Target="numbering.xml"/><Relationship Id="rId22" Type="http://schemas.openxmlformats.org/officeDocument/2006/relationships/image" Target="media/image13.png"/><Relationship Id="rId21" Type="http://schemas.openxmlformats.org/officeDocument/2006/relationships/image" Target="media/image12.png"/><Relationship Id="rId20" Type="http://schemas.openxmlformats.org/officeDocument/2006/relationships/image" Target="media/image11.png"/><Relationship Id="rId2" Type="http://schemas.openxmlformats.org/officeDocument/2006/relationships/settings" Target="settings.xml"/><Relationship Id="rId19" Type="http://schemas.openxmlformats.org/officeDocument/2006/relationships/image" Target="media/image10.png"/><Relationship Id="rId18" Type="http://schemas.openxmlformats.org/officeDocument/2006/relationships/image" Target="media/image9.png"/><Relationship Id="rId17" Type="http://schemas.openxmlformats.org/officeDocument/2006/relationships/image" Target="media/image8.png"/><Relationship Id="rId16" Type="http://schemas.openxmlformats.org/officeDocument/2006/relationships/image" Target="media/image7.png"/><Relationship Id="rId15" Type="http://schemas.openxmlformats.org/officeDocument/2006/relationships/image" Target="media/image6.png"/><Relationship Id="rId14" Type="http://schemas.openxmlformats.org/officeDocument/2006/relationships/image" Target="media/image5.png"/><Relationship Id="rId13" Type="http://schemas.openxmlformats.org/officeDocument/2006/relationships/image" Target="media/image4.png"/><Relationship Id="rId12" Type="http://schemas.openxmlformats.org/officeDocument/2006/relationships/image" Target="media/image3.png"/><Relationship Id="rId11" Type="http://schemas.openxmlformats.org/officeDocument/2006/relationships/image" Target="media/image2.png"/><Relationship Id="rId10" Type="http://schemas.openxmlformats.org/officeDocument/2006/relationships/image" Target="media/image1.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HP Inc.</Company>
  <Pages>17</Pages>
  <Words>1138</Words>
  <Characters>6487</Characters>
  <Lines>54</Lines>
  <Paragraphs>15</Paragraphs>
  <TotalTime>8</TotalTime>
  <ScaleCrop>false</ScaleCrop>
  <LinksUpToDate>false</LinksUpToDate>
  <CharactersWithSpaces>7610</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2023-06-06T04:29:00Z</dcterms:created>
  <dc:creator>王正义</dc:creator>
  <cp:lastModifiedBy>fengwu</cp:lastModifiedBy>
  <dcterms:modified xsi:type="dcterms:W3CDTF">2025-05-22T08:10:00Z</dcterms:modified>
  <cp:revision>83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A68120DD1C6147519BF5C5404F32C511_13</vt:lpwstr>
  </property>
</Properties>
</file>