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济南商用车屋面漏雨修缮项目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FSCZB2025100243</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人：中国重汽集团济南商用车有限公司商用车制造公司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rPr>
        <w:t>济南商用车屋面漏雨修缮项目招标公告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济南商用车屋面漏雨修缮项目</w:t>
      </w:r>
    </w:p>
    <w:p w14:paraId="15020D03">
      <w:pPr>
        <w:pStyle w:val="73"/>
      </w:pPr>
      <w:r>
        <w:rPr>
          <w:rFonts w:hint="eastAsia"/>
        </w:rPr>
        <w:t>项目编号：</w:t>
      </w:r>
      <w:r>
        <w:rPr>
          <w:rFonts w:hint="eastAsia"/>
          <w:highlight w:val="yellow"/>
        </w:rPr>
        <w:t xml:space="preserve"> FSCZB2025100243</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济南商用车屋面漏雨修缮项目</w:t>
      </w:r>
    </w:p>
    <w:p w14:paraId="0B813421">
      <w:pPr>
        <w:pStyle w:val="73"/>
        <w:rPr>
          <w:highlight w:val="yellow"/>
        </w:rPr>
      </w:pPr>
      <w:r>
        <w:rPr>
          <w:rFonts w:hint="eastAsia"/>
        </w:rPr>
        <w:t>招标形式：</w:t>
      </w:r>
      <w:r>
        <w:rPr>
          <w:rFonts w:hint="eastAsia"/>
          <w:highlight w:val="yellow"/>
        </w:rPr>
        <w:t>公开招标</w:t>
      </w:r>
      <w:r>
        <w:rPr>
          <w:rStyle w:val="97"/>
          <w:rFonts w:hint="eastAsia"/>
          <w:b w:val="0"/>
          <w:highlight w:val="yellow"/>
        </w:rPr>
        <w:t>。</w:t>
      </w:r>
    </w:p>
    <w:p w14:paraId="1E9EC659">
      <w:pPr>
        <w:pStyle w:val="72"/>
        <w:rPr>
          <w:highlight w:val="yellow"/>
        </w:rPr>
      </w:pPr>
      <w:bookmarkStart w:id="5" w:name="_Toc47976591"/>
      <w:r>
        <w:rPr>
          <w:rFonts w:hint="eastAsia"/>
          <w:highlight w:val="yellow"/>
        </w:rPr>
        <w:t>报名及招标文件的获取</w:t>
      </w:r>
      <w:bookmarkEnd w:id="5"/>
    </w:p>
    <w:p w14:paraId="0E06EF19">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1</w:t>
      </w:r>
      <w:r>
        <w:rPr>
          <w:rFonts w:hint="eastAsia" w:hAnsi="宋体" w:cs="宋体"/>
          <w:b/>
          <w:bCs/>
          <w:szCs w:val="21"/>
        </w:rPr>
        <w:t>月</w:t>
      </w:r>
      <w:r>
        <w:rPr>
          <w:rFonts w:hint="eastAsia" w:hAnsi="宋体" w:cs="宋体"/>
          <w:b/>
          <w:bCs/>
          <w:szCs w:val="21"/>
          <w:lang w:val="en-US" w:eastAsia="zh-CN"/>
        </w:rPr>
        <w:t>10</w:t>
      </w:r>
      <w:r>
        <w:rPr>
          <w:rFonts w:hint="eastAsia" w:hAnsi="宋体" w:cs="宋体"/>
          <w:b/>
          <w:bCs/>
          <w:szCs w:val="21"/>
        </w:rPr>
        <w:t>日下午17点</w:t>
      </w:r>
    </w:p>
    <w:p w14:paraId="6BBCD822">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25F506A0">
      <w:pPr>
        <w:pStyle w:val="72"/>
        <w:rPr>
          <w:highlight w:val="yellow"/>
        </w:rPr>
      </w:pPr>
      <w:bookmarkStart w:id="6" w:name="_Toc47976592"/>
      <w:r>
        <w:rPr>
          <w:rFonts w:hint="eastAsia"/>
          <w:highlight w:val="yellow"/>
        </w:rPr>
        <w:t>投标文件的递交</w:t>
      </w:r>
      <w:bookmarkEnd w:id="6"/>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3</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bookmarkStart w:id="7" w:name="_Toc47976593"/>
      <w:r>
        <w:rPr>
          <w:rFonts w:hint="eastAsia"/>
        </w:rPr>
        <w:t>招标公告发布媒介</w:t>
      </w:r>
      <w:bookmarkEnd w:id="7"/>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2"/>
        <w:rPr>
          <w:highlight w:val="yellow"/>
        </w:rPr>
      </w:pPr>
      <w:bookmarkStart w:id="8" w:name="_Toc47976594"/>
      <w:r>
        <w:rPr>
          <w:rFonts w:hint="eastAsia"/>
          <w:highlight w:val="yellow"/>
        </w:rPr>
        <w:t>联系方式</w:t>
      </w:r>
      <w:bookmarkEnd w:id="8"/>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中国重汽集团济南商用车有限公司商用车制造公司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张晓松</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电话：13658645281</w:t>
      </w:r>
    </w:p>
    <w:p w14:paraId="5F538BD8">
      <w:pPr>
        <w:pStyle w:val="72"/>
        <w:numPr>
          <w:ilvl w:val="0"/>
          <w:numId w:val="0"/>
        </w:numPr>
        <w:ind w:leftChars="0" w:firstLine="422" w:firstLineChars="200"/>
      </w:pPr>
      <w:r>
        <w:rPr>
          <w:rFonts w:hint="eastAsia" w:ascii="宋体" w:hAnsi="宋体" w:eastAsia="宋体" w:cs="宋体"/>
          <w:b/>
          <w:bCs/>
          <w:sz w:val="21"/>
          <w:szCs w:val="21"/>
        </w:rPr>
        <w:t>邮箱：zhangxiaosong@sinotruk.com</w:t>
      </w: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11</w:t>
      </w:r>
      <w:r>
        <w:rPr>
          <w:rFonts w:hint="eastAsia"/>
        </w:rPr>
        <w:t>月</w:t>
      </w:r>
      <w:r>
        <w:rPr>
          <w:rFonts w:hint="eastAsia"/>
          <w:lang w:val="en-US" w:eastAsia="zh-CN"/>
        </w:rPr>
        <w:t>3</w:t>
      </w:r>
      <w:r>
        <w:rPr>
          <w:rFonts w:hint="eastAsia"/>
        </w:rPr>
        <w:t>日</w:t>
      </w:r>
    </w:p>
    <w:p w14:paraId="04C96706">
      <w:pPr>
        <w:pStyle w:val="76"/>
      </w:pPr>
    </w:p>
    <w:p w14:paraId="3D820EEC">
      <w:pPr>
        <w:pStyle w:val="71"/>
      </w:pPr>
      <w:bookmarkStart w:id="9" w:name="_Toc47976595"/>
      <w:bookmarkStart w:id="10" w:name="_Toc7753"/>
      <w:r>
        <w:rPr>
          <w:rFonts w:hint="eastAsia"/>
        </w:rPr>
        <w:t>第一部分  投标人须知</w:t>
      </w:r>
      <w:bookmarkEnd w:id="9"/>
      <w:bookmarkEnd w:id="10"/>
    </w:p>
    <w:p w14:paraId="418340FC">
      <w:pPr>
        <w:pStyle w:val="72"/>
        <w:numPr>
          <w:ilvl w:val="0"/>
          <w:numId w:val="12"/>
        </w:numPr>
        <w:ind w:left="420"/>
        <w:jc w:val="left"/>
      </w:pPr>
      <w:bookmarkStart w:id="11" w:name="_Toc47976596"/>
      <w:r>
        <w:rPr>
          <w:rFonts w:hint="eastAsia"/>
        </w:rPr>
        <w:t>项目介绍</w:t>
      </w:r>
      <w:bookmarkEnd w:id="11"/>
    </w:p>
    <w:p w14:paraId="6360E7CD">
      <w:pPr>
        <w:pStyle w:val="76"/>
        <w:numPr>
          <w:ilvl w:val="0"/>
          <w:numId w:val="13"/>
        </w:numPr>
        <w:ind w:left="425" w:leftChars="0" w:hanging="425" w:firstLineChars="0"/>
      </w:pPr>
      <w:r>
        <w:rPr>
          <w:rFonts w:hint="eastAsia"/>
        </w:rPr>
        <w:t>项目名称：</w:t>
      </w:r>
      <w:r>
        <w:rPr>
          <w:rFonts w:hint="eastAsia"/>
          <w:highlight w:val="yellow"/>
        </w:rPr>
        <w:t>济南商用车屋面漏雨修缮项目</w:t>
      </w:r>
    </w:p>
    <w:p w14:paraId="17A97EAA">
      <w:pPr>
        <w:pStyle w:val="76"/>
        <w:numPr>
          <w:ilvl w:val="0"/>
          <w:numId w:val="13"/>
        </w:numPr>
        <w:ind w:left="425" w:leftChars="0" w:hanging="425" w:firstLineChars="0"/>
      </w:pPr>
      <w:r>
        <w:rPr>
          <w:rFonts w:hint="eastAsia"/>
        </w:rPr>
        <w:t>项目编号：</w:t>
      </w:r>
      <w:r>
        <w:rPr>
          <w:rFonts w:hint="eastAsia"/>
          <w:highlight w:val="yellow"/>
        </w:rPr>
        <w:t>FSCZB2025100243</w:t>
      </w:r>
    </w:p>
    <w:p w14:paraId="5C6CF568">
      <w:pPr>
        <w:pStyle w:val="76"/>
        <w:numPr>
          <w:ilvl w:val="0"/>
          <w:numId w:val="13"/>
        </w:numPr>
        <w:ind w:left="425" w:leftChars="0" w:hanging="425" w:firstLineChars="0"/>
      </w:pPr>
      <w:r>
        <w:rPr>
          <w:rFonts w:hint="eastAsia"/>
        </w:rPr>
        <w:t>招标形式：</w:t>
      </w:r>
      <w:bookmarkStart w:id="12" w:name="_Toc47112482"/>
      <w:r>
        <w:rPr>
          <w:rFonts w:hint="eastAsia"/>
          <w:highlight w:val="yellow"/>
        </w:rPr>
        <w:t>公开招标</w:t>
      </w:r>
    </w:p>
    <w:p w14:paraId="0771CD33">
      <w:pPr>
        <w:pStyle w:val="76"/>
        <w:numPr>
          <w:ilvl w:val="0"/>
          <w:numId w:val="13"/>
        </w:numPr>
        <w:ind w:left="425" w:leftChars="0" w:hanging="425" w:firstLineChars="0"/>
      </w:pPr>
      <w:r>
        <w:rPr>
          <w:rFonts w:hint="eastAsia"/>
          <w:lang w:val="en-US" w:eastAsia="zh-CN"/>
        </w:rPr>
        <w:t>项目概况：济南商用车制造公司总装现场分部、内饰现场分部、轮胎仓库房区域天沟锈蚀破损，漏雨频繁。办公楼屋面防水年久失修，部分办公室漏雨严重，存在资产损失风险。本次更换天沟1152米，屋面防水修缮4500平方米：将原有天沟进行除锈，嵌套安装镀锌板天沟。拆除原有防水卷材，屋面重新铺贴TPO防水卷材1.5mm。维修后需达到排水顺畅、无积水，材料符合国家相关标准并具备防水、防腐性能。维修后的天沟应牢固可靠，能承受正常雨水冲刷和风力作用。</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25384468">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中国重汽集团济南商用车有限公司商用车制造公司</w:t>
      </w:r>
    </w:p>
    <w:p w14:paraId="69E36B47">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685ED4AB">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37ABF79F">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60D39CF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张晓松</w:t>
      </w:r>
    </w:p>
    <w:p w14:paraId="54CB51B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电话：13658645281</w:t>
      </w:r>
    </w:p>
    <w:p w14:paraId="75C5C740">
      <w:pPr>
        <w:pStyle w:val="76"/>
        <w:numPr>
          <w:ilvl w:val="0"/>
          <w:numId w:val="0"/>
        </w:numPr>
        <w:ind w:leftChars="0" w:firstLine="422" w:firstLineChars="200"/>
        <w:rPr>
          <w:rFonts w:hint="eastAsia" w:cs="Times New Roman"/>
          <w:highlight w:val="none"/>
          <w:lang w:val="en-US" w:eastAsia="zh-CN"/>
        </w:rPr>
      </w:pPr>
      <w:r>
        <w:rPr>
          <w:rFonts w:hint="eastAsia" w:ascii="宋体" w:hAnsi="宋体" w:eastAsia="宋体" w:cs="宋体"/>
          <w:b/>
          <w:bCs/>
          <w:sz w:val="21"/>
          <w:szCs w:val="21"/>
        </w:rPr>
        <w:t>邮箱：zhangxiaosong@sinotruk.com</w:t>
      </w:r>
    </w:p>
    <w:bookmarkEnd w:id="12"/>
    <w:p w14:paraId="50DC6C75">
      <w:pPr>
        <w:pStyle w:val="72"/>
      </w:pPr>
      <w:bookmarkStart w:id="13" w:name="_Toc47976598"/>
      <w:r>
        <w:rPr>
          <w:rFonts w:hint="eastAsia"/>
        </w:rPr>
        <w:t>合格的投标人。</w:t>
      </w:r>
      <w:bookmarkEnd w:id="13"/>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260CD9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需提供有效的安全生产许可证，并确保人员、设备、资金等具备相应施工能力；</w:t>
      </w:r>
    </w:p>
    <w:p w14:paraId="63FA303F">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 xml:space="preserve">维修需达到排水顺畅、无积水，材料符合国家相关标准，具备防水、防腐性能； </w:t>
      </w:r>
    </w:p>
    <w:p w14:paraId="6630EA8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‌维修后的天沟应牢固可靠，能承受正常雨水冲刷和风力作用；</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798AF00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11</w:t>
      </w:r>
      <w:r>
        <w:rPr>
          <w:rFonts w:hint="eastAsia" w:ascii="宋体" w:hAnsi="Courier New" w:eastAsia="宋体" w:cs="Times New Roman"/>
          <w:highlight w:val="yellow"/>
          <w:lang w:val="en-US" w:eastAsia="zh-CN"/>
        </w:rPr>
        <w:t>月</w:t>
      </w:r>
      <w:r>
        <w:rPr>
          <w:rFonts w:hint="eastAsia" w:cs="Times New Roman"/>
          <w:highlight w:val="yellow"/>
          <w:lang w:val="en-US" w:eastAsia="zh-CN"/>
        </w:rPr>
        <w:t>4</w:t>
      </w:r>
      <w:r>
        <w:rPr>
          <w:rFonts w:hint="eastAsia" w:ascii="宋体" w:hAnsi="Courier New" w:eastAsia="宋体" w:cs="Times New Roman"/>
          <w:highlight w:val="yellow"/>
          <w:lang w:val="en-US" w:eastAsia="zh-CN"/>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1</w:t>
      </w:r>
      <w:r>
        <w:rPr>
          <w:rFonts w:hint="eastAsia"/>
          <w:highlight w:val="yellow"/>
        </w:rPr>
        <w:t>月</w:t>
      </w:r>
      <w:r>
        <w:rPr>
          <w:rFonts w:hint="eastAsia"/>
          <w:highlight w:val="yellow"/>
          <w:lang w:val="en-US" w:eastAsia="zh-CN"/>
        </w:rPr>
        <w:t>10</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10</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56A61584">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1</w:t>
      </w:r>
      <w:r>
        <w:rPr>
          <w:rFonts w:hint="eastAsia" w:hAnsi="宋体" w:cs="宋体"/>
          <w:sz w:val="24"/>
          <w:szCs w:val="24"/>
          <w:highlight w:val="yellow"/>
        </w:rPr>
        <w:t>月</w:t>
      </w:r>
      <w:r>
        <w:rPr>
          <w:rFonts w:hint="eastAsia" w:hAnsi="宋体" w:cs="宋体"/>
          <w:sz w:val="24"/>
          <w:szCs w:val="24"/>
          <w:highlight w:val="yellow"/>
          <w:lang w:val="en-US" w:eastAsia="zh-CN"/>
        </w:rPr>
        <w:t>10</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r>
        <w:rPr>
          <w:rFonts w:hint="eastAsia" w:cs="Times New Roman"/>
          <w:b w:val="0"/>
          <w:bCs/>
          <w:highlight w:val="yellow"/>
          <w:lang w:eastAsia="zh-CN"/>
        </w:rPr>
        <w:t>（</w:t>
      </w:r>
      <w:r>
        <w:rPr>
          <w:rFonts w:hint="eastAsia" w:cs="Times New Roman"/>
          <w:b w:val="0"/>
          <w:bCs/>
          <w:highlight w:val="yellow"/>
          <w:lang w:val="en-US" w:eastAsia="zh-CN"/>
        </w:rPr>
        <w:t>供方需与技术联系人沟通</w:t>
      </w:r>
      <w:r>
        <w:rPr>
          <w:rFonts w:hint="eastAsia" w:cs="Times New Roman"/>
          <w:b w:val="0"/>
          <w:bCs/>
          <w:highlight w:val="yellow"/>
          <w:lang w:eastAsia="zh-CN"/>
        </w:rPr>
        <w:t>）</w:t>
      </w:r>
      <w:r>
        <w:rPr>
          <w:rFonts w:hint="eastAsia" w:cs="Times New Roman"/>
          <w:b w:val="0"/>
          <w:bCs/>
          <w:highlight w:val="yellow"/>
        </w:rPr>
        <w:t>：</w:t>
      </w:r>
    </w:p>
    <w:p w14:paraId="7CB8DE54">
      <w:pPr>
        <w:pStyle w:val="75"/>
        <w:numPr>
          <w:ilvl w:val="0"/>
          <w:numId w:val="20"/>
        </w:numPr>
        <w:ind w:left="425" w:leftChars="0" w:hanging="425" w:firstLineChars="0"/>
        <w:rPr>
          <w:b w:val="0"/>
          <w:bCs/>
          <w:highlight w:val="yellow"/>
        </w:rPr>
      </w:pPr>
      <w:r>
        <w:rPr>
          <w:rFonts w:hint="eastAsia"/>
          <w:b w:val="0"/>
          <w:bCs/>
          <w:highlight w:val="yellow"/>
        </w:rPr>
        <w:t>技术配置对比表。</w:t>
      </w:r>
    </w:p>
    <w:p w14:paraId="3D6F729D">
      <w:pPr>
        <w:pStyle w:val="75"/>
        <w:numPr>
          <w:ilvl w:val="0"/>
          <w:numId w:val="20"/>
        </w:numPr>
        <w:ind w:left="425" w:leftChars="0" w:hanging="425" w:firstLineChars="0"/>
        <w:rPr>
          <w:b w:val="0"/>
          <w:bCs/>
          <w:highlight w:val="yellow"/>
        </w:rPr>
      </w:pPr>
      <w:r>
        <w:rPr>
          <w:rFonts w:hint="eastAsia"/>
          <w:b w:val="0"/>
          <w:bCs/>
          <w:highlight w:val="yellow"/>
        </w:rPr>
        <w:t>投标设备配置明细表；</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6E70AD99">
      <w:pPr>
        <w:pStyle w:val="75"/>
        <w:numPr>
          <w:ilvl w:val="0"/>
          <w:numId w:val="20"/>
        </w:numPr>
        <w:ind w:left="425" w:leftChars="0" w:hanging="425" w:firstLineChars="0"/>
        <w:rPr>
          <w:b w:val="0"/>
          <w:bCs/>
          <w:highlight w:val="yellow"/>
        </w:rPr>
      </w:pPr>
      <w:r>
        <w:rPr>
          <w:rFonts w:hint="eastAsia"/>
          <w:b w:val="0"/>
          <w:bCs/>
          <w:highlight w:val="yellow"/>
        </w:rPr>
        <w:t>备品备件工具材料明细表；</w:t>
      </w:r>
      <w:r>
        <w:rPr>
          <w:b w:val="0"/>
          <w:bCs/>
          <w:highlight w:val="yellow"/>
        </w:rPr>
        <w:t xml:space="preserve"> </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49898E3F">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与技术联系人商议拟定）</w:t>
      </w:r>
      <w:r>
        <w:rPr>
          <w:rFonts w:hint="eastAsia"/>
          <w:b w:val="0"/>
          <w:bCs/>
          <w:highlight w:val="yellow"/>
        </w:rPr>
        <w:t>；</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119.81 </w:t>
      </w:r>
      <w:r>
        <w:rPr>
          <w:rFonts w:hint="eastAsia" w:cs="Times New Roman"/>
          <w:b w:val="0"/>
          <w:bCs/>
          <w:highlight w:val="none"/>
        </w:rPr>
        <w:t>万元（含</w:t>
      </w:r>
      <w:r>
        <w:rPr>
          <w:rFonts w:hint="eastAsia" w:cs="Times New Roman"/>
          <w:b w:val="0"/>
          <w:bCs/>
          <w:highlight w:val="yellow"/>
          <w:u w:val="single"/>
          <w:lang w:val="en-US" w:eastAsia="zh-CN"/>
        </w:rPr>
        <w:t xml:space="preserve"> 9</w:t>
      </w:r>
      <w:bookmarkStart w:id="36" w:name="_GoBack"/>
      <w:bookmarkEnd w:id="36"/>
      <w:r>
        <w:rPr>
          <w:rFonts w:hint="eastAsia" w:cs="Times New Roman"/>
          <w:b w:val="0"/>
          <w:bCs/>
          <w:highlight w:val="yellow"/>
          <w:u w:val="single"/>
          <w:lang w:val="en-US" w:eastAsia="zh-CN"/>
        </w:rPr>
        <w:t xml:space="preserve">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2"/>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2"/>
        </w:numPr>
        <w:rPr>
          <w:bCs/>
        </w:rPr>
      </w:pPr>
      <w:r>
        <w:rPr>
          <w:rFonts w:hint="eastAsia"/>
          <w:bCs/>
        </w:rPr>
        <w:t>联系人及联系方式：郭朝琛/15275666282</w:t>
      </w:r>
    </w:p>
    <w:p w14:paraId="6AD54B61">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3</w:t>
      </w:r>
      <w:r>
        <w:rPr>
          <w:rFonts w:hint="eastAsia"/>
          <w:bCs/>
          <w:highlight w:val="yellow"/>
        </w:rPr>
        <w:t>日9:00:00</w:t>
      </w:r>
    </w:p>
    <w:p w14:paraId="25974AAC">
      <w:pPr>
        <w:pStyle w:val="72"/>
        <w:rPr>
          <w:rFonts w:hint="eastAsia" w:hAnsi="Courier New" w:cs="Times New Roman"/>
          <w:highlight w:val="none"/>
        </w:rPr>
      </w:pPr>
      <w:bookmarkStart w:id="14"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20000 </w:t>
      </w:r>
      <w:r>
        <w:rPr>
          <w:rFonts w:hint="eastAsia" w:ascii="宋体" w:hAnsi="宋体" w:eastAsia="宋体" w:cs="宋体"/>
          <w:b w:val="0"/>
          <w:bCs w:val="0"/>
          <w:sz w:val="21"/>
          <w:szCs w:val="21"/>
          <w:highlight w:val="none"/>
        </w:rPr>
        <w:t>元</w:t>
      </w:r>
    </w:p>
    <w:p w14:paraId="4BE0A355">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default" w:ascii="宋体" w:hAnsi="宋体" w:eastAsia="宋体" w:cs="宋体"/>
          <w:b w:val="0"/>
          <w:bCs w:val="0"/>
          <w:sz w:val="21"/>
          <w:szCs w:val="21"/>
          <w:highlight w:val="yellow"/>
          <w:u w:val="single"/>
          <w:lang w:val="en-US" w:eastAsia="zh-CN"/>
        </w:rPr>
        <w:drawing>
          <wp:inline distT="0" distB="0" distL="114300" distR="114300">
            <wp:extent cx="5758815" cy="2220595"/>
            <wp:effectExtent l="0" t="0" r="6985" b="1905"/>
            <wp:docPr id="2" name="图片 2" descr="lQLPKeG8-H3tsJPNATvNAzGwzpPEcD1n_yMFldfp2JOFAA_817_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lQLPKeG8-H3tsJPNATvNAzGwzpPEcD1n_yMFldfp2JOFAA_817_315"/>
                    <pic:cNvPicPr>
                      <a:picLocks noChangeAspect="1"/>
                    </pic:cNvPicPr>
                  </pic:nvPicPr>
                  <pic:blipFill>
                    <a:blip r:embed="rId11"/>
                    <a:stretch>
                      <a:fillRect/>
                    </a:stretch>
                  </pic:blipFill>
                  <pic:spPr>
                    <a:xfrm>
                      <a:off x="0" y="0"/>
                      <a:ext cx="5758815" cy="2220595"/>
                    </a:xfrm>
                    <a:prstGeom prst="rect">
                      <a:avLst/>
                    </a:prstGeom>
                  </pic:spPr>
                </pic:pic>
              </a:graphicData>
            </a:graphic>
          </wp:inline>
        </w:drawing>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sz w:val="21"/>
          <w:szCs w:val="21"/>
        </w:rPr>
        <w:t>投标文件递交截止</w:t>
      </w:r>
      <w:r>
        <w:rPr>
          <w:rFonts w:hint="eastAsia" w:ascii="宋体" w:hAnsi="宋体" w:eastAsia="宋体" w:cs="宋体"/>
          <w:b w:val="0"/>
          <w:bCs w:val="0"/>
          <w:sz w:val="21"/>
          <w:szCs w:val="21"/>
        </w:rPr>
        <w:t>时间）</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4"/>
    <w:p w14:paraId="368B6990">
      <w:pPr>
        <w:pStyle w:val="72"/>
      </w:pPr>
      <w:r>
        <w:rPr>
          <w:rFonts w:hint="eastAsia"/>
          <w:lang w:val="en-US" w:eastAsia="zh-CN"/>
        </w:rPr>
        <w:t>开评标</w:t>
      </w:r>
    </w:p>
    <w:p w14:paraId="7D70F083">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yellow"/>
        </w:rPr>
        <w:t>日9:00:00</w:t>
      </w:r>
    </w:p>
    <w:p w14:paraId="476CE9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6"/>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45816947">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A3A33A9">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69021D98">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投标人得分＝∑评委评价得分/评委人数＋商务标得分</w:t>
      </w:r>
    </w:p>
    <w:p w14:paraId="0B2A8F6D">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427"/>
        <w:gridCol w:w="1260"/>
        <w:gridCol w:w="748"/>
        <w:gridCol w:w="6023"/>
      </w:tblGrid>
      <w:tr w14:paraId="68E23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805" w:type="dxa"/>
            <w:vAlign w:val="center"/>
          </w:tcPr>
          <w:p w14:paraId="6602FD30">
            <w:pPr>
              <w:tabs>
                <w:tab w:val="left" w:pos="13965"/>
              </w:tabs>
              <w:spacing w:line="360" w:lineRule="auto"/>
              <w:ind w:right="-6"/>
              <w:jc w:val="center"/>
              <w:rPr>
                <w:rFonts w:ascii="宋体" w:hAnsi="宋体" w:eastAsia="宋体" w:cs="宋体"/>
                <w:b/>
                <w:sz w:val="24"/>
                <w:szCs w:val="24"/>
              </w:rPr>
            </w:pPr>
            <w:r>
              <w:rPr>
                <w:rFonts w:hint="eastAsia" w:ascii="宋体" w:hAnsi="宋体" w:eastAsia="宋体" w:cs="宋体"/>
                <w:b/>
                <w:sz w:val="24"/>
                <w:szCs w:val="24"/>
              </w:rPr>
              <w:t>评审</w:t>
            </w:r>
          </w:p>
          <w:p w14:paraId="4BA4975B">
            <w:pPr>
              <w:tabs>
                <w:tab w:val="left" w:pos="13965"/>
              </w:tabs>
              <w:spacing w:line="360" w:lineRule="auto"/>
              <w:ind w:right="-6"/>
              <w:jc w:val="center"/>
              <w:rPr>
                <w:rFonts w:ascii="宋体" w:hAnsi="宋体" w:eastAsia="宋体" w:cs="宋体"/>
                <w:b/>
                <w:sz w:val="24"/>
                <w:szCs w:val="24"/>
              </w:rPr>
            </w:pPr>
            <w:r>
              <w:rPr>
                <w:rFonts w:hint="eastAsia" w:ascii="宋体" w:hAnsi="宋体" w:eastAsia="宋体" w:cs="宋体"/>
                <w:b/>
                <w:sz w:val="24"/>
                <w:szCs w:val="24"/>
              </w:rPr>
              <w:t>内容</w:t>
            </w:r>
          </w:p>
        </w:tc>
        <w:tc>
          <w:tcPr>
            <w:tcW w:w="427" w:type="dxa"/>
            <w:vAlign w:val="center"/>
          </w:tcPr>
          <w:p w14:paraId="3F38F07F">
            <w:pPr>
              <w:tabs>
                <w:tab w:val="left" w:pos="13965"/>
              </w:tabs>
              <w:spacing w:line="360" w:lineRule="auto"/>
              <w:ind w:right="-6"/>
              <w:jc w:val="center"/>
              <w:rPr>
                <w:rFonts w:ascii="宋体" w:hAnsi="宋体" w:eastAsia="宋体" w:cs="宋体"/>
                <w:b/>
                <w:sz w:val="24"/>
                <w:szCs w:val="24"/>
              </w:rPr>
            </w:pPr>
            <w:r>
              <w:rPr>
                <w:rFonts w:hint="eastAsia" w:ascii="宋体" w:hAnsi="宋体" w:eastAsia="宋体" w:cs="宋体"/>
                <w:b/>
                <w:sz w:val="24"/>
                <w:szCs w:val="24"/>
              </w:rPr>
              <w:t>序号</w:t>
            </w:r>
          </w:p>
        </w:tc>
        <w:tc>
          <w:tcPr>
            <w:tcW w:w="1260" w:type="dxa"/>
            <w:vAlign w:val="center"/>
          </w:tcPr>
          <w:p w14:paraId="2107FD4D">
            <w:pPr>
              <w:tabs>
                <w:tab w:val="left" w:pos="13965"/>
              </w:tabs>
              <w:spacing w:line="360" w:lineRule="auto"/>
              <w:ind w:right="-6"/>
              <w:jc w:val="center"/>
              <w:rPr>
                <w:rFonts w:ascii="宋体" w:hAnsi="宋体" w:eastAsia="宋体" w:cs="宋体"/>
                <w:b/>
                <w:sz w:val="24"/>
                <w:szCs w:val="24"/>
              </w:rPr>
            </w:pPr>
            <w:r>
              <w:rPr>
                <w:rFonts w:hint="eastAsia" w:ascii="宋体" w:hAnsi="宋体" w:eastAsia="宋体" w:cs="宋体"/>
                <w:b/>
                <w:sz w:val="24"/>
                <w:szCs w:val="24"/>
              </w:rPr>
              <w:t>内   容</w:t>
            </w:r>
          </w:p>
        </w:tc>
        <w:tc>
          <w:tcPr>
            <w:tcW w:w="748" w:type="dxa"/>
            <w:vAlign w:val="center"/>
          </w:tcPr>
          <w:p w14:paraId="4A2B42DE">
            <w:pPr>
              <w:tabs>
                <w:tab w:val="left" w:pos="13965"/>
              </w:tabs>
              <w:spacing w:line="360" w:lineRule="auto"/>
              <w:ind w:right="-6"/>
              <w:jc w:val="center"/>
              <w:rPr>
                <w:rFonts w:ascii="宋体" w:hAnsi="宋体" w:eastAsia="宋体" w:cs="宋体"/>
                <w:b/>
                <w:sz w:val="24"/>
                <w:szCs w:val="24"/>
              </w:rPr>
            </w:pPr>
            <w:r>
              <w:rPr>
                <w:rFonts w:hint="eastAsia" w:ascii="宋体" w:hAnsi="宋体" w:eastAsia="宋体" w:cs="宋体"/>
                <w:b/>
                <w:sz w:val="24"/>
                <w:szCs w:val="24"/>
              </w:rPr>
              <w:t>标准分</w:t>
            </w:r>
          </w:p>
        </w:tc>
        <w:tc>
          <w:tcPr>
            <w:tcW w:w="6023" w:type="dxa"/>
            <w:vAlign w:val="center"/>
          </w:tcPr>
          <w:p w14:paraId="3AD43C42">
            <w:pPr>
              <w:tabs>
                <w:tab w:val="left" w:pos="13965"/>
              </w:tabs>
              <w:spacing w:line="360" w:lineRule="auto"/>
              <w:ind w:right="-6"/>
              <w:jc w:val="center"/>
              <w:rPr>
                <w:rFonts w:ascii="宋体" w:hAnsi="宋体" w:eastAsia="宋体" w:cs="宋体"/>
                <w:b/>
                <w:sz w:val="24"/>
                <w:szCs w:val="24"/>
              </w:rPr>
            </w:pPr>
            <w:r>
              <w:rPr>
                <w:rFonts w:hint="eastAsia" w:ascii="宋体" w:hAnsi="宋体" w:eastAsia="宋体" w:cs="宋体"/>
                <w:b/>
                <w:sz w:val="24"/>
                <w:szCs w:val="24"/>
              </w:rPr>
              <w:t>评分标准</w:t>
            </w:r>
          </w:p>
        </w:tc>
      </w:tr>
      <w:tr w14:paraId="320EE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805" w:type="dxa"/>
            <w:vMerge w:val="restart"/>
            <w:vAlign w:val="center"/>
          </w:tcPr>
          <w:p w14:paraId="01889586">
            <w:pPr>
              <w:tabs>
                <w:tab w:val="left" w:pos="13965"/>
              </w:tabs>
              <w:spacing w:line="420" w:lineRule="exact"/>
              <w:jc w:val="center"/>
              <w:rPr>
                <w:rFonts w:ascii="宋体" w:hAnsi="宋体" w:eastAsia="宋体" w:cs="宋体"/>
                <w:sz w:val="24"/>
                <w:szCs w:val="24"/>
              </w:rPr>
            </w:pPr>
          </w:p>
          <w:p w14:paraId="0C2FA2C8">
            <w:pPr>
              <w:spacing w:line="420" w:lineRule="exact"/>
              <w:jc w:val="center"/>
              <w:rPr>
                <w:rFonts w:ascii="宋体" w:hAnsi="宋体" w:eastAsia="宋体" w:cs="宋体"/>
                <w:sz w:val="24"/>
                <w:szCs w:val="24"/>
              </w:rPr>
            </w:pPr>
            <w:r>
              <w:rPr>
                <w:rFonts w:hint="eastAsia" w:ascii="宋体" w:hAnsi="宋体" w:eastAsia="宋体" w:cs="宋体"/>
                <w:sz w:val="24"/>
                <w:szCs w:val="24"/>
              </w:rPr>
              <w:t>产品技术</w:t>
            </w:r>
          </w:p>
        </w:tc>
        <w:tc>
          <w:tcPr>
            <w:tcW w:w="427" w:type="dxa"/>
            <w:vAlign w:val="center"/>
          </w:tcPr>
          <w:p w14:paraId="2B0B817D">
            <w:pPr>
              <w:tabs>
                <w:tab w:val="left" w:pos="13965"/>
              </w:tabs>
              <w:spacing w:line="420" w:lineRule="exact"/>
              <w:jc w:val="center"/>
              <w:rPr>
                <w:rFonts w:ascii="宋体" w:hAnsi="宋体" w:eastAsia="宋体" w:cs="宋体"/>
                <w:sz w:val="24"/>
                <w:szCs w:val="24"/>
              </w:rPr>
            </w:pPr>
            <w:r>
              <w:rPr>
                <w:rFonts w:hint="eastAsia" w:ascii="宋体" w:hAnsi="宋体" w:eastAsia="宋体" w:cs="宋体"/>
                <w:sz w:val="24"/>
                <w:szCs w:val="24"/>
              </w:rPr>
              <w:t>1</w:t>
            </w:r>
          </w:p>
        </w:tc>
        <w:tc>
          <w:tcPr>
            <w:tcW w:w="1260" w:type="dxa"/>
            <w:vAlign w:val="center"/>
          </w:tcPr>
          <w:p w14:paraId="7CDB6A76">
            <w:pPr>
              <w:spacing w:line="420" w:lineRule="exact"/>
              <w:rPr>
                <w:rFonts w:ascii="宋体" w:hAnsi="宋体" w:eastAsia="宋体" w:cs="宋体"/>
                <w:sz w:val="24"/>
                <w:szCs w:val="24"/>
              </w:rPr>
            </w:pPr>
            <w:r>
              <w:rPr>
                <w:rFonts w:hint="eastAsia" w:ascii="宋体" w:hAnsi="宋体" w:eastAsia="宋体" w:cs="宋体"/>
                <w:sz w:val="24"/>
                <w:szCs w:val="24"/>
              </w:rPr>
              <w:t>技术参数</w:t>
            </w:r>
          </w:p>
        </w:tc>
        <w:tc>
          <w:tcPr>
            <w:tcW w:w="748" w:type="dxa"/>
            <w:vAlign w:val="center"/>
          </w:tcPr>
          <w:p w14:paraId="51F9711B">
            <w:pPr>
              <w:spacing w:line="300" w:lineRule="exact"/>
              <w:jc w:val="center"/>
              <w:rPr>
                <w:rFonts w:ascii="宋体" w:hAnsi="宋体" w:eastAsia="宋体" w:cs="宋体"/>
                <w:color w:val="000000"/>
                <w:sz w:val="24"/>
                <w:szCs w:val="24"/>
              </w:rPr>
            </w:pPr>
            <w:r>
              <w:rPr>
                <w:rFonts w:hint="eastAsia" w:ascii="宋体" w:hAnsi="宋体" w:eastAsia="宋体" w:cs="宋体"/>
                <w:color w:val="000000"/>
                <w:sz w:val="24"/>
                <w:szCs w:val="24"/>
              </w:rPr>
              <w:t>30</w:t>
            </w:r>
          </w:p>
        </w:tc>
        <w:tc>
          <w:tcPr>
            <w:tcW w:w="6023" w:type="dxa"/>
            <w:vAlign w:val="center"/>
          </w:tcPr>
          <w:p w14:paraId="3DB75510">
            <w:pPr>
              <w:spacing w:line="420" w:lineRule="exact"/>
              <w:jc w:val="left"/>
              <w:rPr>
                <w:rFonts w:ascii="宋体" w:hAnsi="宋体" w:eastAsia="宋体" w:cs="宋体"/>
                <w:bCs/>
                <w:sz w:val="24"/>
                <w:szCs w:val="24"/>
              </w:rPr>
            </w:pPr>
            <w:r>
              <w:rPr>
                <w:rFonts w:hint="eastAsia" w:ascii="宋体" w:hAnsi="宋体" w:eastAsia="宋体" w:cs="宋体"/>
                <w:bCs/>
                <w:sz w:val="24"/>
                <w:szCs w:val="24"/>
              </w:rPr>
              <w:t>投标文件中技术参数符合招标文件的要求赋20分，再详细考察其功能与项目需求的吻合性,有一处负偏离，扣4分，以此类推；有正偏离，且对项目存在实际改进作用，则加2分，最高可以加到4分，得分上限30分。</w:t>
            </w:r>
          </w:p>
        </w:tc>
      </w:tr>
      <w:tr w14:paraId="1C638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 w:hRule="atLeast"/>
          <w:jc w:val="center"/>
        </w:trPr>
        <w:tc>
          <w:tcPr>
            <w:tcW w:w="805" w:type="dxa"/>
            <w:vMerge w:val="continue"/>
            <w:vAlign w:val="center"/>
          </w:tcPr>
          <w:p w14:paraId="1AD15C8A">
            <w:pPr>
              <w:spacing w:line="420" w:lineRule="exact"/>
              <w:jc w:val="center"/>
              <w:rPr>
                <w:rFonts w:ascii="宋体" w:hAnsi="宋体" w:eastAsia="宋体" w:cs="宋体"/>
                <w:sz w:val="24"/>
                <w:szCs w:val="24"/>
              </w:rPr>
            </w:pPr>
          </w:p>
        </w:tc>
        <w:tc>
          <w:tcPr>
            <w:tcW w:w="427" w:type="dxa"/>
            <w:vAlign w:val="center"/>
          </w:tcPr>
          <w:p w14:paraId="0583501D">
            <w:pPr>
              <w:spacing w:line="420" w:lineRule="exact"/>
              <w:jc w:val="center"/>
              <w:rPr>
                <w:rFonts w:ascii="宋体" w:hAnsi="宋体" w:eastAsia="宋体" w:cs="宋体"/>
                <w:sz w:val="24"/>
                <w:szCs w:val="24"/>
              </w:rPr>
            </w:pPr>
            <w:r>
              <w:rPr>
                <w:rFonts w:hint="eastAsia" w:ascii="宋体" w:hAnsi="宋体" w:eastAsia="宋体" w:cs="宋体"/>
                <w:sz w:val="24"/>
                <w:szCs w:val="24"/>
              </w:rPr>
              <w:t>2</w:t>
            </w:r>
          </w:p>
        </w:tc>
        <w:tc>
          <w:tcPr>
            <w:tcW w:w="1260" w:type="dxa"/>
            <w:vAlign w:val="center"/>
          </w:tcPr>
          <w:p w14:paraId="31708725">
            <w:pPr>
              <w:spacing w:line="420" w:lineRule="exact"/>
              <w:rPr>
                <w:rFonts w:ascii="宋体" w:hAnsi="宋体" w:eastAsia="宋体" w:cs="宋体"/>
                <w:bCs/>
                <w:sz w:val="24"/>
                <w:szCs w:val="24"/>
              </w:rPr>
            </w:pPr>
            <w:r>
              <w:rPr>
                <w:rFonts w:hint="eastAsia" w:ascii="宋体" w:hAnsi="宋体" w:eastAsia="宋体" w:cs="宋体"/>
                <w:bCs/>
                <w:sz w:val="24"/>
                <w:szCs w:val="24"/>
              </w:rPr>
              <w:t>核心产品</w:t>
            </w:r>
          </w:p>
        </w:tc>
        <w:tc>
          <w:tcPr>
            <w:tcW w:w="748" w:type="dxa"/>
            <w:vAlign w:val="center"/>
          </w:tcPr>
          <w:p w14:paraId="4B5D46AD">
            <w:pPr>
              <w:spacing w:line="300" w:lineRule="exact"/>
              <w:jc w:val="center"/>
              <w:rPr>
                <w:rFonts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5FC53790">
            <w:pPr>
              <w:spacing w:line="420" w:lineRule="exact"/>
              <w:jc w:val="left"/>
              <w:rPr>
                <w:rFonts w:ascii="宋体" w:hAnsi="宋体" w:eastAsia="宋体" w:cs="宋体"/>
                <w:bCs/>
                <w:sz w:val="24"/>
                <w:szCs w:val="24"/>
              </w:rPr>
            </w:pPr>
            <w:r>
              <w:rPr>
                <w:rFonts w:hint="eastAsia" w:ascii="宋体" w:hAnsi="宋体" w:eastAsia="宋体" w:cs="宋体"/>
                <w:bCs/>
                <w:sz w:val="24"/>
                <w:szCs w:val="24"/>
              </w:rPr>
              <w:t>对核心产品在项目中所起的作用和描述，每一项各2分</w:t>
            </w:r>
          </w:p>
        </w:tc>
      </w:tr>
      <w:tr w14:paraId="73CFB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805" w:type="dxa"/>
            <w:vAlign w:val="center"/>
          </w:tcPr>
          <w:p w14:paraId="44A9F735">
            <w:pPr>
              <w:spacing w:line="420" w:lineRule="exact"/>
              <w:jc w:val="center"/>
              <w:rPr>
                <w:rFonts w:ascii="宋体" w:hAnsi="宋体" w:eastAsia="宋体" w:cs="宋体"/>
                <w:sz w:val="24"/>
                <w:szCs w:val="24"/>
              </w:rPr>
            </w:pPr>
            <w:r>
              <w:rPr>
                <w:rFonts w:hint="eastAsia" w:ascii="宋体" w:hAnsi="宋体" w:eastAsia="宋体" w:cs="宋体"/>
                <w:sz w:val="24"/>
                <w:szCs w:val="24"/>
              </w:rPr>
              <w:t>答疑</w:t>
            </w:r>
          </w:p>
        </w:tc>
        <w:tc>
          <w:tcPr>
            <w:tcW w:w="427" w:type="dxa"/>
            <w:vAlign w:val="center"/>
          </w:tcPr>
          <w:p w14:paraId="6969C598">
            <w:pPr>
              <w:spacing w:line="420" w:lineRule="exact"/>
              <w:jc w:val="center"/>
              <w:rPr>
                <w:rFonts w:ascii="宋体" w:hAnsi="宋体" w:eastAsia="宋体" w:cs="宋体"/>
                <w:sz w:val="24"/>
                <w:szCs w:val="24"/>
              </w:rPr>
            </w:pPr>
            <w:r>
              <w:rPr>
                <w:rFonts w:hint="eastAsia" w:ascii="宋体" w:hAnsi="宋体" w:eastAsia="宋体" w:cs="宋体"/>
                <w:sz w:val="24"/>
                <w:szCs w:val="24"/>
              </w:rPr>
              <w:t>3</w:t>
            </w:r>
          </w:p>
        </w:tc>
        <w:tc>
          <w:tcPr>
            <w:tcW w:w="1260" w:type="dxa"/>
            <w:vAlign w:val="center"/>
          </w:tcPr>
          <w:p w14:paraId="6A168835">
            <w:pPr>
              <w:spacing w:line="420" w:lineRule="exact"/>
              <w:rPr>
                <w:rFonts w:ascii="宋体" w:hAnsi="宋体" w:eastAsia="宋体" w:cs="宋体"/>
                <w:bCs/>
                <w:sz w:val="24"/>
                <w:szCs w:val="24"/>
              </w:rPr>
            </w:pPr>
            <w:r>
              <w:rPr>
                <w:rFonts w:hint="eastAsia" w:ascii="宋体" w:hAnsi="宋体" w:eastAsia="宋体" w:cs="宋体"/>
                <w:bCs/>
                <w:sz w:val="24"/>
                <w:szCs w:val="24"/>
              </w:rPr>
              <w:t>现场答疑</w:t>
            </w:r>
          </w:p>
        </w:tc>
        <w:tc>
          <w:tcPr>
            <w:tcW w:w="748" w:type="dxa"/>
            <w:vAlign w:val="center"/>
          </w:tcPr>
          <w:p w14:paraId="733A74BD">
            <w:pPr>
              <w:spacing w:line="300" w:lineRule="exact"/>
              <w:jc w:val="center"/>
              <w:rPr>
                <w:rFonts w:ascii="宋体" w:hAnsi="宋体" w:eastAsia="宋体" w:cs="宋体"/>
                <w:color w:val="000000"/>
                <w:sz w:val="24"/>
                <w:szCs w:val="24"/>
              </w:rPr>
            </w:pPr>
            <w:r>
              <w:rPr>
                <w:rFonts w:hint="eastAsia" w:ascii="宋体" w:hAnsi="宋体" w:eastAsia="宋体" w:cs="宋体"/>
                <w:color w:val="000000"/>
                <w:sz w:val="24"/>
                <w:szCs w:val="24"/>
              </w:rPr>
              <w:t>10</w:t>
            </w:r>
          </w:p>
        </w:tc>
        <w:tc>
          <w:tcPr>
            <w:tcW w:w="6023" w:type="dxa"/>
            <w:vAlign w:val="center"/>
          </w:tcPr>
          <w:p w14:paraId="1CDB5F51">
            <w:pPr>
              <w:spacing w:line="420" w:lineRule="exact"/>
              <w:jc w:val="left"/>
              <w:rPr>
                <w:rFonts w:ascii="宋体" w:hAnsi="宋体" w:eastAsia="宋体" w:cs="宋体"/>
                <w:bCs/>
                <w:sz w:val="24"/>
                <w:szCs w:val="24"/>
              </w:rPr>
            </w:pPr>
            <w:r>
              <w:rPr>
                <w:rFonts w:hint="eastAsia" w:ascii="宋体" w:hAnsi="宋体" w:eastAsia="宋体" w:cs="宋体"/>
                <w:bCs/>
                <w:sz w:val="24"/>
                <w:szCs w:val="24"/>
              </w:rPr>
              <w:t>是否了解项目实际作用，谈一谈自己对项目的理解；（3分）</w:t>
            </w:r>
          </w:p>
          <w:p w14:paraId="576B5F44">
            <w:pPr>
              <w:spacing w:line="420" w:lineRule="exact"/>
              <w:jc w:val="left"/>
              <w:rPr>
                <w:rFonts w:ascii="宋体" w:hAnsi="宋体" w:eastAsia="宋体" w:cs="宋体"/>
                <w:bCs/>
                <w:sz w:val="24"/>
                <w:szCs w:val="24"/>
              </w:rPr>
            </w:pPr>
            <w:r>
              <w:rPr>
                <w:rFonts w:hint="eastAsia" w:ascii="宋体" w:hAnsi="宋体" w:eastAsia="宋体" w:cs="宋体"/>
                <w:bCs/>
                <w:sz w:val="24"/>
                <w:szCs w:val="24"/>
              </w:rPr>
              <w:t>是否在招标前至项目实际所在地勘察；（3分）</w:t>
            </w:r>
          </w:p>
          <w:p w14:paraId="22953980">
            <w:pPr>
              <w:spacing w:line="420" w:lineRule="exact"/>
              <w:jc w:val="left"/>
              <w:rPr>
                <w:rFonts w:ascii="宋体" w:hAnsi="宋体" w:eastAsia="宋体" w:cs="宋体"/>
                <w:bCs/>
                <w:sz w:val="24"/>
                <w:szCs w:val="24"/>
              </w:rPr>
            </w:pPr>
            <w:r>
              <w:rPr>
                <w:rFonts w:hint="eastAsia" w:ascii="宋体" w:hAnsi="宋体" w:eastAsia="宋体" w:cs="宋体"/>
                <w:bCs/>
                <w:sz w:val="24"/>
                <w:szCs w:val="24"/>
              </w:rPr>
              <w:t>是否了解客户现有的设备配置；（4分）</w:t>
            </w:r>
          </w:p>
        </w:tc>
      </w:tr>
      <w:tr w14:paraId="6B205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0145B086">
            <w:pPr>
              <w:spacing w:line="420" w:lineRule="exact"/>
              <w:jc w:val="center"/>
              <w:rPr>
                <w:rFonts w:ascii="宋体" w:hAnsi="宋体" w:eastAsia="宋体" w:cs="宋体"/>
                <w:sz w:val="24"/>
                <w:szCs w:val="24"/>
              </w:rPr>
            </w:pPr>
            <w:r>
              <w:rPr>
                <w:rFonts w:hint="eastAsia" w:ascii="宋体" w:hAnsi="宋体" w:eastAsia="宋体" w:cs="宋体"/>
                <w:sz w:val="24"/>
                <w:szCs w:val="24"/>
              </w:rPr>
              <w:t>技术偏离</w:t>
            </w:r>
          </w:p>
        </w:tc>
        <w:tc>
          <w:tcPr>
            <w:tcW w:w="427" w:type="dxa"/>
            <w:vAlign w:val="center"/>
          </w:tcPr>
          <w:p w14:paraId="574CAF78">
            <w:pPr>
              <w:spacing w:line="420" w:lineRule="exact"/>
              <w:jc w:val="center"/>
              <w:rPr>
                <w:rFonts w:ascii="宋体" w:hAnsi="宋体" w:eastAsia="宋体" w:cs="宋体"/>
                <w:sz w:val="24"/>
                <w:szCs w:val="24"/>
              </w:rPr>
            </w:pPr>
            <w:r>
              <w:rPr>
                <w:rFonts w:hint="eastAsia" w:ascii="宋体" w:hAnsi="宋体" w:eastAsia="宋体" w:cs="宋体"/>
                <w:sz w:val="24"/>
                <w:szCs w:val="24"/>
              </w:rPr>
              <w:t>4</w:t>
            </w:r>
          </w:p>
        </w:tc>
        <w:tc>
          <w:tcPr>
            <w:tcW w:w="1260" w:type="dxa"/>
            <w:vAlign w:val="center"/>
          </w:tcPr>
          <w:p w14:paraId="7C85A5DC">
            <w:pPr>
              <w:spacing w:line="420" w:lineRule="exact"/>
              <w:rPr>
                <w:rFonts w:ascii="宋体" w:hAnsi="宋体" w:eastAsia="宋体" w:cs="宋体"/>
                <w:sz w:val="24"/>
                <w:szCs w:val="24"/>
              </w:rPr>
            </w:pPr>
            <w:r>
              <w:rPr>
                <w:rFonts w:hint="eastAsia" w:ascii="宋体" w:hAnsi="宋体" w:eastAsia="宋体" w:cs="宋体"/>
                <w:bCs/>
                <w:sz w:val="24"/>
                <w:szCs w:val="24"/>
              </w:rPr>
              <w:t>技术偏离</w:t>
            </w:r>
          </w:p>
        </w:tc>
        <w:tc>
          <w:tcPr>
            <w:tcW w:w="748" w:type="dxa"/>
            <w:vAlign w:val="center"/>
          </w:tcPr>
          <w:p w14:paraId="0A27838D">
            <w:pPr>
              <w:spacing w:line="420" w:lineRule="exact"/>
              <w:jc w:val="center"/>
              <w:rPr>
                <w:rFonts w:ascii="宋体" w:hAnsi="宋体" w:eastAsia="宋体" w:cs="宋体"/>
                <w:sz w:val="24"/>
                <w:szCs w:val="24"/>
              </w:rPr>
            </w:pPr>
            <w:r>
              <w:rPr>
                <w:rFonts w:hint="eastAsia" w:ascii="宋体" w:hAnsi="宋体" w:eastAsia="宋体" w:cs="宋体"/>
                <w:sz w:val="24"/>
                <w:szCs w:val="24"/>
              </w:rPr>
              <w:t>12</w:t>
            </w:r>
          </w:p>
        </w:tc>
        <w:tc>
          <w:tcPr>
            <w:tcW w:w="6023" w:type="dxa"/>
            <w:vAlign w:val="center"/>
          </w:tcPr>
          <w:p w14:paraId="486A6A07">
            <w:pPr>
              <w:spacing w:line="420" w:lineRule="exact"/>
              <w:jc w:val="left"/>
              <w:rPr>
                <w:rFonts w:ascii="宋体" w:hAnsi="宋体" w:eastAsia="宋体" w:cs="宋体"/>
                <w:bCs/>
                <w:sz w:val="24"/>
                <w:szCs w:val="24"/>
              </w:rPr>
            </w:pPr>
            <w:r>
              <w:rPr>
                <w:rFonts w:hint="eastAsia" w:ascii="宋体" w:hAnsi="宋体" w:eastAsia="宋体" w:cs="宋体"/>
                <w:bCs/>
                <w:sz w:val="24"/>
                <w:szCs w:val="24"/>
              </w:rPr>
              <w:t>由评标委员会成员独立进行客观、公正的评价，根据各投标单位的核心产品的配置参数、技术偏离情况，在满足我司技术基本要求的前提下偏离，无偏离得满分12分，较大偏离每一项扣4分，一般偏离每一项扣2分，最低0分。</w:t>
            </w:r>
          </w:p>
        </w:tc>
      </w:tr>
      <w:tr w14:paraId="2B7E6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4BD7E37A">
            <w:pPr>
              <w:tabs>
                <w:tab w:val="left" w:pos="13965"/>
              </w:tabs>
              <w:spacing w:line="420" w:lineRule="exact"/>
              <w:jc w:val="center"/>
              <w:rPr>
                <w:rFonts w:ascii="宋体" w:hAnsi="宋体" w:eastAsia="宋体" w:cs="宋体"/>
                <w:sz w:val="24"/>
                <w:szCs w:val="24"/>
              </w:rPr>
            </w:pPr>
            <w:r>
              <w:rPr>
                <w:rFonts w:hint="eastAsia" w:ascii="宋体" w:hAnsi="宋体" w:eastAsia="宋体" w:cs="宋体"/>
                <w:sz w:val="24"/>
                <w:szCs w:val="24"/>
              </w:rPr>
              <w:t>实施计划</w:t>
            </w:r>
          </w:p>
        </w:tc>
        <w:tc>
          <w:tcPr>
            <w:tcW w:w="427" w:type="dxa"/>
            <w:vAlign w:val="center"/>
          </w:tcPr>
          <w:p w14:paraId="273B4B63">
            <w:pPr>
              <w:tabs>
                <w:tab w:val="left" w:pos="13965"/>
              </w:tabs>
              <w:spacing w:line="420" w:lineRule="exact"/>
              <w:jc w:val="center"/>
              <w:rPr>
                <w:rFonts w:ascii="宋体" w:hAnsi="宋体" w:eastAsia="宋体" w:cs="宋体"/>
                <w:sz w:val="24"/>
                <w:szCs w:val="24"/>
              </w:rPr>
            </w:pPr>
            <w:r>
              <w:rPr>
                <w:rFonts w:hint="eastAsia" w:ascii="宋体" w:hAnsi="宋体" w:eastAsia="宋体" w:cs="宋体"/>
                <w:sz w:val="24"/>
                <w:szCs w:val="24"/>
              </w:rPr>
              <w:t>5</w:t>
            </w:r>
          </w:p>
        </w:tc>
        <w:tc>
          <w:tcPr>
            <w:tcW w:w="1260" w:type="dxa"/>
            <w:vAlign w:val="center"/>
          </w:tcPr>
          <w:p w14:paraId="46625707">
            <w:pPr>
              <w:spacing w:line="420" w:lineRule="exact"/>
              <w:rPr>
                <w:rFonts w:ascii="宋体" w:hAnsi="宋体" w:eastAsia="宋体" w:cs="宋体"/>
                <w:sz w:val="24"/>
                <w:szCs w:val="24"/>
              </w:rPr>
            </w:pPr>
            <w:r>
              <w:rPr>
                <w:rFonts w:hint="eastAsia" w:ascii="宋体" w:hAnsi="宋体" w:eastAsia="宋体" w:cs="宋体"/>
                <w:sz w:val="24"/>
                <w:szCs w:val="24"/>
              </w:rPr>
              <w:t>实施计划</w:t>
            </w:r>
          </w:p>
        </w:tc>
        <w:tc>
          <w:tcPr>
            <w:tcW w:w="748" w:type="dxa"/>
            <w:vAlign w:val="center"/>
          </w:tcPr>
          <w:p w14:paraId="76ED7052">
            <w:pPr>
              <w:spacing w:line="420" w:lineRule="exact"/>
              <w:jc w:val="center"/>
              <w:rPr>
                <w:rFonts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7F92CEE9">
            <w:pPr>
              <w:spacing w:line="360" w:lineRule="auto"/>
              <w:rPr>
                <w:rFonts w:ascii="宋体" w:hAnsi="宋体" w:eastAsia="宋体" w:cs="宋体"/>
                <w:sz w:val="24"/>
                <w:szCs w:val="24"/>
              </w:rPr>
            </w:pPr>
            <w:r>
              <w:rPr>
                <w:rFonts w:hint="eastAsia" w:ascii="宋体" w:hAnsi="宋体" w:eastAsia="宋体" w:cs="宋体"/>
                <w:sz w:val="24"/>
                <w:szCs w:val="24"/>
              </w:rPr>
              <w:t>项目实施计划安排科学、合理、可行（每家单位制定详细的实施计划，满足需方的要求）。</w:t>
            </w:r>
          </w:p>
          <w:p w14:paraId="20AAE19E">
            <w:pPr>
              <w:spacing w:line="420" w:lineRule="exact"/>
              <w:jc w:val="left"/>
              <w:rPr>
                <w:rFonts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由评标委员会成员独立进行客观、公正的评价，按照优、良、一般进行赋分，优得10分，良得6分，一般得3分。</w:t>
            </w:r>
          </w:p>
        </w:tc>
      </w:tr>
      <w:tr w14:paraId="144D4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805" w:type="dxa"/>
            <w:vAlign w:val="center"/>
          </w:tcPr>
          <w:p w14:paraId="76D9D6EB">
            <w:pPr>
              <w:tabs>
                <w:tab w:val="left" w:pos="13965"/>
              </w:tabs>
              <w:spacing w:line="420" w:lineRule="exact"/>
              <w:jc w:val="center"/>
              <w:rPr>
                <w:rFonts w:ascii="宋体" w:hAnsi="宋体" w:eastAsia="宋体" w:cs="宋体"/>
                <w:sz w:val="24"/>
                <w:szCs w:val="24"/>
              </w:rPr>
            </w:pPr>
            <w:r>
              <w:rPr>
                <w:rFonts w:hint="eastAsia" w:ascii="宋体" w:hAnsi="宋体" w:eastAsia="宋体" w:cs="宋体"/>
                <w:sz w:val="24"/>
                <w:szCs w:val="24"/>
              </w:rPr>
              <w:t>业绩</w:t>
            </w:r>
          </w:p>
        </w:tc>
        <w:tc>
          <w:tcPr>
            <w:tcW w:w="427" w:type="dxa"/>
            <w:vAlign w:val="center"/>
          </w:tcPr>
          <w:p w14:paraId="73A87B7A">
            <w:pPr>
              <w:tabs>
                <w:tab w:val="left" w:pos="13965"/>
              </w:tabs>
              <w:spacing w:line="420" w:lineRule="exact"/>
              <w:jc w:val="center"/>
              <w:rPr>
                <w:rFonts w:ascii="宋体" w:hAnsi="宋体" w:eastAsia="宋体" w:cs="宋体"/>
                <w:sz w:val="24"/>
                <w:szCs w:val="24"/>
              </w:rPr>
            </w:pPr>
            <w:r>
              <w:rPr>
                <w:rFonts w:hint="eastAsia" w:ascii="宋体" w:hAnsi="宋体" w:eastAsia="宋体" w:cs="宋体"/>
                <w:sz w:val="24"/>
                <w:szCs w:val="24"/>
              </w:rPr>
              <w:t>6</w:t>
            </w:r>
          </w:p>
        </w:tc>
        <w:tc>
          <w:tcPr>
            <w:tcW w:w="1260" w:type="dxa"/>
            <w:vAlign w:val="center"/>
          </w:tcPr>
          <w:p w14:paraId="0784AC0F">
            <w:pPr>
              <w:spacing w:line="420" w:lineRule="exact"/>
              <w:rPr>
                <w:rFonts w:ascii="宋体" w:hAnsi="宋体" w:eastAsia="宋体" w:cs="宋体"/>
                <w:sz w:val="24"/>
                <w:szCs w:val="24"/>
              </w:rPr>
            </w:pPr>
            <w:r>
              <w:rPr>
                <w:rFonts w:hint="eastAsia" w:ascii="宋体" w:hAnsi="宋体" w:eastAsia="宋体" w:cs="宋体"/>
                <w:sz w:val="24"/>
                <w:szCs w:val="24"/>
              </w:rPr>
              <w:t>业绩</w:t>
            </w:r>
          </w:p>
        </w:tc>
        <w:tc>
          <w:tcPr>
            <w:tcW w:w="748" w:type="dxa"/>
            <w:vAlign w:val="center"/>
          </w:tcPr>
          <w:p w14:paraId="272B95F8">
            <w:pPr>
              <w:spacing w:line="420" w:lineRule="exact"/>
              <w:jc w:val="center"/>
              <w:rPr>
                <w:rFonts w:ascii="宋体" w:hAnsi="宋体" w:eastAsia="宋体" w:cs="宋体"/>
                <w:sz w:val="24"/>
                <w:szCs w:val="24"/>
              </w:rPr>
            </w:pPr>
            <w:r>
              <w:rPr>
                <w:rFonts w:hint="eastAsia" w:ascii="宋体" w:hAnsi="宋体" w:eastAsia="宋体" w:cs="宋体"/>
                <w:sz w:val="24"/>
                <w:szCs w:val="24"/>
              </w:rPr>
              <w:t>10</w:t>
            </w:r>
          </w:p>
        </w:tc>
        <w:tc>
          <w:tcPr>
            <w:tcW w:w="6023" w:type="dxa"/>
            <w:vAlign w:val="center"/>
          </w:tcPr>
          <w:p w14:paraId="434BB01B">
            <w:pPr>
              <w:spacing w:line="420" w:lineRule="exact"/>
              <w:jc w:val="left"/>
              <w:rPr>
                <w:rFonts w:ascii="宋体" w:hAnsi="宋体" w:eastAsia="宋体" w:cs="宋体"/>
                <w:bCs/>
                <w:sz w:val="24"/>
                <w:szCs w:val="24"/>
              </w:rPr>
            </w:pPr>
            <w:r>
              <w:rPr>
                <w:rFonts w:hint="eastAsia" w:ascii="宋体" w:hAnsi="宋体" w:eastAsia="宋体" w:cs="宋体"/>
                <w:bCs/>
                <w:sz w:val="24"/>
                <w:szCs w:val="24"/>
              </w:rPr>
              <w:t>同类型项目业绩：</w:t>
            </w:r>
          </w:p>
          <w:p w14:paraId="1573D645">
            <w:pPr>
              <w:spacing w:line="420" w:lineRule="exact"/>
              <w:jc w:val="left"/>
              <w:rPr>
                <w:rFonts w:ascii="宋体" w:hAnsi="宋体" w:eastAsia="宋体" w:cs="宋体"/>
                <w:bCs/>
                <w:sz w:val="24"/>
                <w:szCs w:val="24"/>
              </w:rPr>
            </w:pPr>
            <w:r>
              <w:rPr>
                <w:rFonts w:hint="eastAsia" w:ascii="宋体" w:hAnsi="宋体" w:eastAsia="宋体" w:cs="宋体"/>
                <w:bCs/>
                <w:sz w:val="24"/>
                <w:szCs w:val="24"/>
              </w:rPr>
              <w:t>2020年1月以来到现在以来已交付使用的与本次招标项目类似产品的业绩，业绩最多者满分，第二名得8分，第三名得6分，第四名得4分，其余得2分。（时间以签订日期为准）。</w:t>
            </w:r>
          </w:p>
        </w:tc>
      </w:tr>
      <w:tr w14:paraId="623B0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restart"/>
            <w:vAlign w:val="center"/>
          </w:tcPr>
          <w:p w14:paraId="5B97A220">
            <w:pPr>
              <w:spacing w:line="360" w:lineRule="auto"/>
              <w:jc w:val="center"/>
              <w:rPr>
                <w:rFonts w:ascii="宋体" w:hAnsi="宋体" w:eastAsia="宋体" w:cs="宋体"/>
                <w:sz w:val="24"/>
                <w:szCs w:val="24"/>
              </w:rPr>
            </w:pPr>
            <w:r>
              <w:rPr>
                <w:rFonts w:hint="eastAsia" w:ascii="宋体" w:hAnsi="宋体" w:eastAsia="宋体" w:cs="宋体"/>
                <w:sz w:val="24"/>
                <w:szCs w:val="24"/>
              </w:rPr>
              <w:t>售后服务</w:t>
            </w:r>
          </w:p>
        </w:tc>
        <w:tc>
          <w:tcPr>
            <w:tcW w:w="427" w:type="dxa"/>
            <w:vAlign w:val="center"/>
          </w:tcPr>
          <w:p w14:paraId="6AD0BFC4">
            <w:pPr>
              <w:spacing w:line="360" w:lineRule="auto"/>
              <w:jc w:val="center"/>
              <w:rPr>
                <w:rFonts w:ascii="宋体" w:hAnsi="宋体" w:eastAsia="宋体" w:cs="宋体"/>
                <w:sz w:val="24"/>
                <w:szCs w:val="24"/>
              </w:rPr>
            </w:pPr>
            <w:r>
              <w:rPr>
                <w:rFonts w:hint="eastAsia" w:ascii="宋体" w:hAnsi="宋体" w:eastAsia="宋体" w:cs="宋体"/>
                <w:sz w:val="24"/>
                <w:szCs w:val="24"/>
              </w:rPr>
              <w:t>7</w:t>
            </w:r>
          </w:p>
        </w:tc>
        <w:tc>
          <w:tcPr>
            <w:tcW w:w="1260" w:type="dxa"/>
            <w:vAlign w:val="center"/>
          </w:tcPr>
          <w:p w14:paraId="58AAE005">
            <w:pPr>
              <w:spacing w:line="360" w:lineRule="auto"/>
              <w:rPr>
                <w:rFonts w:ascii="宋体" w:hAnsi="宋体" w:eastAsia="宋体" w:cs="宋体"/>
                <w:sz w:val="24"/>
                <w:szCs w:val="24"/>
              </w:rPr>
            </w:pPr>
            <w:r>
              <w:rPr>
                <w:rFonts w:hint="eastAsia" w:ascii="宋体" w:hAnsi="宋体" w:eastAsia="宋体" w:cs="宋体"/>
                <w:sz w:val="24"/>
                <w:szCs w:val="24"/>
              </w:rPr>
              <w:t>技术培训方案</w:t>
            </w:r>
          </w:p>
        </w:tc>
        <w:tc>
          <w:tcPr>
            <w:tcW w:w="748" w:type="dxa"/>
            <w:vAlign w:val="center"/>
          </w:tcPr>
          <w:p w14:paraId="53E76406">
            <w:pPr>
              <w:spacing w:line="360" w:lineRule="auto"/>
              <w:jc w:val="center"/>
              <w:rPr>
                <w:rFonts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76C96833">
            <w:pPr>
              <w:spacing w:line="360" w:lineRule="auto"/>
              <w:rPr>
                <w:rFonts w:ascii="宋体" w:hAnsi="宋体" w:eastAsia="宋体" w:cs="宋体"/>
                <w:sz w:val="24"/>
                <w:szCs w:val="24"/>
              </w:rPr>
            </w:pPr>
            <w:r>
              <w:rPr>
                <w:rFonts w:hint="eastAsia" w:ascii="宋体" w:hAnsi="宋体" w:eastAsia="宋体" w:cs="宋体"/>
                <w:sz w:val="24"/>
                <w:szCs w:val="24"/>
              </w:rPr>
              <w:t>对采购方人员的技术培训方案安排科学、合理、可行。</w:t>
            </w:r>
          </w:p>
          <w:p w14:paraId="77590AAE">
            <w:pPr>
              <w:spacing w:line="360" w:lineRule="auto"/>
              <w:rPr>
                <w:rFonts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48442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0CEA50C5">
            <w:pPr>
              <w:spacing w:line="360" w:lineRule="auto"/>
              <w:jc w:val="center"/>
              <w:rPr>
                <w:rFonts w:ascii="宋体" w:hAnsi="宋体" w:eastAsia="宋体" w:cs="宋体"/>
                <w:sz w:val="24"/>
                <w:szCs w:val="24"/>
              </w:rPr>
            </w:pPr>
          </w:p>
        </w:tc>
        <w:tc>
          <w:tcPr>
            <w:tcW w:w="427" w:type="dxa"/>
            <w:vAlign w:val="center"/>
          </w:tcPr>
          <w:p w14:paraId="31C7B576">
            <w:pPr>
              <w:spacing w:line="360" w:lineRule="auto"/>
              <w:jc w:val="center"/>
              <w:rPr>
                <w:rFonts w:ascii="宋体" w:hAnsi="宋体" w:eastAsia="宋体" w:cs="宋体"/>
                <w:sz w:val="24"/>
                <w:szCs w:val="24"/>
              </w:rPr>
            </w:pPr>
            <w:r>
              <w:rPr>
                <w:rFonts w:hint="eastAsia" w:ascii="宋体" w:hAnsi="宋体" w:eastAsia="宋体" w:cs="宋体"/>
                <w:sz w:val="24"/>
                <w:szCs w:val="24"/>
              </w:rPr>
              <w:t>8</w:t>
            </w:r>
          </w:p>
        </w:tc>
        <w:tc>
          <w:tcPr>
            <w:tcW w:w="1260" w:type="dxa"/>
            <w:shd w:val="clear" w:color="auto" w:fill="auto"/>
            <w:vAlign w:val="center"/>
          </w:tcPr>
          <w:p w14:paraId="1B75125C">
            <w:pPr>
              <w:spacing w:line="360" w:lineRule="auto"/>
              <w:rPr>
                <w:rFonts w:ascii="宋体" w:hAnsi="宋体" w:eastAsia="宋体" w:cs="宋体"/>
                <w:sz w:val="24"/>
                <w:szCs w:val="24"/>
              </w:rPr>
            </w:pPr>
            <w:r>
              <w:rPr>
                <w:rFonts w:hint="eastAsia" w:ascii="宋体" w:hAnsi="宋体" w:eastAsia="宋体" w:cs="宋体"/>
                <w:bCs/>
                <w:sz w:val="24"/>
                <w:szCs w:val="24"/>
              </w:rPr>
              <w:t>专业技术力量</w:t>
            </w:r>
          </w:p>
        </w:tc>
        <w:tc>
          <w:tcPr>
            <w:tcW w:w="748" w:type="dxa"/>
            <w:shd w:val="clear" w:color="auto" w:fill="auto"/>
            <w:vAlign w:val="center"/>
          </w:tcPr>
          <w:p w14:paraId="22B16453">
            <w:pPr>
              <w:spacing w:line="360" w:lineRule="auto"/>
              <w:jc w:val="center"/>
              <w:rPr>
                <w:rFonts w:ascii="宋体" w:hAnsi="宋体" w:eastAsia="宋体" w:cs="宋体"/>
                <w:sz w:val="24"/>
                <w:szCs w:val="24"/>
              </w:rPr>
            </w:pPr>
            <w:r>
              <w:rPr>
                <w:rFonts w:hint="eastAsia" w:ascii="宋体" w:hAnsi="宋体" w:eastAsia="宋体" w:cs="宋体"/>
                <w:bCs/>
                <w:sz w:val="24"/>
                <w:szCs w:val="24"/>
              </w:rPr>
              <w:t>6</w:t>
            </w:r>
          </w:p>
        </w:tc>
        <w:tc>
          <w:tcPr>
            <w:tcW w:w="6023" w:type="dxa"/>
            <w:shd w:val="clear" w:color="auto" w:fill="auto"/>
            <w:vAlign w:val="center"/>
          </w:tcPr>
          <w:p w14:paraId="44353EC4">
            <w:pPr>
              <w:spacing w:line="360" w:lineRule="auto"/>
              <w:rPr>
                <w:rFonts w:ascii="宋体" w:hAnsi="宋体" w:eastAsia="宋体" w:cs="宋体"/>
                <w:bCs/>
                <w:sz w:val="24"/>
                <w:szCs w:val="24"/>
              </w:rPr>
            </w:pPr>
            <w:r>
              <w:rPr>
                <w:rFonts w:hint="eastAsia" w:ascii="宋体" w:hAnsi="宋体" w:eastAsia="宋体" w:cs="宋体"/>
                <w:bCs/>
                <w:sz w:val="24"/>
                <w:szCs w:val="24"/>
              </w:rPr>
              <w:t>投标人在中国有常驻的专业技术力量的维保机构并具有实施本项目维保的专业技术人员。</w:t>
            </w:r>
          </w:p>
          <w:p w14:paraId="62A10EE6">
            <w:pPr>
              <w:spacing w:line="360" w:lineRule="auto"/>
              <w:rPr>
                <w:rFonts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r w14:paraId="3CC1A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05" w:type="dxa"/>
            <w:vMerge w:val="continue"/>
            <w:vAlign w:val="center"/>
          </w:tcPr>
          <w:p w14:paraId="31CCC7F0">
            <w:pPr>
              <w:spacing w:line="360" w:lineRule="auto"/>
              <w:jc w:val="center"/>
              <w:rPr>
                <w:rFonts w:ascii="宋体" w:hAnsi="宋体" w:eastAsia="宋体" w:cs="宋体"/>
                <w:sz w:val="24"/>
                <w:szCs w:val="24"/>
              </w:rPr>
            </w:pPr>
          </w:p>
        </w:tc>
        <w:tc>
          <w:tcPr>
            <w:tcW w:w="427" w:type="dxa"/>
            <w:vAlign w:val="center"/>
          </w:tcPr>
          <w:p w14:paraId="2EBD9608">
            <w:pPr>
              <w:spacing w:line="360" w:lineRule="auto"/>
              <w:jc w:val="center"/>
              <w:rPr>
                <w:rFonts w:ascii="宋体" w:hAnsi="宋体" w:eastAsia="宋体" w:cs="宋体"/>
                <w:sz w:val="24"/>
                <w:szCs w:val="24"/>
              </w:rPr>
            </w:pPr>
            <w:r>
              <w:rPr>
                <w:rFonts w:hint="eastAsia" w:ascii="宋体" w:hAnsi="宋体" w:eastAsia="宋体" w:cs="宋体"/>
                <w:sz w:val="24"/>
                <w:szCs w:val="24"/>
              </w:rPr>
              <w:t>9</w:t>
            </w:r>
          </w:p>
        </w:tc>
        <w:tc>
          <w:tcPr>
            <w:tcW w:w="1260" w:type="dxa"/>
            <w:vAlign w:val="center"/>
          </w:tcPr>
          <w:p w14:paraId="71C6A302">
            <w:pPr>
              <w:spacing w:line="360" w:lineRule="auto"/>
              <w:rPr>
                <w:rFonts w:ascii="宋体" w:hAnsi="宋体" w:eastAsia="宋体" w:cs="宋体"/>
                <w:sz w:val="24"/>
                <w:szCs w:val="24"/>
              </w:rPr>
            </w:pPr>
            <w:r>
              <w:rPr>
                <w:rFonts w:hint="eastAsia" w:ascii="宋体" w:hAnsi="宋体" w:eastAsia="宋体" w:cs="宋体"/>
                <w:sz w:val="24"/>
                <w:szCs w:val="24"/>
              </w:rPr>
              <w:t>售后服务</w:t>
            </w:r>
          </w:p>
        </w:tc>
        <w:tc>
          <w:tcPr>
            <w:tcW w:w="748" w:type="dxa"/>
            <w:vAlign w:val="center"/>
          </w:tcPr>
          <w:p w14:paraId="3F1AA943">
            <w:pPr>
              <w:spacing w:line="360" w:lineRule="auto"/>
              <w:jc w:val="center"/>
              <w:rPr>
                <w:rFonts w:ascii="宋体" w:hAnsi="宋体" w:eastAsia="宋体" w:cs="宋体"/>
                <w:sz w:val="24"/>
                <w:szCs w:val="24"/>
              </w:rPr>
            </w:pPr>
            <w:r>
              <w:rPr>
                <w:rFonts w:hint="eastAsia" w:ascii="宋体" w:hAnsi="宋体" w:eastAsia="宋体" w:cs="宋体"/>
                <w:sz w:val="24"/>
                <w:szCs w:val="24"/>
              </w:rPr>
              <w:t>6</w:t>
            </w:r>
          </w:p>
        </w:tc>
        <w:tc>
          <w:tcPr>
            <w:tcW w:w="6023" w:type="dxa"/>
            <w:vAlign w:val="center"/>
          </w:tcPr>
          <w:p w14:paraId="05A09B2D">
            <w:pPr>
              <w:spacing w:line="360" w:lineRule="auto"/>
              <w:rPr>
                <w:rFonts w:ascii="宋体" w:hAnsi="宋体" w:eastAsia="宋体" w:cs="宋体"/>
                <w:sz w:val="24"/>
                <w:szCs w:val="24"/>
              </w:rPr>
            </w:pPr>
            <w:r>
              <w:rPr>
                <w:rFonts w:hint="eastAsia" w:ascii="宋体" w:hAnsi="宋体" w:eastAsia="宋体" w:cs="宋体"/>
                <w:sz w:val="24"/>
                <w:szCs w:val="24"/>
              </w:rPr>
              <w:t>售后服务及时周到，有相应的服务承诺和具体的保证措施。</w:t>
            </w:r>
          </w:p>
          <w:p w14:paraId="3F97ABD7">
            <w:pPr>
              <w:spacing w:line="360" w:lineRule="auto"/>
              <w:rPr>
                <w:rFonts w:ascii="宋体" w:hAnsi="宋体" w:eastAsia="宋体" w:cs="宋体"/>
                <w:bCs/>
                <w:sz w:val="24"/>
                <w:szCs w:val="24"/>
              </w:rPr>
            </w:pPr>
            <w:r>
              <w:rPr>
                <w:rFonts w:hint="eastAsia" w:ascii="宋体" w:hAnsi="宋体" w:eastAsia="宋体" w:cs="宋体"/>
                <w:bCs/>
                <w:sz w:val="24"/>
                <w:szCs w:val="24"/>
              </w:rPr>
              <w:t>由评标委员会成员独立进行客观、公正的评价，按照优、良、一般进行赋分，优得6分，良得4分，一般得2分。</w:t>
            </w:r>
          </w:p>
        </w:tc>
      </w:tr>
    </w:tbl>
    <w:p w14:paraId="1D4F1848">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04A82E0E">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2FBBB1E8">
      <w:pPr>
        <w:ind w:firstLine="480" w:firstLineChars="200"/>
        <w:rPr>
          <w:rFonts w:ascii="宋体" w:hAnsi="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w:t>
      </w:r>
      <w:r>
        <w:rPr>
          <w:rFonts w:hint="eastAsia" w:ascii="宋体" w:hAnsi="宋体" w:cs="宋体"/>
          <w:color w:val="000000"/>
          <w:sz w:val="24"/>
          <w:szCs w:val="24"/>
        </w:rPr>
        <w:t>定。</w:t>
      </w:r>
    </w:p>
    <w:tbl>
      <w:tblPr>
        <w:tblStyle w:val="30"/>
        <w:tblpPr w:leftFromText="180" w:rightFromText="180" w:vertAnchor="text" w:horzAnchor="page" w:tblpXSpec="center" w:tblpY="345"/>
        <w:tblOverlap w:val="never"/>
        <w:tblW w:w="98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9000"/>
      </w:tblGrid>
      <w:tr w14:paraId="21FD2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825" w:type="dxa"/>
            <w:tcBorders>
              <w:top w:val="single" w:color="auto" w:sz="4" w:space="0"/>
              <w:left w:val="single" w:color="auto" w:sz="4" w:space="0"/>
              <w:bottom w:val="single" w:color="auto" w:sz="4" w:space="0"/>
              <w:right w:val="single" w:color="auto" w:sz="4" w:space="0"/>
            </w:tcBorders>
            <w:vAlign w:val="center"/>
          </w:tcPr>
          <w:p w14:paraId="12E1620D">
            <w:pPr>
              <w:spacing w:line="420" w:lineRule="exact"/>
              <w:jc w:val="center"/>
              <w:rPr>
                <w:rFonts w:ascii="宋体" w:hAnsi="宋体"/>
              </w:rPr>
            </w:pPr>
            <w:r>
              <w:rPr>
                <w:rFonts w:hint="eastAsia" w:ascii="宋体" w:hAnsi="宋体" w:eastAsia="宋体" w:cs="宋体"/>
                <w:b/>
                <w:szCs w:val="28"/>
              </w:rPr>
              <w:t>二</w:t>
            </w:r>
          </w:p>
        </w:tc>
        <w:tc>
          <w:tcPr>
            <w:tcW w:w="9000" w:type="dxa"/>
            <w:tcBorders>
              <w:top w:val="single" w:color="auto" w:sz="4" w:space="0"/>
              <w:left w:val="single" w:color="auto" w:sz="4" w:space="0"/>
              <w:bottom w:val="single" w:color="auto" w:sz="4" w:space="0"/>
              <w:right w:val="single" w:color="auto" w:sz="4" w:space="0"/>
            </w:tcBorders>
            <w:vAlign w:val="center"/>
          </w:tcPr>
          <w:p w14:paraId="64116667">
            <w:pPr>
              <w:spacing w:line="420" w:lineRule="exact"/>
              <w:rPr>
                <w:rFonts w:ascii="宋体" w:hAnsi="宋体"/>
                <w:bCs/>
              </w:rPr>
            </w:pPr>
            <w:r>
              <w:rPr>
                <w:rFonts w:hint="eastAsia" w:ascii="宋体" w:hAnsi="宋体" w:eastAsia="宋体" w:cs="宋体"/>
                <w:b/>
                <w:szCs w:val="28"/>
              </w:rPr>
              <w:t>商务标</w:t>
            </w:r>
          </w:p>
        </w:tc>
      </w:tr>
      <w:tr w14:paraId="39D22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0" w:hRule="atLeast"/>
          <w:jc w:val="center"/>
        </w:trPr>
        <w:tc>
          <w:tcPr>
            <w:tcW w:w="9825" w:type="dxa"/>
            <w:gridSpan w:val="2"/>
            <w:tcBorders>
              <w:top w:val="single" w:color="auto" w:sz="4" w:space="0"/>
              <w:left w:val="single" w:color="auto" w:sz="4" w:space="0"/>
              <w:bottom w:val="single" w:color="auto" w:sz="4" w:space="0"/>
              <w:right w:val="single" w:color="auto" w:sz="4" w:space="0"/>
            </w:tcBorders>
            <w:vAlign w:val="center"/>
          </w:tcPr>
          <w:p w14:paraId="0AEE3C3C">
            <w:pPr>
              <w:spacing w:line="360" w:lineRule="auto"/>
              <w:rPr>
                <w:rFonts w:ascii="宋体" w:hAnsi="宋体" w:eastAsia="宋体"/>
                <w:bCs/>
                <w:sz w:val="24"/>
                <w:szCs w:val="24"/>
              </w:rPr>
            </w:pPr>
            <w:r>
              <w:rPr>
                <w:rFonts w:hint="eastAsia" w:ascii="宋体" w:hAnsi="宋体" w:eastAsia="宋体"/>
                <w:bCs/>
                <w:sz w:val="24"/>
                <w:szCs w:val="24"/>
              </w:rPr>
              <w:t xml:space="preserve">评标基准价： </w:t>
            </w:r>
          </w:p>
          <w:p w14:paraId="5620E977">
            <w:pPr>
              <w:spacing w:line="360" w:lineRule="auto"/>
              <w:rPr>
                <w:rFonts w:ascii="宋体" w:hAnsi="宋体" w:eastAsia="宋体"/>
                <w:bCs/>
                <w:sz w:val="24"/>
                <w:szCs w:val="24"/>
              </w:rPr>
            </w:pPr>
            <w:r>
              <w:rPr>
                <w:rFonts w:hint="eastAsia" w:ascii="宋体" w:hAnsi="宋体" w:eastAsia="宋体"/>
                <w:bCs/>
                <w:sz w:val="24"/>
                <w:szCs w:val="24"/>
              </w:rPr>
              <w:t>1、评标基准价为本轮次所有合理有效的最终投标报价的最低价。</w:t>
            </w:r>
          </w:p>
          <w:p w14:paraId="4B7006C7">
            <w:pPr>
              <w:spacing w:line="360" w:lineRule="auto"/>
              <w:rPr>
                <w:rFonts w:ascii="宋体" w:hAnsi="宋体" w:eastAsia="宋体"/>
                <w:bCs/>
                <w:sz w:val="24"/>
                <w:szCs w:val="24"/>
              </w:rPr>
            </w:pPr>
            <w:r>
              <w:rPr>
                <w:rFonts w:hint="eastAsia" w:ascii="宋体" w:hAnsi="宋体" w:eastAsia="宋体"/>
                <w:bCs/>
                <w:sz w:val="24"/>
                <w:szCs w:val="24"/>
              </w:rPr>
              <w:t>2、有效的评标基准价得100分；其他投标人的价格得分按下列公式计算：投标价格得分=100×（评标基准价/投标报价）。</w:t>
            </w:r>
          </w:p>
          <w:p w14:paraId="10C95EE0">
            <w:pPr>
              <w:spacing w:line="420" w:lineRule="exact"/>
              <w:rPr>
                <w:rFonts w:ascii="宋体" w:hAnsi="宋体"/>
                <w:bCs/>
              </w:rPr>
            </w:pPr>
            <w:r>
              <w:rPr>
                <w:rFonts w:hint="eastAsia" w:ascii="宋体" w:hAnsi="宋体" w:eastAsia="宋体"/>
                <w:bCs/>
                <w:sz w:val="24"/>
                <w:szCs w:val="24"/>
              </w:rPr>
              <w:t>注：得分值取小数点后两位，不足一个百分点的，按照四舍五入法计算。</w:t>
            </w:r>
            <w:r>
              <w:rPr>
                <w:rFonts w:ascii="宋体" w:hAnsi="宋体" w:eastAsia="宋体"/>
                <w:bCs/>
                <w:sz w:val="24"/>
                <w:szCs w:val="24"/>
              </w:rPr>
              <w:t xml:space="preserve"> </w:t>
            </w:r>
          </w:p>
        </w:tc>
      </w:tr>
      <w:tr w14:paraId="44F0E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825" w:type="dxa"/>
            <w:tcBorders>
              <w:top w:val="single" w:color="auto" w:sz="4" w:space="0"/>
              <w:left w:val="single" w:color="auto" w:sz="4" w:space="0"/>
              <w:bottom w:val="single" w:color="auto" w:sz="4" w:space="0"/>
              <w:right w:val="single" w:color="auto" w:sz="4" w:space="0"/>
            </w:tcBorders>
            <w:vAlign w:val="center"/>
          </w:tcPr>
          <w:p w14:paraId="047D0702">
            <w:pPr>
              <w:spacing w:line="420" w:lineRule="exact"/>
              <w:jc w:val="center"/>
              <w:rPr>
                <w:rFonts w:ascii="宋体" w:hAnsi="宋体"/>
              </w:rPr>
            </w:pPr>
            <w:r>
              <w:rPr>
                <w:rFonts w:hint="eastAsia" w:ascii="宋体" w:hAnsi="宋体" w:eastAsia="宋体" w:cs="宋体"/>
                <w:b/>
                <w:szCs w:val="28"/>
              </w:rPr>
              <w:t>三</w:t>
            </w:r>
          </w:p>
        </w:tc>
        <w:tc>
          <w:tcPr>
            <w:tcW w:w="9000" w:type="dxa"/>
            <w:tcBorders>
              <w:top w:val="single" w:color="auto" w:sz="4" w:space="0"/>
              <w:left w:val="single" w:color="auto" w:sz="4" w:space="0"/>
              <w:bottom w:val="single" w:color="auto" w:sz="4" w:space="0"/>
              <w:right w:val="single" w:color="auto" w:sz="4" w:space="0"/>
            </w:tcBorders>
            <w:vAlign w:val="center"/>
          </w:tcPr>
          <w:p w14:paraId="11C2B1EA">
            <w:pPr>
              <w:spacing w:line="420" w:lineRule="exact"/>
              <w:rPr>
                <w:rFonts w:ascii="宋体" w:hAnsi="宋体"/>
                <w:bCs/>
              </w:rPr>
            </w:pPr>
            <w:r>
              <w:rPr>
                <w:rFonts w:hint="eastAsia" w:ascii="宋体" w:hAnsi="宋体" w:eastAsia="宋体" w:cs="宋体"/>
                <w:b/>
                <w:szCs w:val="28"/>
              </w:rPr>
              <w:t>综合得分</w:t>
            </w:r>
          </w:p>
        </w:tc>
      </w:tr>
      <w:tr w14:paraId="7F562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0" w:hRule="atLeast"/>
          <w:jc w:val="center"/>
        </w:trPr>
        <w:tc>
          <w:tcPr>
            <w:tcW w:w="9825" w:type="dxa"/>
            <w:gridSpan w:val="2"/>
            <w:tcBorders>
              <w:top w:val="single" w:color="auto" w:sz="4" w:space="0"/>
              <w:left w:val="single" w:color="auto" w:sz="4" w:space="0"/>
              <w:bottom w:val="single" w:color="auto" w:sz="4" w:space="0"/>
              <w:right w:val="single" w:color="auto" w:sz="4" w:space="0"/>
            </w:tcBorders>
            <w:vAlign w:val="center"/>
          </w:tcPr>
          <w:p w14:paraId="6AA507A8">
            <w:pPr>
              <w:spacing w:line="420" w:lineRule="exact"/>
              <w:rPr>
                <w:rFonts w:ascii="宋体" w:hAnsi="宋体"/>
                <w:bCs/>
              </w:rPr>
            </w:pPr>
            <w:r>
              <w:rPr>
                <w:rFonts w:hint="eastAsia" w:ascii="宋体" w:eastAsia="宋体"/>
                <w:b/>
                <w:sz w:val="24"/>
                <w:szCs w:val="24"/>
              </w:rPr>
              <w:t>综合得分=技术分×30%＋商务标得分×70%</w:t>
            </w:r>
          </w:p>
        </w:tc>
      </w:tr>
    </w:tbl>
    <w:p w14:paraId="61876C4B">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5" w:name="OLE_LINK29"/>
      <w:bookmarkStart w:id="16" w:name="OLE_LINK25"/>
      <w:bookmarkStart w:id="17" w:name="OLE_LINK28"/>
      <w:bookmarkStart w:id="18" w:name="OLE_LINK26"/>
      <w:bookmarkStart w:id="19" w:name="OLE_LINK27"/>
      <w:r>
        <w:rPr>
          <w:rFonts w:hint="eastAsia" w:ascii="宋体" w:hAnsi="宋体" w:eastAsia="宋体" w:cs="宋体"/>
          <w:bCs/>
          <w:sz w:val="21"/>
          <w:szCs w:val="21"/>
          <w:highlight w:val="none"/>
        </w:rPr>
        <w:t>；</w:t>
      </w:r>
      <w:bookmarkEnd w:id="15"/>
      <w:bookmarkEnd w:id="16"/>
      <w:bookmarkEnd w:id="17"/>
      <w:bookmarkEnd w:id="18"/>
      <w:bookmarkEnd w:id="19"/>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9"/>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38EA792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14:paraId="6E0D7439">
      <w:pPr>
        <w:pStyle w:val="72"/>
        <w:rPr>
          <w:rFonts w:hint="eastAsia"/>
          <w:lang w:val="en-US" w:eastAsia="zh-CN"/>
        </w:rPr>
      </w:pPr>
      <w:r>
        <w:rPr>
          <w:rFonts w:hint="eastAsia"/>
          <w:lang w:val="en-US" w:eastAsia="zh-CN"/>
        </w:rPr>
        <w:t>本次招标最终解释权归中国重汽集团济南商用车有限公司商用车制造公司。</w:t>
      </w:r>
    </w:p>
    <w:p w14:paraId="2A6AF5CC">
      <w:pPr>
        <w:rPr>
          <w:rFonts w:hint="eastAsia"/>
        </w:rPr>
      </w:pPr>
      <w:bookmarkStart w:id="20" w:name="_Toc47976607"/>
      <w:r>
        <w:rPr>
          <w:rFonts w:hint="eastAsia"/>
        </w:rPr>
        <w:br w:type="page"/>
      </w:r>
    </w:p>
    <w:p w14:paraId="1FB6CA61">
      <w:pPr>
        <w:pStyle w:val="71"/>
        <w:jc w:val="center"/>
        <w:rPr>
          <w:rFonts w:hint="default" w:eastAsia="黑体"/>
          <w:lang w:val="en-US" w:eastAsia="zh-CN"/>
        </w:rPr>
      </w:pPr>
      <w:bookmarkStart w:id="21" w:name="_Toc1910"/>
      <w:r>
        <w:rPr>
          <w:rFonts w:hint="eastAsia"/>
        </w:rPr>
        <w:t>第二部分　</w:t>
      </w:r>
      <w:bookmarkEnd w:id="20"/>
      <w:r>
        <w:rPr>
          <w:rFonts w:hint="eastAsia"/>
          <w:lang w:val="en-US" w:eastAsia="zh-CN"/>
        </w:rPr>
        <w:t>技术标书</w:t>
      </w:r>
      <w:bookmarkEnd w:id="21"/>
    </w:p>
    <w:p w14:paraId="114FB6EB">
      <w:pPr>
        <w:numPr>
          <w:ilvl w:val="0"/>
          <w:numId w:val="30"/>
        </w:numPr>
        <w:spacing w:line="360" w:lineRule="auto"/>
        <w:jc w:val="left"/>
        <w:rPr>
          <w:rFonts w:ascii="仿宋_GB2312" w:hAnsi="宋体" w:eastAsia="仿宋_GB2312"/>
          <w:b/>
          <w:sz w:val="32"/>
          <w:szCs w:val="32"/>
        </w:rPr>
      </w:pPr>
      <w:r>
        <w:rPr>
          <w:rFonts w:hint="eastAsia" w:ascii="仿宋_GB2312" w:hAnsi="宋体" w:eastAsia="仿宋_GB2312"/>
          <w:b/>
          <w:sz w:val="32"/>
          <w:szCs w:val="32"/>
        </w:rPr>
        <w:t>项目的必要性及投入产出</w:t>
      </w:r>
    </w:p>
    <w:p w14:paraId="49ED1DDB">
      <w:pPr>
        <w:spacing w:line="360" w:lineRule="auto"/>
        <w:ind w:firstLine="642"/>
        <w:jc w:val="left"/>
        <w:rPr>
          <w:rFonts w:ascii="仿宋" w:hAnsi="仿宋" w:eastAsia="仿宋" w:cs="仿宋"/>
          <w:color w:val="404040"/>
          <w:sz w:val="32"/>
          <w:szCs w:val="32"/>
        </w:rPr>
      </w:pPr>
      <w:r>
        <w:rPr>
          <w:rFonts w:hint="eastAsia" w:ascii="仿宋" w:hAnsi="仿宋" w:eastAsia="仿宋" w:cs="仿宋"/>
          <w:color w:val="404040"/>
          <w:sz w:val="32"/>
          <w:szCs w:val="32"/>
        </w:rPr>
        <w:t>济南商用车制造公司总装现场分部、内饰现场分部、轮胎仓库房区域天沟锈蚀破损，漏雨频繁。办公楼屋面防水年久失修，部分办公室漏雨严重并产生以下影响：</w:t>
      </w:r>
    </w:p>
    <w:p w14:paraId="77533DA1">
      <w:pPr>
        <w:spacing w:line="360" w:lineRule="auto"/>
        <w:ind w:firstLine="642"/>
        <w:jc w:val="left"/>
        <w:rPr>
          <w:rFonts w:ascii="仿宋" w:hAnsi="仿宋" w:eastAsia="仿宋" w:cs="仿宋"/>
          <w:color w:val="404040"/>
          <w:sz w:val="32"/>
          <w:szCs w:val="32"/>
        </w:rPr>
      </w:pPr>
      <w:r>
        <w:rPr>
          <w:rFonts w:hint="eastAsia" w:ascii="仿宋" w:hAnsi="仿宋" w:eastAsia="仿宋" w:cs="仿宋"/>
          <w:color w:val="404040"/>
          <w:sz w:val="32"/>
          <w:szCs w:val="32"/>
        </w:rPr>
        <w:t>（1）</w:t>
      </w:r>
      <w:r>
        <w:rPr>
          <w:rFonts w:ascii="仿宋" w:hAnsi="仿宋" w:eastAsia="仿宋" w:cs="仿宋"/>
          <w:color w:val="404040"/>
          <w:sz w:val="32"/>
          <w:szCs w:val="32"/>
        </w:rPr>
        <w:t>电气安全风险</w:t>
      </w:r>
      <w:r>
        <w:rPr>
          <w:rFonts w:hint="eastAsia" w:ascii="仿宋" w:hAnsi="仿宋" w:eastAsia="仿宋" w:cs="仿宋"/>
          <w:color w:val="404040"/>
          <w:sz w:val="32"/>
          <w:szCs w:val="32"/>
        </w:rPr>
        <w:t>：</w:t>
      </w:r>
      <w:r>
        <w:rPr>
          <w:rFonts w:ascii="仿宋" w:hAnsi="仿宋" w:eastAsia="仿宋" w:cs="仿宋"/>
          <w:color w:val="404040"/>
          <w:sz w:val="32"/>
          <w:szCs w:val="32"/>
        </w:rPr>
        <w:t>漏雨可能导致电线短路、设备漏电，甚至引发火灾</w:t>
      </w:r>
      <w:r>
        <w:rPr>
          <w:rFonts w:hint="eastAsia" w:ascii="MS Mincho" w:hAnsi="MS Mincho" w:eastAsia="MS Mincho" w:cs="MS Mincho"/>
          <w:color w:val="404040"/>
          <w:sz w:val="32"/>
          <w:szCs w:val="32"/>
        </w:rPr>
        <w:t>‌</w:t>
      </w:r>
      <w:r>
        <w:rPr>
          <w:rFonts w:hint="eastAsia" w:cs="MS Mincho" w:asciiTheme="minorEastAsia" w:hAnsiTheme="minorEastAsia" w:eastAsiaTheme="minorEastAsia"/>
          <w:color w:val="404040"/>
          <w:sz w:val="32"/>
          <w:szCs w:val="32"/>
        </w:rPr>
        <w:t>；</w:t>
      </w:r>
      <w:r>
        <w:rPr>
          <w:rFonts w:ascii="仿宋" w:hAnsi="仿宋" w:eastAsia="仿宋" w:cs="仿宋"/>
          <w:color w:val="404040"/>
          <w:sz w:val="32"/>
          <w:szCs w:val="32"/>
        </w:rPr>
        <w:t xml:space="preserve"> </w:t>
      </w:r>
    </w:p>
    <w:p w14:paraId="6BFDC89C">
      <w:pPr>
        <w:spacing w:line="360" w:lineRule="auto"/>
        <w:ind w:firstLine="642"/>
        <w:jc w:val="left"/>
        <w:rPr>
          <w:rFonts w:ascii="仿宋" w:hAnsi="仿宋" w:eastAsia="仿宋" w:cs="仿宋"/>
          <w:color w:val="404040"/>
          <w:sz w:val="32"/>
          <w:szCs w:val="32"/>
        </w:rPr>
      </w:pPr>
      <w:r>
        <w:rPr>
          <w:rFonts w:hint="eastAsia" w:ascii="仿宋" w:hAnsi="仿宋" w:eastAsia="仿宋" w:cs="仿宋"/>
          <w:color w:val="404040"/>
          <w:sz w:val="32"/>
          <w:szCs w:val="32"/>
        </w:rPr>
        <w:t>（2）</w:t>
      </w:r>
      <w:r>
        <w:rPr>
          <w:rFonts w:ascii="仿宋" w:hAnsi="仿宋" w:eastAsia="仿宋" w:cs="仿宋"/>
          <w:color w:val="404040"/>
          <w:sz w:val="32"/>
          <w:szCs w:val="32"/>
        </w:rPr>
        <w:t>建筑结构隐患</w:t>
      </w:r>
      <w:r>
        <w:rPr>
          <w:rFonts w:hint="eastAsia" w:ascii="仿宋" w:hAnsi="仿宋" w:eastAsia="仿宋" w:cs="仿宋"/>
          <w:color w:val="404040"/>
          <w:sz w:val="32"/>
          <w:szCs w:val="32"/>
        </w:rPr>
        <w:t>：</w:t>
      </w:r>
      <w:r>
        <w:rPr>
          <w:rFonts w:ascii="仿宋" w:hAnsi="仿宋" w:eastAsia="仿宋" w:cs="仿宋"/>
          <w:color w:val="404040"/>
          <w:sz w:val="32"/>
          <w:szCs w:val="32"/>
        </w:rPr>
        <w:t>长期渗水会腐蚀金属</w:t>
      </w:r>
      <w:r>
        <w:rPr>
          <w:rFonts w:hint="eastAsia" w:ascii="仿宋" w:hAnsi="仿宋" w:eastAsia="仿宋" w:cs="仿宋"/>
          <w:color w:val="404040"/>
          <w:sz w:val="32"/>
          <w:szCs w:val="32"/>
        </w:rPr>
        <w:t>框</w:t>
      </w:r>
      <w:r>
        <w:rPr>
          <w:rFonts w:ascii="仿宋" w:hAnsi="仿宋" w:eastAsia="仿宋" w:cs="仿宋"/>
          <w:color w:val="404040"/>
          <w:sz w:val="32"/>
          <w:szCs w:val="32"/>
        </w:rPr>
        <w:t>架或混凝土结构，导致承重能力下降，可能引发局部坍塌</w:t>
      </w:r>
      <w:r>
        <w:rPr>
          <w:rFonts w:hint="eastAsia" w:ascii="仿宋" w:hAnsi="仿宋" w:eastAsia="仿宋" w:cs="仿宋"/>
          <w:color w:val="404040"/>
          <w:sz w:val="32"/>
          <w:szCs w:val="32"/>
        </w:rPr>
        <w:t>；</w:t>
      </w:r>
    </w:p>
    <w:p w14:paraId="5E62A2E6">
      <w:pPr>
        <w:spacing w:line="360" w:lineRule="auto"/>
        <w:ind w:firstLine="642"/>
        <w:jc w:val="left"/>
        <w:rPr>
          <w:rFonts w:ascii="仿宋" w:hAnsi="仿宋" w:eastAsia="仿宋" w:cs="仿宋"/>
          <w:color w:val="404040"/>
          <w:sz w:val="32"/>
          <w:szCs w:val="32"/>
        </w:rPr>
      </w:pPr>
      <w:r>
        <w:rPr>
          <w:rFonts w:hint="eastAsia" w:ascii="仿宋" w:hAnsi="仿宋" w:eastAsia="仿宋" w:cs="仿宋"/>
          <w:color w:val="404040"/>
          <w:sz w:val="32"/>
          <w:szCs w:val="32"/>
        </w:rPr>
        <w:t>（3）</w:t>
      </w:r>
      <w:r>
        <w:rPr>
          <w:rFonts w:ascii="仿宋" w:hAnsi="仿宋" w:eastAsia="仿宋" w:cs="仿宋"/>
          <w:color w:val="404040"/>
          <w:sz w:val="32"/>
          <w:szCs w:val="32"/>
        </w:rPr>
        <w:t>生产与资产损失</w:t>
      </w:r>
      <w:r>
        <w:rPr>
          <w:rFonts w:hint="eastAsia" w:ascii="仿宋" w:hAnsi="仿宋" w:eastAsia="仿宋" w:cs="仿宋"/>
          <w:color w:val="404040"/>
          <w:sz w:val="32"/>
          <w:szCs w:val="32"/>
        </w:rPr>
        <w:t>：</w:t>
      </w:r>
      <w:r>
        <w:rPr>
          <w:rFonts w:ascii="仿宋" w:hAnsi="仿宋" w:eastAsia="仿宋" w:cs="仿宋"/>
          <w:color w:val="404040"/>
          <w:sz w:val="32"/>
          <w:szCs w:val="32"/>
        </w:rPr>
        <w:t>设备</w:t>
      </w:r>
      <w:r>
        <w:rPr>
          <w:rFonts w:hint="eastAsia" w:ascii="仿宋" w:hAnsi="仿宋" w:eastAsia="仿宋" w:cs="仿宋"/>
          <w:color w:val="404040"/>
          <w:sz w:val="32"/>
          <w:szCs w:val="32"/>
        </w:rPr>
        <w:t>淋雨</w:t>
      </w:r>
      <w:r>
        <w:rPr>
          <w:rFonts w:ascii="仿宋" w:hAnsi="仿宋" w:eastAsia="仿宋" w:cs="仿宋"/>
          <w:color w:val="404040"/>
          <w:sz w:val="32"/>
          <w:szCs w:val="32"/>
        </w:rPr>
        <w:t>受潮可能导致生产线停工或</w:t>
      </w:r>
      <w:r>
        <w:rPr>
          <w:rFonts w:hint="eastAsia" w:ascii="仿宋" w:hAnsi="仿宋" w:eastAsia="仿宋" w:cs="仿宋"/>
          <w:color w:val="404040"/>
          <w:sz w:val="32"/>
          <w:szCs w:val="32"/>
        </w:rPr>
        <w:t>资产</w:t>
      </w:r>
      <w:r>
        <w:rPr>
          <w:rFonts w:ascii="仿宋" w:hAnsi="仿宋" w:eastAsia="仿宋" w:cs="仿宋"/>
          <w:color w:val="404040"/>
          <w:sz w:val="32"/>
          <w:szCs w:val="32"/>
        </w:rPr>
        <w:t>损坏</w:t>
      </w:r>
      <w:r>
        <w:rPr>
          <w:rFonts w:hint="eastAsia" w:ascii="仿宋" w:hAnsi="仿宋" w:eastAsia="仿宋" w:cs="仿宋"/>
          <w:color w:val="404040"/>
          <w:sz w:val="32"/>
          <w:szCs w:val="32"/>
        </w:rPr>
        <w:t>。</w:t>
      </w:r>
    </w:p>
    <w:p w14:paraId="2F917169">
      <w:pPr>
        <w:spacing w:line="360" w:lineRule="auto"/>
        <w:ind w:firstLine="640" w:firstLineChars="200"/>
        <w:jc w:val="left"/>
        <w:rPr>
          <w:rFonts w:hint="eastAsia" w:ascii="仿宋" w:hAnsi="仿宋" w:eastAsia="仿宋" w:cs="仿宋"/>
          <w:color w:val="404040"/>
          <w:sz w:val="32"/>
          <w:szCs w:val="32"/>
        </w:rPr>
      </w:pPr>
      <w:r>
        <w:rPr>
          <w:rFonts w:hint="eastAsia" w:ascii="仿宋" w:hAnsi="仿宋" w:eastAsia="仿宋" w:cs="仿宋"/>
          <w:color w:val="404040"/>
          <w:sz w:val="32"/>
          <w:szCs w:val="32"/>
        </w:rPr>
        <w:t>为了杜绝上述情况的发生，确保公司财产安全，需对屋面天沟及漏雨进行改造修缮。</w:t>
      </w:r>
    </w:p>
    <w:p w14:paraId="3CAA96F7">
      <w:pPr>
        <w:numPr>
          <w:ilvl w:val="0"/>
          <w:numId w:val="30"/>
        </w:numPr>
        <w:spacing w:line="360" w:lineRule="auto"/>
        <w:jc w:val="left"/>
        <w:rPr>
          <w:rFonts w:hint="eastAsia" w:ascii="仿宋" w:hAnsi="仿宋" w:eastAsia="仿宋" w:cs="仿宋"/>
          <w:color w:val="404040"/>
          <w:sz w:val="32"/>
          <w:szCs w:val="32"/>
        </w:rPr>
      </w:pPr>
      <w:r>
        <w:rPr>
          <w:rFonts w:hint="eastAsia" w:ascii="仿宋_GB2312" w:hAnsi="宋体" w:eastAsia="仿宋_GB2312"/>
          <w:b/>
          <w:sz w:val="32"/>
          <w:szCs w:val="32"/>
        </w:rPr>
        <w:t>建设方案</w:t>
      </w:r>
    </w:p>
    <w:p w14:paraId="7FB4F9A4">
      <w:pPr>
        <w:pStyle w:val="76"/>
        <w:rPr>
          <w:b/>
          <w:bCs/>
        </w:rPr>
      </w:pPr>
      <w:r>
        <w:drawing>
          <wp:inline distT="0" distB="0" distL="0" distR="0">
            <wp:extent cx="5295900" cy="2277110"/>
            <wp:effectExtent l="0" t="0" r="0" b="889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2"/>
                    <a:stretch>
                      <a:fillRect/>
                    </a:stretch>
                  </pic:blipFill>
                  <pic:spPr>
                    <a:xfrm>
                      <a:off x="0" y="0"/>
                      <a:ext cx="5318232" cy="2286822"/>
                    </a:xfrm>
                    <a:prstGeom prst="rect">
                      <a:avLst/>
                    </a:prstGeom>
                  </pic:spPr>
                </pic:pic>
              </a:graphicData>
            </a:graphic>
          </wp:inline>
        </w:drawing>
      </w:r>
    </w:p>
    <w:p w14:paraId="41362990">
      <w:pPr>
        <w:pStyle w:val="76"/>
        <w:rPr>
          <w:b/>
          <w:bCs/>
        </w:rPr>
      </w:pPr>
    </w:p>
    <w:p w14:paraId="654EBC09">
      <w:pPr>
        <w:pStyle w:val="76"/>
        <w:rPr>
          <w:b/>
          <w:bCs/>
        </w:rPr>
      </w:pPr>
      <w:r>
        <w:rPr>
          <w:rFonts w:hint="eastAsia" w:ascii="仿宋" w:hAnsi="仿宋" w:eastAsia="仿宋" w:cs="仿宋"/>
          <w:sz w:val="32"/>
          <w:szCs w:val="32"/>
        </w:rPr>
        <w:t>本次更换天沟1152米，屋面防水修缮4500平方米：将原有天沟进行除锈，嵌套安装镀锌板天沟。拆除原有防水卷材，屋面重新铺贴TPO防水卷材1.5mm。</w:t>
      </w:r>
    </w:p>
    <w:p w14:paraId="33BAE675">
      <w:pPr>
        <w:pStyle w:val="62"/>
        <w:numPr>
          <w:ilvl w:val="0"/>
          <w:numId w:val="30"/>
        </w:numPr>
        <w:spacing w:line="360" w:lineRule="auto"/>
        <w:ind w:firstLineChars="0"/>
        <w:jc w:val="left"/>
        <w:rPr>
          <w:rFonts w:ascii="仿宋_GB2312" w:hAnsi="宋体" w:eastAsia="仿宋_GB2312"/>
          <w:b/>
          <w:sz w:val="32"/>
          <w:szCs w:val="32"/>
        </w:rPr>
      </w:pPr>
      <w:r>
        <w:rPr>
          <w:rFonts w:hint="eastAsia" w:ascii="仿宋_GB2312" w:hAnsi="宋体" w:eastAsia="仿宋_GB2312"/>
          <w:b/>
          <w:sz w:val="32"/>
          <w:szCs w:val="32"/>
        </w:rPr>
        <w:t>预算和资金来源</w:t>
      </w:r>
    </w:p>
    <w:p w14:paraId="4782296B">
      <w:pPr>
        <w:pStyle w:val="76"/>
        <w:rPr>
          <w:b/>
          <w:bCs/>
        </w:rPr>
      </w:pPr>
      <w:r>
        <w:drawing>
          <wp:inline distT="0" distB="0" distL="114300" distR="114300">
            <wp:extent cx="5748020" cy="2540635"/>
            <wp:effectExtent l="0" t="0" r="5080" b="1206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13"/>
                    <a:stretch>
                      <a:fillRect/>
                    </a:stretch>
                  </pic:blipFill>
                  <pic:spPr>
                    <a:xfrm>
                      <a:off x="0" y="0"/>
                      <a:ext cx="5748020" cy="2540635"/>
                    </a:xfrm>
                    <a:prstGeom prst="rect">
                      <a:avLst/>
                    </a:prstGeom>
                    <a:noFill/>
                    <a:ln>
                      <a:noFill/>
                    </a:ln>
                  </pic:spPr>
                </pic:pic>
              </a:graphicData>
            </a:graphic>
          </wp:inline>
        </w:drawing>
      </w:r>
    </w:p>
    <w:p w14:paraId="548B73A4">
      <w:pPr>
        <w:pStyle w:val="76"/>
        <w:rPr>
          <w:b/>
          <w:bCs/>
        </w:rPr>
      </w:pPr>
      <w:r>
        <w:drawing>
          <wp:inline distT="0" distB="0" distL="114300" distR="114300">
            <wp:extent cx="5752465" cy="1688465"/>
            <wp:effectExtent l="0" t="0" r="635" b="63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14"/>
                    <a:stretch>
                      <a:fillRect/>
                    </a:stretch>
                  </pic:blipFill>
                  <pic:spPr>
                    <a:xfrm>
                      <a:off x="0" y="0"/>
                      <a:ext cx="5752465" cy="1688465"/>
                    </a:xfrm>
                    <a:prstGeom prst="rect">
                      <a:avLst/>
                    </a:prstGeom>
                    <a:noFill/>
                    <a:ln>
                      <a:noFill/>
                    </a:ln>
                  </pic:spPr>
                </pic:pic>
              </a:graphicData>
            </a:graphic>
          </wp:inline>
        </w:drawing>
      </w:r>
    </w:p>
    <w:p w14:paraId="7D18620C">
      <w:pPr>
        <w:pStyle w:val="76"/>
        <w:rPr>
          <w:b/>
          <w:bCs/>
        </w:rPr>
      </w:pPr>
    </w:p>
    <w:p w14:paraId="6E1EF1ED">
      <w:r>
        <w:br w:type="page"/>
      </w:r>
    </w:p>
    <w:p w14:paraId="5871DF53">
      <w:pPr>
        <w:pStyle w:val="71"/>
      </w:pPr>
      <w:bookmarkStart w:id="22" w:name="_Toc47976609"/>
      <w:bookmarkStart w:id="23" w:name="_Toc20595"/>
      <w:r>
        <w:rPr>
          <w:rFonts w:hint="eastAsia"/>
        </w:rPr>
        <w:t>第三部分　合同主要条款</w:t>
      </w:r>
      <w:bookmarkEnd w:id="22"/>
      <w:bookmarkEnd w:id="23"/>
    </w:p>
    <w:p w14:paraId="23914DBE">
      <w:pPr>
        <w:pStyle w:val="72"/>
        <w:numPr>
          <w:ilvl w:val="0"/>
          <w:numId w:val="31"/>
        </w:numPr>
        <w:ind w:left="420"/>
      </w:pPr>
      <w:bookmarkStart w:id="24" w:name="_Toc47976610"/>
      <w:r>
        <w:rPr>
          <w:rFonts w:hint="eastAsia"/>
          <w:lang w:val="en-US" w:eastAsia="zh-CN"/>
        </w:rPr>
        <w:t>标的、数量、</w:t>
      </w:r>
      <w:r>
        <w:rPr>
          <w:rFonts w:hint="eastAsia"/>
        </w:rPr>
        <w:t>交货期</w:t>
      </w:r>
      <w:bookmarkEnd w:id="24"/>
    </w:p>
    <w:p w14:paraId="18603CA8">
      <w:pPr>
        <w:pStyle w:val="72"/>
      </w:pPr>
      <w:bookmarkStart w:id="25" w:name="_Toc47976611"/>
      <w:r>
        <w:rPr>
          <w:rFonts w:hint="eastAsia"/>
        </w:rPr>
        <w:t>交货地点</w:t>
      </w:r>
      <w:bookmarkEnd w:id="25"/>
    </w:p>
    <w:p w14:paraId="3F03A936">
      <w:pPr>
        <w:pStyle w:val="72"/>
      </w:pPr>
      <w:bookmarkStart w:id="26" w:name="_Toc47976612"/>
      <w:r>
        <w:rPr>
          <w:rFonts w:hint="eastAsia"/>
          <w:lang w:val="en-US" w:eastAsia="zh-CN"/>
        </w:rPr>
        <w:t>价款及</w:t>
      </w:r>
      <w:r>
        <w:rPr>
          <w:rFonts w:hint="eastAsia"/>
        </w:rPr>
        <w:t>付款方式</w:t>
      </w:r>
      <w:bookmarkEnd w:id="26"/>
    </w:p>
    <w:p w14:paraId="0A7F4E98">
      <w:pPr>
        <w:pStyle w:val="72"/>
      </w:pPr>
      <w:bookmarkStart w:id="27" w:name="_Toc47976613"/>
      <w:r>
        <w:rPr>
          <w:rFonts w:hint="eastAsia"/>
          <w:lang w:val="en-US" w:eastAsia="zh-CN"/>
        </w:rPr>
        <w:t>质量要求、</w:t>
      </w:r>
      <w:r>
        <w:rPr>
          <w:rFonts w:hint="eastAsia"/>
        </w:rPr>
        <w:t>保修期及售后服务</w:t>
      </w:r>
      <w:bookmarkEnd w:id="27"/>
    </w:p>
    <w:p w14:paraId="50F6C5C1">
      <w:pPr>
        <w:pStyle w:val="72"/>
      </w:pPr>
      <w:bookmarkStart w:id="28" w:name="_Toc47976614"/>
      <w:r>
        <w:rPr>
          <w:rFonts w:hint="eastAsia"/>
        </w:rPr>
        <w:t>安装、调试及验收要求</w:t>
      </w:r>
      <w:bookmarkEnd w:id="28"/>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9" w:name="_Toc47976615"/>
      <w:bookmarkStart w:id="30" w:name="_Toc5925"/>
      <w:r>
        <w:rPr>
          <w:rFonts w:hint="eastAsia"/>
        </w:rPr>
        <w:t>第四部分　</w:t>
      </w:r>
      <w:bookmarkEnd w:id="29"/>
      <w:r>
        <w:rPr>
          <w:rFonts w:hint="eastAsia"/>
          <w:lang w:val="en-US" w:eastAsia="zh-CN"/>
        </w:rPr>
        <w:t>投标文件附件</w:t>
      </w:r>
      <w:bookmarkEnd w:id="30"/>
    </w:p>
    <w:p w14:paraId="600DE1DD">
      <w:pPr>
        <w:pStyle w:val="71"/>
        <w:jc w:val="left"/>
        <w:rPr>
          <w:rFonts w:hint="eastAsia" w:ascii="宋体" w:hAnsi="宋体" w:eastAsia="宋体" w:cs="宋体"/>
          <w:sz w:val="32"/>
          <w:szCs w:val="32"/>
          <w:highlight w:val="yellow"/>
          <w:lang w:eastAsia="zh-CN"/>
        </w:rPr>
      </w:pPr>
      <w:bookmarkStart w:id="31" w:name="_Toc47976616"/>
      <w:bookmarkStart w:id="32" w:name="_Toc4225"/>
      <w:r>
        <w:rPr>
          <w:rFonts w:hint="eastAsia" w:ascii="宋体" w:hAnsi="宋体" w:eastAsia="宋体" w:cs="宋体"/>
          <w:sz w:val="32"/>
          <w:szCs w:val="32"/>
          <w:highlight w:val="yellow"/>
        </w:rPr>
        <w:t>附件</w:t>
      </w:r>
      <w:bookmarkEnd w:id="31"/>
      <w:bookmarkEnd w:id="32"/>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3" w:name="_Toc47976618"/>
      <w:bookmarkStart w:id="34" w:name="_Toc29366865"/>
      <w:bookmarkStart w:id="35" w:name="_Toc29366869"/>
      <w:r>
        <w:rPr>
          <w:rFonts w:hint="eastAsia" w:ascii="宋体" w:hAnsi="宋体" w:eastAsia="宋体" w:cs="宋体"/>
          <w:sz w:val="32"/>
          <w:szCs w:val="32"/>
          <w:highlight w:val="yellow"/>
          <w:lang w:val="en-US" w:eastAsia="zh-CN"/>
        </w:rPr>
        <w:t>附件2</w:t>
      </w:r>
    </w:p>
    <w:bookmarkEnd w:id="33"/>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4"/>
    <w:bookmarkEnd w:id="35"/>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CA9A866">
      <w:pPr>
        <w:pStyle w:val="14"/>
        <w:rPr>
          <w:rFonts w:hint="eastAsia" w:hAnsi="宋体" w:eastAsia="宋体" w:cs="Times New Roman"/>
          <w:b/>
          <w:bCs/>
          <w:szCs w:val="21"/>
          <w:highlight w:val="yellow"/>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172BB9F">
      <w:pPr>
        <w:pStyle w:val="72"/>
        <w:numPr>
          <w:ilvl w:val="0"/>
          <w:numId w:val="0"/>
        </w:numPr>
        <w:ind w:leftChars="0"/>
      </w:pPr>
    </w:p>
    <w:p w14:paraId="1D8A3199">
      <w:pPr>
        <w:pStyle w:val="76"/>
        <w:ind w:firstLine="630" w:firstLineChars="300"/>
        <w:rPr>
          <w:rFonts w:hint="eastAsia"/>
        </w:rPr>
      </w:pPr>
    </w:p>
    <w:p w14:paraId="23E75332">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38632A3C">
      <w:pPr>
        <w:rPr>
          <w:rFonts w:hint="eastAsia" w:ascii="宋体" w:hAnsi="宋体"/>
        </w:rPr>
      </w:pPr>
      <w:r>
        <w:rPr>
          <w:rFonts w:hint="eastAsia" w:ascii="宋体" w:hAnsi="宋体"/>
        </w:rPr>
        <w:t>项目名称：</w:t>
      </w:r>
      <w:r>
        <w:rPr>
          <w:rFonts w:hint="eastAsia" w:ascii="宋体" w:hAnsi="宋体"/>
          <w:u w:val="single"/>
        </w:rPr>
        <w:t xml:space="preserve">  </w:t>
      </w:r>
    </w:p>
    <w:p w14:paraId="4EAF8557">
      <w:pPr>
        <w:rPr>
          <w:rFonts w:hint="eastAsia" w:ascii="宋体" w:hAnsi="宋体"/>
          <w:szCs w:val="21"/>
        </w:rPr>
      </w:pPr>
    </w:p>
    <w:p w14:paraId="2C80767E">
      <w:pPr>
        <w:rPr>
          <w:rFonts w:hint="eastAsia" w:ascii="宋体" w:hAnsi="宋体"/>
          <w:szCs w:val="21"/>
        </w:rPr>
      </w:pPr>
      <w:r>
        <w:rPr>
          <w:rFonts w:hint="eastAsia" w:ascii="宋体" w:hAnsi="宋体"/>
          <w:szCs w:val="21"/>
        </w:rPr>
        <w:t>日期：  年   月   日</w:t>
      </w:r>
    </w:p>
    <w:p w14:paraId="0F9D09EB">
      <w:pPr>
        <w:jc w:val="center"/>
        <w:rPr>
          <w:rFonts w:hint="eastAsia" w:eastAsia="黑体"/>
          <w:b/>
          <w:bCs/>
          <w:sz w:val="28"/>
        </w:rPr>
      </w:pPr>
    </w:p>
    <w:p w14:paraId="79CDF784">
      <w:pPr>
        <w:jc w:val="center"/>
        <w:rPr>
          <w:rFonts w:hint="eastAsia" w:eastAsia="黑体"/>
          <w:b/>
          <w:bCs/>
          <w:sz w:val="28"/>
        </w:rPr>
      </w:pPr>
      <w:r>
        <w:rPr>
          <w:rFonts w:hint="eastAsia" w:eastAsia="黑体"/>
          <w:b/>
          <w:bCs/>
          <w:sz w:val="28"/>
        </w:rPr>
        <w:t>相关条款偏离表（含商务偏离及技术偏离）</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4A690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52EC83EB">
            <w:pPr>
              <w:jc w:val="center"/>
              <w:rPr>
                <w:rFonts w:hint="eastAsia" w:ascii="宋体" w:hAnsi="宋体"/>
                <w:sz w:val="24"/>
              </w:rPr>
            </w:pPr>
            <w:r>
              <w:rPr>
                <w:rFonts w:hint="eastAsia" w:ascii="宋体" w:hAnsi="宋体"/>
                <w:sz w:val="24"/>
              </w:rPr>
              <w:t>序号</w:t>
            </w:r>
          </w:p>
        </w:tc>
        <w:tc>
          <w:tcPr>
            <w:tcW w:w="4140" w:type="dxa"/>
            <w:gridSpan w:val="2"/>
            <w:noWrap w:val="0"/>
            <w:vAlign w:val="center"/>
          </w:tcPr>
          <w:p w14:paraId="57913BC5">
            <w:pPr>
              <w:jc w:val="center"/>
              <w:rPr>
                <w:rFonts w:hint="eastAsia" w:ascii="宋体" w:hAnsi="宋体"/>
                <w:sz w:val="24"/>
              </w:rPr>
            </w:pPr>
            <w:r>
              <w:rPr>
                <w:rFonts w:hint="eastAsia" w:ascii="宋体" w:hAnsi="宋体"/>
                <w:sz w:val="24"/>
              </w:rPr>
              <w:t>招标文件条款</w:t>
            </w:r>
          </w:p>
        </w:tc>
        <w:tc>
          <w:tcPr>
            <w:tcW w:w="3554" w:type="dxa"/>
            <w:vMerge w:val="restart"/>
            <w:noWrap w:val="0"/>
            <w:vAlign w:val="center"/>
          </w:tcPr>
          <w:p w14:paraId="56A90390">
            <w:pPr>
              <w:jc w:val="center"/>
              <w:rPr>
                <w:rFonts w:hint="eastAsia" w:ascii="宋体" w:hAnsi="宋体"/>
                <w:sz w:val="24"/>
              </w:rPr>
            </w:pPr>
            <w:r>
              <w:rPr>
                <w:rFonts w:hint="eastAsia" w:ascii="宋体" w:hAnsi="宋体"/>
                <w:sz w:val="24"/>
              </w:rPr>
              <w:t>偏离内容</w:t>
            </w:r>
          </w:p>
        </w:tc>
      </w:tr>
      <w:tr w14:paraId="2A36E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3A1EF752">
            <w:pPr>
              <w:rPr>
                <w:rFonts w:hint="eastAsia" w:ascii="宋体" w:hAnsi="宋体"/>
                <w:sz w:val="24"/>
              </w:rPr>
            </w:pPr>
          </w:p>
        </w:tc>
        <w:tc>
          <w:tcPr>
            <w:tcW w:w="1080" w:type="dxa"/>
            <w:noWrap w:val="0"/>
            <w:vAlign w:val="center"/>
          </w:tcPr>
          <w:p w14:paraId="1D750576">
            <w:pPr>
              <w:jc w:val="center"/>
              <w:rPr>
                <w:rFonts w:hint="eastAsia" w:ascii="宋体" w:hAnsi="宋体"/>
                <w:sz w:val="24"/>
              </w:rPr>
            </w:pPr>
            <w:r>
              <w:rPr>
                <w:rFonts w:hint="eastAsia" w:ascii="宋体" w:hAnsi="宋体"/>
                <w:sz w:val="24"/>
              </w:rPr>
              <w:t>条款号</w:t>
            </w:r>
          </w:p>
        </w:tc>
        <w:tc>
          <w:tcPr>
            <w:tcW w:w="3060" w:type="dxa"/>
            <w:noWrap w:val="0"/>
            <w:vAlign w:val="center"/>
          </w:tcPr>
          <w:p w14:paraId="0E395C52">
            <w:pPr>
              <w:jc w:val="center"/>
              <w:rPr>
                <w:rFonts w:hint="eastAsia" w:ascii="宋体" w:hAnsi="宋体"/>
                <w:sz w:val="24"/>
              </w:rPr>
            </w:pPr>
            <w:r>
              <w:rPr>
                <w:rFonts w:hint="eastAsia" w:ascii="宋体" w:hAnsi="宋体"/>
                <w:sz w:val="24"/>
              </w:rPr>
              <w:t>条款要求</w:t>
            </w:r>
          </w:p>
        </w:tc>
        <w:tc>
          <w:tcPr>
            <w:tcW w:w="3554" w:type="dxa"/>
            <w:vMerge w:val="continue"/>
            <w:noWrap w:val="0"/>
            <w:vAlign w:val="center"/>
          </w:tcPr>
          <w:p w14:paraId="02A80D40">
            <w:pPr>
              <w:jc w:val="center"/>
              <w:rPr>
                <w:rFonts w:hint="eastAsia" w:ascii="宋体" w:hAnsi="宋体"/>
                <w:sz w:val="24"/>
              </w:rPr>
            </w:pPr>
          </w:p>
        </w:tc>
      </w:tr>
      <w:tr w14:paraId="46C06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10C49FC">
            <w:pPr>
              <w:jc w:val="center"/>
              <w:rPr>
                <w:rFonts w:hint="eastAsia" w:ascii="宋体" w:hAnsi="宋体"/>
                <w:sz w:val="24"/>
              </w:rPr>
            </w:pPr>
            <w:r>
              <w:rPr>
                <w:rFonts w:hint="eastAsia" w:ascii="宋体" w:hAnsi="宋体"/>
                <w:sz w:val="24"/>
              </w:rPr>
              <w:t>1</w:t>
            </w:r>
          </w:p>
        </w:tc>
        <w:tc>
          <w:tcPr>
            <w:tcW w:w="1080" w:type="dxa"/>
            <w:noWrap w:val="0"/>
            <w:vAlign w:val="center"/>
          </w:tcPr>
          <w:p w14:paraId="09BBF33E">
            <w:pPr>
              <w:rPr>
                <w:rFonts w:hint="eastAsia" w:ascii="宋体" w:hAnsi="宋体"/>
                <w:sz w:val="24"/>
              </w:rPr>
            </w:pPr>
          </w:p>
        </w:tc>
        <w:tc>
          <w:tcPr>
            <w:tcW w:w="3060" w:type="dxa"/>
            <w:noWrap w:val="0"/>
            <w:vAlign w:val="center"/>
          </w:tcPr>
          <w:p w14:paraId="36D6F0E3">
            <w:pPr>
              <w:rPr>
                <w:rFonts w:hint="eastAsia" w:ascii="宋体" w:hAnsi="宋体"/>
                <w:sz w:val="24"/>
              </w:rPr>
            </w:pPr>
          </w:p>
        </w:tc>
        <w:tc>
          <w:tcPr>
            <w:tcW w:w="3554" w:type="dxa"/>
            <w:noWrap w:val="0"/>
            <w:vAlign w:val="center"/>
          </w:tcPr>
          <w:p w14:paraId="6C5A1D2D">
            <w:pPr>
              <w:rPr>
                <w:rFonts w:hint="eastAsia" w:ascii="宋体" w:hAnsi="宋体"/>
                <w:sz w:val="24"/>
              </w:rPr>
            </w:pPr>
          </w:p>
        </w:tc>
      </w:tr>
      <w:tr w14:paraId="154BA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0FA5BB8">
            <w:pPr>
              <w:jc w:val="center"/>
              <w:rPr>
                <w:rFonts w:hint="eastAsia" w:ascii="宋体" w:hAnsi="宋体"/>
                <w:sz w:val="24"/>
              </w:rPr>
            </w:pPr>
            <w:r>
              <w:rPr>
                <w:rFonts w:hint="eastAsia" w:ascii="宋体" w:hAnsi="宋体"/>
                <w:sz w:val="24"/>
              </w:rPr>
              <w:t>2</w:t>
            </w:r>
          </w:p>
        </w:tc>
        <w:tc>
          <w:tcPr>
            <w:tcW w:w="1080" w:type="dxa"/>
            <w:noWrap w:val="0"/>
            <w:vAlign w:val="center"/>
          </w:tcPr>
          <w:p w14:paraId="42A0E897">
            <w:pPr>
              <w:rPr>
                <w:rFonts w:hint="eastAsia" w:ascii="宋体" w:hAnsi="宋体"/>
                <w:sz w:val="24"/>
              </w:rPr>
            </w:pPr>
          </w:p>
        </w:tc>
        <w:tc>
          <w:tcPr>
            <w:tcW w:w="3060" w:type="dxa"/>
            <w:noWrap w:val="0"/>
            <w:vAlign w:val="center"/>
          </w:tcPr>
          <w:p w14:paraId="7D728756">
            <w:pPr>
              <w:rPr>
                <w:rFonts w:hint="eastAsia" w:ascii="宋体" w:hAnsi="宋体"/>
                <w:sz w:val="24"/>
              </w:rPr>
            </w:pPr>
          </w:p>
        </w:tc>
        <w:tc>
          <w:tcPr>
            <w:tcW w:w="3554" w:type="dxa"/>
            <w:noWrap w:val="0"/>
            <w:vAlign w:val="center"/>
          </w:tcPr>
          <w:p w14:paraId="40CEADAC">
            <w:pPr>
              <w:rPr>
                <w:rFonts w:hint="eastAsia" w:ascii="宋体" w:hAnsi="宋体"/>
                <w:sz w:val="24"/>
              </w:rPr>
            </w:pPr>
          </w:p>
        </w:tc>
      </w:tr>
      <w:tr w14:paraId="7A3D4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6DDD6CD">
            <w:pPr>
              <w:jc w:val="center"/>
              <w:rPr>
                <w:rFonts w:hint="eastAsia" w:ascii="宋体" w:hAnsi="宋体"/>
                <w:sz w:val="24"/>
              </w:rPr>
            </w:pPr>
            <w:r>
              <w:rPr>
                <w:rFonts w:hint="eastAsia" w:ascii="宋体" w:hAnsi="宋体"/>
                <w:sz w:val="24"/>
              </w:rPr>
              <w:t>3</w:t>
            </w:r>
          </w:p>
        </w:tc>
        <w:tc>
          <w:tcPr>
            <w:tcW w:w="1080" w:type="dxa"/>
            <w:noWrap w:val="0"/>
            <w:vAlign w:val="center"/>
          </w:tcPr>
          <w:p w14:paraId="19FF2301">
            <w:pPr>
              <w:rPr>
                <w:rFonts w:hint="eastAsia" w:ascii="宋体" w:hAnsi="宋体"/>
                <w:sz w:val="24"/>
              </w:rPr>
            </w:pPr>
          </w:p>
        </w:tc>
        <w:tc>
          <w:tcPr>
            <w:tcW w:w="3060" w:type="dxa"/>
            <w:noWrap w:val="0"/>
            <w:vAlign w:val="center"/>
          </w:tcPr>
          <w:p w14:paraId="6133324F">
            <w:pPr>
              <w:rPr>
                <w:rFonts w:hint="eastAsia" w:ascii="宋体" w:hAnsi="宋体"/>
                <w:sz w:val="24"/>
              </w:rPr>
            </w:pPr>
          </w:p>
        </w:tc>
        <w:tc>
          <w:tcPr>
            <w:tcW w:w="3554" w:type="dxa"/>
            <w:noWrap w:val="0"/>
            <w:vAlign w:val="center"/>
          </w:tcPr>
          <w:p w14:paraId="0522A5BA">
            <w:pPr>
              <w:rPr>
                <w:rFonts w:hint="eastAsia" w:ascii="宋体" w:hAnsi="宋体"/>
                <w:sz w:val="24"/>
              </w:rPr>
            </w:pPr>
          </w:p>
        </w:tc>
      </w:tr>
      <w:tr w14:paraId="125D1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2061DE5">
            <w:pPr>
              <w:jc w:val="center"/>
              <w:rPr>
                <w:rFonts w:hint="eastAsia" w:ascii="宋体" w:hAnsi="宋体"/>
                <w:sz w:val="24"/>
              </w:rPr>
            </w:pPr>
            <w:r>
              <w:rPr>
                <w:rFonts w:hint="eastAsia" w:ascii="宋体" w:hAnsi="宋体"/>
                <w:sz w:val="24"/>
              </w:rPr>
              <w:t>4</w:t>
            </w:r>
          </w:p>
        </w:tc>
        <w:tc>
          <w:tcPr>
            <w:tcW w:w="1080" w:type="dxa"/>
            <w:noWrap w:val="0"/>
            <w:vAlign w:val="center"/>
          </w:tcPr>
          <w:p w14:paraId="5B868030">
            <w:pPr>
              <w:rPr>
                <w:rFonts w:hint="eastAsia" w:ascii="宋体" w:hAnsi="宋体"/>
                <w:sz w:val="24"/>
              </w:rPr>
            </w:pPr>
          </w:p>
        </w:tc>
        <w:tc>
          <w:tcPr>
            <w:tcW w:w="3060" w:type="dxa"/>
            <w:noWrap w:val="0"/>
            <w:vAlign w:val="center"/>
          </w:tcPr>
          <w:p w14:paraId="7C905CBD">
            <w:pPr>
              <w:rPr>
                <w:rFonts w:hint="eastAsia" w:ascii="宋体" w:hAnsi="宋体"/>
                <w:sz w:val="24"/>
              </w:rPr>
            </w:pPr>
          </w:p>
        </w:tc>
        <w:tc>
          <w:tcPr>
            <w:tcW w:w="3554" w:type="dxa"/>
            <w:noWrap w:val="0"/>
            <w:vAlign w:val="center"/>
          </w:tcPr>
          <w:p w14:paraId="02375B1D">
            <w:pPr>
              <w:rPr>
                <w:rFonts w:hint="eastAsia" w:ascii="宋体" w:hAnsi="宋体"/>
                <w:sz w:val="24"/>
              </w:rPr>
            </w:pPr>
          </w:p>
        </w:tc>
      </w:tr>
      <w:tr w14:paraId="61E24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289FC2A">
            <w:pPr>
              <w:jc w:val="center"/>
              <w:rPr>
                <w:rFonts w:hint="eastAsia" w:ascii="宋体" w:hAnsi="宋体"/>
                <w:sz w:val="24"/>
              </w:rPr>
            </w:pPr>
            <w:r>
              <w:rPr>
                <w:rFonts w:hint="eastAsia" w:ascii="宋体" w:hAnsi="宋体"/>
                <w:sz w:val="24"/>
              </w:rPr>
              <w:t>5</w:t>
            </w:r>
          </w:p>
        </w:tc>
        <w:tc>
          <w:tcPr>
            <w:tcW w:w="1080" w:type="dxa"/>
            <w:noWrap w:val="0"/>
            <w:vAlign w:val="center"/>
          </w:tcPr>
          <w:p w14:paraId="74C68011">
            <w:pPr>
              <w:rPr>
                <w:rFonts w:hint="eastAsia" w:ascii="宋体" w:hAnsi="宋体"/>
                <w:sz w:val="24"/>
              </w:rPr>
            </w:pPr>
          </w:p>
        </w:tc>
        <w:tc>
          <w:tcPr>
            <w:tcW w:w="3060" w:type="dxa"/>
            <w:noWrap w:val="0"/>
            <w:vAlign w:val="center"/>
          </w:tcPr>
          <w:p w14:paraId="7F820A9B">
            <w:pPr>
              <w:rPr>
                <w:rFonts w:hint="eastAsia" w:ascii="宋体" w:hAnsi="宋体"/>
                <w:sz w:val="24"/>
              </w:rPr>
            </w:pPr>
          </w:p>
        </w:tc>
        <w:tc>
          <w:tcPr>
            <w:tcW w:w="3554" w:type="dxa"/>
            <w:noWrap w:val="0"/>
            <w:vAlign w:val="center"/>
          </w:tcPr>
          <w:p w14:paraId="4437FA2C">
            <w:pPr>
              <w:rPr>
                <w:rFonts w:hint="eastAsia" w:ascii="宋体" w:hAnsi="宋体"/>
                <w:sz w:val="24"/>
              </w:rPr>
            </w:pPr>
          </w:p>
        </w:tc>
      </w:tr>
      <w:tr w14:paraId="4C182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1DE6FC5">
            <w:pPr>
              <w:jc w:val="center"/>
              <w:rPr>
                <w:rFonts w:hint="eastAsia" w:ascii="宋体" w:hAnsi="宋体"/>
                <w:sz w:val="24"/>
              </w:rPr>
            </w:pPr>
            <w:r>
              <w:rPr>
                <w:rFonts w:hint="eastAsia" w:ascii="宋体" w:hAnsi="宋体"/>
                <w:sz w:val="24"/>
              </w:rPr>
              <w:t>6</w:t>
            </w:r>
          </w:p>
        </w:tc>
        <w:tc>
          <w:tcPr>
            <w:tcW w:w="1080" w:type="dxa"/>
            <w:noWrap w:val="0"/>
            <w:vAlign w:val="center"/>
          </w:tcPr>
          <w:p w14:paraId="1EB3863C">
            <w:pPr>
              <w:rPr>
                <w:rFonts w:hint="eastAsia" w:ascii="宋体" w:hAnsi="宋体"/>
                <w:sz w:val="24"/>
              </w:rPr>
            </w:pPr>
          </w:p>
        </w:tc>
        <w:tc>
          <w:tcPr>
            <w:tcW w:w="3060" w:type="dxa"/>
            <w:noWrap w:val="0"/>
            <w:vAlign w:val="center"/>
          </w:tcPr>
          <w:p w14:paraId="685333BE">
            <w:pPr>
              <w:rPr>
                <w:rFonts w:hint="eastAsia" w:ascii="宋体" w:hAnsi="宋体"/>
                <w:sz w:val="24"/>
              </w:rPr>
            </w:pPr>
          </w:p>
        </w:tc>
        <w:tc>
          <w:tcPr>
            <w:tcW w:w="3554" w:type="dxa"/>
            <w:noWrap w:val="0"/>
            <w:vAlign w:val="center"/>
          </w:tcPr>
          <w:p w14:paraId="7467E54B">
            <w:pPr>
              <w:rPr>
                <w:rFonts w:hint="eastAsia" w:ascii="宋体" w:hAnsi="宋体"/>
                <w:sz w:val="24"/>
              </w:rPr>
            </w:pPr>
          </w:p>
        </w:tc>
      </w:tr>
      <w:tr w14:paraId="04D88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C75BCEA">
            <w:pPr>
              <w:jc w:val="center"/>
              <w:rPr>
                <w:rFonts w:hint="eastAsia" w:ascii="宋体" w:hAnsi="宋体"/>
                <w:sz w:val="24"/>
              </w:rPr>
            </w:pPr>
            <w:r>
              <w:rPr>
                <w:rFonts w:hint="eastAsia" w:ascii="宋体" w:hAnsi="宋体"/>
                <w:sz w:val="24"/>
              </w:rPr>
              <w:t>7</w:t>
            </w:r>
          </w:p>
        </w:tc>
        <w:tc>
          <w:tcPr>
            <w:tcW w:w="1080" w:type="dxa"/>
            <w:noWrap w:val="0"/>
            <w:vAlign w:val="center"/>
          </w:tcPr>
          <w:p w14:paraId="3ED7594E">
            <w:pPr>
              <w:rPr>
                <w:rFonts w:hint="eastAsia" w:ascii="宋体" w:hAnsi="宋体"/>
                <w:sz w:val="24"/>
              </w:rPr>
            </w:pPr>
          </w:p>
        </w:tc>
        <w:tc>
          <w:tcPr>
            <w:tcW w:w="3060" w:type="dxa"/>
            <w:noWrap w:val="0"/>
            <w:vAlign w:val="center"/>
          </w:tcPr>
          <w:p w14:paraId="66C3CBDE">
            <w:pPr>
              <w:rPr>
                <w:rFonts w:hint="eastAsia" w:ascii="宋体" w:hAnsi="宋体"/>
                <w:sz w:val="24"/>
              </w:rPr>
            </w:pPr>
          </w:p>
        </w:tc>
        <w:tc>
          <w:tcPr>
            <w:tcW w:w="3554" w:type="dxa"/>
            <w:noWrap w:val="0"/>
            <w:vAlign w:val="center"/>
          </w:tcPr>
          <w:p w14:paraId="15518151">
            <w:pPr>
              <w:rPr>
                <w:rFonts w:hint="eastAsia" w:ascii="宋体" w:hAnsi="宋体"/>
                <w:sz w:val="24"/>
              </w:rPr>
            </w:pPr>
          </w:p>
        </w:tc>
      </w:tr>
      <w:tr w14:paraId="3D164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498F074">
            <w:pPr>
              <w:jc w:val="center"/>
              <w:rPr>
                <w:rFonts w:hint="eastAsia" w:ascii="宋体" w:hAnsi="宋体"/>
                <w:sz w:val="24"/>
              </w:rPr>
            </w:pPr>
            <w:r>
              <w:rPr>
                <w:rFonts w:hint="eastAsia" w:ascii="宋体" w:hAnsi="宋体"/>
                <w:sz w:val="24"/>
              </w:rPr>
              <w:t>8</w:t>
            </w:r>
          </w:p>
        </w:tc>
        <w:tc>
          <w:tcPr>
            <w:tcW w:w="1080" w:type="dxa"/>
            <w:noWrap w:val="0"/>
            <w:vAlign w:val="center"/>
          </w:tcPr>
          <w:p w14:paraId="46074907">
            <w:pPr>
              <w:rPr>
                <w:rFonts w:hint="eastAsia" w:ascii="宋体" w:hAnsi="宋体"/>
                <w:sz w:val="24"/>
              </w:rPr>
            </w:pPr>
          </w:p>
        </w:tc>
        <w:tc>
          <w:tcPr>
            <w:tcW w:w="3060" w:type="dxa"/>
            <w:noWrap w:val="0"/>
            <w:vAlign w:val="center"/>
          </w:tcPr>
          <w:p w14:paraId="62DB40A7">
            <w:pPr>
              <w:rPr>
                <w:rFonts w:hint="eastAsia" w:ascii="宋体" w:hAnsi="宋体"/>
                <w:sz w:val="24"/>
              </w:rPr>
            </w:pPr>
          </w:p>
        </w:tc>
        <w:tc>
          <w:tcPr>
            <w:tcW w:w="3554" w:type="dxa"/>
            <w:noWrap w:val="0"/>
            <w:vAlign w:val="center"/>
          </w:tcPr>
          <w:p w14:paraId="00FAA13A">
            <w:pPr>
              <w:rPr>
                <w:rFonts w:hint="eastAsia" w:ascii="宋体" w:hAnsi="宋体"/>
                <w:sz w:val="24"/>
              </w:rPr>
            </w:pPr>
          </w:p>
        </w:tc>
      </w:tr>
      <w:tr w14:paraId="525A0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CE75F3D">
            <w:pPr>
              <w:jc w:val="center"/>
              <w:rPr>
                <w:rFonts w:hint="eastAsia" w:ascii="宋体" w:hAnsi="宋体"/>
                <w:sz w:val="24"/>
              </w:rPr>
            </w:pPr>
            <w:r>
              <w:rPr>
                <w:rFonts w:hint="eastAsia" w:ascii="宋体" w:hAnsi="宋体"/>
                <w:sz w:val="24"/>
              </w:rPr>
              <w:t>9</w:t>
            </w:r>
          </w:p>
        </w:tc>
        <w:tc>
          <w:tcPr>
            <w:tcW w:w="1080" w:type="dxa"/>
            <w:noWrap w:val="0"/>
            <w:vAlign w:val="center"/>
          </w:tcPr>
          <w:p w14:paraId="7E84DEDF">
            <w:pPr>
              <w:rPr>
                <w:rFonts w:hint="eastAsia" w:ascii="宋体" w:hAnsi="宋体"/>
                <w:sz w:val="24"/>
              </w:rPr>
            </w:pPr>
          </w:p>
        </w:tc>
        <w:tc>
          <w:tcPr>
            <w:tcW w:w="3060" w:type="dxa"/>
            <w:noWrap w:val="0"/>
            <w:vAlign w:val="center"/>
          </w:tcPr>
          <w:p w14:paraId="1101ADCE">
            <w:pPr>
              <w:rPr>
                <w:rFonts w:hint="eastAsia" w:ascii="宋体" w:hAnsi="宋体"/>
                <w:sz w:val="24"/>
              </w:rPr>
            </w:pPr>
          </w:p>
        </w:tc>
        <w:tc>
          <w:tcPr>
            <w:tcW w:w="3554" w:type="dxa"/>
            <w:noWrap w:val="0"/>
            <w:vAlign w:val="center"/>
          </w:tcPr>
          <w:p w14:paraId="46572936">
            <w:pPr>
              <w:rPr>
                <w:rFonts w:hint="eastAsia" w:ascii="宋体" w:hAnsi="宋体"/>
                <w:sz w:val="24"/>
              </w:rPr>
            </w:pPr>
          </w:p>
        </w:tc>
      </w:tr>
      <w:tr w14:paraId="32890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81A810B">
            <w:pPr>
              <w:jc w:val="center"/>
              <w:rPr>
                <w:rFonts w:hint="eastAsia" w:ascii="宋体" w:hAnsi="宋体"/>
                <w:sz w:val="24"/>
              </w:rPr>
            </w:pPr>
            <w:r>
              <w:rPr>
                <w:rFonts w:hint="eastAsia" w:ascii="宋体" w:hAnsi="宋体"/>
                <w:sz w:val="24"/>
              </w:rPr>
              <w:t>10</w:t>
            </w:r>
          </w:p>
        </w:tc>
        <w:tc>
          <w:tcPr>
            <w:tcW w:w="1080" w:type="dxa"/>
            <w:noWrap w:val="0"/>
            <w:vAlign w:val="center"/>
          </w:tcPr>
          <w:p w14:paraId="3A2445D1">
            <w:pPr>
              <w:rPr>
                <w:rFonts w:hint="eastAsia" w:ascii="宋体" w:hAnsi="宋体"/>
                <w:sz w:val="24"/>
              </w:rPr>
            </w:pPr>
          </w:p>
        </w:tc>
        <w:tc>
          <w:tcPr>
            <w:tcW w:w="3060" w:type="dxa"/>
            <w:noWrap w:val="0"/>
            <w:vAlign w:val="center"/>
          </w:tcPr>
          <w:p w14:paraId="6803560E">
            <w:pPr>
              <w:rPr>
                <w:rFonts w:hint="eastAsia" w:ascii="宋体" w:hAnsi="宋体"/>
                <w:sz w:val="24"/>
              </w:rPr>
            </w:pPr>
          </w:p>
        </w:tc>
        <w:tc>
          <w:tcPr>
            <w:tcW w:w="3554" w:type="dxa"/>
            <w:noWrap w:val="0"/>
            <w:vAlign w:val="center"/>
          </w:tcPr>
          <w:p w14:paraId="44795D2E">
            <w:pPr>
              <w:rPr>
                <w:rFonts w:hint="eastAsia" w:ascii="宋体" w:hAnsi="宋体"/>
                <w:sz w:val="24"/>
              </w:rPr>
            </w:pPr>
          </w:p>
        </w:tc>
      </w:tr>
    </w:tbl>
    <w:p w14:paraId="61E73ED2">
      <w:pPr>
        <w:rPr>
          <w:rFonts w:hint="eastAsia" w:ascii="宋体" w:hAnsi="宋体"/>
          <w:sz w:val="24"/>
        </w:rPr>
      </w:pPr>
    </w:p>
    <w:p w14:paraId="16883041">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2402C616">
      <w:pPr>
        <w:rPr>
          <w:rFonts w:hint="eastAsia" w:ascii="宋体" w:hAnsi="宋体"/>
          <w:sz w:val="24"/>
        </w:rPr>
      </w:pPr>
    </w:p>
    <w:p w14:paraId="61741B0A">
      <w:pPr>
        <w:rPr>
          <w:rFonts w:hint="eastAsia" w:ascii="宋体" w:hAnsi="宋体"/>
          <w:sz w:val="24"/>
        </w:rPr>
      </w:pPr>
    </w:p>
    <w:p w14:paraId="5160C251">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495D7B27">
      <w:pPr>
        <w:rPr>
          <w:rFonts w:hint="default" w:ascii="宋体" w:hAnsi="宋体" w:eastAsia="宋体" w:cs="宋体"/>
          <w:b/>
          <w:bCs/>
          <w:kern w:val="2"/>
          <w:sz w:val="32"/>
          <w:szCs w:val="32"/>
          <w:lang w:val="en-US" w:eastAsia="zh-CN" w:bidi="ar-SA"/>
        </w:rPr>
      </w:pPr>
      <w:r>
        <w:rPr>
          <w:rFonts w:hint="default" w:ascii="宋体" w:hAnsi="宋体" w:eastAsia="宋体" w:cs="宋体"/>
          <w:b/>
          <w:bCs/>
          <w:kern w:val="2"/>
          <w:sz w:val="32"/>
          <w:szCs w:val="32"/>
          <w:lang w:val="en-US" w:eastAsia="zh-CN" w:bidi="ar-SA"/>
        </w:rPr>
        <w:br w:type="page"/>
      </w:r>
    </w:p>
    <w:p w14:paraId="6DB6E000">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14"/>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15"/>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10" name="picture" descr="descript"/>
            <wp:cNvGraphicFramePr/>
            <a:graphic xmlns:a="http://schemas.openxmlformats.org/drawingml/2006/main">
              <a:graphicData uri="http://schemas.openxmlformats.org/drawingml/2006/picture">
                <pic:pic xmlns:pic="http://schemas.openxmlformats.org/drawingml/2006/picture">
                  <pic:nvPicPr>
                    <pic:cNvPr id="10" name="picture" descr="descript"/>
                    <pic:cNvPicPr/>
                  </pic:nvPicPr>
                  <pic:blipFill>
                    <a:blip r:embed="rId16"/>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7"/>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8"/>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14"/>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9"/>
                    <a:stretch>
                      <a:fillRect/>
                    </a:stretch>
                  </pic:blipFill>
                  <pic:spPr>
                    <a:xfrm>
                      <a:off x="0" y="0"/>
                      <a:ext cx="5760085" cy="2810122"/>
                    </a:xfrm>
                    <a:prstGeom prst="rect">
                      <a:avLst/>
                    </a:prstGeom>
                  </pic:spPr>
                </pic:pic>
              </a:graphicData>
            </a:graphic>
          </wp:inline>
        </w:drawing>
      </w:r>
    </w:p>
    <w:p w14:paraId="68C26661">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0"/>
                    <a:stretch>
                      <a:fillRect/>
                    </a:stretch>
                  </pic:blipFill>
                  <pic:spPr>
                    <a:xfrm>
                      <a:off x="0" y="0"/>
                      <a:ext cx="5760085" cy="2820042"/>
                    </a:xfrm>
                    <a:prstGeom prst="rect">
                      <a:avLst/>
                    </a:prstGeom>
                  </pic:spPr>
                </pic:pic>
              </a:graphicData>
            </a:graphic>
          </wp:inline>
        </w:drawing>
      </w:r>
    </w:p>
    <w:p w14:paraId="4BC81C19">
      <w:pPr>
        <w:pStyle w:val="14"/>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工艺设备 / 工艺设备”，业务主管部门为“工艺研究院”。</w:t>
      </w:r>
      <w:r>
        <w:rPr>
          <w:rFonts w:hint="eastAsia" w:ascii="宋体" w:hAnsi="宋体" w:cs="宋体"/>
          <w:b/>
          <w:bCs/>
          <w:color w:val="000000"/>
          <w:sz w:val="24"/>
          <w:szCs w:val="24"/>
        </w:rPr>
        <w:br w:type="page"/>
      </w:r>
    </w:p>
    <w:p w14:paraId="3EF56BD2">
      <w:pPr>
        <w:pStyle w:val="14"/>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1"/>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2"/>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14"/>
      </w:pPr>
      <w:r>
        <w:rPr>
          <w:rFonts w:hint="eastAsia" w:hAnsi="宋体" w:cs="宋体"/>
          <w:color w:val="000000"/>
          <w:sz w:val="24"/>
          <w:szCs w:val="28"/>
          <w:highlight w:val="yellow"/>
        </w:rPr>
        <w:t>注意：系统内的投标报价单位为“万元”，如开标现场发现填错报价，即直接淘汰。</w:t>
      </w:r>
    </w:p>
    <w:p w14:paraId="5AF6C707">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3"/>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4"/>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5"/>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6"/>
                    <a:stretch>
                      <a:fillRect/>
                    </a:stretch>
                  </pic:blipFill>
                  <pic:spPr>
                    <a:xfrm>
                      <a:off x="0" y="0"/>
                      <a:ext cx="5760085" cy="1956600"/>
                    </a:xfrm>
                    <a:prstGeom prst="rect">
                      <a:avLst/>
                    </a:prstGeom>
                  </pic:spPr>
                </pic:pic>
              </a:graphicData>
            </a:graphic>
          </wp:inline>
        </w:drawing>
      </w:r>
    </w:p>
    <w:p w14:paraId="62C7BFB2">
      <w:pPr>
        <w:pStyle w:val="14"/>
        <w:rPr>
          <w:rFonts w:hAnsi="宋体"/>
          <w:b/>
          <w:color w:val="000000"/>
          <w:sz w:val="24"/>
          <w:szCs w:val="24"/>
        </w:rPr>
      </w:pPr>
    </w:p>
    <w:p w14:paraId="1708D2FB">
      <w:pPr>
        <w:pStyle w:val="76"/>
        <w:rPr>
          <w:rFonts w:hint="default" w:ascii="宋体" w:hAnsi="宋体" w:eastAsia="宋体" w:cs="宋体"/>
          <w:b/>
          <w:bCs/>
          <w:kern w:val="2"/>
          <w:sz w:val="32"/>
          <w:szCs w:val="32"/>
          <w:lang w:val="en-US" w:eastAsia="zh-CN" w:bidi="ar-SA"/>
        </w:rPr>
      </w:pPr>
    </w:p>
    <w:p w14:paraId="4EDDB9F6">
      <w:pPr>
        <w:pStyle w:val="76"/>
        <w:rPr>
          <w:rFonts w:hint="default" w:ascii="宋体" w:hAnsi="宋体" w:eastAsia="宋体" w:cs="宋体"/>
          <w:b/>
          <w:bCs/>
          <w:kern w:val="2"/>
          <w:sz w:val="32"/>
          <w:szCs w:val="32"/>
          <w:lang w:val="en-US" w:eastAsia="zh-CN" w:bidi="ar-SA"/>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9A20DA9"/>
    <w:multiLevelType w:val="multilevel"/>
    <w:tmpl w:val="49A20DA9"/>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2"/>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8"/>
  </w:num>
  <w:num w:numId="15">
    <w:abstractNumId w:val="5"/>
  </w:num>
  <w:num w:numId="16">
    <w:abstractNumId w:val="0"/>
  </w:num>
  <w:num w:numId="17">
    <w:abstractNumId w:val="3"/>
  </w:num>
  <w:num w:numId="18">
    <w:abstractNumId w:val="25"/>
  </w:num>
  <w:num w:numId="19">
    <w:abstractNumId w:val="27"/>
  </w:num>
  <w:num w:numId="20">
    <w:abstractNumId w:val="16"/>
  </w:num>
  <w:num w:numId="21">
    <w:abstractNumId w:val="9"/>
  </w:num>
  <w:num w:numId="22">
    <w:abstractNumId w:val="8"/>
  </w:num>
  <w:num w:numId="23">
    <w:abstractNumId w:val="4"/>
  </w:num>
  <w:num w:numId="24">
    <w:abstractNumId w:val="1"/>
  </w:num>
  <w:num w:numId="25">
    <w:abstractNumId w:val="6"/>
  </w:num>
  <w:num w:numId="26">
    <w:abstractNumId w:val="11"/>
  </w:num>
  <w:num w:numId="27">
    <w:abstractNumId w:val="10"/>
  </w:num>
  <w:num w:numId="28">
    <w:abstractNumId w:val="20"/>
  </w:num>
  <w:num w:numId="29">
    <w:abstractNumId w:val="17"/>
  </w:num>
  <w:num w:numId="30">
    <w:abstractNumId w:val="19"/>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DB937EB"/>
    <w:rsid w:val="0E4D31E3"/>
    <w:rsid w:val="10DC2AA3"/>
    <w:rsid w:val="10FA7C8C"/>
    <w:rsid w:val="130B198F"/>
    <w:rsid w:val="16A918E4"/>
    <w:rsid w:val="17D966D6"/>
    <w:rsid w:val="1BC71D3B"/>
    <w:rsid w:val="1C59115B"/>
    <w:rsid w:val="1E50586E"/>
    <w:rsid w:val="1FB23E60"/>
    <w:rsid w:val="22C5630B"/>
    <w:rsid w:val="23EC0BA6"/>
    <w:rsid w:val="24701A48"/>
    <w:rsid w:val="268B0052"/>
    <w:rsid w:val="27743C90"/>
    <w:rsid w:val="29CA2459"/>
    <w:rsid w:val="2B271A58"/>
    <w:rsid w:val="2B6304A7"/>
    <w:rsid w:val="2CF6734C"/>
    <w:rsid w:val="2D663463"/>
    <w:rsid w:val="2EF96EE4"/>
    <w:rsid w:val="36254FE4"/>
    <w:rsid w:val="372F61E0"/>
    <w:rsid w:val="39322FCA"/>
    <w:rsid w:val="3AB90991"/>
    <w:rsid w:val="3B706131"/>
    <w:rsid w:val="3E6F041E"/>
    <w:rsid w:val="4275481E"/>
    <w:rsid w:val="428B617A"/>
    <w:rsid w:val="433D7BDC"/>
    <w:rsid w:val="437E1813"/>
    <w:rsid w:val="45BD47FC"/>
    <w:rsid w:val="45CC5FB2"/>
    <w:rsid w:val="46B75BA8"/>
    <w:rsid w:val="46F612EB"/>
    <w:rsid w:val="48C97955"/>
    <w:rsid w:val="49880C8F"/>
    <w:rsid w:val="4A8835F7"/>
    <w:rsid w:val="4B592E71"/>
    <w:rsid w:val="52274B10"/>
    <w:rsid w:val="52B9239A"/>
    <w:rsid w:val="54BD78FD"/>
    <w:rsid w:val="58A86DDE"/>
    <w:rsid w:val="59154AD7"/>
    <w:rsid w:val="5ADF548D"/>
    <w:rsid w:val="5D5C60B4"/>
    <w:rsid w:val="63F04A69"/>
    <w:rsid w:val="66A50B1E"/>
    <w:rsid w:val="67B2063C"/>
    <w:rsid w:val="67C97AC3"/>
    <w:rsid w:val="67E30EC1"/>
    <w:rsid w:val="69AB2EA4"/>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next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customXml" Target="../customXml/item1.xml"/><Relationship Id="rId27" Type="http://schemas.openxmlformats.org/officeDocument/2006/relationships/numbering" Target="numbering.xml"/><Relationship Id="rId26" Type="http://schemas.openxmlformats.org/officeDocument/2006/relationships/image" Target="media/image17.png"/><Relationship Id="rId25" Type="http://schemas.openxmlformats.org/officeDocument/2006/relationships/image" Target="media/image16.png"/><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26</Pages>
  <Words>8837</Words>
  <Characters>9369</Characters>
  <Lines>127</Lines>
  <Paragraphs>35</Paragraphs>
  <TotalTime>165</TotalTime>
  <ScaleCrop>false</ScaleCrop>
  <LinksUpToDate>false</LinksUpToDate>
  <CharactersWithSpaces>10044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2025-11-04T06:12:17Z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85FBFFDC734C43A6883E5C2A5F5C032B_13</vt:lpwstr>
  </property>
  <property fmtid="{D5CDD505-2E9C-101B-9397-08002B2CF9AE}" pid="4" name="KSOTemplateDocerSaveRecord">
    <vt:lpwstr>eyJoZGlkIjoiNGVmYjYwMTVkYTcwNzlmYzkyYzZmMzIwZTI3ZGZlNjgiLCJ1c2VySWQiOiIxMDYzNzE1ODkzIn0=</vt:lpwstr>
  </property>
</Properties>
</file>