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hint="default"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中国重汽集团</w:t>
      </w:r>
      <w:r>
        <w:rPr>
          <w:rFonts w:hint="eastAsia" w:ascii="楷体_GB2312" w:hAnsi="宋体" w:eastAsia="楷体_GB2312"/>
          <w:b w:val="0"/>
          <w:bCs w:val="0"/>
          <w:sz w:val="52"/>
          <w:szCs w:val="52"/>
          <w:highlight w:val="none"/>
          <w:lang w:eastAsia="zh-CN"/>
        </w:rPr>
        <w:t>2025年重汽汽金公司核心业务系统等保测评项目</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default"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：FSCZB2025100279</w:t>
      </w:r>
    </w:p>
    <w:p w14:paraId="65DA9CB7">
      <w:pPr>
        <w:jc w:val="center"/>
        <w:rPr>
          <w:rFonts w:ascii="宋体" w:hAnsi="宋体"/>
          <w:sz w:val="48"/>
          <w:szCs w:val="48"/>
        </w:rPr>
      </w:pPr>
    </w:p>
    <w:p w14:paraId="2E2436E4">
      <w:pPr>
        <w:jc w:val="center"/>
        <w:rPr>
          <w:rFonts w:ascii="宋体" w:hAnsi="宋体"/>
          <w:sz w:val="48"/>
          <w:szCs w:val="48"/>
          <w:highlight w:val="none"/>
        </w:rPr>
      </w:pPr>
    </w:p>
    <w:p w14:paraId="2E0DAA5C">
      <w:pPr>
        <w:jc w:val="center"/>
        <w:rPr>
          <w:rFonts w:ascii="宋体" w:hAnsi="宋体"/>
          <w:sz w:val="48"/>
          <w:szCs w:val="48"/>
          <w:highlight w:val="none"/>
        </w:rPr>
      </w:pPr>
    </w:p>
    <w:p w14:paraId="238A9500">
      <w:pPr>
        <w:jc w:val="center"/>
        <w:rPr>
          <w:rFonts w:hint="default" w:ascii="宋体" w:hAnsi="Calibri" w:eastAsia="宋体" w:cs="Times New Roman"/>
          <w:b/>
          <w:bCs/>
          <w:color w:val="000000"/>
          <w:sz w:val="28"/>
          <w:szCs w:val="28"/>
          <w:highlight w:val="none"/>
          <w:lang w:val="en-US" w:eastAsia="zh-CN"/>
        </w:rPr>
      </w:pPr>
      <w:r>
        <w:rPr>
          <w:rFonts w:hint="eastAsia" w:ascii="宋体" w:hAnsi="宋体"/>
          <w:b/>
          <w:bCs/>
          <w:sz w:val="28"/>
          <w:szCs w:val="28"/>
          <w:highlight w:val="none"/>
        </w:rPr>
        <w:t>招 标 人：</w:t>
      </w:r>
      <w:r>
        <w:rPr>
          <w:rFonts w:hint="eastAsia" w:ascii="宋体" w:hAnsi="宋体" w:eastAsia="宋体" w:cs="Times New Roman"/>
          <w:b/>
          <w:bCs/>
          <w:color w:val="000000"/>
          <w:sz w:val="28"/>
          <w:szCs w:val="28"/>
          <w:highlight w:val="none"/>
        </w:rPr>
        <w:t>中国重汽集团重汽汽车金融有限公司</w:t>
      </w:r>
    </w:p>
    <w:p w14:paraId="4AB0D8A6">
      <w:pPr>
        <w:jc w:val="center"/>
        <w:rPr>
          <w:rFonts w:ascii="宋体" w:hAnsi="宋体"/>
          <w:sz w:val="28"/>
          <w:szCs w:val="28"/>
          <w:highlight w:val="none"/>
        </w:rPr>
      </w:pPr>
    </w:p>
    <w:p w14:paraId="6617A57C">
      <w:pPr>
        <w:jc w:val="center"/>
        <w:rPr>
          <w:b/>
          <w:bCs/>
          <w:highlight w:val="none"/>
        </w:rPr>
      </w:pPr>
      <w:r>
        <w:rPr>
          <w:rFonts w:hint="eastAsia" w:ascii="宋体" w:hAnsi="宋体"/>
          <w:b/>
          <w:bCs/>
          <w:sz w:val="28"/>
          <w:szCs w:val="28"/>
          <w:highlight w:val="none"/>
          <w:u w:val="single"/>
          <w:lang w:val="en-US" w:eastAsia="zh-CN"/>
        </w:rPr>
        <w:t>2025</w:t>
      </w:r>
      <w:r>
        <w:rPr>
          <w:rFonts w:hint="eastAsia" w:ascii="宋体" w:hAnsi="宋体"/>
          <w:b/>
          <w:bCs/>
          <w:sz w:val="28"/>
          <w:szCs w:val="28"/>
          <w:highlight w:val="none"/>
          <w:u w:val="single"/>
        </w:rPr>
        <w:t>年</w:t>
      </w:r>
      <w:r>
        <w:rPr>
          <w:rFonts w:hint="eastAsia" w:ascii="宋体" w:hAnsi="宋体"/>
          <w:b/>
          <w:bCs/>
          <w:sz w:val="28"/>
          <w:szCs w:val="28"/>
          <w:highlight w:val="none"/>
          <w:u w:val="single"/>
          <w:lang w:val="en-US" w:eastAsia="zh-CN"/>
        </w:rPr>
        <w:t>11</w:t>
      </w:r>
      <w:r>
        <w:rPr>
          <w:rFonts w:hint="eastAsia" w:ascii="宋体" w:hAnsi="宋体"/>
          <w:b/>
          <w:bCs/>
          <w:sz w:val="28"/>
          <w:szCs w:val="28"/>
          <w:highlight w:val="none"/>
          <w:u w:val="single"/>
        </w:rPr>
        <w:t>月</w:t>
      </w:r>
    </w:p>
    <w:p w14:paraId="582BF911">
      <w:pPr>
        <w:pStyle w:val="14"/>
        <w:tabs>
          <w:tab w:val="left" w:pos="2940"/>
        </w:tabs>
        <w:spacing w:line="360" w:lineRule="auto"/>
      </w:pPr>
      <w:r>
        <w:tab/>
      </w:r>
    </w:p>
    <w:p w14:paraId="29FEE1FC">
      <w:pPr>
        <w:pStyle w:val="14"/>
        <w:spacing w:line="360" w:lineRule="auto"/>
        <w:jc w:val="center"/>
      </w:pPr>
    </w:p>
    <w:p w14:paraId="03D2306A">
      <w:pPr>
        <w:pStyle w:val="14"/>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1"/>
      </w:pPr>
      <w:bookmarkStart w:id="0" w:name="_Toc7104"/>
      <w:bookmarkStart w:id="1" w:name="_Toc47976587"/>
      <w:r>
        <w:rPr>
          <w:rFonts w:hint="eastAsia"/>
        </w:rPr>
        <w:t>招标公告</w:t>
      </w:r>
      <w:bookmarkEnd w:id="0"/>
      <w:bookmarkEnd w:id="1"/>
    </w:p>
    <w:p w14:paraId="22C6BEDA">
      <w:pPr>
        <w:pStyle w:val="71"/>
        <w:rPr>
          <w:rFonts w:hint="eastAsia"/>
          <w:highlight w:val="none"/>
          <w:u w:val="single"/>
          <w:lang w:val="en-US" w:eastAsia="zh-CN"/>
        </w:rPr>
      </w:pPr>
      <w:bookmarkStart w:id="2" w:name="_Toc32474"/>
      <w:r>
        <w:rPr>
          <w:rFonts w:hint="eastAsia"/>
          <w:sz w:val="28"/>
          <w:lang w:val="en-US" w:eastAsia="zh-CN"/>
        </w:rPr>
        <w:t>中国重汽集团</w:t>
      </w:r>
      <w:r>
        <w:rPr>
          <w:rFonts w:hint="eastAsia"/>
          <w:sz w:val="28"/>
          <w:highlight w:val="none"/>
          <w:lang w:val="en-US" w:eastAsia="zh-CN"/>
        </w:rPr>
        <w:t>2025年重汽汽金公司核心业务系统等保测评项目</w:t>
      </w:r>
      <w:r>
        <w:rPr>
          <w:rFonts w:hint="eastAsia"/>
          <w:sz w:val="28"/>
          <w:highlight w:val="none"/>
        </w:rPr>
        <w:t>招标公告</w:t>
      </w:r>
      <w:bookmarkEnd w:id="2"/>
    </w:p>
    <w:p w14:paraId="418340FC">
      <w:pPr>
        <w:pStyle w:val="72"/>
        <w:numPr>
          <w:ilvl w:val="0"/>
          <w:numId w:val="9"/>
        </w:numPr>
        <w:ind w:left="420"/>
        <w:jc w:val="left"/>
      </w:pPr>
      <w:bookmarkStart w:id="3" w:name="_Toc47976596"/>
      <w:r>
        <w:rPr>
          <w:rFonts w:hint="eastAsia"/>
        </w:rPr>
        <w:t>项目介绍</w:t>
      </w:r>
      <w:bookmarkEnd w:id="3"/>
    </w:p>
    <w:p w14:paraId="75577100">
      <w:pPr>
        <w:pStyle w:val="76"/>
        <w:numPr>
          <w:ilvl w:val="0"/>
          <w:numId w:val="10"/>
        </w:numPr>
        <w:ind w:left="425" w:leftChars="0" w:hanging="425" w:firstLineChars="0"/>
      </w:pPr>
      <w:r>
        <w:rPr>
          <w:rFonts w:hint="eastAsia"/>
          <w:b/>
          <w:bCs/>
        </w:rPr>
        <w:t>项目名称</w:t>
      </w:r>
      <w:r>
        <w:rPr>
          <w:rFonts w:hint="eastAsia"/>
        </w:rPr>
        <w:t>：</w:t>
      </w:r>
      <w:r>
        <w:rPr>
          <w:rFonts w:hint="eastAsia"/>
          <w:lang w:eastAsia="zh-CN"/>
        </w:rPr>
        <w:t>2025年重汽汽金公司核心业务系统等保测评项目</w:t>
      </w:r>
    </w:p>
    <w:p w14:paraId="17A97EAA">
      <w:pPr>
        <w:pStyle w:val="76"/>
        <w:numPr>
          <w:ilvl w:val="0"/>
          <w:numId w:val="10"/>
        </w:numPr>
        <w:ind w:left="425" w:leftChars="0" w:hanging="425" w:firstLineChars="0"/>
      </w:pPr>
      <w:r>
        <w:rPr>
          <w:rFonts w:hint="eastAsia"/>
          <w:b/>
          <w:bCs/>
        </w:rPr>
        <w:t>项目编号</w:t>
      </w:r>
      <w:r>
        <w:rPr>
          <w:rFonts w:hint="eastAsia"/>
        </w:rPr>
        <w:t>：</w:t>
      </w:r>
      <w:r>
        <w:rPr>
          <w:rFonts w:hint="eastAsia"/>
          <w:highlight w:val="none"/>
          <w:lang w:eastAsia="zh-CN"/>
        </w:rPr>
        <w:t>FSCZB2025100279</w:t>
      </w:r>
    </w:p>
    <w:p w14:paraId="64437797">
      <w:pPr>
        <w:pStyle w:val="76"/>
        <w:numPr>
          <w:ilvl w:val="0"/>
          <w:numId w:val="10"/>
        </w:numPr>
        <w:ind w:left="425" w:leftChars="0" w:hanging="425" w:firstLineChars="0"/>
        <w:rPr>
          <w:rFonts w:ascii="宋体" w:hAnsi="宋体"/>
          <w:kern w:val="0"/>
          <w:szCs w:val="21"/>
        </w:rPr>
      </w:pPr>
      <w:r>
        <w:rPr>
          <w:rFonts w:hint="eastAsia"/>
          <w:b/>
          <w:bCs/>
        </w:rPr>
        <w:t>招标形式</w:t>
      </w:r>
      <w:r>
        <w:rPr>
          <w:rFonts w:hint="eastAsia"/>
        </w:rPr>
        <w:t>：</w:t>
      </w:r>
      <w:bookmarkStart w:id="4" w:name="_Toc47112482"/>
      <w:r>
        <w:rPr>
          <w:rFonts w:hint="eastAsia"/>
          <w:lang w:val="en-US" w:eastAsia="zh-CN"/>
        </w:rPr>
        <w:t>公开招标</w:t>
      </w:r>
    </w:p>
    <w:p w14:paraId="54A8E680">
      <w:pPr>
        <w:pStyle w:val="76"/>
        <w:numPr>
          <w:ilvl w:val="0"/>
          <w:numId w:val="10"/>
        </w:numPr>
        <w:ind w:left="425" w:leftChars="0" w:hanging="425" w:firstLineChars="0"/>
        <w:rPr>
          <w:rFonts w:ascii="宋体" w:hAnsi="宋体"/>
          <w:kern w:val="0"/>
          <w:szCs w:val="21"/>
        </w:rPr>
      </w:pPr>
      <w:r>
        <w:rPr>
          <w:rFonts w:hint="eastAsia"/>
          <w:b/>
          <w:bCs/>
          <w:lang w:val="en-US" w:eastAsia="zh-CN"/>
        </w:rPr>
        <w:t>项目概况</w:t>
      </w:r>
      <w:r>
        <w:rPr>
          <w:rFonts w:hint="eastAsia"/>
          <w:lang w:val="en-US" w:eastAsia="zh-CN"/>
        </w:rPr>
        <w:t>：</w:t>
      </w:r>
      <w:bookmarkStart w:id="5" w:name="_Hlk60819894"/>
      <w:r>
        <w:rPr>
          <w:rFonts w:hint="eastAsia" w:ascii="宋体" w:hAnsi="宋体" w:eastAsia="宋体" w:cs="宋体"/>
          <w:sz w:val="21"/>
          <w:szCs w:val="21"/>
          <w:lang w:val="en-US" w:eastAsia="zh-CN"/>
        </w:rPr>
        <w:t>对重汽汽金公司核心业务系统按照《信息安全技术网络安全等级保护基本要求》（GB/T 22239-2019）进行网络安全测评，将等保测评报告并提交至济南市公安局，确认在公安局等保测评系统内，重汽汽金公司核心业务系统已通过本年度测评工作。</w:t>
      </w:r>
    </w:p>
    <w:p w14:paraId="171B7FEB">
      <w:pPr>
        <w:pStyle w:val="76"/>
        <w:numPr>
          <w:ilvl w:val="0"/>
          <w:numId w:val="10"/>
        </w:numPr>
        <w:ind w:left="425" w:leftChars="0" w:hanging="425" w:firstLineChars="0"/>
        <w:rPr>
          <w:rFonts w:ascii="宋体" w:hAnsi="宋体"/>
          <w:kern w:val="0"/>
          <w:szCs w:val="21"/>
        </w:rPr>
      </w:pPr>
      <w:r>
        <w:rPr>
          <w:rFonts w:hint="eastAsia" w:hAnsi="宋体" w:cs="宋体"/>
          <w:b/>
          <w:bCs/>
          <w:sz w:val="21"/>
          <w:szCs w:val="21"/>
          <w:lang w:val="en-US" w:eastAsia="zh-CN"/>
        </w:rPr>
        <w:t>投标限价</w:t>
      </w:r>
      <w:r>
        <w:rPr>
          <w:rFonts w:hint="eastAsia" w:hAnsi="宋体" w:cs="宋体"/>
          <w:sz w:val="21"/>
          <w:szCs w:val="21"/>
          <w:lang w:val="en-US" w:eastAsia="zh-CN"/>
        </w:rPr>
        <w:t>：</w:t>
      </w:r>
      <w:r>
        <w:rPr>
          <w:rFonts w:hint="eastAsia" w:cs="Times New Roman"/>
          <w:highlight w:val="none"/>
          <w:lang w:val="en-US" w:eastAsia="zh-CN"/>
        </w:rPr>
        <w:t>本项目投标人的含税投标价不得超过8万元。</w:t>
      </w:r>
    </w:p>
    <w:bookmarkEnd w:id="5"/>
    <w:p w14:paraId="2A2F2260">
      <w:pPr>
        <w:pStyle w:val="76"/>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招标人名称：</w:t>
      </w:r>
      <w:r>
        <w:rPr>
          <w:rFonts w:hint="eastAsia" w:ascii="宋体" w:hAnsi="Courier New" w:cs="Times New Roman"/>
          <w:kern w:val="2"/>
          <w:sz w:val="21"/>
          <w:highlight w:val="none"/>
          <w:lang w:val="en-US" w:eastAsia="zh-CN" w:bidi="ar-SA"/>
        </w:rPr>
        <w:t>中国重汽集团重汽汽车金融有限公司</w:t>
      </w:r>
      <w:r>
        <w:rPr>
          <w:rFonts w:hint="eastAsia" w:ascii="宋体" w:hAnsi="Courier New" w:eastAsia="宋体" w:cs="Times New Roman"/>
          <w:kern w:val="2"/>
          <w:sz w:val="21"/>
          <w:highlight w:val="none"/>
          <w:lang w:val="en-US" w:eastAsia="zh-CN" w:bidi="ar-SA"/>
        </w:rPr>
        <w:t xml:space="preserve"> </w:t>
      </w:r>
    </w:p>
    <w:p w14:paraId="278FDC7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w:t>
      </w:r>
    </w:p>
    <w:p w14:paraId="54DB9C3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电话：17860606327</w:t>
      </w:r>
    </w:p>
    <w:p w14:paraId="6B6A84FA">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"mailto:huangjiahao@sinotruk.com" </w:instrText>
      </w:r>
      <w:r>
        <w:rPr>
          <w:rFonts w:hint="eastAsia" w:ascii="宋体" w:hAnsi="Courier New" w:eastAsia="宋体" w:cs="Times New Roman"/>
          <w:kern w:val="2"/>
          <w:sz w:val="21"/>
          <w:lang w:val="en-US" w:eastAsia="zh-CN" w:bidi="ar-SA"/>
        </w:rPr>
        <w:fldChar w:fldCharType="separate"/>
      </w:r>
      <w:r>
        <w:rPr>
          <w:rStyle w:val="37"/>
          <w:rFonts w:hint="eastAsia" w:ascii="宋体" w:hAnsi="Courier New" w:eastAsia="宋体" w:cs="Times New Roman"/>
          <w:kern w:val="2"/>
          <w:sz w:val="21"/>
          <w:lang w:val="en-US" w:eastAsia="zh-CN" w:bidi="ar-SA"/>
        </w:rPr>
        <w:t>huangjiahao@sinotruk.com</w:t>
      </w:r>
      <w:r>
        <w:rPr>
          <w:rFonts w:hint="eastAsia" w:ascii="宋体" w:hAnsi="Courier New" w:eastAsia="宋体" w:cs="Times New Roman"/>
          <w:kern w:val="2"/>
          <w:sz w:val="21"/>
          <w:lang w:val="en-US" w:eastAsia="zh-CN" w:bidi="ar-SA"/>
        </w:rPr>
        <w:fldChar w:fldCharType="end"/>
      </w:r>
    </w:p>
    <w:p w14:paraId="6EA3B49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cs="Times New Roman"/>
          <w:kern w:val="2"/>
          <w:sz w:val="21"/>
          <w:lang w:val="en-US" w:eastAsia="zh-CN" w:bidi="ar-SA"/>
        </w:rPr>
        <w:t>技</w:t>
      </w:r>
      <w:r>
        <w:rPr>
          <w:rFonts w:hint="eastAsia" w:ascii="宋体" w:hAnsi="Courier New" w:eastAsia="宋体" w:cs="Times New Roman"/>
          <w:kern w:val="2"/>
          <w:sz w:val="21"/>
          <w:lang w:val="en-US" w:eastAsia="zh-CN" w:bidi="ar-SA"/>
        </w:rPr>
        <w:t>术联系人：</w:t>
      </w:r>
      <w:r>
        <w:rPr>
          <w:rFonts w:hint="eastAsia" w:ascii="宋体" w:hAnsi="Courier New" w:cs="Times New Roman"/>
          <w:kern w:val="2"/>
          <w:sz w:val="21"/>
          <w:lang w:val="en-US" w:eastAsia="zh-CN" w:bidi="ar-SA"/>
        </w:rPr>
        <w:t>吕鹏</w:t>
      </w:r>
    </w:p>
    <w:p w14:paraId="762793B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电话：17615835382</w:t>
      </w:r>
    </w:p>
    <w:bookmarkEnd w:id="4"/>
    <w:p w14:paraId="50DC6C75">
      <w:pPr>
        <w:pStyle w:val="72"/>
      </w:pPr>
      <w:bookmarkStart w:id="6" w:name="_Toc47976598"/>
      <w:r>
        <w:rPr>
          <w:rFonts w:hint="eastAsia"/>
        </w:rPr>
        <w:t>投标人</w:t>
      </w:r>
      <w:bookmarkEnd w:id="6"/>
      <w:r>
        <w:rPr>
          <w:rFonts w:hint="eastAsia"/>
          <w:lang w:val="en-US" w:eastAsia="zh-CN"/>
        </w:rPr>
        <w:t>资质要求：</w:t>
      </w:r>
    </w:p>
    <w:p w14:paraId="5CD856FC">
      <w:pPr>
        <w:pStyle w:val="1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hAnsi="宋体"/>
        </w:rPr>
      </w:pPr>
      <w:r>
        <w:rPr>
          <w:rFonts w:hint="eastAsia" w:hAnsi="宋体"/>
        </w:rPr>
        <w:t>（1）投标人必须是在中华人民共和国境内注册的独立法人机构，具有独立承担民事责任能力；注册资金不少于1000万人民币（或等值其他货币）；公司成立三年以上（以营业执照成立日期到开标当日满三年为准），且经营范围满足招标人需求；并在人员等方面具有承担本项目的能力。</w:t>
      </w:r>
    </w:p>
    <w:p w14:paraId="3F5FC105">
      <w:pPr>
        <w:pStyle w:val="1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hAnsi="宋体"/>
        </w:rPr>
      </w:pPr>
      <w:r>
        <w:rPr>
          <w:rFonts w:hint="eastAsia" w:hAnsi="宋体"/>
        </w:rPr>
        <w:t>（2）投标人独立承接并成功实施过2个以上（含）的大型集团或金融机构等级保护测评，并提供相应的证明材料。</w:t>
      </w:r>
    </w:p>
    <w:p w14:paraId="5AEEA512">
      <w:pPr>
        <w:pStyle w:val="1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hAnsi="宋体"/>
        </w:rPr>
      </w:pPr>
      <w:r>
        <w:rPr>
          <w:rFonts w:hint="eastAsia" w:hAnsi="宋体"/>
        </w:rPr>
        <w:t>（3）投标人遵守执业准则和执业规范，近3年内没有违法、违规或行业自律惩戒记录，提供信用中国网站查询记录。</w:t>
      </w:r>
    </w:p>
    <w:p w14:paraId="562CFB6D">
      <w:pPr>
        <w:pStyle w:val="1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hAnsi="宋体"/>
        </w:rPr>
      </w:pPr>
      <w:r>
        <w:rPr>
          <w:rFonts w:hint="eastAsia" w:hAnsi="宋体"/>
        </w:rPr>
        <w:t>（4）投标人近三年内在经营活动中无与本项目有关的违法及重大违规情况。</w:t>
      </w:r>
    </w:p>
    <w:p w14:paraId="6C20B1BC">
      <w:pPr>
        <w:pStyle w:val="1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hAnsi="宋体"/>
        </w:rPr>
      </w:pPr>
      <w:r>
        <w:rPr>
          <w:rFonts w:hint="eastAsia" w:hAnsi="宋体"/>
        </w:rPr>
        <w:t>（5）投标人无招标违规、谎报年度信息报告、提供虚假纸质材料等行为或其他行政处罚记录，未被列入招标人“黑名单”。</w:t>
      </w:r>
    </w:p>
    <w:p w14:paraId="32D82517">
      <w:pPr>
        <w:pStyle w:val="1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hAnsi="宋体"/>
        </w:rPr>
      </w:pPr>
      <w:r>
        <w:rPr>
          <w:rFonts w:hint="eastAsia" w:hAnsi="宋体"/>
        </w:rPr>
        <w:t>（6）投标人财务状况良好，能提供近三年经会计师事务所审计且出具无保留意见的财务审计报告（包括但不限于资产负债表、利润表、现金流量表），且未显示异常。</w:t>
      </w:r>
    </w:p>
    <w:p w14:paraId="000C5ABF">
      <w:pPr>
        <w:pStyle w:val="1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hAnsi="宋体"/>
        </w:rPr>
      </w:pPr>
      <w:r>
        <w:rPr>
          <w:rFonts w:hint="eastAsia" w:hAnsi="宋体"/>
        </w:rPr>
        <w:t>（7）投标人纳税正常，能提供近半年完税证明。</w:t>
      </w:r>
    </w:p>
    <w:p w14:paraId="6D333FE1">
      <w:pPr>
        <w:pStyle w:val="1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hAnsi="宋体"/>
        </w:rPr>
      </w:pPr>
      <w:r>
        <w:rPr>
          <w:rFonts w:hint="eastAsia" w:hAnsi="宋体"/>
        </w:rPr>
        <w:t>（8）投标人的直接或间接股东、法定代表人、董事、监事、高管非重汽员工及其亲属。</w:t>
      </w:r>
    </w:p>
    <w:p w14:paraId="2F594EFB">
      <w:pPr>
        <w:pStyle w:val="1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sz w:val="21"/>
          <w:szCs w:val="21"/>
          <w:highlight w:val="yellow"/>
          <w:lang w:val="en-US" w:eastAsia="zh-CN"/>
        </w:rPr>
      </w:pPr>
      <w:r>
        <w:rPr>
          <w:rFonts w:hint="eastAsia" w:hAnsi="宋体"/>
        </w:rPr>
        <w:t>（9）投标人必须是最终投标、签订合同的单位，不得以任何理由将已中标项目以任何形式转包或者分包给其他单位。</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w:t>
      </w:r>
      <w:r>
        <w:rPr>
          <w:rFonts w:hint="eastAsia" w:cs="Times New Roman"/>
          <w:highlight w:val="none"/>
          <w:lang w:val="en-US" w:eastAsia="zh-CN"/>
        </w:rPr>
        <w:t>11</w:t>
      </w:r>
      <w:r>
        <w:rPr>
          <w:rFonts w:hint="eastAsia" w:ascii="宋体" w:hAnsi="Courier New" w:eastAsia="宋体" w:cs="Times New Roman"/>
          <w:highlight w:val="none"/>
          <w:lang w:val="en-US" w:eastAsia="zh-CN"/>
        </w:rPr>
        <w:t>月</w:t>
      </w:r>
      <w:r>
        <w:rPr>
          <w:rFonts w:hint="eastAsia" w:cs="Times New Roman"/>
          <w:highlight w:val="none"/>
          <w:lang w:val="en-US" w:eastAsia="zh-CN"/>
        </w:rPr>
        <w:t>3</w:t>
      </w:r>
      <w:r>
        <w:rPr>
          <w:rFonts w:hint="eastAsia" w:ascii="宋体" w:hAnsi="Courier New" w:eastAsia="宋体" w:cs="Times New Roman"/>
          <w:highlight w:val="none"/>
          <w:lang w:val="en-US" w:eastAsia="zh-CN"/>
        </w:rPr>
        <w:t>日</w:t>
      </w:r>
    </w:p>
    <w:p w14:paraId="04ACA6F8">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招标公告领取</w:t>
      </w:r>
      <w:r>
        <w:rPr>
          <w:rFonts w:hint="eastAsia" w:ascii="宋体" w:hAnsi="Courier New" w:eastAsia="宋体" w:cs="Times New Roman"/>
          <w:highlight w:val="none"/>
          <w:lang w:val="en-US" w:eastAsia="zh-CN"/>
        </w:rPr>
        <w:t>：中国重汽官网</w:t>
      </w:r>
    </w:p>
    <w:p w14:paraId="4EA2CF3D">
      <w:pPr>
        <w:pStyle w:val="76"/>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招标文件领取</w:t>
      </w:r>
      <w:r>
        <w:rPr>
          <w:rFonts w:hint="eastAsia" w:cs="Times New Roman"/>
          <w:highlight w:val="none"/>
          <w:lang w:val="en-US" w:eastAsia="zh-CN"/>
        </w:rPr>
        <w:t>：</w:t>
      </w:r>
      <w:r>
        <w:rPr>
          <w:rFonts w:hint="eastAsia" w:cs="Times New Roman"/>
          <w:b/>
          <w:bCs/>
          <w:highlight w:val="none"/>
          <w:lang w:val="en-US" w:eastAsia="zh-CN"/>
        </w:rPr>
        <w:t>应标资格审核后在e采通投标页面附件下载</w:t>
      </w:r>
      <w:r>
        <w:rPr>
          <w:rFonts w:hint="eastAsia" w:cs="Times New Roman"/>
          <w:highlight w:val="none"/>
          <w:lang w:val="en-US" w:eastAsia="zh-CN"/>
        </w:rPr>
        <w:t>。</w:t>
      </w:r>
    </w:p>
    <w:p w14:paraId="7AB51490">
      <w:pPr>
        <w:pStyle w:val="76"/>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24096DA">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cs="Times New Roman"/>
          <w:color w:val="000000"/>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cs="Times New Roman"/>
          <w:color w:val="000000"/>
          <w:sz w:val="21"/>
          <w:szCs w:val="21"/>
          <w:highlight w:val="none"/>
          <w:lang w:eastAsia="zh-CN"/>
        </w:rPr>
        <w:t>，</w:t>
      </w:r>
      <w:r>
        <w:rPr>
          <w:rFonts w:hint="eastAsia" w:cs="Times New Roman"/>
          <w:color w:val="000000"/>
          <w:sz w:val="21"/>
          <w:szCs w:val="21"/>
          <w:highlight w:val="none"/>
          <w:lang w:val="en-US" w:eastAsia="zh-CN"/>
        </w:rPr>
        <w:t>具体流程如下：</w:t>
      </w:r>
    </w:p>
    <w:p w14:paraId="3690A932">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ascii="宋体" w:hAnsi="宋体" w:eastAsia="宋体" w:cs="宋体"/>
          <w:sz w:val="21"/>
          <w:szCs w:val="21"/>
        </w:rPr>
      </w:pPr>
      <w:r>
        <w:rPr>
          <w:rFonts w:ascii="宋体" w:hAnsi="宋体" w:eastAsia="宋体" w:cs="宋体"/>
          <w:b/>
          <w:bCs/>
          <w:sz w:val="21"/>
          <w:szCs w:val="21"/>
        </w:rPr>
        <w:t>①系统注册与信息维护</w:t>
      </w:r>
      <w:r>
        <w:rPr>
          <w:rFonts w:ascii="宋体" w:hAnsi="宋体" w:eastAsia="宋体" w:cs="宋体"/>
          <w:sz w:val="21"/>
          <w:szCs w:val="21"/>
        </w:rPr>
        <w:br w:type="textWrapping"/>
      </w:r>
      <w:r>
        <w:rPr>
          <w:rFonts w:ascii="宋体" w:hAnsi="宋体" w:eastAsia="宋体" w:cs="宋体"/>
          <w:sz w:val="21"/>
          <w:szCs w:val="21"/>
        </w:rPr>
        <w:t></w:t>
      </w:r>
      <w:r>
        <w:rPr>
          <w:rFonts w:ascii="宋体" w:hAnsi="宋体" w:eastAsia="宋体" w:cs="宋体"/>
          <w:b/>
          <w:bCs/>
          <w:sz w:val="21"/>
          <w:szCs w:val="21"/>
        </w:rPr>
        <w:t>首次注册供应商</w:t>
      </w:r>
      <w:r>
        <w:rPr>
          <w:rFonts w:ascii="宋体" w:hAnsi="宋体" w:eastAsia="宋体" w:cs="宋体"/>
          <w:sz w:val="21"/>
          <w:szCs w:val="21"/>
        </w:rPr>
        <w:t>：请根据《SRM非生产供应商注册手册》（附件</w:t>
      </w:r>
      <w:r>
        <w:rPr>
          <w:rFonts w:hint="eastAsia" w:ascii="宋体" w:hAnsi="宋体" w:eastAsia="宋体" w:cs="宋体"/>
          <w:sz w:val="21"/>
          <w:szCs w:val="21"/>
          <w:lang w:val="en-US" w:eastAsia="zh-CN"/>
        </w:rPr>
        <w:t>一</w:t>
      </w:r>
      <w:r>
        <w:rPr>
          <w:rFonts w:ascii="宋体" w:hAnsi="宋体" w:eastAsia="宋体" w:cs="宋体"/>
          <w:sz w:val="21"/>
          <w:szCs w:val="21"/>
        </w:rPr>
        <w:t>）完成平台账号注册。</w:t>
      </w:r>
      <w:r>
        <w:rPr>
          <w:rFonts w:ascii="宋体" w:hAnsi="宋体" w:eastAsia="宋体" w:cs="宋体"/>
          <w:sz w:val="21"/>
          <w:szCs w:val="21"/>
        </w:rPr>
        <w:br w:type="textWrapping"/>
      </w:r>
      <w:r>
        <w:rPr>
          <w:rFonts w:ascii="宋体" w:hAnsi="宋体" w:eastAsia="宋体" w:cs="宋体"/>
          <w:sz w:val="21"/>
          <w:szCs w:val="21"/>
        </w:rPr>
        <w:t></w:t>
      </w:r>
      <w:r>
        <w:rPr>
          <w:rFonts w:ascii="宋体" w:hAnsi="宋体" w:eastAsia="宋体" w:cs="宋体"/>
          <w:b/>
          <w:bCs/>
          <w:sz w:val="21"/>
          <w:szCs w:val="21"/>
        </w:rPr>
        <w:t>已注册供应商</w:t>
      </w:r>
      <w:r>
        <w:rPr>
          <w:rFonts w:ascii="宋体" w:hAnsi="宋体" w:eastAsia="宋体" w:cs="宋体"/>
          <w:sz w:val="21"/>
          <w:szCs w:val="21"/>
        </w:rPr>
        <w:t>：请登录系统核对系统中2022-2024年度财务数据。如尚未填写或信息不全，请参照《SRM非生产供应商注册手册》及时进行补充与更新，确保信息真实、完整。</w:t>
      </w:r>
    </w:p>
    <w:p w14:paraId="143D1741">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ascii="宋体" w:hAnsi="宋体" w:eastAsia="宋体" w:cs="宋体"/>
          <w:sz w:val="21"/>
          <w:szCs w:val="21"/>
        </w:rPr>
      </w:pPr>
      <w:r>
        <w:rPr>
          <w:rFonts w:ascii="宋体" w:hAnsi="宋体" w:eastAsia="宋体" w:cs="宋体"/>
          <w:b/>
          <w:bCs/>
          <w:sz w:val="21"/>
          <w:szCs w:val="21"/>
        </w:rPr>
        <w:t>②应标流程</w:t>
      </w:r>
    </w:p>
    <w:p w14:paraId="16548923">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ascii="宋体" w:hAnsi="宋体" w:eastAsia="宋体" w:cs="宋体"/>
          <w:sz w:val="21"/>
          <w:szCs w:val="21"/>
        </w:rPr>
        <w:t>注册及财务数据维护完成后，参照《SRM系统供应商用户手册》（附件</w:t>
      </w:r>
      <w:r>
        <w:rPr>
          <w:rFonts w:hint="eastAsia" w:ascii="宋体" w:hAnsi="宋体" w:eastAsia="宋体" w:cs="宋体"/>
          <w:sz w:val="21"/>
          <w:szCs w:val="21"/>
          <w:lang w:val="en-US" w:eastAsia="zh-CN"/>
        </w:rPr>
        <w:t>三</w:t>
      </w:r>
      <w:r>
        <w:rPr>
          <w:rFonts w:ascii="宋体" w:hAnsi="宋体" w:eastAsia="宋体" w:cs="宋体"/>
          <w:sz w:val="21"/>
          <w:szCs w:val="21"/>
        </w:rPr>
        <w:t>）登录平台，进入“供应商应标”模块，选择对应项目点击“应标”，并按照本公告第</w:t>
      </w:r>
      <w:r>
        <w:rPr>
          <w:rFonts w:hint="eastAsia" w:ascii="宋体" w:hAnsi="宋体" w:eastAsia="宋体" w:cs="宋体"/>
          <w:sz w:val="21"/>
          <w:szCs w:val="21"/>
          <w:lang w:val="en-US" w:eastAsia="zh-CN"/>
        </w:rPr>
        <w:t>四</w:t>
      </w:r>
      <w:r>
        <w:rPr>
          <w:rFonts w:ascii="宋体" w:hAnsi="宋体" w:eastAsia="宋体" w:cs="宋体"/>
          <w:sz w:val="21"/>
          <w:szCs w:val="21"/>
        </w:rPr>
        <w:t>部分“应标文件编制”要求准备资料并上传。资质审查通过后，视为报名成功（是否为代理商请如实选择）。</w:t>
      </w:r>
    </w:p>
    <w:p w14:paraId="6C3163E6">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ascii="宋体" w:hAnsi="宋体" w:eastAsia="宋体" w:cs="宋体"/>
          <w:sz w:val="21"/>
          <w:szCs w:val="21"/>
        </w:rPr>
        <w:t>若为</w:t>
      </w:r>
      <w:r>
        <w:rPr>
          <w:rFonts w:ascii="宋体" w:hAnsi="宋体" w:eastAsia="宋体" w:cs="宋体"/>
          <w:b/>
          <w:bCs/>
          <w:sz w:val="21"/>
          <w:szCs w:val="21"/>
        </w:rPr>
        <w:t>代理商应标</w:t>
      </w:r>
      <w:r>
        <w:rPr>
          <w:rFonts w:ascii="宋体" w:hAnsi="宋体" w:eastAsia="宋体" w:cs="宋体"/>
          <w:sz w:val="21"/>
          <w:szCs w:val="21"/>
        </w:rPr>
        <w:t>，请在应标后</w:t>
      </w:r>
      <w:r>
        <w:rPr>
          <w:rFonts w:ascii="宋体" w:hAnsi="宋体" w:eastAsia="宋体" w:cs="宋体"/>
          <w:b/>
          <w:bCs/>
          <w:sz w:val="21"/>
          <w:szCs w:val="21"/>
        </w:rPr>
        <w:t>主动联系商务联系人</w:t>
      </w:r>
      <w:r>
        <w:rPr>
          <w:rFonts w:ascii="宋体" w:hAnsi="宋体" w:eastAsia="宋体" w:cs="宋体"/>
          <w:sz w:val="21"/>
          <w:szCs w:val="21"/>
        </w:rPr>
        <w:t>。</w:t>
      </w:r>
    </w:p>
    <w:p w14:paraId="6B7261A6">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eastAsia="宋体" w:cs="宋体"/>
          <w:sz w:val="21"/>
          <w:szCs w:val="21"/>
          <w:highlight w:val="none"/>
        </w:rPr>
      </w:pPr>
      <w:r>
        <w:rPr>
          <w:rFonts w:ascii="宋体" w:hAnsi="宋体" w:eastAsia="宋体" w:cs="宋体"/>
          <w:sz w:val="21"/>
          <w:szCs w:val="21"/>
        </w:rPr>
        <w:t>如资质审查未通过，请按审核意见修改后重新上传。请注意：应标截止时间后将无法再次上传或修改应标文件。</w:t>
      </w:r>
    </w:p>
    <w:p w14:paraId="6DC2B408">
      <w:pPr>
        <w:pStyle w:val="76"/>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11</w:t>
      </w:r>
      <w:r>
        <w:rPr>
          <w:rFonts w:hint="eastAsia" w:eastAsia="宋体" w:cs="宋体"/>
          <w:highlight w:val="none"/>
        </w:rPr>
        <w:t>月</w:t>
      </w:r>
      <w:r>
        <w:rPr>
          <w:rFonts w:hint="eastAsia" w:cs="宋体"/>
          <w:highlight w:val="none"/>
          <w:lang w:val="en-US" w:eastAsia="zh-CN"/>
        </w:rPr>
        <w:t>13</w:t>
      </w:r>
      <w:r>
        <w:rPr>
          <w:rFonts w:hint="eastAsia" w:eastAsia="宋体" w:cs="宋体"/>
          <w:highlight w:val="none"/>
        </w:rPr>
        <w:t>日17时00分00秒</w:t>
      </w:r>
    </w:p>
    <w:p w14:paraId="2521BCA0">
      <w:pPr>
        <w:pStyle w:val="7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w:t>
      </w:r>
      <w:r>
        <w:rPr>
          <w:rFonts w:ascii="宋体" w:hAnsi="宋体" w:eastAsia="宋体" w:cs="宋体"/>
          <w:b/>
          <w:bCs/>
          <w:sz w:val="21"/>
          <w:szCs w:val="21"/>
        </w:rPr>
        <w:t>财务数据变更审核需1-2日</w:t>
      </w:r>
      <w:r>
        <w:rPr>
          <w:rFonts w:hint="eastAsia" w:hAnsi="宋体" w:cs="宋体"/>
          <w:b/>
          <w:bCs/>
          <w:sz w:val="21"/>
          <w:szCs w:val="21"/>
          <w:lang w:eastAsia="zh-CN"/>
        </w:rPr>
        <w:t>，</w:t>
      </w:r>
      <w:r>
        <w:rPr>
          <w:rFonts w:hint="eastAsia" w:eastAsia="宋体" w:cs="宋体"/>
          <w:b/>
          <w:bCs/>
          <w:highlight w:val="none"/>
        </w:rPr>
        <w:t>应标截止时间精确到秒，逾期将无法应标。请自行掌握时间，避免无法应标。</w:t>
      </w:r>
    </w:p>
    <w:p w14:paraId="0C785EC5">
      <w:pPr>
        <w:pStyle w:val="72"/>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4"/>
        <w:numPr>
          <w:ilvl w:val="0"/>
          <w:numId w:val="12"/>
        </w:numPr>
        <w:ind w:left="425" w:leftChars="0" w:hanging="425" w:firstLineChars="0"/>
        <w:rPr>
          <w:b w:val="0"/>
          <w:bCs/>
          <w:highlight w:val="none"/>
        </w:rPr>
      </w:pPr>
      <w:r>
        <w:rPr>
          <w:rFonts w:hint="eastAsia"/>
          <w:b/>
          <w:bCs w:val="0"/>
          <w:highlight w:val="none"/>
        </w:rPr>
        <w:t>资质文件</w:t>
      </w:r>
      <w:r>
        <w:rPr>
          <w:rFonts w:hint="eastAsia"/>
          <w:b w:val="0"/>
          <w:bCs/>
          <w:highlight w:val="none"/>
        </w:rPr>
        <w:t>：</w:t>
      </w:r>
    </w:p>
    <w:p w14:paraId="611ACE5C">
      <w:pPr>
        <w:spacing w:line="360" w:lineRule="auto"/>
        <w:ind w:firstLine="420" w:firstLineChars="200"/>
        <w:rPr>
          <w:rFonts w:hint="eastAsia"/>
        </w:rPr>
      </w:pPr>
      <w:bookmarkStart w:id="7" w:name="_Toc47976601"/>
      <w:r>
        <w:rPr>
          <w:rFonts w:hint="eastAsia"/>
        </w:rPr>
        <w:t>1）营业执照副本复印件（需加盖公章，按规定需要年检的，年检章要清楚）。</w:t>
      </w:r>
    </w:p>
    <w:p w14:paraId="12F1BB84">
      <w:pPr>
        <w:spacing w:line="360" w:lineRule="auto"/>
        <w:ind w:firstLine="420" w:firstLineChars="200"/>
        <w:rPr>
          <w:rFonts w:hint="eastAsia"/>
        </w:rPr>
      </w:pPr>
      <w:r>
        <w:rPr>
          <w:rFonts w:hint="eastAsia"/>
        </w:rPr>
        <w:t>2）法定代表人授权委托书（见附件2），法定代表人参加投标的，提供法人身份证明文件（盖有法人单位公章的复印件，包括正反两面）；被授权人参加投标的，需提供法定代表人授权委托书（含法人身份证和被授权人身份证正反面复印件，盖有法人单位公章）。</w:t>
      </w:r>
    </w:p>
    <w:p w14:paraId="5445C900">
      <w:pPr>
        <w:spacing w:line="360" w:lineRule="auto"/>
        <w:ind w:firstLine="420" w:firstLineChars="200"/>
        <w:rPr>
          <w:rFonts w:hint="eastAsia"/>
        </w:rPr>
      </w:pPr>
      <w:r>
        <w:rPr>
          <w:rFonts w:hint="eastAsia"/>
        </w:rPr>
        <w:t>3）竞标人资格证明文件（附件3）。</w:t>
      </w:r>
    </w:p>
    <w:p w14:paraId="45C166F4">
      <w:pPr>
        <w:spacing w:line="360" w:lineRule="auto"/>
        <w:ind w:firstLine="420" w:firstLineChars="200"/>
        <w:rPr>
          <w:rFonts w:hint="eastAsia"/>
        </w:rPr>
      </w:pPr>
      <w:r>
        <w:rPr>
          <w:rFonts w:hint="eastAsia"/>
        </w:rPr>
        <w:t>4）近半年的完税证明，并附年度纳税信用评价信息（可从电子税务局查询截图，需加盖公章）。</w:t>
      </w:r>
    </w:p>
    <w:p w14:paraId="7A9F18E0">
      <w:pPr>
        <w:spacing w:line="360" w:lineRule="auto"/>
        <w:ind w:firstLine="420" w:firstLineChars="200"/>
        <w:rPr>
          <w:rFonts w:hint="eastAsia"/>
        </w:rPr>
      </w:pPr>
      <w:r>
        <w:rPr>
          <w:rFonts w:hint="eastAsia"/>
        </w:rPr>
        <w:t>5）近三年经第三方机构审计的财务报表（报告页、资产负债表、损益表、现金流量表）复印件（需加盖公章）。</w:t>
      </w:r>
    </w:p>
    <w:p w14:paraId="0CA42CDA">
      <w:pPr>
        <w:spacing w:line="360" w:lineRule="auto"/>
        <w:ind w:firstLine="420" w:firstLineChars="200"/>
        <w:rPr>
          <w:rFonts w:hint="eastAsia"/>
        </w:rPr>
      </w:pPr>
      <w:r>
        <w:rPr>
          <w:rFonts w:hint="eastAsia"/>
        </w:rPr>
        <w:t>6）在“国家企业信用信息公示系统”或“信用中国”等信息平台中，无行政处罚及失信记录等信息截图（加盖公章）。</w:t>
      </w:r>
    </w:p>
    <w:p w14:paraId="5F009A90">
      <w:pPr>
        <w:spacing w:line="360" w:lineRule="auto"/>
        <w:ind w:firstLine="420" w:firstLineChars="200"/>
        <w:rPr>
          <w:rFonts w:hint="eastAsia"/>
        </w:rPr>
      </w:pPr>
      <w:r>
        <w:rPr>
          <w:rFonts w:hint="eastAsia"/>
        </w:rPr>
        <w:t>7）企业对外担保证明（须加盖公章）。</w:t>
      </w:r>
    </w:p>
    <w:p w14:paraId="7C4DDE27">
      <w:pPr>
        <w:spacing w:line="360" w:lineRule="auto"/>
        <w:ind w:firstLine="420" w:firstLineChars="200"/>
        <w:rPr>
          <w:rFonts w:hint="eastAsia"/>
          <w:lang w:val="en-US" w:eastAsia="zh-CN"/>
        </w:rPr>
      </w:pPr>
      <w:r>
        <w:rPr>
          <w:rFonts w:hint="eastAsia"/>
          <w:lang w:val="en-US" w:eastAsia="zh-CN"/>
        </w:rPr>
        <w:t>8）</w:t>
      </w:r>
      <w:r>
        <w:rPr>
          <w:rFonts w:hint="eastAsia"/>
        </w:rPr>
        <w:t>保证金缴纳凭证。</w:t>
      </w:r>
      <w:r>
        <w:rPr>
          <w:rFonts w:hint="eastAsia"/>
          <w:lang w:eastAsia="zh-CN"/>
        </w:rPr>
        <w:t>（</w:t>
      </w:r>
      <w:r>
        <w:rPr>
          <w:rFonts w:hint="eastAsia"/>
          <w:lang w:val="en-US" w:eastAsia="zh-CN"/>
        </w:rPr>
        <w:t>应标时不做要求，投标时需随投标资质文件一起上传）。</w:t>
      </w:r>
    </w:p>
    <w:p w14:paraId="3F5DD9A7">
      <w:pPr>
        <w:spacing w:line="360" w:lineRule="auto"/>
        <w:ind w:firstLine="422" w:firstLineChars="200"/>
        <w:rPr>
          <w:rFonts w:hint="default"/>
          <w:lang w:val="en-US" w:eastAsia="zh-CN"/>
        </w:rPr>
      </w:pPr>
      <w:r>
        <w:rPr>
          <w:rFonts w:hint="eastAsia" w:hAnsi="宋体"/>
          <w:b/>
          <w:bCs/>
        </w:rPr>
        <w:t>其他</w:t>
      </w:r>
      <w:r>
        <w:rPr>
          <w:rFonts w:hint="eastAsia" w:hAnsi="宋体"/>
        </w:rPr>
        <w:t>：</w:t>
      </w:r>
      <w:r>
        <w:rPr>
          <w:rFonts w:hint="eastAsia"/>
        </w:rPr>
        <w:t>投标人可以证明企业实力的其他证明材料（可根据实际自行增加），</w:t>
      </w:r>
      <w:r>
        <w:rPr>
          <w:rFonts w:hint="eastAsia" w:hAnsi="宋体"/>
        </w:rPr>
        <w:t>根据实际情况上传pdf文件版本</w:t>
      </w:r>
    </w:p>
    <w:bookmarkEnd w:id="7"/>
    <w:p w14:paraId="610E8BB3">
      <w:pPr>
        <w:pStyle w:val="72"/>
      </w:pPr>
      <w:r>
        <w:rPr>
          <w:rFonts w:hint="eastAsia"/>
          <w:lang w:val="en-US" w:eastAsia="zh-CN"/>
        </w:rPr>
        <w:t>交货及付款</w:t>
      </w:r>
    </w:p>
    <w:p w14:paraId="0DD46053">
      <w:pPr>
        <w:pStyle w:val="72"/>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交货期</w:t>
      </w:r>
      <w:r>
        <w:rPr>
          <w:rFonts w:hint="eastAsia" w:ascii="宋体" w:hAnsi="宋体" w:eastAsia="宋体" w:cs="宋体"/>
          <w:b w:val="0"/>
          <w:bCs w:val="0"/>
          <w:sz w:val="21"/>
          <w:szCs w:val="21"/>
          <w:highlight w:val="none"/>
          <w:lang w:val="en-US" w:eastAsia="zh-CN"/>
        </w:rPr>
        <w:t>：</w:t>
      </w:r>
      <w:r>
        <w:rPr>
          <w:rFonts w:hint="eastAsia" w:ascii="Times New Roman" w:hAnsi="Times New Roman" w:eastAsia="宋体" w:cs="Times New Roman"/>
          <w:b w:val="0"/>
          <w:bCs w:val="0"/>
          <w:kern w:val="2"/>
          <w:sz w:val="21"/>
          <w:lang w:val="en-US" w:eastAsia="zh-CN" w:bidi="ar-SA"/>
        </w:rPr>
        <w:t>按照合同约定执行</w:t>
      </w:r>
    </w:p>
    <w:p w14:paraId="43B2BED5">
      <w:pPr>
        <w:pStyle w:val="72"/>
        <w:numPr>
          <w:ilvl w:val="0"/>
          <w:numId w:val="13"/>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lang w:val="en-US" w:eastAsia="zh-CN"/>
        </w:rPr>
        <w:t>银行转账</w:t>
      </w:r>
      <w:r>
        <w:rPr>
          <w:rFonts w:hint="eastAsia" w:ascii="宋体" w:hAnsi="宋体" w:eastAsia="宋体" w:cs="宋体"/>
          <w:b w:val="0"/>
          <w:bCs w:val="0"/>
          <w:sz w:val="21"/>
          <w:szCs w:val="21"/>
          <w:highlight w:val="none"/>
          <w:lang w:eastAsia="zh-CN"/>
        </w:rPr>
        <w:t>；</w:t>
      </w:r>
    </w:p>
    <w:p w14:paraId="1300F0B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b w:val="0"/>
          <w:bCs w:val="0"/>
          <w:color w:val="auto"/>
          <w:sz w:val="21"/>
          <w:szCs w:val="21"/>
          <w:highlight w:val="none"/>
        </w:rPr>
        <w:t>付款节点：项目实施完成，经招标人验收合格后一个月，支付项目总价款的90%，验收通过满一年且无问题后，支付剩余款项（总价款的10%），如有质量问题且未得到及时解决，视影响扣除相应款项。</w:t>
      </w:r>
    </w:p>
    <w:p w14:paraId="73D415F5">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*注：付款方式及付款比例不允许偏离。</w:t>
      </w:r>
    </w:p>
    <w:p w14:paraId="7F334810">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投标保证金</w:t>
      </w:r>
    </w:p>
    <w:p w14:paraId="3CA0D65D">
      <w:pPr>
        <w:pStyle w:val="26"/>
        <w:keepNext w:val="0"/>
        <w:keepLines w:val="0"/>
        <w:widowControl w:val="0"/>
        <w:numPr>
          <w:ilvl w:val="0"/>
          <w:numId w:val="14"/>
        </w:numPr>
        <w:suppressLineNumbers w:val="0"/>
        <w:snapToGrid w:val="0"/>
        <w:spacing w:before="0" w:beforeAutospacing="0" w:after="0" w:afterAutospacing="0" w:line="360" w:lineRule="auto"/>
        <w:ind w:left="420" w:right="0" w:hanging="420" w:firstLineChars="0"/>
        <w:jc w:val="both"/>
        <w:rPr>
          <w:rFonts w:hint="eastAsia" w:ascii="宋体" w:hAnsi="宋体" w:eastAsia="宋体" w:cs="宋体"/>
          <w:color w:val="000000"/>
          <w:kern w:val="2"/>
          <w:sz w:val="21"/>
          <w:szCs w:val="21"/>
        </w:rPr>
      </w:pPr>
      <w:r>
        <w:rPr>
          <w:rFonts w:hint="eastAsia" w:ascii="宋体" w:hAnsi="宋体" w:eastAsia="宋体" w:cs="宋体"/>
          <w:b/>
          <w:bCs/>
          <w:kern w:val="2"/>
          <w:sz w:val="21"/>
          <w:szCs w:val="21"/>
          <w:lang w:val="en-US" w:eastAsia="zh-CN" w:bidi="ar"/>
        </w:rPr>
        <w:t>投标保证金的缴纳形式：</w:t>
      </w:r>
      <w:r>
        <w:rPr>
          <w:rFonts w:hint="eastAsia" w:ascii="宋体" w:hAnsi="宋体" w:eastAsia="宋体" w:cs="宋体"/>
          <w:kern w:val="2"/>
          <w:sz w:val="21"/>
          <w:szCs w:val="21"/>
          <w:lang w:val="en-US" w:eastAsia="zh-CN" w:bidi="ar"/>
        </w:rPr>
        <w:t>银行基本账户转账</w:t>
      </w:r>
      <w:r>
        <w:rPr>
          <w:rFonts w:hint="eastAsia" w:ascii="宋体" w:hAnsi="宋体" w:eastAsia="宋体" w:cs="宋体"/>
          <w:color w:val="000000"/>
          <w:kern w:val="2"/>
          <w:sz w:val="21"/>
          <w:szCs w:val="21"/>
          <w:lang w:val="en-US" w:eastAsia="zh-CN" w:bidi="ar"/>
        </w:rPr>
        <w:t>。</w:t>
      </w:r>
    </w:p>
    <w:p w14:paraId="41E14020">
      <w:pPr>
        <w:pStyle w:val="26"/>
        <w:keepNext w:val="0"/>
        <w:keepLines w:val="0"/>
        <w:pageBreakBefore w:val="0"/>
        <w:widowControl w:val="0"/>
        <w:numPr>
          <w:ilvl w:val="0"/>
          <w:numId w:val="14"/>
        </w:numPr>
        <w:suppressLineNumbers w:val="0"/>
        <w:kinsoku/>
        <w:wordWrap/>
        <w:overflowPunct/>
        <w:topLinePunct w:val="0"/>
        <w:autoSpaceDE w:val="0"/>
        <w:autoSpaceDN/>
        <w:bidi w:val="0"/>
        <w:adjustRightInd w:val="0"/>
        <w:snapToGrid w:val="0"/>
        <w:spacing w:before="0" w:beforeAutospacing="0" w:after="0" w:afterAutospacing="0" w:line="360" w:lineRule="auto"/>
        <w:ind w:left="0" w:right="0" w:firstLine="0" w:firstLineChars="0"/>
        <w:jc w:val="both"/>
        <w:textAlignment w:val="baseline"/>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投标保证金缴纳截止时间：</w:t>
      </w:r>
      <w:r>
        <w:rPr>
          <w:rFonts w:hint="eastAsia" w:ascii="宋体" w:hAnsi="宋体" w:eastAsia="宋体" w:cs="宋体"/>
          <w:b/>
          <w:bCs/>
          <w:color w:val="000000"/>
          <w:kern w:val="2"/>
          <w:sz w:val="21"/>
          <w:szCs w:val="21"/>
          <w:highlight w:val="yellow"/>
          <w:u w:val="single"/>
          <w:lang w:val="en-US" w:eastAsia="zh-CN" w:bidi="ar"/>
        </w:rPr>
        <w:t>2025年11月20日9:00 （</w:t>
      </w:r>
      <w:r>
        <w:rPr>
          <w:rFonts w:hint="eastAsia" w:ascii="宋体" w:hAnsi="宋体" w:eastAsia="宋体" w:cs="宋体"/>
          <w:sz w:val="21"/>
          <w:szCs w:val="21"/>
          <w:highlight w:val="yellow"/>
          <w:lang w:val="en-US" w:eastAsia="zh-CN"/>
        </w:rPr>
        <w:t>投标时需随投标资质文件一起上传）</w:t>
      </w:r>
      <w:r>
        <w:rPr>
          <w:rFonts w:hint="eastAsia" w:ascii="宋体" w:hAnsi="宋体" w:eastAsia="宋体" w:cs="宋体"/>
          <w:b/>
          <w:bCs w:val="0"/>
          <w:color w:val="000000"/>
          <w:kern w:val="2"/>
          <w:sz w:val="21"/>
          <w:szCs w:val="21"/>
          <w:highlight w:val="yellow"/>
          <w:u w:val="single"/>
          <w:lang w:val="en-US" w:eastAsia="zh-CN" w:bidi="ar"/>
        </w:rPr>
        <w:t>。</w:t>
      </w:r>
      <w:r>
        <w:rPr>
          <w:rFonts w:hint="eastAsia" w:ascii="宋体" w:hAnsi="宋体" w:eastAsia="宋体" w:cs="宋体"/>
          <w:b w:val="0"/>
          <w:bCs/>
          <w:color w:val="000000"/>
          <w:kern w:val="2"/>
          <w:sz w:val="21"/>
          <w:szCs w:val="21"/>
          <w:u w:val="single"/>
          <w:lang w:val="en-US" w:eastAsia="zh-CN" w:bidi="ar"/>
        </w:rPr>
        <w:t>投标方</w:t>
      </w:r>
      <w:r>
        <w:rPr>
          <w:rFonts w:hint="eastAsia" w:ascii="宋体" w:hAnsi="宋体" w:eastAsia="宋体" w:cs="宋体"/>
          <w:kern w:val="2"/>
          <w:sz w:val="21"/>
          <w:szCs w:val="21"/>
          <w:lang w:val="en-US" w:eastAsia="zh-CN" w:bidi="ar"/>
        </w:rPr>
        <w:t>应充分考虑银行信息交换时间，由此带来的保证金不能按时到帐的责任由投标方自行承担。</w:t>
      </w:r>
    </w:p>
    <w:p w14:paraId="6A9CCF77">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kern w:val="2"/>
          <w:sz w:val="21"/>
          <w:szCs w:val="21"/>
        </w:rPr>
      </w:pPr>
      <w:r>
        <w:rPr>
          <w:rFonts w:hint="eastAsia" w:ascii="宋体" w:hAnsi="宋体" w:eastAsia="宋体" w:cs="宋体"/>
          <w:b/>
          <w:bCs/>
          <w:kern w:val="2"/>
          <w:sz w:val="21"/>
          <w:szCs w:val="21"/>
          <w:lang w:val="en-US" w:eastAsia="zh-CN" w:bidi="ar"/>
        </w:rPr>
        <w:t>投标保证金的金额：</w:t>
      </w:r>
      <w:r>
        <w:rPr>
          <w:rFonts w:hint="eastAsia" w:ascii="宋体" w:hAnsi="宋体" w:eastAsia="宋体" w:cs="宋体"/>
          <w:b w:val="0"/>
          <w:bCs w:val="0"/>
          <w:kern w:val="2"/>
          <w:sz w:val="21"/>
          <w:szCs w:val="21"/>
          <w:lang w:val="en-US" w:eastAsia="zh-CN" w:bidi="ar"/>
        </w:rPr>
        <w:t>人民币5000元</w:t>
      </w:r>
    </w:p>
    <w:p w14:paraId="335E0826">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color w:val="000000"/>
          <w:kern w:val="0"/>
          <w:sz w:val="21"/>
          <w:szCs w:val="21"/>
        </w:rPr>
      </w:pPr>
      <w:r>
        <w:rPr>
          <w:rFonts w:hint="eastAsia" w:ascii="宋体" w:hAnsi="宋体" w:eastAsia="宋体" w:cs="宋体"/>
          <w:b/>
          <w:bCs/>
          <w:color w:val="000000"/>
          <w:kern w:val="0"/>
          <w:sz w:val="21"/>
          <w:szCs w:val="21"/>
          <w:lang w:val="en-US" w:eastAsia="zh-CN" w:bidi="ar"/>
        </w:rPr>
        <w:t>开户名称：</w:t>
      </w:r>
      <w:r>
        <w:rPr>
          <w:rFonts w:hint="eastAsia" w:ascii="宋体" w:hAnsi="宋体" w:eastAsia="宋体" w:cs="宋体"/>
          <w:b/>
          <w:bCs/>
          <w:color w:val="FF0000"/>
          <w:kern w:val="0"/>
          <w:sz w:val="21"/>
          <w:szCs w:val="21"/>
          <w:lang w:val="en-US" w:eastAsia="zh-CN" w:bidi="ar"/>
        </w:rPr>
        <w:t>中国重汽集团</w:t>
      </w:r>
      <w:r>
        <w:rPr>
          <w:rFonts w:ascii="宋体" w:hAnsi="宋体" w:eastAsia="宋体" w:cs="宋体"/>
          <w:b/>
          <w:bCs/>
          <w:color w:val="FF0000"/>
          <w:sz w:val="21"/>
          <w:szCs w:val="21"/>
        </w:rPr>
        <w:t>重汽汽车金融有限公司</w:t>
      </w:r>
    </w:p>
    <w:p w14:paraId="41EA6688">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color w:val="000000"/>
          <w:kern w:val="0"/>
          <w:sz w:val="21"/>
          <w:szCs w:val="21"/>
        </w:rPr>
      </w:pPr>
      <w:r>
        <w:rPr>
          <w:rFonts w:hint="eastAsia" w:ascii="宋体" w:hAnsi="宋体" w:eastAsia="宋体" w:cs="宋体"/>
          <w:b/>
          <w:bCs/>
          <w:color w:val="000000"/>
          <w:kern w:val="0"/>
          <w:sz w:val="21"/>
          <w:szCs w:val="21"/>
          <w:lang w:val="en-US" w:eastAsia="zh-CN" w:bidi="ar"/>
        </w:rPr>
        <w:t>开户银行：</w:t>
      </w:r>
      <w:r>
        <w:rPr>
          <w:rFonts w:ascii="宋体" w:hAnsi="宋体" w:eastAsia="宋体" w:cs="宋体"/>
          <w:b/>
          <w:bCs/>
          <w:color w:val="FF0000"/>
          <w:sz w:val="21"/>
          <w:szCs w:val="21"/>
        </w:rPr>
        <w:t>中信银行济南舜耕支行</w:t>
      </w:r>
    </w:p>
    <w:p w14:paraId="6E006F40">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ascii="宋体" w:hAnsi="宋体" w:eastAsia="宋体" w:cs="宋体"/>
          <w:sz w:val="21"/>
          <w:szCs w:val="21"/>
        </w:rPr>
      </w:pPr>
      <w:r>
        <w:rPr>
          <w:rFonts w:hint="eastAsia" w:ascii="宋体" w:hAnsi="宋体" w:eastAsia="宋体" w:cs="宋体"/>
          <w:b/>
          <w:bCs/>
          <w:color w:val="000000"/>
          <w:kern w:val="0"/>
          <w:sz w:val="21"/>
          <w:szCs w:val="21"/>
          <w:lang w:val="en-US" w:eastAsia="zh-CN" w:bidi="ar"/>
        </w:rPr>
        <w:t>银行帐号：</w:t>
      </w:r>
      <w:r>
        <w:rPr>
          <w:rFonts w:ascii="宋体" w:hAnsi="宋体" w:eastAsia="宋体" w:cs="宋体"/>
          <w:b/>
          <w:bCs/>
          <w:color w:val="FF0000"/>
          <w:sz w:val="21"/>
          <w:szCs w:val="21"/>
        </w:rPr>
        <w:t>8112501412100610655</w:t>
      </w:r>
    </w:p>
    <w:p w14:paraId="549D6AB6">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sz w:val="21"/>
          <w:szCs w:val="21"/>
        </w:rPr>
      </w:pPr>
      <w:r>
        <w:rPr>
          <w:rFonts w:ascii="宋体" w:hAnsi="宋体" w:eastAsia="宋体" w:cs="宋体"/>
          <w:b/>
          <w:bCs/>
          <w:sz w:val="21"/>
          <w:szCs w:val="21"/>
        </w:rPr>
        <w:t>联行号：</w:t>
      </w:r>
      <w:r>
        <w:rPr>
          <w:rFonts w:ascii="宋体" w:hAnsi="宋体" w:eastAsia="宋体" w:cs="宋体"/>
          <w:b/>
          <w:bCs/>
          <w:color w:val="FF0000"/>
          <w:sz w:val="21"/>
          <w:szCs w:val="21"/>
        </w:rPr>
        <w:t>302451037264</w:t>
      </w:r>
    </w:p>
    <w:p w14:paraId="6A6D92BB">
      <w:pPr>
        <w:keepNext w:val="0"/>
        <w:keepLines w:val="0"/>
        <w:widowControl w:val="0"/>
        <w:suppressLineNumbers w:val="0"/>
        <w:autoSpaceDE w:val="0"/>
        <w:autoSpaceDN/>
        <w:spacing w:before="0" w:beforeAutospacing="0" w:after="0" w:afterAutospacing="0" w:line="360" w:lineRule="auto"/>
        <w:ind w:left="0" w:right="0" w:firstLine="420" w:firstLineChars="200"/>
        <w:jc w:val="both"/>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投标保证金应从投标人的基本账户转出至上述账户并到账，否则视为无效投标。</w:t>
      </w:r>
    </w:p>
    <w:p w14:paraId="41685443">
      <w:pPr>
        <w:pStyle w:val="26"/>
        <w:keepNext w:val="0"/>
        <w:keepLines w:val="0"/>
        <w:widowControl w:val="0"/>
        <w:suppressLineNumbers w:val="0"/>
        <w:autoSpaceDE w:val="0"/>
        <w:autoSpaceDN/>
        <w:snapToGrid w:val="0"/>
        <w:spacing w:before="0" w:beforeAutospacing="0" w:after="0" w:afterAutospacing="0" w:line="360" w:lineRule="auto"/>
        <w:ind w:left="0" w:right="0" w:firstLine="420" w:firstLineChars="200"/>
        <w:jc w:val="both"/>
        <w:rPr>
          <w:rFonts w:hint="eastAsia" w:ascii="宋体" w:hAnsi="宋体" w:eastAsia="宋体" w:cs="宋体"/>
          <w:color w:val="000000"/>
          <w:kern w:val="2"/>
          <w:sz w:val="21"/>
          <w:szCs w:val="21"/>
        </w:rPr>
      </w:pPr>
      <w:r>
        <w:rPr>
          <w:rFonts w:hint="eastAsia" w:ascii="宋体" w:hAnsi="宋体" w:eastAsia="宋体" w:cs="宋体"/>
          <w:kern w:val="2"/>
          <w:sz w:val="21"/>
          <w:szCs w:val="21"/>
          <w:lang w:val="en-US" w:eastAsia="zh-CN" w:bidi="ar"/>
        </w:rPr>
        <w:t>转账附言：</w:t>
      </w:r>
      <w:r>
        <w:rPr>
          <w:rFonts w:hint="eastAsia" w:ascii="宋体" w:hAnsi="宋体" w:eastAsia="宋体" w:cs="宋体"/>
          <w:b/>
          <w:bCs/>
          <w:kern w:val="2"/>
          <w:sz w:val="21"/>
          <w:szCs w:val="21"/>
          <w:lang w:val="en-US" w:eastAsia="zh-CN" w:bidi="ar"/>
        </w:rPr>
        <w:t>公司名称</w:t>
      </w:r>
      <w:r>
        <w:rPr>
          <w:rFonts w:hint="default" w:ascii="Times New Roman" w:hAnsi="Times New Roman" w:eastAsia="宋体" w:cs="Times New Roman"/>
          <w:b/>
          <w:bCs/>
          <w:kern w:val="2"/>
          <w:sz w:val="21"/>
          <w:szCs w:val="21"/>
          <w:lang w:val="en-US" w:eastAsia="zh-CN" w:bidi="ar"/>
        </w:rPr>
        <w:t>+</w:t>
      </w:r>
      <w:r>
        <w:rPr>
          <w:rFonts w:hint="eastAsia" w:ascii="宋体" w:hAnsi="宋体" w:eastAsia="宋体" w:cs="宋体"/>
          <w:b/>
          <w:bCs/>
          <w:kern w:val="2"/>
          <w:sz w:val="21"/>
          <w:szCs w:val="21"/>
          <w:lang w:val="en-US" w:eastAsia="zh-CN" w:bidi="ar"/>
        </w:rPr>
        <w:t>项目名称</w:t>
      </w:r>
      <w:r>
        <w:rPr>
          <w:rFonts w:hint="default" w:ascii="Times New Roman" w:hAnsi="Times New Roman" w:eastAsia="宋体" w:cs="Times New Roman"/>
          <w:b/>
          <w:bCs/>
          <w:kern w:val="2"/>
          <w:sz w:val="21"/>
          <w:szCs w:val="21"/>
          <w:lang w:val="en-US" w:eastAsia="zh-CN" w:bidi="ar"/>
        </w:rPr>
        <w:t>+</w:t>
      </w:r>
      <w:r>
        <w:rPr>
          <w:rFonts w:hint="eastAsia" w:ascii="宋体" w:hAnsi="宋体" w:eastAsia="宋体" w:cs="宋体"/>
          <w:b/>
          <w:bCs/>
          <w:kern w:val="2"/>
          <w:sz w:val="21"/>
          <w:szCs w:val="21"/>
          <w:lang w:val="en-US" w:eastAsia="zh-CN" w:bidi="ar"/>
        </w:rPr>
        <w:t>投标保证金</w:t>
      </w:r>
      <w:r>
        <w:rPr>
          <w:rFonts w:hint="eastAsia" w:ascii="宋体" w:hAnsi="宋体" w:eastAsia="宋体" w:cs="宋体"/>
          <w:kern w:val="2"/>
          <w:sz w:val="21"/>
          <w:szCs w:val="21"/>
          <w:lang w:val="en-US" w:eastAsia="zh-CN" w:bidi="ar"/>
        </w:rPr>
        <w:t>。</w:t>
      </w:r>
    </w:p>
    <w:p w14:paraId="123B9DBE">
      <w:pPr>
        <w:pStyle w:val="26"/>
        <w:keepNext w:val="0"/>
        <w:keepLines w:val="0"/>
        <w:widowControl w:val="0"/>
        <w:numPr>
          <w:ilvl w:val="0"/>
          <w:numId w:val="14"/>
        </w:numPr>
        <w:suppressLineNumbers w:val="0"/>
        <w:snapToGrid w:val="0"/>
        <w:spacing w:before="0" w:beforeAutospacing="0" w:after="0" w:afterAutospacing="0" w:line="360" w:lineRule="auto"/>
        <w:ind w:left="420" w:right="0" w:hanging="420" w:firstLineChars="0"/>
        <w:jc w:val="both"/>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投标保证金的退还</w:t>
      </w:r>
    </w:p>
    <w:p w14:paraId="6AC9C6CF">
      <w:pPr>
        <w:pStyle w:val="26"/>
        <w:keepNext w:val="0"/>
        <w:keepLines w:val="0"/>
        <w:widowControl w:val="0"/>
        <w:numPr>
          <w:ilvl w:val="0"/>
          <w:numId w:val="15"/>
        </w:numPr>
        <w:suppressLineNumbers w:val="0"/>
        <w:snapToGrid w:val="0"/>
        <w:spacing w:before="0" w:beforeAutospacing="0" w:after="0" w:afterAutospacing="0" w:line="360" w:lineRule="auto"/>
        <w:ind w:left="420" w:right="0" w:hanging="420" w:firstLineChars="0"/>
        <w:jc w:val="both"/>
        <w:rPr>
          <w:rFonts w:hint="eastAsia" w:ascii="宋体" w:hAnsi="宋体" w:eastAsia="宋体" w:cs="宋体"/>
          <w:color w:val="000000"/>
          <w:kern w:val="2"/>
          <w:sz w:val="21"/>
          <w:szCs w:val="21"/>
        </w:rPr>
      </w:pPr>
      <w:r>
        <w:rPr>
          <w:rFonts w:hint="eastAsia" w:ascii="宋体" w:hAnsi="宋体" w:eastAsia="宋体" w:cs="宋体"/>
          <w:kern w:val="2"/>
          <w:sz w:val="21"/>
          <w:szCs w:val="21"/>
          <w:lang w:val="en-US" w:eastAsia="zh-CN" w:bidi="ar"/>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7A3C7D2D">
      <w:pPr>
        <w:pStyle w:val="113"/>
        <w:widowControl/>
        <w:ind w:left="0" w:leftChars="0" w:firstLine="0" w:firstLineChars="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4.发生以下情况时，招标人有权没收保证金：</w:t>
      </w:r>
    </w:p>
    <w:p w14:paraId="0B2B070C">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（1） 截至开标前3天，投标人无正当理由且未以书面形式递交说明而在投标截止日不来投标的；</w:t>
      </w:r>
    </w:p>
    <w:p w14:paraId="7501A9E6">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（2）投标人递送投标文件后，无正当理由放弃投标的；</w:t>
      </w:r>
    </w:p>
    <w:p w14:paraId="774E9DE8">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（3）若为视频开标，招标过程中澄清函等资料原件未按要求提交的；</w:t>
      </w:r>
    </w:p>
    <w:p w14:paraId="06952FEE">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（4）自中标通知书发出之日起30日内，中标人无正当理由不签订合同的；</w:t>
      </w:r>
    </w:p>
    <w:p w14:paraId="5FA97DC9">
      <w:pPr>
        <w:pStyle w:val="113"/>
        <w:widowControl/>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（5）投标人在投标过程中被查实有串标、围标、陪标等违规违纪行为的；</w:t>
      </w:r>
    </w:p>
    <w:p w14:paraId="7AF6EAF6">
      <w:pPr>
        <w:pStyle w:val="113"/>
        <w:widowControl/>
        <w:spacing w:line="360" w:lineRule="auto"/>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（6）投标人有违约违规行为或被投诉、举报的，在调查处理期间，保证金暂不退还，待调查处理结束后按有关规定处理。</w:t>
      </w:r>
    </w:p>
    <w:p w14:paraId="6625DE10">
      <w:pPr>
        <w:pStyle w:val="113"/>
        <w:widowControl/>
        <w:spacing w:line="360" w:lineRule="auto"/>
        <w:ind w:left="0" w:firstLine="480"/>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rPr>
        <w:t>（7）供应商与采购人、其他供应商或者采购代理机构恶意串通、围标、陪标的；</w:t>
      </w:r>
    </w:p>
    <w:p w14:paraId="2E618CA5">
      <w:pPr>
        <w:keepNext w:val="0"/>
        <w:keepLines w:val="0"/>
        <w:widowControl w:val="0"/>
        <w:suppressLineNumbers w:val="0"/>
        <w:spacing w:before="0" w:beforeAutospacing="0" w:after="0" w:afterAutospacing="0" w:line="360" w:lineRule="auto"/>
        <w:ind w:left="0" w:right="2" w:firstLine="420" w:firstLineChars="200"/>
        <w:jc w:val="both"/>
        <w:rPr>
          <w:rFonts w:hint="eastAsia" w:ascii="宋体" w:hAnsi="宋体" w:eastAsia="宋体" w:cs="宋体"/>
          <w:color w:val="000000"/>
          <w:kern w:val="2"/>
          <w:sz w:val="21"/>
          <w:szCs w:val="21"/>
        </w:rPr>
      </w:pPr>
      <w:r>
        <w:rPr>
          <w:rFonts w:hint="eastAsia" w:ascii="宋体" w:hAnsi="宋体" w:eastAsia="宋体" w:cs="宋体"/>
          <w:color w:val="000000"/>
          <w:kern w:val="2"/>
          <w:sz w:val="21"/>
          <w:szCs w:val="21"/>
          <w:lang w:val="en-US" w:eastAsia="zh-CN" w:bidi="ar"/>
        </w:rPr>
        <w:t>（8）供应商有违约违规行为或被投诉、举报的，在调查处理期间，保证金暂不退还，待调查处理结束后按有关规定处理；</w:t>
      </w:r>
    </w:p>
    <w:p w14:paraId="2DA387DA">
      <w:pPr>
        <w:keepNext w:val="0"/>
        <w:keepLines w:val="0"/>
        <w:widowControl w:val="0"/>
        <w:suppressLineNumbers w:val="0"/>
        <w:spacing w:before="0" w:beforeAutospacing="0" w:after="0" w:afterAutospacing="0" w:line="360" w:lineRule="auto"/>
        <w:ind w:left="0" w:right="2" w:firstLine="420" w:firstLineChars="200"/>
        <w:jc w:val="both"/>
        <w:rPr>
          <w:rFonts w:hint="eastAsia" w:ascii="宋体" w:hAnsi="宋体" w:eastAsia="宋体" w:cs="宋体"/>
          <w:kern w:val="2"/>
          <w:sz w:val="21"/>
          <w:szCs w:val="21"/>
        </w:rPr>
      </w:pPr>
      <w:r>
        <w:rPr>
          <w:rFonts w:hint="eastAsia" w:ascii="宋体" w:hAnsi="宋体" w:eastAsia="宋体" w:cs="宋体"/>
          <w:color w:val="000000"/>
          <w:kern w:val="2"/>
          <w:sz w:val="21"/>
          <w:szCs w:val="21"/>
          <w:lang w:val="en-US" w:eastAsia="zh-CN" w:bidi="ar"/>
        </w:rPr>
        <w:t>（9）采购文件规定的其他情形。</w:t>
      </w:r>
    </w:p>
    <w:p w14:paraId="6E0D7439">
      <w:pPr>
        <w:pStyle w:val="72"/>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78CE263F">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lang w:eastAsia="zh-CN"/>
        </w:rPr>
        <w:t>。</w:t>
      </w:r>
    </w:p>
    <w:p w14:paraId="23E75332">
      <w:pPr>
        <w:rPr>
          <w:rFonts w:hint="default" w:hAnsi="宋体"/>
          <w:sz w:val="24"/>
          <w:lang w:val="en-US"/>
        </w:rPr>
      </w:pPr>
      <w:r>
        <w:rPr>
          <w:rFonts w:hint="default" w:hAnsi="宋体"/>
          <w:sz w:val="24"/>
          <w:lang w:val="en-US"/>
        </w:rPr>
        <w:br w:type="page"/>
      </w:r>
    </w:p>
    <w:p w14:paraId="51CB3FC0">
      <w:pPr>
        <w:rPr>
          <w:rFonts w:hint="eastAsia" w:eastAsia="黑体"/>
          <w:b/>
          <w:sz w:val="28"/>
          <w:szCs w:val="22"/>
          <w:highlight w:val="none"/>
          <w:lang w:eastAsia="zh-CN"/>
        </w:rPr>
      </w:pP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1</w:t>
      </w:r>
    </w:p>
    <w:p w14:paraId="5527122D">
      <w:pPr>
        <w:jc w:val="center"/>
        <w:rPr>
          <w:rFonts w:eastAsia="黑体"/>
          <w:b/>
          <w:sz w:val="28"/>
          <w:szCs w:val="22"/>
          <w:highlight w:val="none"/>
        </w:rPr>
      </w:pPr>
      <w:bookmarkStart w:id="8" w:name="_Toc283368335"/>
      <w:bookmarkStart w:id="9" w:name="_Toc278876641"/>
      <w:bookmarkStart w:id="10" w:name="_Toc290401063"/>
      <w:bookmarkStart w:id="11" w:name="_Toc533251966"/>
      <w:r>
        <w:rPr>
          <w:rFonts w:hint="eastAsia" w:ascii="Calibri" w:hAnsi="Calibri" w:eastAsia="黑体" w:cs="黑体"/>
          <w:b/>
          <w:sz w:val="28"/>
          <w:szCs w:val="22"/>
          <w:highlight w:val="none"/>
        </w:rPr>
        <w:t>投标函</w:t>
      </w:r>
    </w:p>
    <w:p w14:paraId="391E40DE">
      <w:pPr>
        <w:tabs>
          <w:tab w:val="left" w:pos="720"/>
        </w:tabs>
        <w:spacing w:line="360" w:lineRule="auto"/>
        <w:ind w:right="3"/>
        <w:rPr>
          <w:rFonts w:ascii="宋体" w:hAnsi="宋体" w:eastAsia="宋体" w:cs="宋体"/>
          <w:sz w:val="24"/>
          <w:szCs w:val="22"/>
          <w:highlight w:val="none"/>
        </w:rPr>
      </w:pPr>
      <w:r>
        <w:rPr>
          <w:rFonts w:hint="eastAsia" w:ascii="宋体" w:hAnsi="宋体" w:eastAsia="宋体" w:cs="宋体"/>
          <w:sz w:val="24"/>
          <w:szCs w:val="22"/>
          <w:highlight w:val="none"/>
        </w:rPr>
        <w:t xml:space="preserve">致：重汽汽车金融有限公司              </w:t>
      </w:r>
    </w:p>
    <w:p w14:paraId="3C0E74BB">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根据贵司的招标函，本人代表投标人_____________（投标人名称）提交下述投标文件。</w:t>
      </w:r>
    </w:p>
    <w:p w14:paraId="7BB0AF89">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本人宣布同意如下：</w:t>
      </w:r>
    </w:p>
    <w:p w14:paraId="53FC4189">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2、我方郑重承诺：投标人将全部满足招标文件中的各项实质性要求，若有与招标文件中有偏离的，已在《商务条款偏离表》或《技术规格、参数偏离表》中陈述。除了《商务条款偏离表》或《技术规格、参数偏离表》陈述的偏离外，如果发现投标文件中另有与招标文件中不一致的响应或没有响应，投标人同意招标人有权要求投标人按照招标文件的要求提供服务。投标人并同意按照招标文件的规定履行合同责任和义务。</w:t>
      </w:r>
    </w:p>
    <w:p w14:paraId="53084B8F">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3、我方已详细审查全部招标文件，包括修改文件（如有的话）以及全部参考资料和有关附件。我们完全理解并同意放弃对这方面有不明及误解的权利。</w:t>
      </w:r>
    </w:p>
    <w:p w14:paraId="741E312A">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4、我方的投标自投标截止之日起有效期为</w:t>
      </w:r>
      <w:r>
        <w:rPr>
          <w:rFonts w:hint="eastAsia" w:ascii="宋体" w:hAnsi="宋体" w:eastAsia="宋体" w:cs="宋体"/>
          <w:sz w:val="24"/>
          <w:szCs w:val="22"/>
          <w:highlight w:val="none"/>
          <w:lang w:val="en-US" w:eastAsia="zh-CN"/>
        </w:rPr>
        <w:t>9</w:t>
      </w:r>
      <w:r>
        <w:rPr>
          <w:rFonts w:hint="eastAsia" w:ascii="宋体" w:hAnsi="宋体" w:eastAsia="宋体" w:cs="宋体"/>
          <w:sz w:val="24"/>
          <w:szCs w:val="22"/>
          <w:highlight w:val="none"/>
        </w:rPr>
        <w:t>0天。</w:t>
      </w:r>
    </w:p>
    <w:p w14:paraId="70F11E36">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5、我方同意提供按照贵方可能要求的与我方投标有关的一切数据或资料，理解贵方不一定要接受最低价的投标或收到的任何投标。</w:t>
      </w:r>
    </w:p>
    <w:p w14:paraId="317CBF64">
      <w:pPr>
        <w:spacing w:before="156" w:beforeLines="50"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6、与本投标有关的一切正式往来通讯请寄：</w:t>
      </w:r>
    </w:p>
    <w:p w14:paraId="7B8E4F3D">
      <w:pPr>
        <w:tabs>
          <w:tab w:val="left" w:pos="720"/>
        </w:tabs>
        <w:spacing w:line="360" w:lineRule="auto"/>
        <w:ind w:right="3" w:firstLine="2640" w:firstLineChars="1100"/>
        <w:rPr>
          <w:rFonts w:ascii="宋体" w:hAnsi="宋体" w:eastAsia="宋体" w:cs="宋体"/>
          <w:sz w:val="24"/>
          <w:szCs w:val="22"/>
          <w:highlight w:val="none"/>
        </w:rPr>
      </w:pPr>
      <w:r>
        <w:rPr>
          <w:rFonts w:hint="eastAsia" w:ascii="宋体" w:hAnsi="宋体" w:eastAsia="宋体" w:cs="宋体"/>
          <w:sz w:val="24"/>
          <w:szCs w:val="22"/>
          <w:highlight w:val="none"/>
        </w:rPr>
        <w:t xml:space="preserve"> 投    标    人（公章）：                 </w:t>
      </w:r>
    </w:p>
    <w:p w14:paraId="56EF636F">
      <w:pPr>
        <w:spacing w:line="360" w:lineRule="auto"/>
        <w:ind w:right="-687" w:rightChars="-327" w:firstLine="2760" w:firstLineChars="1150"/>
        <w:rPr>
          <w:rFonts w:hint="eastAsia" w:ascii="宋体" w:hAnsi="宋体" w:eastAsia="宋体" w:cs="宋体"/>
          <w:sz w:val="24"/>
          <w:szCs w:val="22"/>
          <w:highlight w:val="none"/>
        </w:rPr>
      </w:pPr>
      <w:r>
        <w:rPr>
          <w:rFonts w:hint="eastAsia" w:ascii="宋体" w:hAnsi="宋体" w:eastAsia="宋体" w:cs="宋体"/>
          <w:sz w:val="24"/>
          <w:szCs w:val="22"/>
          <w:highlight w:val="none"/>
        </w:rPr>
        <w:t>法定代表人或授权委托人（签字或盖章）：</w:t>
      </w:r>
    </w:p>
    <w:p w14:paraId="048C4414">
      <w:pPr>
        <w:spacing w:line="360" w:lineRule="auto"/>
        <w:ind w:right="-687" w:rightChars="-327" w:firstLine="2760" w:firstLineChars="1150"/>
        <w:rPr>
          <w:rFonts w:ascii="宋体" w:hAnsi="宋体" w:eastAsia="宋体" w:cs="宋体"/>
          <w:sz w:val="24"/>
          <w:szCs w:val="22"/>
          <w:highlight w:val="none"/>
        </w:rPr>
      </w:pPr>
      <w:r>
        <w:rPr>
          <w:rFonts w:hint="eastAsia" w:ascii="宋体" w:hAnsi="宋体" w:eastAsia="宋体" w:cs="宋体"/>
          <w:sz w:val="24"/>
          <w:szCs w:val="22"/>
          <w:highlight w:val="none"/>
        </w:rPr>
        <w:t>日       期：         年      月      日</w:t>
      </w:r>
    </w:p>
    <w:bookmarkEnd w:id="8"/>
    <w:bookmarkEnd w:id="9"/>
    <w:bookmarkEnd w:id="10"/>
    <w:bookmarkEnd w:id="11"/>
    <w:p w14:paraId="06257394">
      <w:pPr>
        <w:rPr>
          <w:rFonts w:hint="eastAsia" w:ascii="Calibri" w:hAnsi="Calibri" w:eastAsia="黑体" w:cs="黑体"/>
          <w:b/>
          <w:sz w:val="28"/>
          <w:szCs w:val="22"/>
          <w:highlight w:val="none"/>
        </w:rPr>
      </w:pPr>
    </w:p>
    <w:p w14:paraId="39D62B7B">
      <w:pPr>
        <w:rPr>
          <w:rFonts w:hint="eastAsia" w:ascii="Calibri" w:hAnsi="Calibri" w:eastAsia="黑体" w:cs="黑体"/>
          <w:b/>
          <w:sz w:val="28"/>
          <w:szCs w:val="22"/>
          <w:highlight w:val="none"/>
        </w:rPr>
      </w:pPr>
    </w:p>
    <w:p w14:paraId="44A8CF1B">
      <w:pPr>
        <w:rPr>
          <w:rFonts w:hint="eastAsia" w:ascii="Calibri" w:hAnsi="Calibri" w:eastAsia="黑体" w:cs="黑体"/>
          <w:b/>
          <w:sz w:val="28"/>
          <w:szCs w:val="22"/>
          <w:highlight w:val="none"/>
        </w:rPr>
      </w:pPr>
      <w:r>
        <w:rPr>
          <w:rFonts w:hint="eastAsia" w:ascii="Calibri" w:hAnsi="Calibri" w:eastAsia="黑体" w:cs="黑体"/>
          <w:b/>
          <w:sz w:val="28"/>
          <w:szCs w:val="22"/>
          <w:highlight w:val="none"/>
        </w:rPr>
        <w:br w:type="page"/>
      </w:r>
    </w:p>
    <w:p w14:paraId="567552DE">
      <w:pPr>
        <w:rPr>
          <w:rFonts w:eastAsia="黑体"/>
          <w:highlight w:val="none"/>
        </w:rPr>
      </w:pPr>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2</w:t>
      </w:r>
    </w:p>
    <w:p w14:paraId="01D14780">
      <w:pPr>
        <w:spacing w:line="360" w:lineRule="auto"/>
        <w:jc w:val="center"/>
        <w:rPr>
          <w:rFonts w:hint="eastAsia" w:ascii="宋体" w:hAnsi="宋体" w:eastAsia="宋体" w:cs="宋体"/>
          <w:color w:val="000000"/>
          <w:sz w:val="32"/>
          <w:szCs w:val="32"/>
          <w:highlight w:val="none"/>
        </w:rPr>
      </w:pPr>
      <w:r>
        <w:rPr>
          <w:rFonts w:hint="eastAsia" w:ascii="宋体" w:hAnsi="宋体" w:eastAsia="宋体" w:cs="宋体"/>
          <w:b/>
          <w:bCs/>
          <w:color w:val="000000"/>
          <w:sz w:val="32"/>
          <w:szCs w:val="32"/>
          <w:highlight w:val="none"/>
        </w:rPr>
        <w:t>法定代表人授权委托书</w:t>
      </w:r>
    </w:p>
    <w:p w14:paraId="7B2F80B9">
      <w:pPr>
        <w:spacing w:line="360" w:lineRule="auto"/>
        <w:ind w:firstLine="480" w:firstLineChars="200"/>
        <w:jc w:val="left"/>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（姓名）系</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（投标人全称）的法定代表人，就</w:t>
      </w:r>
      <w:r>
        <w:rPr>
          <w:rFonts w:hint="eastAsia" w:ascii="宋体" w:hAnsi="宋体" w:eastAsia="宋体" w:cs="Times New Roman"/>
          <w:color w:val="000000"/>
          <w:sz w:val="24"/>
          <w:szCs w:val="24"/>
          <w:highlight w:val="none"/>
          <w:u w:val="single"/>
          <w:lang w:val="en-US" w:eastAsia="zh-CN"/>
        </w:rPr>
        <w:t>2025年重汽汽金公司核心业务系统等保测评项目</w:t>
      </w:r>
      <w:r>
        <w:rPr>
          <w:rFonts w:hint="eastAsia" w:ascii="宋体" w:hAnsi="宋体" w:eastAsia="宋体" w:cs="Times New Roman"/>
          <w:color w:val="000000"/>
          <w:sz w:val="24"/>
          <w:szCs w:val="24"/>
          <w:highlight w:val="none"/>
        </w:rPr>
        <w:t>现授权委托</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（单位名称）的</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（姓名、职务）为我公司全权代表，全权代表在投标文件、评标过程中的书面承诺、合同等所签署的一切文件和处理与之有关的一切事务，我均予以承认。</w:t>
      </w:r>
    </w:p>
    <w:p w14:paraId="425C215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FE5CB0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87985FB">
            <w:pPr>
              <w:adjustRightInd w:val="0"/>
              <w:snapToGrid w:val="0"/>
              <w:spacing w:before="93" w:beforeLines="30" w:line="312" w:lineRule="auto"/>
              <w:jc w:val="center"/>
              <w:rPr>
                <w:rFonts w:ascii="宋体" w:hAnsi="Calibri" w:eastAsia="宋体" w:cs="Times New Roman"/>
                <w:sz w:val="24"/>
                <w:szCs w:val="20"/>
                <w:highlight w:val="none"/>
                <w:u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sz w:val="24"/>
                <w:szCs w:val="20"/>
                <w:highlight w:val="none"/>
                <w:u w:val="none"/>
                <w:lang w:eastAsia="zh-CN"/>
              </w:rPr>
              <w:t>（</w:t>
            </w:r>
            <w:r>
              <w:rPr>
                <w:rFonts w:hint="eastAsia" w:ascii="宋体" w:hAnsi="宋体" w:eastAsia="宋体" w:cs="Times New Roman"/>
                <w:color w:val="000000" w:themeColor="text1"/>
                <w:sz w:val="24"/>
                <w:szCs w:val="20"/>
                <w:highlight w:val="none"/>
                <w:u w:val="none"/>
                <w:lang w:val="en-US" w:eastAsia="zh-CN"/>
                <w14:textFill>
                  <w14:solidFill>
                    <w14:schemeClr w14:val="tx1"/>
                  </w14:solidFill>
                </w14:textFill>
              </w:rPr>
              <w:t>正反面）</w:t>
            </w:r>
          </w:p>
          <w:p w14:paraId="4F457746">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w:t>
            </w:r>
            <w:r>
              <w:rPr>
                <w:rFonts w:hint="eastAsia" w:ascii="宋体" w:hAnsi="宋体" w:eastAsia="宋体" w:cs="Times New Roman"/>
                <w:sz w:val="24"/>
                <w:szCs w:val="20"/>
                <w:highlight w:val="none"/>
                <w:lang w:eastAsia="zh-CN"/>
              </w:rPr>
              <w:t>（</w:t>
            </w:r>
            <w:r>
              <w:rPr>
                <w:rFonts w:hint="eastAsia" w:ascii="宋体" w:hAnsi="宋体" w:eastAsia="宋体" w:cs="Times New Roman"/>
                <w:sz w:val="24"/>
                <w:szCs w:val="20"/>
                <w:highlight w:val="none"/>
                <w:lang w:val="en-US" w:eastAsia="zh-CN"/>
              </w:rPr>
              <w:t>正反面</w:t>
            </w:r>
            <w:r>
              <w:rPr>
                <w:rFonts w:hint="eastAsia" w:ascii="宋体" w:hAnsi="宋体" w:eastAsia="宋体" w:cs="Times New Roman"/>
                <w:sz w:val="24"/>
                <w:szCs w:val="20"/>
                <w:highlight w:val="none"/>
                <w:lang w:eastAsia="zh-CN"/>
              </w:rPr>
              <w:t>）</w:t>
            </w:r>
          </w:p>
        </w:tc>
      </w:tr>
    </w:tbl>
    <w:p w14:paraId="05CA79C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14:paraId="0DC27E2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14:paraId="4CC5FEC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14:paraId="315DA915">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14:paraId="6719D89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14:paraId="5D62A5C5">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14:paraId="165892DB">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4D7ED001">
      <w:pPr>
        <w:spacing w:line="360" w:lineRule="auto"/>
        <w:ind w:firstLine="4800" w:firstLineChars="2000"/>
        <w:rPr>
          <w:rFonts w:ascii="宋体" w:hAnsi="宋体" w:cs="宋体"/>
          <w:sz w:val="24"/>
          <w:szCs w:val="21"/>
          <w:highlight w:val="none"/>
        </w:rPr>
      </w:pPr>
    </w:p>
    <w:p w14:paraId="25B5C7B5">
      <w:pPr>
        <w:spacing w:line="360" w:lineRule="auto"/>
        <w:ind w:firstLine="4800" w:firstLineChars="2000"/>
        <w:rPr>
          <w:rFonts w:ascii="宋体" w:hAnsi="宋体" w:cs="宋体"/>
          <w:sz w:val="24"/>
          <w:szCs w:val="21"/>
          <w:highlight w:val="none"/>
        </w:rPr>
      </w:pPr>
    </w:p>
    <w:p w14:paraId="7EE176A8">
      <w:pPr>
        <w:spacing w:line="360" w:lineRule="auto"/>
        <w:ind w:firstLine="4800" w:firstLineChars="2000"/>
        <w:rPr>
          <w:rFonts w:ascii="宋体" w:hAnsi="宋体" w:cs="宋体"/>
          <w:sz w:val="24"/>
          <w:szCs w:val="21"/>
          <w:highlight w:val="none"/>
        </w:rPr>
      </w:pPr>
    </w:p>
    <w:p w14:paraId="2F85A605">
      <w:pPr>
        <w:spacing w:line="360" w:lineRule="auto"/>
        <w:ind w:firstLine="4800" w:firstLineChars="2000"/>
        <w:rPr>
          <w:rFonts w:ascii="宋体" w:hAnsi="宋体" w:cs="宋体"/>
          <w:sz w:val="24"/>
          <w:szCs w:val="21"/>
          <w:highlight w:val="none"/>
        </w:rPr>
      </w:pPr>
    </w:p>
    <w:p w14:paraId="68BA6F76">
      <w:pPr>
        <w:rPr>
          <w:rFonts w:eastAsia="黑体"/>
          <w:b/>
          <w:sz w:val="28"/>
          <w:szCs w:val="22"/>
          <w:highlight w:val="none"/>
        </w:rPr>
      </w:pPr>
      <w:r>
        <w:rPr>
          <w:rFonts w:ascii="Calibri" w:hAnsi="Calibri" w:eastAsia="宋体" w:cs="Times New Roman"/>
          <w:szCs w:val="22"/>
          <w:highlight w:val="none"/>
        </w:rPr>
        <w:br w:type="page"/>
      </w:r>
      <w:bookmarkStart w:id="12" w:name="_Toc386297882"/>
      <w:r>
        <w:rPr>
          <w:rFonts w:hint="eastAsia" w:ascii="Calibri" w:hAnsi="Calibri" w:eastAsia="黑体" w:cs="黑体"/>
          <w:b/>
          <w:sz w:val="28"/>
          <w:szCs w:val="22"/>
          <w:highlight w:val="none"/>
        </w:rPr>
        <w:t>附件</w:t>
      </w:r>
      <w:r>
        <w:rPr>
          <w:rFonts w:ascii="Calibri" w:hAnsi="Calibri" w:eastAsia="黑体" w:cs="Times New Roman"/>
          <w:b/>
          <w:sz w:val="28"/>
          <w:szCs w:val="22"/>
          <w:highlight w:val="none"/>
        </w:rPr>
        <w:t>3</w:t>
      </w:r>
    </w:p>
    <w:p w14:paraId="08B13BC3">
      <w:pPr>
        <w:jc w:val="center"/>
        <w:rPr>
          <w:sz w:val="32"/>
          <w:szCs w:val="22"/>
          <w:highlight w:val="none"/>
        </w:rPr>
      </w:pPr>
      <w:r>
        <w:rPr>
          <w:rFonts w:hint="eastAsia" w:ascii="Calibri" w:hAnsi="Calibri" w:eastAsia="黑体" w:cs="黑体"/>
          <w:b/>
          <w:sz w:val="28"/>
          <w:szCs w:val="22"/>
          <w:highlight w:val="none"/>
        </w:rPr>
        <w:t>竞标人资格证明文件</w:t>
      </w:r>
      <w:bookmarkEnd w:id="12"/>
    </w:p>
    <w:p w14:paraId="2B04494A">
      <w:pPr>
        <w:spacing w:line="360" w:lineRule="auto"/>
        <w:rPr>
          <w:rFonts w:ascii="宋体" w:hAnsi="宋体" w:eastAsia="宋体" w:cs="宋体"/>
          <w:sz w:val="24"/>
          <w:szCs w:val="22"/>
          <w:highlight w:val="none"/>
        </w:rPr>
      </w:pPr>
      <w:r>
        <w:rPr>
          <w:rFonts w:hint="eastAsia" w:ascii="宋体" w:hAnsi="宋体" w:eastAsia="宋体" w:cs="宋体"/>
          <w:sz w:val="24"/>
          <w:szCs w:val="22"/>
          <w:highlight w:val="none"/>
        </w:rPr>
        <w:t>重汽汽车金融有限公司：</w:t>
      </w:r>
    </w:p>
    <w:p w14:paraId="1FE2E0DD">
      <w:p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贵公司组织的</w:t>
      </w:r>
      <w:r>
        <w:rPr>
          <w:rFonts w:ascii="宋体" w:hAnsi="宋体" w:eastAsia="宋体" w:cs="宋体"/>
          <w:sz w:val="24"/>
          <w:szCs w:val="22"/>
          <w:highlight w:val="none"/>
          <w:u w:val="single"/>
        </w:rPr>
        <w:t xml:space="preserve">                </w:t>
      </w:r>
      <w:r>
        <w:rPr>
          <w:rFonts w:hint="eastAsia" w:ascii="宋体" w:hAnsi="宋体" w:eastAsia="宋体" w:cs="宋体"/>
          <w:sz w:val="24"/>
          <w:szCs w:val="22"/>
          <w:highlight w:val="none"/>
        </w:rPr>
        <w:t>项目</w:t>
      </w:r>
      <w:r>
        <w:rPr>
          <w:rFonts w:hint="eastAsia" w:ascii="宋体" w:hAnsi="宋体" w:eastAsia="宋体" w:cs="宋体"/>
          <w:sz w:val="24"/>
          <w:szCs w:val="22"/>
          <w:highlight w:val="none"/>
          <w:lang w:val="en-US" w:eastAsia="zh-CN"/>
        </w:rPr>
        <w:t>招标</w:t>
      </w:r>
      <w:r>
        <w:rPr>
          <w:rFonts w:hint="eastAsia" w:ascii="宋体" w:hAnsi="宋体" w:eastAsia="宋体" w:cs="宋体"/>
          <w:sz w:val="24"/>
          <w:szCs w:val="22"/>
          <w:highlight w:val="none"/>
        </w:rPr>
        <w:t>采购活动，我公司愿意参加，并证明提交的下列文件、证明和陈述均是准确的、真实的。若与真实情况不符，我公司愿意承担由此而产生的一切后果。</w:t>
      </w:r>
    </w:p>
    <w:p w14:paraId="6F6D41B6">
      <w:pPr>
        <w:numPr>
          <w:ilvl w:val="0"/>
          <w:numId w:val="16"/>
        </w:num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工商营业执照副本复印件（加盖公章）。</w:t>
      </w:r>
    </w:p>
    <w:p w14:paraId="6CF3445E">
      <w:pPr>
        <w:numPr>
          <w:ilvl w:val="0"/>
          <w:numId w:val="16"/>
        </w:numPr>
        <w:spacing w:line="360" w:lineRule="auto"/>
        <w:ind w:firstLine="480" w:firstLineChars="200"/>
        <w:rPr>
          <w:rFonts w:ascii="宋体" w:hAnsi="宋体" w:eastAsia="宋体" w:cs="宋体"/>
          <w:sz w:val="24"/>
          <w:szCs w:val="22"/>
          <w:highlight w:val="none"/>
        </w:rPr>
      </w:pPr>
      <w:r>
        <w:rPr>
          <w:rFonts w:hint="eastAsia" w:ascii="宋体" w:hAnsi="宋体" w:eastAsia="宋体" w:cs="宋体"/>
          <w:sz w:val="24"/>
          <w:szCs w:val="22"/>
          <w:highlight w:val="none"/>
        </w:rPr>
        <w:t>竞标人认为有必要提供的其他证明文件（加盖公章）。</w:t>
      </w:r>
    </w:p>
    <w:p w14:paraId="3D0795AB">
      <w:pPr>
        <w:spacing w:line="360" w:lineRule="auto"/>
        <w:rPr>
          <w:sz w:val="24"/>
          <w:szCs w:val="22"/>
          <w:highlight w:val="none"/>
        </w:rPr>
      </w:pPr>
    </w:p>
    <w:p w14:paraId="0D98429A">
      <w:pPr>
        <w:spacing w:line="360" w:lineRule="auto"/>
        <w:rPr>
          <w:rFonts w:ascii="宋体" w:hAnsi="宋体" w:eastAsia="宋体" w:cs="宋体"/>
          <w:sz w:val="24"/>
          <w:szCs w:val="22"/>
          <w:highlight w:val="none"/>
        </w:rPr>
      </w:pPr>
    </w:p>
    <w:p w14:paraId="212ECD08">
      <w:pPr>
        <w:spacing w:line="360" w:lineRule="auto"/>
        <w:rPr>
          <w:rFonts w:ascii="宋体" w:hAnsi="宋体" w:eastAsia="宋体" w:cs="宋体"/>
          <w:sz w:val="24"/>
          <w:szCs w:val="22"/>
          <w:highlight w:val="none"/>
        </w:rPr>
      </w:pPr>
    </w:p>
    <w:p w14:paraId="4B39C84C">
      <w:pPr>
        <w:spacing w:line="360" w:lineRule="auto"/>
        <w:rPr>
          <w:rFonts w:ascii="宋体" w:hAnsi="宋体" w:eastAsia="宋体" w:cs="宋体"/>
          <w:sz w:val="24"/>
          <w:szCs w:val="22"/>
          <w:highlight w:val="none"/>
        </w:rPr>
      </w:pPr>
    </w:p>
    <w:p w14:paraId="022E95A3">
      <w:pPr>
        <w:spacing w:line="360" w:lineRule="auto"/>
        <w:rPr>
          <w:rFonts w:ascii="宋体" w:hAnsi="宋体" w:eastAsia="宋体" w:cs="宋体"/>
          <w:sz w:val="24"/>
          <w:szCs w:val="22"/>
          <w:highlight w:val="none"/>
        </w:rPr>
      </w:pPr>
    </w:p>
    <w:p w14:paraId="33CD4D79">
      <w:pPr>
        <w:spacing w:line="360" w:lineRule="auto"/>
        <w:rPr>
          <w:sz w:val="24"/>
          <w:szCs w:val="22"/>
          <w:highlight w:val="none"/>
        </w:rPr>
      </w:pPr>
    </w:p>
    <w:p w14:paraId="3ADC591D">
      <w:pPr>
        <w:spacing w:line="360" w:lineRule="auto"/>
        <w:rPr>
          <w:sz w:val="24"/>
          <w:szCs w:val="22"/>
          <w:highlight w:val="none"/>
        </w:rPr>
      </w:pPr>
    </w:p>
    <w:p w14:paraId="1F1AF118">
      <w:pPr>
        <w:spacing w:line="360" w:lineRule="auto"/>
        <w:rPr>
          <w:sz w:val="24"/>
          <w:highlight w:val="none"/>
        </w:rPr>
      </w:pPr>
      <w:r>
        <w:rPr>
          <w:rFonts w:ascii="Calibri" w:hAnsi="Calibri" w:eastAsia="宋体" w:cs="Times New Roman"/>
          <w:sz w:val="24"/>
          <w:szCs w:val="22"/>
          <w:highlight w:val="none"/>
        </w:rPr>
        <w:br w:type="textWrapping"/>
      </w:r>
      <w:r>
        <w:rPr>
          <w:rFonts w:hint="eastAsia" w:ascii="Calibri" w:hAnsi="Calibri" w:eastAsia="宋体" w:cs="宋体"/>
          <w:sz w:val="24"/>
          <w:highlight w:val="none"/>
        </w:rPr>
        <w:t>竞标人名称：（加盖公章）</w:t>
      </w:r>
    </w:p>
    <w:p w14:paraId="369A0505">
      <w:pPr>
        <w:spacing w:line="360" w:lineRule="auto"/>
        <w:rPr>
          <w:sz w:val="24"/>
          <w:highlight w:val="none"/>
        </w:rPr>
      </w:pPr>
      <w:r>
        <w:rPr>
          <w:rFonts w:hint="eastAsia" w:ascii="Calibri" w:hAnsi="Calibri" w:eastAsia="宋体" w:cs="宋体"/>
          <w:sz w:val="24"/>
          <w:highlight w:val="none"/>
        </w:rPr>
        <w:t>法定代表人或其代理人：（签字）</w:t>
      </w:r>
    </w:p>
    <w:p w14:paraId="752EAC46">
      <w:pPr>
        <w:spacing w:line="360" w:lineRule="auto"/>
        <w:rPr>
          <w:rFonts w:ascii="黑体" w:hAnsi="Calibri" w:eastAsia="黑体" w:cs="黑体"/>
          <w:sz w:val="30"/>
          <w:szCs w:val="22"/>
          <w:highlight w:val="none"/>
        </w:rPr>
      </w:pPr>
    </w:p>
    <w:p w14:paraId="7F7233A4">
      <w:pPr>
        <w:pStyle w:val="14"/>
        <w:outlineLvl w:val="2"/>
        <w:rPr>
          <w:rFonts w:hAnsi="宋体" w:eastAsia="宋体" w:cs="宋体"/>
          <w:b/>
          <w:bCs/>
          <w:color w:val="000000"/>
          <w:sz w:val="24"/>
          <w:szCs w:val="24"/>
        </w:rPr>
      </w:pPr>
      <w:r>
        <w:rPr>
          <w:rFonts w:hint="eastAsia" w:ascii="宋体" w:hAnsi="宋体" w:eastAsia="宋体" w:cs="Times New Roman"/>
          <w:sz w:val="24"/>
          <w:szCs w:val="22"/>
          <w:highlight w:val="none"/>
        </w:rPr>
        <w:br w:type="page"/>
      </w: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6"/>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619779B8">
      <w:pPr>
        <w:numPr>
          <w:ilvl w:val="0"/>
          <w:numId w:val="17"/>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1"/>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default" w:eastAsia="宋体"/>
          <w:lang w:val="en-US" w:eastAsia="zh-CN"/>
        </w:rPr>
      </w:pPr>
      <w:r>
        <w:rPr>
          <w:rFonts w:hint="eastAsia"/>
          <w:lang w:val="en-US" w:eastAsia="zh-CN"/>
        </w:rPr>
        <w:t>（</w:t>
      </w:r>
      <w:r>
        <w:rPr>
          <w:rFonts w:hint="eastAsia"/>
          <w:b/>
          <w:bCs/>
          <w:lang w:val="en-US" w:eastAsia="zh-CN"/>
        </w:rPr>
        <w:t>非生产-直管-直管</w:t>
      </w:r>
      <w:r>
        <w:rPr>
          <w:rFonts w:hint="eastAsia"/>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信息化 / 信息化技术服务</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数智化转型发展部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9"/>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2FD2BCA1">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3"/>
                    <a:stretch>
                      <a:fillRect/>
                    </a:stretch>
                  </pic:blipFill>
                  <pic:spPr>
                    <a:xfrm>
                      <a:off x="0" y="0"/>
                      <a:ext cx="5486400" cy="2661285"/>
                    </a:xfrm>
                    <a:prstGeom prst="rect">
                      <a:avLst/>
                    </a:prstGeom>
                    <a:noFill/>
                    <a:ln>
                      <a:noFill/>
                    </a:ln>
                  </pic:spPr>
                </pic:pic>
              </a:graphicData>
            </a:graphic>
          </wp:inline>
        </w:drawing>
      </w:r>
    </w:p>
    <w:p w14:paraId="1D419B5D">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4" cstate="print"/>
                    <a:srcRect/>
                    <a:stretch>
                      <a:fillRect/>
                    </a:stretch>
                  </pic:blipFill>
                  <pic:spPr>
                    <a:xfrm>
                      <a:off x="0" y="0"/>
                      <a:ext cx="5760085" cy="2269490"/>
                    </a:xfrm>
                    <a:prstGeom prst="rect">
                      <a:avLst/>
                    </a:prstGeom>
                  </pic:spPr>
                </pic:pic>
              </a:graphicData>
            </a:graphic>
          </wp:inline>
        </w:drawing>
      </w:r>
    </w:p>
    <w:p w14:paraId="7F5F97E1">
      <w:pPr>
        <w:pStyle w:val="14"/>
      </w:pPr>
    </w:p>
    <w:p w14:paraId="44F04E35">
      <w:pPr>
        <w:pStyle w:val="14"/>
      </w:pPr>
      <w:r>
        <w:rPr>
          <w:rFonts w:hint="eastAsia" w:cs="Times New Roman"/>
          <w:b/>
          <w:bCs/>
          <w:highlight w:val="none"/>
          <w:lang w:val="en-US" w:eastAsia="zh-CN"/>
        </w:rPr>
        <w:t>2、应标页面否为代理商请如实选择，若为代理商应标，请在应标后联系商务联系人</w:t>
      </w:r>
    </w:p>
    <w:p w14:paraId="253C2BE3"/>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5"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6"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7"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8"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9" cstate="print"/>
                    <a:srcRect/>
                    <a:stretch>
                      <a:fillRect/>
                    </a:stretch>
                  </pic:blipFill>
                  <pic:spPr>
                    <a:xfrm>
                      <a:off x="0" y="0"/>
                      <a:ext cx="5760085" cy="1956435"/>
                    </a:xfrm>
                    <a:prstGeom prst="rect">
                      <a:avLst/>
                    </a:prstGeom>
                  </pic:spPr>
                </pic:pic>
              </a:graphicData>
            </a:graphic>
          </wp:inline>
        </w:drawing>
      </w:r>
    </w:p>
    <w:p w14:paraId="1BA320C9">
      <w:pPr>
        <w:pStyle w:val="14"/>
        <w:rPr>
          <w:rFonts w:hAnsi="宋体" w:eastAsia="宋体" w:cs="Times New Roman"/>
          <w:b/>
          <w:color w:val="000000"/>
          <w:sz w:val="24"/>
          <w:szCs w:val="24"/>
        </w:rPr>
      </w:pPr>
    </w:p>
    <w:p w14:paraId="380218D1">
      <w:pPr>
        <w:pStyle w:val="14"/>
        <w:rPr>
          <w:rFonts w:hAnsi="宋体" w:eastAsia="宋体" w:cs="Times New Roman"/>
          <w:b/>
          <w:color w:val="000000"/>
          <w:sz w:val="24"/>
          <w:szCs w:val="24"/>
        </w:rPr>
      </w:pPr>
    </w:p>
    <w:p w14:paraId="67DF5B41">
      <w:pPr>
        <w:rPr>
          <w:rFonts w:hint="default" w:ascii="宋体" w:hAnsi="宋体" w:eastAsia="宋体" w:cs="宋体"/>
          <w:sz w:val="24"/>
          <w:szCs w:val="24"/>
          <w:lang w:val="en-US"/>
        </w:rPr>
      </w:pPr>
      <w:bookmarkStart w:id="13" w:name="_GoBack"/>
      <w:bookmarkEnd w:id="13"/>
    </w:p>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18"/>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129ADD">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AC898F5">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hbOkRskBAACSAwAADgAAAAAAAAABACAAAAAfAQAAZHJzL2Uyb0Rv&#10;Yy54bWxQSwUGAAAAAAYABgBZAQAAWgUAAAAA&#10;">
              <v:fill on="f" focussize="0,0"/>
              <v:stroke on="f"/>
              <v:imagedata o:title=""/>
              <o:lock v:ext="edit" aspectratio="f"/>
              <v:textbox inset="0mm,0mm,0mm,0mm" style="mso-fit-shape-to-text:t;">
                <w:txbxContent>
                  <w:p w14:paraId="0AC898F5">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EAF76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32B0423">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l1uVLQAAAABQEAAA8AAAAAAAAAAQAgAAAAIgAAAGRycy9kb3ducmV2Lnht&#10;bFBLAQIUABQAAAAIAIdO4kBmjhruyAEAAJIDAAAOAAAAAAAAAAEAIAAAAB8BAABkcnMvZTJvRG9j&#10;LnhtbFBLBQYAAAAABgAGAFkBAABZBQAAAAA=&#10;">
              <v:fill on="f" focussize="0,0"/>
              <v:stroke on="f"/>
              <v:imagedata o:title=""/>
              <o:lock v:ext="edit" aspectratio="f"/>
              <v:textbox inset="0mm,0mm,0mm,0mm" style="mso-fit-shape-to-text:t;">
                <w:txbxContent>
                  <w:p w14:paraId="232B0423">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19"/>
    </w:pPr>
  </w:p>
  <w:p w14:paraId="75DC59E1">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1FDDA">
    <w:pPr>
      <w:pStyle w:val="19"/>
    </w:pPr>
  </w:p>
  <w:p w14:paraId="1636845F">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C31B72">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69BB3B5"/>
    <w:multiLevelType w:val="multilevel"/>
    <w:tmpl w:val="B69BB3B5"/>
    <w:lvl w:ilvl="0" w:tentative="0">
      <w:start w:val="1"/>
      <w:numFmt w:val="decimal"/>
      <w:suff w:val="nothing"/>
      <w:lvlText w:val="%1."/>
      <w:lvlJc w:val="left"/>
      <w:pPr>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BD4C6742"/>
    <w:multiLevelType w:val="singleLevel"/>
    <w:tmpl w:val="BD4C6742"/>
    <w:lvl w:ilvl="0" w:tentative="0">
      <w:start w:val="1"/>
      <w:numFmt w:val="decimal"/>
      <w:lvlText w:val="%1."/>
      <w:lvlJc w:val="left"/>
      <w:pPr>
        <w:ind w:left="425" w:hanging="425"/>
      </w:pPr>
      <w:rPr>
        <w:rFonts w:hint="default"/>
      </w:rPr>
    </w:lvl>
  </w:abstractNum>
  <w:abstractNum w:abstractNumId="4">
    <w:nsid w:val="ED8152E2"/>
    <w:multiLevelType w:val="multilevel"/>
    <w:tmpl w:val="ED8152E2"/>
    <w:lvl w:ilvl="0" w:tentative="0">
      <w:start w:val="1"/>
      <w:numFmt w:val="decimal"/>
      <w:lvlText w:val="%1."/>
      <w:lvlJc w:val="left"/>
      <w:pPr>
        <w:ind w:left="420" w:hanging="420"/>
      </w:pPr>
      <w:rPr>
        <w:rFonts w:hint="eastAsia" w:ascii="宋体" w:hAnsi="宋体" w:eastAsia="宋体" w:cs="宋体"/>
      </w:rPr>
    </w:lvl>
    <w:lvl w:ilvl="1" w:tentative="0">
      <w:start w:val="1"/>
      <w:numFmt w:val="decimalEnclosedCircle"/>
      <w:lvlText w:val="%2"/>
      <w:lvlJc w:val="left"/>
      <w:pPr>
        <w:ind w:left="780" w:hanging="360"/>
      </w:pPr>
      <w:rPr>
        <w:rFonts w:hint="default" w:ascii="Times New Roman" w:hAnsi="Times New Roman" w:cs="Times New Roman"/>
      </w:rPr>
    </w:lvl>
    <w:lvl w:ilvl="2" w:tentative="0">
      <w:start w:val="1"/>
      <w:numFmt w:val="lowerRoman"/>
      <w:lvlText w:val="%3."/>
      <w:lvlJc w:val="right"/>
      <w:pPr>
        <w:ind w:left="1260" w:hanging="420"/>
      </w:pPr>
      <w:rPr>
        <w:rFonts w:hint="default" w:ascii="Times New Roman" w:hAnsi="Times New Roman" w:cs="Times New Roman"/>
      </w:rPr>
    </w:lvl>
    <w:lvl w:ilvl="3" w:tentative="0">
      <w:start w:val="1"/>
      <w:numFmt w:val="decimal"/>
      <w:lvlText w:val="%4."/>
      <w:lvlJc w:val="left"/>
      <w:pPr>
        <w:ind w:left="1680" w:hanging="420"/>
      </w:pPr>
      <w:rPr>
        <w:rFonts w:hint="default" w:ascii="Times New Roman" w:hAnsi="Times New Roman" w:cs="Times New Roman"/>
      </w:rPr>
    </w:lvl>
    <w:lvl w:ilvl="4" w:tentative="0">
      <w:start w:val="1"/>
      <w:numFmt w:val="lowerLetter"/>
      <w:lvlText w:val="%5)"/>
      <w:lvlJc w:val="left"/>
      <w:pPr>
        <w:ind w:left="2100" w:hanging="420"/>
      </w:pPr>
      <w:rPr>
        <w:rFonts w:hint="default" w:ascii="Times New Roman" w:hAnsi="Times New Roman" w:cs="Times New Roman"/>
      </w:rPr>
    </w:lvl>
    <w:lvl w:ilvl="5" w:tentative="0">
      <w:start w:val="1"/>
      <w:numFmt w:val="lowerRoman"/>
      <w:lvlText w:val="%6."/>
      <w:lvlJc w:val="right"/>
      <w:pPr>
        <w:ind w:left="2520" w:hanging="420"/>
      </w:pPr>
      <w:rPr>
        <w:rFonts w:hint="default" w:ascii="Times New Roman" w:hAnsi="Times New Roman" w:cs="Times New Roman"/>
      </w:rPr>
    </w:lvl>
    <w:lvl w:ilvl="6" w:tentative="0">
      <w:start w:val="1"/>
      <w:numFmt w:val="decimal"/>
      <w:lvlText w:val="%7."/>
      <w:lvlJc w:val="left"/>
      <w:pPr>
        <w:ind w:left="2940" w:hanging="420"/>
      </w:pPr>
      <w:rPr>
        <w:rFonts w:hint="default" w:ascii="Times New Roman" w:hAnsi="Times New Roman" w:cs="Times New Roman"/>
      </w:rPr>
    </w:lvl>
    <w:lvl w:ilvl="7" w:tentative="0">
      <w:start w:val="1"/>
      <w:numFmt w:val="lowerLetter"/>
      <w:lvlText w:val="%8)"/>
      <w:lvlJc w:val="left"/>
      <w:pPr>
        <w:ind w:left="3360" w:hanging="420"/>
      </w:pPr>
      <w:rPr>
        <w:rFonts w:hint="default" w:ascii="Times New Roman" w:hAnsi="Times New Roman" w:cs="Times New Roman"/>
      </w:rPr>
    </w:lvl>
    <w:lvl w:ilvl="8" w:tentative="0">
      <w:start w:val="1"/>
      <w:numFmt w:val="lowerRoman"/>
      <w:lvlText w:val="%9."/>
      <w:lvlJc w:val="right"/>
      <w:pPr>
        <w:ind w:left="3780" w:hanging="420"/>
      </w:pPr>
      <w:rPr>
        <w:rFonts w:hint="default" w:ascii="Times New Roman" w:hAnsi="Times New Roman" w:cs="Times New Roman"/>
      </w:rPr>
    </w:lvl>
  </w:abstractNum>
  <w:abstractNum w:abstractNumId="5">
    <w:nsid w:val="F54BF83F"/>
    <w:multiLevelType w:val="singleLevel"/>
    <w:tmpl w:val="F54BF83F"/>
    <w:lvl w:ilvl="0" w:tentative="0">
      <w:start w:val="1"/>
      <w:numFmt w:val="decimal"/>
      <w:suff w:val="space"/>
      <w:lvlText w:val="%1."/>
      <w:lvlJc w:val="left"/>
      <w:pPr>
        <w:ind w:left="0" w:firstLine="0"/>
      </w:p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9">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0">
    <w:nsid w:val="3CF6EF77"/>
    <w:multiLevelType w:val="singleLevel"/>
    <w:tmpl w:val="3CF6EF77"/>
    <w:lvl w:ilvl="0" w:tentative="0">
      <w:start w:val="1"/>
      <w:numFmt w:val="decimal"/>
      <w:lvlText w:val="%1."/>
      <w:lvlJc w:val="left"/>
      <w:pPr>
        <w:ind w:left="425" w:hanging="425"/>
      </w:pPr>
      <w:rPr>
        <w:rFonts w:hint="default"/>
        <w:highlight w:val="none"/>
      </w:rPr>
    </w:lvl>
  </w:abstractNum>
  <w:abstractNum w:abstractNumId="11">
    <w:nsid w:val="4AF0723E"/>
    <w:multiLevelType w:val="singleLevel"/>
    <w:tmpl w:val="4AF0723E"/>
    <w:lvl w:ilvl="0" w:tentative="0">
      <w:start w:val="2"/>
      <w:numFmt w:val="chineseCounting"/>
      <w:suff w:val="nothing"/>
      <w:lvlText w:val="%1、"/>
      <w:lvlJc w:val="left"/>
      <w:rPr>
        <w:rFonts w:hint="eastAsia"/>
      </w:rPr>
    </w:lvl>
  </w:abstractNum>
  <w:abstractNum w:abstractNumId="12">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4">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7">
    <w:nsid w:val="7DE9B8CD"/>
    <w:multiLevelType w:val="multilevel"/>
    <w:tmpl w:val="7DE9B8CD"/>
    <w:lvl w:ilvl="0" w:tentative="0">
      <w:start w:val="1"/>
      <w:numFmt w:val="decimal"/>
      <w:lvlText w:val="(%1)"/>
      <w:lvlJc w:val="left"/>
      <w:pPr>
        <w:ind w:left="420" w:hanging="420"/>
      </w:pPr>
      <w:rPr>
        <w:rFonts w:hint="eastAsia" w:ascii="宋体" w:hAnsi="宋体" w:eastAsia="宋体" w:cs="宋体"/>
      </w:rPr>
    </w:lvl>
    <w:lvl w:ilvl="1" w:tentative="0">
      <w:start w:val="1"/>
      <w:numFmt w:val="decimalEnclosedCircle"/>
      <w:lvlText w:val="%2"/>
      <w:lvlJc w:val="left"/>
      <w:pPr>
        <w:ind w:left="780" w:hanging="360"/>
      </w:pPr>
      <w:rPr>
        <w:rFonts w:hint="default" w:ascii="Times New Roman" w:hAnsi="Times New Roman" w:cs="Times New Roman"/>
      </w:rPr>
    </w:lvl>
    <w:lvl w:ilvl="2" w:tentative="0">
      <w:start w:val="1"/>
      <w:numFmt w:val="lowerRoman"/>
      <w:lvlText w:val="%3."/>
      <w:lvlJc w:val="right"/>
      <w:pPr>
        <w:ind w:left="1260" w:hanging="420"/>
      </w:pPr>
      <w:rPr>
        <w:rFonts w:hint="default" w:ascii="Times New Roman" w:hAnsi="Times New Roman" w:cs="Times New Roman"/>
      </w:rPr>
    </w:lvl>
    <w:lvl w:ilvl="3" w:tentative="0">
      <w:start w:val="1"/>
      <w:numFmt w:val="decimal"/>
      <w:lvlText w:val="%4."/>
      <w:lvlJc w:val="left"/>
      <w:pPr>
        <w:ind w:left="1680" w:hanging="420"/>
      </w:pPr>
      <w:rPr>
        <w:rFonts w:hint="default" w:ascii="Times New Roman" w:hAnsi="Times New Roman" w:cs="Times New Roman"/>
      </w:rPr>
    </w:lvl>
    <w:lvl w:ilvl="4" w:tentative="0">
      <w:start w:val="1"/>
      <w:numFmt w:val="lowerLetter"/>
      <w:lvlText w:val="%5)"/>
      <w:lvlJc w:val="left"/>
      <w:pPr>
        <w:ind w:left="2100" w:hanging="420"/>
      </w:pPr>
      <w:rPr>
        <w:rFonts w:hint="default" w:ascii="Times New Roman" w:hAnsi="Times New Roman" w:cs="Times New Roman"/>
      </w:rPr>
    </w:lvl>
    <w:lvl w:ilvl="5" w:tentative="0">
      <w:start w:val="1"/>
      <w:numFmt w:val="lowerRoman"/>
      <w:lvlText w:val="%6."/>
      <w:lvlJc w:val="right"/>
      <w:pPr>
        <w:ind w:left="2520" w:hanging="420"/>
      </w:pPr>
      <w:rPr>
        <w:rFonts w:hint="default" w:ascii="Times New Roman" w:hAnsi="Times New Roman" w:cs="Times New Roman"/>
      </w:rPr>
    </w:lvl>
    <w:lvl w:ilvl="6" w:tentative="0">
      <w:start w:val="1"/>
      <w:numFmt w:val="decimal"/>
      <w:lvlText w:val="%7."/>
      <w:lvlJc w:val="left"/>
      <w:pPr>
        <w:ind w:left="2940" w:hanging="420"/>
      </w:pPr>
      <w:rPr>
        <w:rFonts w:hint="default" w:ascii="Times New Roman" w:hAnsi="Times New Roman" w:cs="Times New Roman"/>
      </w:rPr>
    </w:lvl>
    <w:lvl w:ilvl="7" w:tentative="0">
      <w:start w:val="1"/>
      <w:numFmt w:val="lowerLetter"/>
      <w:lvlText w:val="%8)"/>
      <w:lvlJc w:val="left"/>
      <w:pPr>
        <w:ind w:left="3360" w:hanging="420"/>
      </w:pPr>
      <w:rPr>
        <w:rFonts w:hint="default" w:ascii="Times New Roman" w:hAnsi="Times New Roman" w:cs="Times New Roman"/>
      </w:rPr>
    </w:lvl>
    <w:lvl w:ilvl="8" w:tentative="0">
      <w:start w:val="1"/>
      <w:numFmt w:val="lowerRoman"/>
      <w:lvlText w:val="%9."/>
      <w:lvlJc w:val="right"/>
      <w:pPr>
        <w:ind w:left="3780" w:hanging="420"/>
      </w:pPr>
      <w:rPr>
        <w:rFonts w:hint="default" w:ascii="Times New Roman" w:hAnsi="Times New Roman" w:cs="Times New Roman"/>
      </w:rPr>
    </w:lvl>
  </w:abstractNum>
  <w:num w:numId="1">
    <w:abstractNumId w:val="12"/>
  </w:num>
  <w:num w:numId="2">
    <w:abstractNumId w:val="16"/>
  </w:num>
  <w:num w:numId="3">
    <w:abstractNumId w:val="15"/>
  </w:num>
  <w:num w:numId="4">
    <w:abstractNumId w:val="13"/>
  </w:num>
  <w:num w:numId="5">
    <w:abstractNumId w:val="7"/>
  </w:num>
  <w:num w:numId="6">
    <w:abstractNumId w:val="8"/>
  </w:num>
  <w:num w:numId="7">
    <w:abstractNumId w:val="9"/>
  </w:num>
  <w:num w:numId="8">
    <w:abstractNumId w:val="14"/>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1"/>
  </w:num>
  <w:num w:numId="12">
    <w:abstractNumId w:val="0"/>
  </w:num>
  <w:num w:numId="13">
    <w:abstractNumId w:val="10"/>
  </w:num>
  <w:num w:numId="14">
    <w:abstractNumId w:val="4"/>
  </w:num>
  <w:num w:numId="15">
    <w:abstractNumId w:val="17"/>
  </w:num>
  <w:num w:numId="16">
    <w:abstractNumId w:val="2"/>
  </w:num>
  <w:num w:numId="17">
    <w:abstractNumId w:val="6"/>
  </w:num>
  <w:num w:numId="18">
    <w:abstractNumId w:val="5"/>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AD1D60"/>
    <w:rsid w:val="02CC3DCA"/>
    <w:rsid w:val="02FE76EF"/>
    <w:rsid w:val="03F033B0"/>
    <w:rsid w:val="057C1D39"/>
    <w:rsid w:val="05891259"/>
    <w:rsid w:val="08633479"/>
    <w:rsid w:val="0CB51572"/>
    <w:rsid w:val="0E4D31E3"/>
    <w:rsid w:val="0FCF422E"/>
    <w:rsid w:val="10DC2AA3"/>
    <w:rsid w:val="10FA7C8C"/>
    <w:rsid w:val="130B198F"/>
    <w:rsid w:val="16A918E4"/>
    <w:rsid w:val="17D966D6"/>
    <w:rsid w:val="1BC71D3B"/>
    <w:rsid w:val="1C59115B"/>
    <w:rsid w:val="1FB23E60"/>
    <w:rsid w:val="226C7852"/>
    <w:rsid w:val="22C5630B"/>
    <w:rsid w:val="23164422"/>
    <w:rsid w:val="23725E6A"/>
    <w:rsid w:val="23EC0BA6"/>
    <w:rsid w:val="24701A48"/>
    <w:rsid w:val="268B0052"/>
    <w:rsid w:val="27743C90"/>
    <w:rsid w:val="287A719D"/>
    <w:rsid w:val="288A202F"/>
    <w:rsid w:val="29CA2459"/>
    <w:rsid w:val="2B271A58"/>
    <w:rsid w:val="2B6304A7"/>
    <w:rsid w:val="2CF6734C"/>
    <w:rsid w:val="2D663463"/>
    <w:rsid w:val="2EF96EE4"/>
    <w:rsid w:val="2FA329AD"/>
    <w:rsid w:val="34D85D0F"/>
    <w:rsid w:val="36254FE4"/>
    <w:rsid w:val="372F61E0"/>
    <w:rsid w:val="39322FCA"/>
    <w:rsid w:val="3AB90991"/>
    <w:rsid w:val="3B706131"/>
    <w:rsid w:val="3E6F041E"/>
    <w:rsid w:val="4275481E"/>
    <w:rsid w:val="428B617A"/>
    <w:rsid w:val="433D7BDC"/>
    <w:rsid w:val="437E1813"/>
    <w:rsid w:val="45BD47FC"/>
    <w:rsid w:val="45CC5FB2"/>
    <w:rsid w:val="469011FB"/>
    <w:rsid w:val="46B75BA8"/>
    <w:rsid w:val="4893255A"/>
    <w:rsid w:val="48C97955"/>
    <w:rsid w:val="49880C8F"/>
    <w:rsid w:val="4A8835F7"/>
    <w:rsid w:val="4B592E71"/>
    <w:rsid w:val="52B9239A"/>
    <w:rsid w:val="54885F3F"/>
    <w:rsid w:val="54BD78FD"/>
    <w:rsid w:val="58A86DDE"/>
    <w:rsid w:val="59154AD7"/>
    <w:rsid w:val="5ADF548D"/>
    <w:rsid w:val="5D5C60B4"/>
    <w:rsid w:val="63F04A69"/>
    <w:rsid w:val="64ED7AF8"/>
    <w:rsid w:val="66A50B1E"/>
    <w:rsid w:val="67B2063C"/>
    <w:rsid w:val="67C97AC3"/>
    <w:rsid w:val="67E30EC1"/>
    <w:rsid w:val="6A4E3B2B"/>
    <w:rsid w:val="6B481C3B"/>
    <w:rsid w:val="6C1331A3"/>
    <w:rsid w:val="6C8C0780"/>
    <w:rsid w:val="6CA84BC1"/>
    <w:rsid w:val="6D3E4756"/>
    <w:rsid w:val="6D7E7E75"/>
    <w:rsid w:val="6F660474"/>
    <w:rsid w:val="6FC523EB"/>
    <w:rsid w:val="71C022DB"/>
    <w:rsid w:val="72895F2E"/>
    <w:rsid w:val="72C02EBE"/>
    <w:rsid w:val="72C507AD"/>
    <w:rsid w:val="72D028D8"/>
    <w:rsid w:val="745D47C3"/>
    <w:rsid w:val="755C6111"/>
    <w:rsid w:val="75D84470"/>
    <w:rsid w:val="76AC3757"/>
    <w:rsid w:val="7CB93F8E"/>
    <w:rsid w:val="7CF66B46"/>
    <w:rsid w:val="7DBD28BA"/>
    <w:rsid w:val="7DCA03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 w:type="paragraph" w:customStyle="1" w:styleId="113">
    <w:name w:val="标书正文格式"/>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15.png"/><Relationship Id="rId28" Type="http://schemas.openxmlformats.org/officeDocument/2006/relationships/image" Target="media/image14.png"/><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15</Pages>
  <Words>4483</Words>
  <Characters>4767</Characters>
  <Lines>1</Lines>
  <Paragraphs>1</Paragraphs>
  <TotalTime>0</TotalTime>
  <ScaleCrop>false</ScaleCrop>
  <LinksUpToDate>false</LinksUpToDate>
  <CharactersWithSpaces>5033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年少轻狂</cp:lastModifiedBy>
  <cp:lastPrinted>2020-06-28T02:28:00Z</cp:lastPrinted>
  <dcterms:modified xsi:type="dcterms:W3CDTF">2025-11-03T03:15:30Z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