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WD615发动机装配拧紧能力提升项目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：中国重汽集团济南动力有限公司发动机厂</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22242"/>
      <w:bookmarkStart w:id="1" w:name="_Toc29994"/>
      <w:bookmarkStart w:id="2" w:name="_Toc5202"/>
      <w:bookmarkStart w:id="3" w:name="_Toc23693"/>
      <w:bookmarkStart w:id="4" w:name="_Toc15480"/>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项目名称：WD615发动机装配拧紧能力提升项目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项目编号：FSCZB2025100240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招标内容：改造缸盖主螺栓、缸盖副螺母拧紧机，新增飞轮、飞轮壳拧紧机。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邀请招标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招标人名称：中国重汽集团济南动力有限公司发动机厂</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招标人地址：济南市章丘区世纪大道7777号</w:t>
            </w:r>
            <w:r>
              <w:rPr>
                <w:rFonts w:hint="eastAsia" w:ascii="仿宋_GB2312" w:hAnsi="仿宋_GB2312" w:eastAsia="仿宋_GB2312" w:cs="仿宋_GB2312"/>
                <w:sz w:val="24"/>
                <w:szCs w:val="24"/>
              </w:rPr>
              <w:t xml:space="preserve"> </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widowControl w:val="0"/>
              <w:spacing w:line="240" w:lineRule="auto"/>
              <w:ind w:firstLine="481"/>
              <w:jc w:val="left"/>
              <w:rPr>
                <w:rFonts w:hint="default" w:ascii="宋体" w:hAnsi="宋体" w:eastAsia="宋体" w:cs="宋体"/>
                <w:b/>
                <w:caps/>
                <w:color w:val="auto"/>
                <w:kern w:val="2"/>
                <w:sz w:val="24"/>
                <w:szCs w:val="24"/>
                <w:highlight w:val="yellow"/>
                <w:u w:val="single"/>
                <w:lang w:val="en-US" w:eastAsia="zh-CN" w:bidi="ar-SA"/>
              </w:rPr>
            </w:pPr>
            <w:r>
              <w:rPr>
                <w:rFonts w:hint="eastAsia" w:ascii="宋体" w:hAnsi="宋体" w:eastAsia="宋体" w:cs="宋体"/>
                <w:b/>
                <w:caps/>
                <w:color w:val="auto"/>
                <w:kern w:val="2"/>
                <w:sz w:val="24"/>
                <w:szCs w:val="24"/>
                <w:highlight w:val="yellow"/>
                <w:u w:val="none"/>
                <w:lang w:val="en-US" w:eastAsia="zh-CN" w:bidi="ar-SA"/>
              </w:rPr>
              <w:t>技术联系人：</w:t>
            </w:r>
            <w:r>
              <w:rPr>
                <w:rFonts w:hint="eastAsia" w:ascii="宋体" w:hAnsi="宋体" w:eastAsia="宋体" w:cs="宋体"/>
                <w:b/>
                <w:caps/>
                <w:color w:val="auto"/>
                <w:kern w:val="2"/>
                <w:sz w:val="24"/>
                <w:szCs w:val="24"/>
                <w:highlight w:val="yellow"/>
                <w:u w:val="single"/>
                <w:lang w:val="en-US" w:eastAsia="zh-CN" w:bidi="ar-SA"/>
              </w:rPr>
              <w:t xml:space="preserve"> </w:t>
            </w:r>
            <w:r>
              <w:rPr>
                <w:rFonts w:hint="eastAsia" w:ascii="宋体" w:hAnsi="宋体" w:eastAsia="宋体" w:cs="宋体"/>
                <w:b w:val="0"/>
                <w:bCs/>
                <w:caps/>
                <w:color w:val="auto"/>
                <w:kern w:val="2"/>
                <w:sz w:val="24"/>
                <w:szCs w:val="24"/>
                <w:highlight w:val="yellow"/>
                <w:u w:val="single"/>
                <w:lang w:val="en-US" w:eastAsia="zh-CN" w:bidi="ar-SA"/>
              </w:rPr>
              <w:t xml:space="preserve">赵金超 </w:t>
            </w:r>
          </w:p>
          <w:p>
            <w:pPr>
              <w:widowControl w:val="0"/>
              <w:spacing w:line="240" w:lineRule="auto"/>
              <w:ind w:firstLine="482" w:firstLineChars="200"/>
              <w:jc w:val="both"/>
              <w:rPr>
                <w:rFonts w:hint="default" w:ascii="宋体" w:hAnsi="Courier New" w:eastAsiaTheme="minorEastAsia" w:cstheme="minorBidi"/>
                <w:color w:val="auto"/>
                <w:kern w:val="2"/>
                <w:sz w:val="21"/>
                <w:szCs w:val="22"/>
                <w:highlight w:val="yellow"/>
                <w:lang w:val="en-US" w:eastAsia="zh-CN" w:bidi="ar-SA"/>
              </w:rPr>
            </w:pPr>
            <w:r>
              <w:rPr>
                <w:rFonts w:hint="eastAsia" w:ascii="宋体" w:hAnsi="宋体" w:eastAsia="宋体" w:cs="宋体"/>
                <w:b/>
                <w:snapToGrid w:val="0"/>
                <w:color w:val="auto"/>
                <w:kern w:val="0"/>
                <w:sz w:val="24"/>
                <w:szCs w:val="24"/>
                <w:highlight w:val="yellow"/>
                <w:lang w:val="en-US" w:eastAsia="zh-CN" w:bidi="ar-SA"/>
              </w:rPr>
              <w:t>电话：</w:t>
            </w:r>
            <w:r>
              <w:rPr>
                <w:rFonts w:hint="eastAsia" w:ascii="宋体" w:hAnsi="宋体" w:eastAsia="宋体" w:cs="宋体"/>
                <w:color w:val="auto"/>
                <w:kern w:val="2"/>
                <w:sz w:val="24"/>
                <w:szCs w:val="24"/>
                <w:highlight w:val="yellow"/>
                <w:u w:val="single"/>
                <w:lang w:val="en-US" w:eastAsia="zh-CN" w:bidi="ar-SA"/>
              </w:rPr>
              <w:t xml:space="preserve"> 13869147522 </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color w:val="auto"/>
                <w:kern w:val="0"/>
                <w:sz w:val="24"/>
                <w:szCs w:val="24"/>
                <w:highlight w:val="yellow"/>
                <w:lang w:val="en-US" w:eastAsia="zh-CN"/>
              </w:rPr>
              <w:t>邮箱</w:t>
            </w:r>
            <w:r>
              <w:rPr>
                <w:rFonts w:hint="eastAsia" w:ascii="宋体" w:hAnsi="宋体" w:eastAsia="宋体" w:cs="宋体"/>
                <w:b/>
                <w:snapToGrid w:val="0"/>
                <w:color w:val="auto"/>
                <w:kern w:val="0"/>
                <w:sz w:val="24"/>
                <w:szCs w:val="24"/>
                <w:highlight w:val="yellow"/>
              </w:rPr>
              <w:t>：</w:t>
            </w:r>
            <w:r>
              <w:rPr>
                <w:rFonts w:hint="eastAsia" w:ascii="宋体" w:hAnsi="宋体" w:eastAsia="宋体" w:cs="宋体"/>
                <w:color w:val="auto"/>
                <w:sz w:val="24"/>
                <w:szCs w:val="24"/>
                <w:highlight w:val="yellow"/>
                <w:u w:val="single"/>
                <w:lang w:val="en-US" w:eastAsia="zh-CN"/>
              </w:rPr>
              <w:t xml:space="preserve"> zhaojinchao@sinotruk.com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240</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0万</w:t>
            </w:r>
            <w:r>
              <w:rPr>
                <w:rFonts w:hint="eastAsia" w:ascii="宋体" w:hAnsi="宋体" w:eastAsia="宋体" w:cs="宋体"/>
                <w:color w:val="000000"/>
                <w:sz w:val="24"/>
                <w:szCs w:val="24"/>
              </w:rPr>
              <w:t>人民币（或等值其他货币）；公司成立三年以上（以营业执照成立日期到开标当日满三年为准），且经营范围满足招标人需求；并在人员、设备、资金等方面具有承担本项目的能力；</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2.拟投标人应提供营业执照副本原件和扫描件（需盖章）；</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w:t>
            </w:r>
            <w:r>
              <w:rPr>
                <w:rFonts w:hint="eastAsia" w:hAnsi="宋体" w:eastAsia="宋体" w:cs="宋体"/>
                <w:color w:val="000000"/>
                <w:sz w:val="24"/>
                <w:szCs w:val="24"/>
                <w:lang w:val="en-US" w:eastAsia="zh-CN"/>
              </w:rPr>
              <w:t>文件</w:t>
            </w:r>
            <w:r>
              <w:rPr>
                <w:rFonts w:hint="eastAsia" w:ascii="宋体" w:hAnsi="宋体" w:eastAsia="宋体" w:cs="宋体"/>
                <w:color w:val="000000"/>
                <w:sz w:val="24"/>
                <w:szCs w:val="24"/>
              </w:rPr>
              <w:t>；</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4.拟投标人在国家市场监督管理总局的《国家企业信用信息公示系统》中查询不存在不良记录；</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6.拟投标人</w:t>
            </w:r>
            <w:r>
              <w:rPr>
                <w:rFonts w:hint="eastAsia" w:hAnsi="宋体" w:eastAsia="宋体" w:cs="宋体"/>
                <w:color w:val="000000"/>
                <w:sz w:val="24"/>
                <w:szCs w:val="24"/>
                <w:highlight w:val="none"/>
                <w:lang w:val="en-US" w:eastAsia="zh-CN"/>
              </w:rPr>
              <w:t>近三年</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且未显示异常；</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7.拟投标人</w:t>
            </w:r>
            <w:r>
              <w:rPr>
                <w:rFonts w:hint="eastAsia" w:hAnsi="宋体" w:eastAsia="宋体" w:cs="宋体"/>
                <w:color w:val="000000"/>
                <w:sz w:val="24"/>
                <w:szCs w:val="24"/>
                <w:lang w:val="en-US" w:eastAsia="zh-CN"/>
              </w:rPr>
              <w:t>近三年</w:t>
            </w:r>
            <w:r>
              <w:rPr>
                <w:rFonts w:hint="eastAsia" w:ascii="宋体" w:hAnsi="宋体" w:eastAsia="宋体" w:cs="宋体"/>
                <w:color w:val="000000"/>
                <w:sz w:val="24"/>
                <w:szCs w:val="24"/>
              </w:rPr>
              <w:t>有与本次招标内容相同或类似项目业绩</w:t>
            </w:r>
            <w:r>
              <w:rPr>
                <w:rFonts w:hint="eastAsia" w:hAnsi="宋体" w:eastAsia="宋体" w:cs="宋体"/>
                <w:color w:val="000000"/>
                <w:sz w:val="24"/>
                <w:szCs w:val="24"/>
                <w:highlight w:val="none"/>
                <w:lang w:val="en-US" w:eastAsia="zh-CN"/>
              </w:rPr>
              <w:t>（需出示合同）</w:t>
            </w:r>
            <w:r>
              <w:rPr>
                <w:rFonts w:hint="eastAsia" w:ascii="宋体" w:hAnsi="宋体" w:eastAsia="宋体" w:cs="宋体"/>
                <w:color w:val="000000"/>
                <w:sz w:val="24"/>
                <w:szCs w:val="24"/>
              </w:rPr>
              <w:t>，近三年内无因服务不当而造成重大事故；</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8.拟投标人近三年内在经营活动中无与本项目有关的违法及重大违规情况；</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9.拟投标人须认可招标人的工作指令，包括节、假日能正常开展工作的要求；</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10.拟投标人最近半年纳税正常；</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11.拟投标人信用证明材料（征信报告）未显示异常；</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12.拟投标人的直接或间接股东、法定代表人、董事、监事、高管非重汽员工及其亲属；</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w:t>
            </w:r>
            <w:r>
              <w:rPr>
                <w:rFonts w:hint="eastAsia" w:hAnsi="宋体" w:eastAsia="宋体" w:cs="宋体"/>
                <w:color w:val="000000"/>
                <w:sz w:val="24"/>
                <w:szCs w:val="24"/>
                <w:lang w:val="en-US" w:eastAsia="zh-CN"/>
              </w:rPr>
              <w:t>如为代理商投标，需获得生产厂家正式授权，提供授权书原件(代理品牌针对项目的唯一授权书)，保证提供原厂售后服务并提供原厂售后服务承诺书原件</w:t>
            </w:r>
            <w:r>
              <w:rPr>
                <w:rFonts w:hint="eastAsia" w:ascii="宋体" w:hAnsi="宋体" w:eastAsia="宋体" w:cs="宋体"/>
                <w:color w:val="000000"/>
                <w:sz w:val="24"/>
                <w:szCs w:val="24"/>
              </w:rPr>
              <w:t>；</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pPr>
              <w:pStyle w:val="22"/>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15.与招标人存在利害关系可能影响招标公正性的法人、其他组织或者个人，不得参加投标。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4 </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bookmarkStart w:id="153" w:name="_GoBack"/>
            <w:bookmarkEnd w:id="153"/>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7 </w:t>
            </w:r>
            <w:r>
              <w:rPr>
                <w:rFonts w:hint="eastAsia" w:ascii="宋体" w:hAnsi="宋体" w:eastAsia="宋体" w:cs="宋体"/>
                <w:bCs/>
                <w:sz w:val="24"/>
                <w:szCs w:val="24"/>
                <w:highlight w:val="yellow"/>
              </w:rPr>
              <w:t>日</w:t>
            </w:r>
            <w:r>
              <w:rPr>
                <w:rFonts w:hint="eastAsia" w:ascii="宋体" w:hAnsi="宋体" w:eastAsia="宋体" w:cs="宋体"/>
                <w:bCs/>
                <w:sz w:val="24"/>
                <w:szCs w:val="24"/>
                <w:highlight w:val="yellow"/>
                <w:lang w:val="en-US" w:eastAsia="zh-CN"/>
              </w:rPr>
              <w:t>前；</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7 </w:t>
            </w:r>
            <w:r>
              <w:rPr>
                <w:rFonts w:hint="eastAsia" w:ascii="宋体" w:hAnsi="宋体" w:eastAsia="宋体" w:cs="宋体"/>
                <w:bCs/>
                <w:sz w:val="24"/>
                <w:szCs w:val="24"/>
                <w:highlight w:val="yellow"/>
              </w:rPr>
              <w:t>日</w:t>
            </w:r>
            <w:r>
              <w:rPr>
                <w:rFonts w:hint="eastAsia" w:ascii="宋体" w:hAnsi="宋体" w:eastAsia="宋体" w:cs="宋体"/>
                <w:bCs/>
                <w:sz w:val="24"/>
                <w:szCs w:val="24"/>
                <w:highlight w:val="yellow"/>
                <w:lang w:val="en-US" w:eastAsia="zh-CN"/>
              </w:rPr>
              <w:t>前</w:t>
            </w:r>
            <w:r>
              <w:rPr>
                <w:rFonts w:hint="eastAsia" w:ascii="宋体" w:hAnsi="宋体" w:eastAsia="宋体" w:cs="宋体"/>
                <w:bCs/>
                <w:sz w:val="24"/>
                <w:szCs w:val="24"/>
                <w:highlight w:val="yellow"/>
              </w:rPr>
              <w:t>;</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6 </w:t>
            </w:r>
            <w:r>
              <w:rPr>
                <w:rFonts w:hint="eastAsia" w:eastAsia="宋体" w:cs="宋体"/>
                <w:highlight w:val="yellow"/>
              </w:rPr>
              <w:t>日</w:t>
            </w:r>
            <w:r>
              <w:rPr>
                <w:rFonts w:hint="eastAsia" w:eastAsia="宋体" w:cs="宋体"/>
                <w:highlight w:val="yellow"/>
                <w:lang w:val="en-US" w:eastAsia="zh-CN"/>
              </w:rPr>
              <w:t>17时00分00秒</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9</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rPr>
              <w:t>日</w:t>
            </w:r>
            <w:r>
              <w:rPr>
                <w:rFonts w:hint="eastAsia" w:eastAsia="宋体" w:cs="宋体"/>
                <w:highlight w:val="yellow"/>
                <w:lang w:val="en-US" w:eastAsia="zh-CN"/>
              </w:rPr>
              <w:t>17时00分00秒</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20000</w:t>
            </w:r>
            <w:r>
              <w:rPr>
                <w:rFonts w:hint="eastAsia" w:ascii="仿宋_GB2312" w:hAnsi="仿宋_GB2312" w:eastAsia="仿宋_GB2312" w:cs="仿宋_GB2312"/>
                <w:sz w:val="24"/>
                <w:szCs w:val="24"/>
              </w:rPr>
              <w:t>元</w:t>
            </w:r>
          </w:p>
          <w:p>
            <w:pPr>
              <w:ind w:left="479" w:leftChars="228"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开户名称：中国重汽集团济南动力有限公司发动机厂</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开户银行：中国银行章丘支行</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银行账号：2234 0557 4478</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支付联行号：1044 5104 0689</w:t>
            </w:r>
          </w:p>
          <w:p>
            <w:pPr>
              <w:ind w:left="479" w:leftChars="228"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9</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rPr>
              <w:t>日</w:t>
            </w:r>
            <w:r>
              <w:rPr>
                <w:rFonts w:hint="eastAsia" w:eastAsia="宋体" w:cs="宋体"/>
                <w:highlight w:val="yellow"/>
                <w:lang w:val="en-US" w:eastAsia="zh-CN"/>
              </w:rPr>
              <w:t>17时00分00秒</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10</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rPr>
              <w:t>日</w:t>
            </w:r>
            <w:r>
              <w:rPr>
                <w:rFonts w:hint="eastAsia" w:eastAsia="宋体" w:cs="宋体"/>
                <w:highlight w:val="yellow"/>
                <w:lang w:val="en-US" w:eastAsia="zh-CN"/>
              </w:rPr>
              <w:t>9时</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1.自合同生效后180个日历日内，中标人须交付设备到招标人指定的安装和使用的现场，并保证整套测试系统正常进入试运行状态。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sz w:val="24"/>
                <w:szCs w:val="24"/>
              </w:rPr>
              <w:t>中国重汽集团济南动力有限公司发动机厂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2"/>
              <w:ind w:firstLine="482" w:firstLineChars="200"/>
              <w:rPr>
                <w:rFonts w:hAnsi="宋体" w:eastAsia="宋体" w:cs="宋体"/>
                <w:color w:val="000000"/>
                <w:sz w:val="24"/>
                <w:szCs w:val="24"/>
                <w:highlight w:val="yellow"/>
              </w:rPr>
            </w:pPr>
            <w:r>
              <w:rPr>
                <w:rFonts w:hint="eastAsia" w:ascii="仿宋_GB2312" w:hAnsi="仿宋_GB2312" w:eastAsia="仿宋_GB2312" w:cs="仿宋_GB2312"/>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pStyle w:val="40"/>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1.合同生效后，卖方开具金额为该合同设备价格</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的增值税专用发票带</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的收据（含复印件二份），经买方依照财务制度审核无误后30个工作日支付合同价款的</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w:t>
            </w:r>
          </w:p>
          <w:p>
            <w:pPr>
              <w:pStyle w:val="40"/>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2.设备全部到齐且无质量问题，卖方提交金额为合同价款</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的增值税专用发票带0%的收据（含复印件二份），经买方依照财务制度审核无误后30个工作日支付合同价款的</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w:t>
            </w:r>
          </w:p>
          <w:p>
            <w:pPr>
              <w:pStyle w:val="40"/>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3.设备经现场安装、调试、终验收合格交付使用后，卖方提交金额为合同价款</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的收据并附带下列单据，经买方依照财务制度审核无误后30个工作日支付合同价款的</w:t>
            </w:r>
            <w:r>
              <w:rPr>
                <w:rFonts w:hint="eastAsia" w:ascii="宋体" w:hAnsi="宋体" w:cs="宋体"/>
                <w:sz w:val="24"/>
                <w:szCs w:val="24"/>
                <w:highlight w:val="yellow"/>
                <w:u w:val="single"/>
                <w:lang w:val="en-US" w:eastAsia="zh-CN"/>
              </w:rPr>
              <w:t xml:space="preserve"> 90% </w:t>
            </w:r>
            <w:r>
              <w:rPr>
                <w:rFonts w:hint="eastAsia" w:ascii="宋体" w:hAnsi="宋体" w:cs="宋体"/>
                <w:sz w:val="24"/>
                <w:szCs w:val="24"/>
                <w:lang w:val="en-US" w:eastAsia="zh-CN"/>
              </w:rPr>
              <w:t>。</w:t>
            </w:r>
          </w:p>
          <w:p>
            <w:pPr>
              <w:pStyle w:val="40"/>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a.金额为该合同设备价格</w:t>
            </w:r>
            <w:r>
              <w:rPr>
                <w:rFonts w:hint="eastAsia" w:ascii="宋体" w:hAnsi="宋体" w:cs="宋体"/>
                <w:sz w:val="24"/>
                <w:szCs w:val="24"/>
                <w:highlight w:val="yellow"/>
                <w:u w:val="single"/>
                <w:lang w:val="en-US" w:eastAsia="zh-CN"/>
              </w:rPr>
              <w:t>100%</w:t>
            </w:r>
            <w:r>
              <w:rPr>
                <w:rFonts w:hint="eastAsia" w:ascii="宋体" w:hAnsi="宋体" w:cs="宋体"/>
                <w:sz w:val="24"/>
                <w:szCs w:val="24"/>
                <w:lang w:val="en-US" w:eastAsia="zh-CN"/>
              </w:rPr>
              <w:t>的增值税专用发票（含复印件二份），具体开票信息详见发票信息表，根据表中所列分别开具增值税发票。</w:t>
            </w:r>
          </w:p>
          <w:p>
            <w:pPr>
              <w:pStyle w:val="40"/>
              <w:numPr>
                <w:ilvl w:val="0"/>
                <w:numId w:val="0"/>
              </w:numPr>
              <w:adjustRightInd w:val="0"/>
              <w:spacing w:after="0" w:line="240" w:lineRule="auto"/>
              <w:ind w:leftChars="200"/>
              <w:rPr>
                <w:rFonts w:hint="default" w:ascii="宋体" w:hAnsi="宋体" w:cs="宋体"/>
                <w:sz w:val="24"/>
                <w:szCs w:val="24"/>
                <w:lang w:val="en-US" w:eastAsia="zh-CN"/>
              </w:rPr>
            </w:pPr>
            <w:r>
              <w:rPr>
                <w:rFonts w:hint="eastAsia" w:ascii="宋体" w:hAnsi="宋体" w:cs="宋体"/>
                <w:sz w:val="24"/>
                <w:szCs w:val="24"/>
                <w:lang w:val="en-US" w:eastAsia="zh-CN"/>
              </w:rPr>
              <w:t>b.该套设备最终验收报告的原件及其复印件两份。</w:t>
            </w:r>
          </w:p>
          <w:p>
            <w:pPr>
              <w:pStyle w:val="40"/>
              <w:numPr>
                <w:ilvl w:val="0"/>
                <w:numId w:val="0"/>
              </w:numPr>
              <w:adjustRightInd w:val="0"/>
              <w:spacing w:after="0" w:line="240" w:lineRule="auto"/>
              <w:ind w:leftChars="200"/>
              <w:rPr>
                <w:rFonts w:hint="default" w:ascii="仿宋_GB2312" w:hAnsi="仿宋_GB2312" w:eastAsia="仿宋_GB2312" w:cs="仿宋_GB2312"/>
                <w:sz w:val="24"/>
                <w:szCs w:val="24"/>
                <w:highlight w:val="none"/>
                <w:lang w:val="en-US" w:eastAsia="zh-CN"/>
              </w:rPr>
            </w:pPr>
            <w:r>
              <w:rPr>
                <w:rFonts w:hint="eastAsia" w:ascii="宋体" w:hAnsi="宋体" w:cs="宋体"/>
                <w:sz w:val="24"/>
                <w:szCs w:val="24"/>
                <w:lang w:val="en-US" w:eastAsia="zh-CN"/>
              </w:rPr>
              <w:t>4.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9448"/>
      <w:bookmarkStart w:id="8" w:name="_Toc11216"/>
      <w:bookmarkStart w:id="9" w:name="_Toc6577"/>
      <w:bookmarkStart w:id="10" w:name="_Toc19183"/>
      <w:bookmarkStart w:id="11" w:name="_Toc27087"/>
      <w:bookmarkStart w:id="12" w:name="_Toc42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0534"/>
      <w:bookmarkStart w:id="20" w:name="_Toc33285487"/>
      <w:bookmarkStart w:id="21" w:name="_Toc33266914"/>
      <w:bookmarkStart w:id="22" w:name="_Toc33265653"/>
      <w:bookmarkStart w:id="23" w:name="_Toc33267001"/>
      <w:bookmarkStart w:id="24" w:name="_Toc33265752"/>
      <w:bookmarkStart w:id="25" w:name="_Toc33266627"/>
      <w:bookmarkStart w:id="26" w:name="_Toc33266950"/>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7002"/>
      <w:bookmarkStart w:id="29" w:name="_Toc33265654"/>
      <w:bookmarkStart w:id="30" w:name="_Toc33265753"/>
      <w:bookmarkStart w:id="31" w:name="_Toc395116634"/>
      <w:bookmarkStart w:id="32" w:name="_Toc33285489"/>
      <w:bookmarkStart w:id="33" w:name="_Toc33266951"/>
      <w:bookmarkStart w:id="34" w:name="_Toc33266915"/>
      <w:bookmarkStart w:id="35" w:name="_Toc33266628"/>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5"/>
      <w:bookmarkStart w:id="39" w:name="OLE_LINK28"/>
      <w:bookmarkStart w:id="40" w:name="OLE_LINK27"/>
      <w:bookmarkStart w:id="41" w:name="OLE_LINK26"/>
      <w:bookmarkStart w:id="42" w:name="OLE_LINK29"/>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13002"/>
      <w:bookmarkStart w:id="45" w:name="_Toc13479"/>
      <w:bookmarkStart w:id="46" w:name="_Toc21022"/>
      <w:bookmarkStart w:id="47" w:name="_Toc31869"/>
      <w:bookmarkStart w:id="48" w:name="_Toc762"/>
      <w:bookmarkStart w:id="49" w:name="_Toc2363"/>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4"/>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0" w:firstLineChars="200"/>
        <w:rPr>
          <w:rFonts w:hint="eastAsia" w:ascii="仿宋_GB2312" w:hAnsi="仿宋_GB2312" w:eastAsia="仿宋_GB2312" w:cs="仿宋_GB2312"/>
          <w:color w:val="000000"/>
          <w:sz w:val="24"/>
          <w:szCs w:val="24"/>
        </w:rPr>
      </w:pPr>
      <w:bookmarkStart w:id="54" w:name="_Toc536542319"/>
      <w:r>
        <w:rPr>
          <w:rFonts w:hint="eastAsia" w:ascii="仿宋_GB2312" w:hAnsi="仿宋_GB2312" w:eastAsia="仿宋_GB2312" w:cs="仿宋_GB2312"/>
          <w:color w:val="000000"/>
          <w:sz w:val="24"/>
          <w:szCs w:val="24"/>
        </w:rPr>
        <w:t>2.7投标产品技术支持材料</w:t>
      </w:r>
      <w:bookmarkEnd w:id="54"/>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5" w:name="OLE_LINK19"/>
      <w:bookmarkStart w:id="56" w:name="OLE_LINK18"/>
      <w:r>
        <w:rPr>
          <w:rFonts w:hint="eastAsia" w:ascii="仿宋_GB2312" w:hAnsi="仿宋_GB2312" w:eastAsia="仿宋_GB2312" w:cs="仿宋_GB2312"/>
          <w:b/>
          <w:color w:val="000000"/>
          <w:sz w:val="24"/>
          <w:szCs w:val="24"/>
        </w:rPr>
        <w:t>；</w:t>
      </w:r>
      <w:bookmarkEnd w:id="55"/>
      <w:bookmarkEnd w:id="56"/>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7" w:name="_Toc15748"/>
      <w:r>
        <w:rPr>
          <w:rFonts w:hint="eastAsia" w:ascii="仿宋_GB2312" w:hAnsi="仿宋_GB2312" w:eastAsia="仿宋_GB2312" w:cs="仿宋_GB2312"/>
          <w:sz w:val="36"/>
          <w:szCs w:val="36"/>
        </w:rPr>
        <w:t>四、投标文件格式</w:t>
      </w:r>
      <w:bookmarkEnd w:id="57"/>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8" w:name="_Toc13988"/>
      <w:bookmarkStart w:id="59" w:name="_Toc4029"/>
      <w:bookmarkStart w:id="60" w:name="_Toc7511"/>
      <w:bookmarkStart w:id="61" w:name="_Toc3372"/>
      <w:bookmarkStart w:id="62" w:name="_Toc4532"/>
      <w:bookmarkStart w:id="63" w:name="_Toc32378"/>
      <w:bookmarkStart w:id="64" w:name="_Toc23870"/>
      <w:bookmarkStart w:id="65" w:name="_Toc28236"/>
      <w:bookmarkStart w:id="66" w:name="_Toc13605"/>
      <w:bookmarkStart w:id="67" w:name="_Toc8032"/>
      <w:bookmarkStart w:id="68" w:name="_Toc13562"/>
      <w:bookmarkStart w:id="69" w:name="_Toc13555"/>
      <w:bookmarkStart w:id="70" w:name="_Toc24913"/>
      <w:bookmarkStart w:id="71" w:name="_Toc6957"/>
      <w:bookmarkStart w:id="72" w:name="_Toc14517"/>
      <w:bookmarkStart w:id="73" w:name="_Toc6346"/>
      <w:bookmarkStart w:id="74" w:name="_Toc24964"/>
      <w:bookmarkStart w:id="75" w:name="_Toc16358"/>
      <w:bookmarkStart w:id="76" w:name="_Toc3565"/>
      <w:bookmarkStart w:id="77" w:name="_Toc21497"/>
      <w:bookmarkStart w:id="78" w:name="_Toc22649"/>
      <w:bookmarkStart w:id="79" w:name="_Toc8202"/>
      <w:bookmarkStart w:id="80" w:name="_Toc20272"/>
      <w:bookmarkStart w:id="81" w:name="_Toc133783966"/>
      <w:bookmarkStart w:id="82" w:name="_Toc18805"/>
      <w:bookmarkStart w:id="83" w:name="_Toc12714"/>
      <w:bookmarkStart w:id="84" w:name="_Toc4483"/>
      <w:bookmarkStart w:id="85" w:name="_Toc7110"/>
      <w:bookmarkStart w:id="86" w:name="_Toc20467"/>
      <w:bookmarkStart w:id="87" w:name="_Toc4194"/>
      <w:bookmarkStart w:id="88" w:name="_Toc30738"/>
      <w:bookmarkStart w:id="89" w:name="_Toc19672"/>
      <w:bookmarkStart w:id="90" w:name="_Toc11355"/>
      <w:bookmarkStart w:id="91" w:name="_Toc18606"/>
      <w:bookmarkStart w:id="92" w:name="_Toc18182"/>
      <w:bookmarkStart w:id="93" w:name="_Toc12563"/>
      <w:bookmarkStart w:id="94" w:name="_Toc12552"/>
      <w:bookmarkStart w:id="95" w:name="_Toc1884"/>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6" w:name="_Toc10008"/>
      <w:r>
        <w:rPr>
          <w:rFonts w:hint="eastAsia" w:ascii="仿宋_GB2312" w:hAnsi="仿宋_GB2312" w:eastAsia="仿宋_GB2312" w:cs="仿宋_GB2312"/>
          <w:sz w:val="44"/>
          <w:highlight w:val="green"/>
        </w:rPr>
        <w:t>技术标书</w:t>
      </w:r>
      <w:bookmarkEnd w:id="96"/>
    </w:p>
    <w:p>
      <w:pPr>
        <w:shd w:val="clear" w:color="auto" w:fill="auto"/>
        <w:spacing w:line="480" w:lineRule="exact"/>
        <w:rPr>
          <w:rFonts w:hint="eastAsia" w:ascii="黑体" w:hAnsi="宋体" w:eastAsia="黑体"/>
          <w:sz w:val="44"/>
          <w:szCs w:val="44"/>
          <w:highlight w:val="none"/>
        </w:rPr>
      </w:pPr>
      <w:r>
        <w:rPr>
          <w:rFonts w:hint="eastAsia" w:ascii="黑体" w:hAnsi="宋体" w:eastAsia="黑体"/>
          <w:sz w:val="44"/>
          <w:szCs w:val="44"/>
          <w:highlight w:val="none"/>
        </w:rPr>
        <w:t>项目名称：中国重汽集团济南动力有限公司</w:t>
      </w:r>
    </w:p>
    <w:p>
      <w:pPr>
        <w:shd w:val="clear" w:color="auto" w:fill="auto"/>
        <w:spacing w:line="480" w:lineRule="exact"/>
        <w:rPr>
          <w:rFonts w:hint="eastAsia" w:ascii="黑体" w:hAnsi="宋体" w:eastAsia="黑体"/>
          <w:sz w:val="44"/>
          <w:szCs w:val="44"/>
          <w:highlight w:val="none"/>
        </w:rPr>
      </w:pPr>
    </w:p>
    <w:p>
      <w:pPr>
        <w:shd w:val="clear" w:color="auto" w:fill="auto"/>
        <w:spacing w:line="480" w:lineRule="exact"/>
        <w:jc w:val="center"/>
        <w:rPr>
          <w:rFonts w:ascii="黑体" w:hAnsi="宋体" w:eastAsia="黑体"/>
          <w:sz w:val="44"/>
          <w:szCs w:val="44"/>
          <w:highlight w:val="none"/>
          <w:u w:val="single"/>
        </w:rPr>
      </w:pPr>
      <w:r>
        <w:rPr>
          <w:rFonts w:hint="eastAsia" w:ascii="黑体" w:hAnsi="宋体" w:eastAsia="黑体"/>
          <w:sz w:val="44"/>
          <w:szCs w:val="44"/>
          <w:highlight w:val="none"/>
        </w:rPr>
        <w:t>WD615发动机装配拧紧能力提升项目</w:t>
      </w:r>
    </w:p>
    <w:p>
      <w:pPr>
        <w:shd w:val="clear" w:color="auto" w:fill="auto"/>
        <w:spacing w:line="480" w:lineRule="exact"/>
        <w:rPr>
          <w:rFonts w:hint="eastAsia" w:ascii="宋体" w:hAnsi="宋体"/>
          <w:highlight w:val="none"/>
        </w:rPr>
      </w:pPr>
    </w:p>
    <w:p>
      <w:pPr>
        <w:shd w:val="clear" w:color="auto" w:fill="auto"/>
        <w:spacing w:line="480" w:lineRule="exact"/>
        <w:rPr>
          <w:rFonts w:hint="eastAsia" w:ascii="宋体" w:hAnsi="宋体"/>
          <w:highlight w:val="none"/>
        </w:rPr>
      </w:pPr>
    </w:p>
    <w:p>
      <w:pPr>
        <w:shd w:val="clear" w:color="auto" w:fill="auto"/>
        <w:spacing w:line="480" w:lineRule="exact"/>
        <w:rPr>
          <w:rFonts w:hint="eastAsia" w:ascii="宋体" w:hAnsi="宋体"/>
          <w:highlight w:val="none"/>
        </w:rPr>
      </w:pPr>
    </w:p>
    <w:p>
      <w:pPr>
        <w:shd w:val="clear" w:color="auto" w:fill="auto"/>
        <w:spacing w:line="480" w:lineRule="exact"/>
        <w:jc w:val="center"/>
        <w:rPr>
          <w:rFonts w:hint="eastAsia" w:ascii="黑体" w:hAnsi="宋体" w:eastAsia="黑体"/>
          <w:sz w:val="44"/>
          <w:szCs w:val="44"/>
          <w:highlight w:val="none"/>
          <w:u w:val="single"/>
        </w:rPr>
      </w:pPr>
      <w:r>
        <w:rPr>
          <w:rFonts w:hint="eastAsia" w:ascii="黑体" w:hAnsi="宋体" w:eastAsia="黑体"/>
          <w:sz w:val="44"/>
          <w:szCs w:val="44"/>
          <w:highlight w:val="none"/>
        </w:rPr>
        <w:t>货物名称：拧紧设备</w:t>
      </w:r>
      <w:r>
        <w:rPr>
          <w:rFonts w:hint="eastAsia" w:ascii="黑体" w:hAnsi="宋体" w:eastAsia="黑体"/>
          <w:sz w:val="44"/>
          <w:szCs w:val="44"/>
          <w:highlight w:val="none"/>
          <w:lang w:val="en-US" w:eastAsia="zh-CN"/>
        </w:rPr>
        <w:t>提升改造</w:t>
      </w:r>
    </w:p>
    <w:p>
      <w:pPr>
        <w:shd w:val="clear" w:color="auto" w:fill="auto"/>
        <w:spacing w:line="480" w:lineRule="exact"/>
        <w:rPr>
          <w:rFonts w:hint="eastAsia" w:ascii="宋体" w:hAnsi="宋体"/>
          <w:highlight w:val="none"/>
        </w:rPr>
      </w:pPr>
    </w:p>
    <w:p>
      <w:pPr>
        <w:shd w:val="clear" w:color="auto" w:fill="auto"/>
        <w:overflowPunct w:val="0"/>
        <w:snapToGrid w:val="0"/>
        <w:spacing w:line="360" w:lineRule="auto"/>
        <w:rPr>
          <w:rFonts w:hint="eastAsia" w:ascii="宋体" w:hAnsi="宋体"/>
          <w:highlight w:val="none"/>
        </w:rPr>
      </w:pPr>
    </w:p>
    <w:p>
      <w:pPr>
        <w:shd w:val="clear" w:color="auto" w:fill="auto"/>
        <w:overflowPunct w:val="0"/>
        <w:snapToGrid w:val="0"/>
        <w:spacing w:line="360" w:lineRule="auto"/>
        <w:rPr>
          <w:rFonts w:hint="eastAsia" w:ascii="宋体" w:hAnsi="宋体"/>
          <w:highlight w:val="none"/>
        </w:rPr>
      </w:pPr>
    </w:p>
    <w:p>
      <w:pPr>
        <w:shd w:val="clear" w:color="auto" w:fill="auto"/>
        <w:overflowPunct w:val="0"/>
        <w:snapToGrid w:val="0"/>
        <w:spacing w:line="360" w:lineRule="auto"/>
        <w:ind w:firstLine="480"/>
        <w:rPr>
          <w:rFonts w:hint="eastAsia" w:ascii="宋体" w:hAnsi="宋体"/>
          <w:highlight w:val="none"/>
        </w:rPr>
      </w:pPr>
    </w:p>
    <w:p>
      <w:pPr>
        <w:shd w:val="clear" w:color="auto" w:fill="auto"/>
        <w:tabs>
          <w:tab w:val="left" w:pos="426"/>
        </w:tabs>
        <w:overflowPunct w:val="0"/>
        <w:snapToGrid w:val="0"/>
        <w:spacing w:line="360" w:lineRule="auto"/>
        <w:ind w:left="1115" w:leftChars="531" w:firstLine="140" w:firstLineChars="32"/>
        <w:rPr>
          <w:rFonts w:hint="eastAsia" w:ascii="黑体" w:hAnsi="宋体" w:eastAsia="黑体"/>
          <w:sz w:val="44"/>
          <w:szCs w:val="44"/>
          <w:highlight w:val="none"/>
          <w:lang w:val="en-US" w:eastAsia="zh-CN"/>
        </w:rPr>
      </w:pPr>
      <w:r>
        <w:rPr>
          <w:rFonts w:hint="eastAsia" w:ascii="黑体" w:hAnsi="宋体" w:eastAsia="黑体"/>
          <w:sz w:val="44"/>
          <w:szCs w:val="44"/>
          <w:highlight w:val="none"/>
        </w:rPr>
        <w:t>编制：</w:t>
      </w:r>
      <w:r>
        <w:rPr>
          <w:rFonts w:hint="eastAsia" w:ascii="黑体" w:hAnsi="宋体" w:eastAsia="黑体"/>
          <w:sz w:val="44"/>
          <w:szCs w:val="44"/>
          <w:highlight w:val="none"/>
          <w:lang w:val="en-US" w:eastAsia="zh-CN"/>
        </w:rPr>
        <w:t>赵金超</w:t>
      </w:r>
    </w:p>
    <w:p>
      <w:pPr>
        <w:shd w:val="clear" w:color="auto" w:fill="auto"/>
        <w:tabs>
          <w:tab w:val="left" w:pos="426"/>
        </w:tabs>
        <w:overflowPunct w:val="0"/>
        <w:snapToGrid w:val="0"/>
        <w:spacing w:line="360" w:lineRule="auto"/>
        <w:ind w:left="1115" w:leftChars="531" w:firstLine="140" w:firstLineChars="32"/>
        <w:rPr>
          <w:rFonts w:hint="eastAsia" w:ascii="黑体" w:hAnsi="宋体" w:eastAsia="黑体"/>
          <w:sz w:val="44"/>
          <w:szCs w:val="44"/>
          <w:highlight w:val="none"/>
          <w:lang w:val="en-US" w:eastAsia="zh-CN"/>
        </w:rPr>
      </w:pPr>
      <w:r>
        <w:rPr>
          <w:rFonts w:hint="eastAsia" w:ascii="黑体" w:hAnsi="宋体" w:eastAsia="黑体"/>
          <w:sz w:val="44"/>
          <w:szCs w:val="44"/>
          <w:highlight w:val="none"/>
        </w:rPr>
        <w:t>校对：</w:t>
      </w:r>
      <w:r>
        <w:rPr>
          <w:rFonts w:hint="eastAsia" w:ascii="黑体" w:hAnsi="宋体" w:eastAsia="黑体"/>
          <w:sz w:val="44"/>
          <w:szCs w:val="44"/>
          <w:highlight w:val="none"/>
          <w:lang w:val="en-US" w:eastAsia="zh-CN"/>
        </w:rPr>
        <w:t>荣铭宇</w:t>
      </w:r>
    </w:p>
    <w:p>
      <w:pPr>
        <w:shd w:val="clear" w:color="auto" w:fill="auto"/>
        <w:tabs>
          <w:tab w:val="left" w:pos="426"/>
        </w:tabs>
        <w:overflowPunct w:val="0"/>
        <w:snapToGrid w:val="0"/>
        <w:spacing w:line="360" w:lineRule="auto"/>
        <w:ind w:left="1115" w:leftChars="531" w:firstLine="140" w:firstLineChars="32"/>
        <w:rPr>
          <w:rFonts w:hint="default" w:ascii="黑体" w:hAnsi="宋体" w:eastAsia="黑体"/>
          <w:sz w:val="44"/>
          <w:szCs w:val="44"/>
          <w:highlight w:val="none"/>
          <w:lang w:val="en-US" w:eastAsia="zh-CN"/>
        </w:rPr>
      </w:pPr>
      <w:r>
        <w:rPr>
          <w:rFonts w:hint="eastAsia" w:ascii="黑体" w:hAnsi="宋体" w:eastAsia="黑体"/>
          <w:sz w:val="44"/>
          <w:szCs w:val="44"/>
          <w:highlight w:val="none"/>
        </w:rPr>
        <w:t>会签：</w:t>
      </w:r>
      <w:r>
        <w:rPr>
          <w:rFonts w:hint="eastAsia" w:ascii="黑体" w:hAnsi="宋体" w:eastAsia="黑体"/>
          <w:sz w:val="44"/>
          <w:szCs w:val="44"/>
          <w:highlight w:val="none"/>
          <w:lang w:val="en-US" w:eastAsia="zh-CN"/>
        </w:rPr>
        <w:t>王权、王治禹、张传明、李庆军</w:t>
      </w:r>
    </w:p>
    <w:p>
      <w:pPr>
        <w:shd w:val="clear" w:color="auto" w:fill="auto"/>
        <w:tabs>
          <w:tab w:val="left" w:pos="426"/>
        </w:tabs>
        <w:overflowPunct w:val="0"/>
        <w:snapToGrid w:val="0"/>
        <w:spacing w:line="360" w:lineRule="auto"/>
        <w:ind w:left="1115" w:leftChars="531" w:firstLine="140" w:firstLineChars="32"/>
        <w:rPr>
          <w:rFonts w:hint="eastAsia" w:ascii="黑体" w:hAnsi="宋体" w:eastAsia="黑体"/>
          <w:sz w:val="44"/>
          <w:szCs w:val="44"/>
          <w:highlight w:val="none"/>
          <w:lang w:val="en-US" w:eastAsia="zh-CN"/>
        </w:rPr>
      </w:pPr>
      <w:r>
        <w:rPr>
          <w:rFonts w:hint="eastAsia" w:ascii="黑体" w:hAnsi="宋体" w:eastAsia="黑体"/>
          <w:sz w:val="44"/>
          <w:szCs w:val="44"/>
          <w:highlight w:val="none"/>
        </w:rPr>
        <w:t>审核：</w:t>
      </w:r>
      <w:r>
        <w:rPr>
          <w:rFonts w:hint="eastAsia" w:ascii="黑体" w:hAnsi="宋体" w:eastAsia="黑体"/>
          <w:sz w:val="44"/>
          <w:szCs w:val="44"/>
          <w:highlight w:val="none"/>
          <w:lang w:val="en-US" w:eastAsia="zh-CN"/>
        </w:rPr>
        <w:t>庄福河</w:t>
      </w:r>
    </w:p>
    <w:p>
      <w:pPr>
        <w:shd w:val="clear" w:color="auto" w:fill="auto"/>
        <w:tabs>
          <w:tab w:val="left" w:pos="426"/>
        </w:tabs>
        <w:overflowPunct w:val="0"/>
        <w:snapToGrid w:val="0"/>
        <w:spacing w:line="360" w:lineRule="auto"/>
        <w:ind w:left="1115" w:leftChars="531" w:firstLine="140" w:firstLineChars="32"/>
        <w:rPr>
          <w:rFonts w:hint="eastAsia" w:ascii="黑体" w:hAnsi="宋体" w:eastAsia="黑体"/>
          <w:sz w:val="44"/>
          <w:szCs w:val="44"/>
          <w:highlight w:val="none"/>
          <w:lang w:val="en-US" w:eastAsia="zh-CN"/>
        </w:rPr>
      </w:pPr>
      <w:r>
        <w:rPr>
          <w:rFonts w:hint="eastAsia" w:ascii="黑体" w:hAnsi="宋体" w:eastAsia="黑体"/>
          <w:sz w:val="44"/>
          <w:szCs w:val="44"/>
          <w:highlight w:val="none"/>
        </w:rPr>
        <w:t>批准：</w:t>
      </w:r>
      <w:r>
        <w:rPr>
          <w:rFonts w:hint="eastAsia" w:ascii="黑体" w:hAnsi="宋体" w:eastAsia="黑体"/>
          <w:sz w:val="44"/>
          <w:szCs w:val="44"/>
          <w:highlight w:val="none"/>
          <w:lang w:val="en-US" w:eastAsia="zh-CN"/>
        </w:rPr>
        <w:t>李成伍</w:t>
      </w:r>
    </w:p>
    <w:p>
      <w:pPr>
        <w:shd w:val="clear" w:color="auto" w:fill="auto"/>
        <w:tabs>
          <w:tab w:val="left" w:pos="426"/>
        </w:tabs>
        <w:overflowPunct w:val="0"/>
        <w:snapToGrid w:val="0"/>
        <w:spacing w:line="360" w:lineRule="auto"/>
        <w:ind w:left="1115" w:leftChars="531" w:firstLine="140" w:firstLineChars="32"/>
        <w:rPr>
          <w:rFonts w:hint="default" w:ascii="黑体" w:hAnsi="宋体" w:eastAsia="黑体"/>
          <w:sz w:val="44"/>
          <w:szCs w:val="44"/>
          <w:highlight w:val="none"/>
          <w:lang w:val="en-US" w:eastAsia="zh-CN"/>
        </w:rPr>
      </w:pPr>
      <w:r>
        <w:rPr>
          <w:rFonts w:hint="eastAsia" w:ascii="黑体" w:hAnsi="宋体" w:eastAsia="黑体"/>
          <w:sz w:val="44"/>
          <w:szCs w:val="44"/>
          <w:highlight w:val="none"/>
        </w:rPr>
        <w:t>日期：</w:t>
      </w:r>
      <w:r>
        <w:rPr>
          <w:rFonts w:hint="eastAsia" w:ascii="黑体" w:hAnsi="宋体" w:eastAsia="黑体"/>
          <w:sz w:val="44"/>
          <w:szCs w:val="44"/>
          <w:highlight w:val="none"/>
          <w:lang w:val="en-US" w:eastAsia="zh-CN"/>
        </w:rPr>
        <w:t>2025.10.28</w:t>
      </w:r>
    </w:p>
    <w:p>
      <w:pPr>
        <w:shd w:val="clear" w:color="auto" w:fill="auto"/>
        <w:rPr>
          <w:rFonts w:hint="eastAsia" w:ascii="黑体" w:hAnsi="宋体" w:eastAsia="黑体"/>
          <w:sz w:val="44"/>
          <w:szCs w:val="44"/>
          <w:highlight w:val="none"/>
        </w:rPr>
      </w:pPr>
    </w:p>
    <w:p>
      <w:pPr>
        <w:shd w:val="clear" w:color="auto" w:fill="auto"/>
        <w:ind w:firstLine="880"/>
        <w:rPr>
          <w:rFonts w:hint="eastAsia" w:ascii="黑体" w:hAnsi="宋体" w:eastAsia="黑体"/>
          <w:sz w:val="44"/>
          <w:szCs w:val="44"/>
          <w:highlight w:val="none"/>
        </w:rPr>
      </w:pPr>
    </w:p>
    <w:p>
      <w:pPr>
        <w:shd w:val="clear" w:color="auto" w:fill="auto"/>
        <w:ind w:firstLine="880"/>
        <w:rPr>
          <w:rFonts w:hint="eastAsia" w:ascii="黑体" w:hAnsi="宋体" w:eastAsia="黑体"/>
          <w:sz w:val="44"/>
          <w:szCs w:val="44"/>
          <w:highlight w:val="none"/>
        </w:rPr>
      </w:pPr>
    </w:p>
    <w:p>
      <w:pPr>
        <w:shd w:val="clear" w:color="auto" w:fill="auto"/>
        <w:ind w:firstLine="880"/>
        <w:rPr>
          <w:rFonts w:hint="eastAsia" w:ascii="黑体" w:hAnsi="宋体" w:eastAsia="黑体"/>
          <w:sz w:val="44"/>
          <w:szCs w:val="44"/>
          <w:highlight w:val="none"/>
        </w:rPr>
      </w:pPr>
    </w:p>
    <w:p>
      <w:pPr>
        <w:shd w:val="clear" w:color="auto" w:fill="auto"/>
        <w:spacing w:line="480" w:lineRule="exact"/>
        <w:jc w:val="center"/>
        <w:rPr>
          <w:rFonts w:hint="eastAsia" w:ascii="宋体" w:hAnsi="宋体"/>
          <w:sz w:val="44"/>
          <w:szCs w:val="44"/>
          <w:highlight w:val="none"/>
        </w:rPr>
      </w:pPr>
      <w:r>
        <w:rPr>
          <w:rFonts w:hint="eastAsia" w:ascii="黑体" w:hAnsi="宋体" w:eastAsia="黑体"/>
          <w:sz w:val="44"/>
          <w:szCs w:val="44"/>
          <w:highlight w:val="none"/>
        </w:rPr>
        <w:t>目</w:t>
      </w:r>
      <w:r>
        <w:rPr>
          <w:rFonts w:hint="eastAsia" w:ascii="黑体" w:hAnsi="宋体" w:eastAsia="黑体"/>
          <w:sz w:val="44"/>
          <w:szCs w:val="44"/>
          <w:highlight w:val="none"/>
          <w:lang w:val="en-US" w:eastAsia="zh-CN"/>
        </w:rPr>
        <w:t xml:space="preserve">  </w:t>
      </w:r>
      <w:r>
        <w:rPr>
          <w:rFonts w:hint="eastAsia" w:ascii="黑体" w:hAnsi="宋体" w:eastAsia="黑体"/>
          <w:sz w:val="44"/>
          <w:szCs w:val="44"/>
          <w:highlight w:val="none"/>
        </w:rPr>
        <w:t>录</w:t>
      </w:r>
    </w:p>
    <w:p>
      <w:pPr>
        <w:shd w:val="clear" w:color="auto" w:fill="auto"/>
        <w:spacing w:line="480" w:lineRule="exact"/>
        <w:rPr>
          <w:rFonts w:hint="eastAsia" w:ascii="宋体" w:hAnsi="宋体"/>
          <w:color w:val="auto"/>
          <w:highlight w:val="none"/>
        </w:rPr>
      </w:pP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TOC \o "1-2" \h \z \u </w:instrText>
      </w:r>
      <w:r>
        <w:rPr>
          <w:rFonts w:hint="eastAsia" w:ascii="宋体" w:hAnsi="宋体"/>
          <w:color w:val="auto"/>
          <w:sz w:val="24"/>
          <w:szCs w:val="24"/>
          <w:highlight w:val="none"/>
        </w:rPr>
        <w:fldChar w:fldCharType="separate"/>
      </w: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_Toc2567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第一章采购货物概况</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_Toc2567 </w:instrText>
      </w:r>
      <w:r>
        <w:rPr>
          <w:color w:val="auto"/>
          <w:sz w:val="24"/>
          <w:szCs w:val="24"/>
          <w:highlight w:val="none"/>
        </w:rPr>
        <w:fldChar w:fldCharType="separate"/>
      </w:r>
      <w:r>
        <w:rPr>
          <w:color w:val="auto"/>
          <w:sz w:val="24"/>
          <w:szCs w:val="24"/>
          <w:highlight w:val="none"/>
        </w:rPr>
        <w:t>1</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_Toc32262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第二章技术要求</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_Toc32262 </w:instrText>
      </w:r>
      <w:r>
        <w:rPr>
          <w:color w:val="auto"/>
          <w:sz w:val="24"/>
          <w:szCs w:val="24"/>
          <w:highlight w:val="none"/>
        </w:rPr>
        <w:fldChar w:fldCharType="separate"/>
      </w:r>
      <w:r>
        <w:rPr>
          <w:color w:val="auto"/>
          <w:sz w:val="24"/>
          <w:szCs w:val="24"/>
          <w:highlight w:val="none"/>
        </w:rPr>
        <w:t>3</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_Toc10963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第三章供货范围及供货方式</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_Toc10963 </w:instrText>
      </w:r>
      <w:r>
        <w:rPr>
          <w:color w:val="auto"/>
          <w:sz w:val="24"/>
          <w:szCs w:val="24"/>
          <w:highlight w:val="none"/>
        </w:rPr>
        <w:fldChar w:fldCharType="separate"/>
      </w:r>
      <w:r>
        <w:rPr>
          <w:color w:val="auto"/>
          <w:sz w:val="24"/>
          <w:szCs w:val="24"/>
          <w:highlight w:val="none"/>
        </w:rPr>
        <w:t>11</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_Toc30960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第四章售中售后服务</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_Toc30960 </w:instrText>
      </w:r>
      <w:r>
        <w:rPr>
          <w:color w:val="auto"/>
          <w:sz w:val="24"/>
          <w:szCs w:val="24"/>
          <w:highlight w:val="none"/>
        </w:rPr>
        <w:fldChar w:fldCharType="separate"/>
      </w:r>
      <w:r>
        <w:rPr>
          <w:color w:val="auto"/>
          <w:sz w:val="24"/>
          <w:szCs w:val="24"/>
          <w:highlight w:val="none"/>
        </w:rPr>
        <w:t>16</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_Toc21539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第五章预验收和终验收</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_Toc21539 </w:instrText>
      </w:r>
      <w:r>
        <w:rPr>
          <w:color w:val="auto"/>
          <w:sz w:val="24"/>
          <w:szCs w:val="24"/>
          <w:highlight w:val="none"/>
        </w:rPr>
        <w:fldChar w:fldCharType="separate"/>
      </w:r>
      <w:r>
        <w:rPr>
          <w:color w:val="auto"/>
          <w:sz w:val="24"/>
          <w:szCs w:val="24"/>
          <w:highlight w:val="none"/>
        </w:rPr>
        <w:t>18</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sz w:val="24"/>
          <w:szCs w:val="24"/>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_Toc12996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第六章投标技术文件一般要求</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_Toc12996 </w:instrText>
      </w:r>
      <w:r>
        <w:rPr>
          <w:color w:val="auto"/>
          <w:sz w:val="24"/>
          <w:szCs w:val="24"/>
          <w:highlight w:val="none"/>
        </w:rPr>
        <w:fldChar w:fldCharType="separate"/>
      </w:r>
      <w:r>
        <w:rPr>
          <w:color w:val="auto"/>
          <w:sz w:val="24"/>
          <w:szCs w:val="24"/>
          <w:highlight w:val="none"/>
        </w:rPr>
        <w:t>21</w:t>
      </w:r>
      <w:r>
        <w:rPr>
          <w:color w:val="auto"/>
          <w:sz w:val="24"/>
          <w:szCs w:val="24"/>
          <w:highlight w:val="none"/>
        </w:rPr>
        <w:fldChar w:fldCharType="end"/>
      </w:r>
      <w:r>
        <w:rPr>
          <w:rFonts w:hint="eastAsia" w:ascii="宋体" w:hAnsi="宋体"/>
          <w:color w:val="auto"/>
          <w:sz w:val="24"/>
          <w:szCs w:val="24"/>
          <w:highlight w:val="none"/>
        </w:rPr>
        <w:fldChar w:fldCharType="end"/>
      </w:r>
    </w:p>
    <w:p>
      <w:pPr>
        <w:pStyle w:val="29"/>
        <w:shd w:val="clear" w:color="auto" w:fill="auto"/>
        <w:tabs>
          <w:tab w:val="right" w:leader="dot" w:pos="8787"/>
        </w:tabs>
        <w:spacing w:line="480" w:lineRule="auto"/>
        <w:rPr>
          <w:color w:val="auto"/>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HYPERLINK \l _Toc31849 </w:instrText>
      </w:r>
      <w:r>
        <w:rPr>
          <w:rFonts w:hint="eastAsia" w:ascii="宋体" w:hAnsi="宋体"/>
          <w:color w:val="auto"/>
          <w:sz w:val="24"/>
          <w:szCs w:val="24"/>
          <w:highlight w:val="none"/>
        </w:rPr>
        <w:fldChar w:fldCharType="separate"/>
      </w:r>
      <w:r>
        <w:rPr>
          <w:rFonts w:hint="eastAsia" w:ascii="黑体" w:eastAsia="黑体"/>
          <w:color w:val="auto"/>
          <w:sz w:val="24"/>
          <w:szCs w:val="36"/>
          <w:highlight w:val="none"/>
        </w:rPr>
        <w:t>第七章其它要求及说明</w:t>
      </w:r>
      <w:r>
        <w:rPr>
          <w:color w:val="auto"/>
          <w:sz w:val="24"/>
          <w:szCs w:val="24"/>
          <w:highlight w:val="none"/>
        </w:rPr>
        <w:tab/>
      </w:r>
      <w:r>
        <w:rPr>
          <w:color w:val="auto"/>
          <w:sz w:val="24"/>
          <w:szCs w:val="24"/>
          <w:highlight w:val="none"/>
        </w:rPr>
        <w:fldChar w:fldCharType="begin"/>
      </w:r>
      <w:r>
        <w:rPr>
          <w:color w:val="auto"/>
          <w:sz w:val="24"/>
          <w:szCs w:val="24"/>
          <w:highlight w:val="none"/>
        </w:rPr>
        <w:instrText xml:space="preserve"> PAGEREF _Toc31849 </w:instrText>
      </w:r>
      <w:r>
        <w:rPr>
          <w:color w:val="auto"/>
          <w:sz w:val="24"/>
          <w:szCs w:val="24"/>
          <w:highlight w:val="none"/>
        </w:rPr>
        <w:fldChar w:fldCharType="separate"/>
      </w:r>
      <w:r>
        <w:rPr>
          <w:color w:val="auto"/>
          <w:sz w:val="24"/>
          <w:szCs w:val="24"/>
          <w:highlight w:val="none"/>
        </w:rPr>
        <w:t>23</w:t>
      </w:r>
      <w:r>
        <w:rPr>
          <w:color w:val="auto"/>
          <w:sz w:val="24"/>
          <w:szCs w:val="24"/>
          <w:highlight w:val="none"/>
        </w:rPr>
        <w:fldChar w:fldCharType="end"/>
      </w:r>
      <w:r>
        <w:rPr>
          <w:rFonts w:hint="eastAsia" w:ascii="宋体" w:hAnsi="宋体"/>
          <w:color w:val="auto"/>
          <w:sz w:val="24"/>
          <w:szCs w:val="24"/>
          <w:highlight w:val="none"/>
        </w:rPr>
        <w:fldChar w:fldCharType="end"/>
      </w:r>
    </w:p>
    <w:p>
      <w:pPr>
        <w:shd w:val="clear" w:color="auto" w:fill="auto"/>
        <w:spacing w:line="480" w:lineRule="auto"/>
        <w:rPr>
          <w:rFonts w:hint="eastAsia" w:ascii="宋体" w:hAnsi="宋体"/>
          <w:highlight w:val="none"/>
        </w:rPr>
      </w:pPr>
      <w:r>
        <w:rPr>
          <w:rFonts w:hint="eastAsia" w:ascii="宋体" w:hAnsi="宋体"/>
          <w:color w:val="auto"/>
          <w:highlight w:val="none"/>
        </w:rPr>
        <w:fldChar w:fldCharType="end"/>
      </w:r>
    </w:p>
    <w:p>
      <w:pPr>
        <w:shd w:val="clear" w:color="auto" w:fill="auto"/>
        <w:spacing w:line="480" w:lineRule="exact"/>
        <w:ind w:firstLine="840" w:firstLineChars="400"/>
        <w:rPr>
          <w:rFonts w:hint="eastAsia" w:ascii="黑体" w:hAnsi="宋体" w:eastAsia="黑体"/>
          <w:highlight w:val="none"/>
        </w:rPr>
      </w:pPr>
    </w:p>
    <w:p>
      <w:pPr>
        <w:shd w:val="clear" w:color="auto" w:fill="auto"/>
        <w:spacing w:line="480" w:lineRule="exact"/>
        <w:ind w:firstLine="840" w:firstLineChars="400"/>
        <w:rPr>
          <w:rFonts w:hint="eastAsia" w:ascii="黑体" w:hAnsi="宋体" w:eastAsia="黑体"/>
          <w:highlight w:val="none"/>
        </w:rPr>
      </w:pPr>
    </w:p>
    <w:p>
      <w:pPr>
        <w:shd w:val="clear" w:color="auto" w:fill="auto"/>
        <w:spacing w:line="480" w:lineRule="exact"/>
        <w:ind w:firstLine="840" w:firstLineChars="400"/>
        <w:rPr>
          <w:rFonts w:ascii="黑体" w:hAnsi="宋体" w:eastAsia="黑体"/>
          <w:highlight w:val="none"/>
        </w:rPr>
        <w:sectPr>
          <w:headerReference r:id="rId8" w:type="default"/>
          <w:footerReference r:id="rId9" w:type="default"/>
          <w:pgSz w:w="11906" w:h="16838"/>
          <w:pgMar w:top="1701" w:right="1418" w:bottom="1134" w:left="1701" w:header="737" w:footer="680" w:gutter="0"/>
          <w:pgNumType w:start="1"/>
          <w:cols w:space="720" w:num="1"/>
          <w:docGrid w:type="lines" w:linePitch="312" w:charSpace="0"/>
        </w:sectPr>
      </w:pPr>
    </w:p>
    <w:p>
      <w:pPr>
        <w:pStyle w:val="2"/>
        <w:shd w:val="clear" w:color="auto" w:fill="auto"/>
        <w:spacing w:before="120" w:after="120" w:line="480" w:lineRule="exact"/>
        <w:jc w:val="center"/>
        <w:rPr>
          <w:rFonts w:hint="eastAsia" w:ascii="黑体" w:eastAsia="黑体"/>
          <w:b w:val="0"/>
          <w:sz w:val="24"/>
          <w:szCs w:val="24"/>
          <w:highlight w:val="none"/>
        </w:rPr>
      </w:pPr>
      <w:bookmarkStart w:id="97" w:name="_Toc28854"/>
      <w:bookmarkStart w:id="98" w:name="_Toc1271"/>
      <w:bookmarkStart w:id="99" w:name="_Toc2894"/>
      <w:bookmarkStart w:id="100" w:name="_Toc2567"/>
      <w:r>
        <w:rPr>
          <w:rFonts w:hint="eastAsia" w:ascii="黑体" w:eastAsia="黑体"/>
          <w:b w:val="0"/>
          <w:sz w:val="24"/>
          <w:szCs w:val="24"/>
          <w:highlight w:val="none"/>
        </w:rPr>
        <w:t>第一章采购货物概况</w:t>
      </w:r>
      <w:bookmarkEnd w:id="97"/>
      <w:bookmarkEnd w:id="98"/>
      <w:bookmarkEnd w:id="99"/>
      <w:bookmarkEnd w:id="100"/>
    </w:p>
    <w:p>
      <w:pPr>
        <w:pStyle w:val="4"/>
        <w:shd w:val="clear" w:color="auto" w:fill="auto"/>
        <w:spacing w:before="120" w:after="120" w:line="480" w:lineRule="exact"/>
        <w:jc w:val="center"/>
        <w:rPr>
          <w:rFonts w:hint="eastAsia"/>
          <w:b w:val="0"/>
          <w:sz w:val="24"/>
          <w:szCs w:val="24"/>
          <w:highlight w:val="none"/>
        </w:rPr>
      </w:pPr>
      <w:bookmarkStart w:id="101" w:name="_Toc9247"/>
      <w:bookmarkStart w:id="102" w:name="_Toc13530"/>
      <w:bookmarkStart w:id="103" w:name="_Toc24900"/>
      <w:bookmarkStart w:id="104" w:name="_Toc13953"/>
      <w:bookmarkStart w:id="105" w:name="_Toc137705866"/>
      <w:r>
        <w:rPr>
          <w:rFonts w:hint="eastAsia"/>
          <w:b w:val="0"/>
          <w:sz w:val="24"/>
          <w:szCs w:val="24"/>
          <w:highlight w:val="none"/>
        </w:rPr>
        <w:t>第一节使用环境</w:t>
      </w:r>
      <w:bookmarkEnd w:id="101"/>
      <w:bookmarkEnd w:id="102"/>
      <w:bookmarkEnd w:id="103"/>
      <w:bookmarkEnd w:id="104"/>
      <w:bookmarkEnd w:id="105"/>
    </w:p>
    <w:p>
      <w:pPr>
        <w:shd w:val="clear" w:color="auto" w:fill="auto"/>
        <w:spacing w:line="480" w:lineRule="exact"/>
        <w:ind w:firstLine="420" w:firstLineChars="200"/>
        <w:rPr>
          <w:rFonts w:hint="eastAsia" w:ascii="黑体" w:hAnsi="宋体" w:eastAsia="黑体"/>
          <w:highlight w:val="none"/>
          <w:u w:val="single"/>
          <w:shd w:val="pct10" w:color="auto" w:fill="FFFFFF"/>
        </w:rPr>
      </w:pPr>
      <w:r>
        <w:rPr>
          <w:rFonts w:hint="eastAsia" w:ascii="黑体" w:hAnsi="宋体" w:eastAsia="黑体"/>
          <w:highlight w:val="none"/>
        </w:rPr>
        <w:t>一、项目名称：</w:t>
      </w:r>
      <w:r>
        <w:rPr>
          <w:rFonts w:hint="eastAsia" w:ascii="黑体" w:hAnsi="宋体" w:eastAsia="黑体"/>
          <w:highlight w:val="none"/>
          <w:u w:val="single"/>
          <w:lang w:val="en-US" w:eastAsia="zh-CN"/>
        </w:rPr>
        <w:t>WD615</w:t>
      </w:r>
      <w:r>
        <w:rPr>
          <w:rFonts w:hint="eastAsia" w:ascii="宋体" w:hAnsi="宋体"/>
          <w:highlight w:val="none"/>
          <w:u w:val="single"/>
          <w:shd w:val="pct10" w:color="auto" w:fill="FFFFFF"/>
        </w:rPr>
        <w:t>发动机</w:t>
      </w:r>
      <w:r>
        <w:rPr>
          <w:rFonts w:hint="eastAsia" w:ascii="宋体" w:hAnsi="宋体"/>
          <w:highlight w:val="none"/>
          <w:u w:val="single"/>
          <w:shd w:val="pct10" w:color="auto" w:fill="FFFFFF"/>
          <w:lang w:val="en-US" w:eastAsia="zh-CN"/>
        </w:rPr>
        <w:t>装配</w:t>
      </w:r>
      <w:r>
        <w:rPr>
          <w:rFonts w:hint="eastAsia" w:ascii="宋体" w:hAnsi="宋体"/>
          <w:highlight w:val="none"/>
          <w:u w:val="single"/>
          <w:shd w:val="pct10" w:color="auto" w:fill="FFFFFF"/>
        </w:rPr>
        <w:t>拧紧</w:t>
      </w:r>
      <w:r>
        <w:rPr>
          <w:rFonts w:hint="eastAsia" w:ascii="宋体" w:hAnsi="宋体"/>
          <w:highlight w:val="none"/>
          <w:u w:val="single"/>
          <w:shd w:val="pct10" w:color="auto" w:fill="FFFFFF"/>
          <w:lang w:val="en-US" w:eastAsia="zh-CN"/>
        </w:rPr>
        <w:t>能力</w:t>
      </w:r>
      <w:r>
        <w:rPr>
          <w:rFonts w:hint="eastAsia" w:ascii="宋体" w:hAnsi="宋体"/>
          <w:highlight w:val="none"/>
          <w:u w:val="single"/>
          <w:shd w:val="pct10" w:color="auto" w:fill="FFFFFF"/>
        </w:rPr>
        <w:t>提升</w:t>
      </w:r>
      <w:r>
        <w:rPr>
          <w:rFonts w:hint="eastAsia" w:ascii="宋体" w:hAnsi="宋体"/>
          <w:highlight w:val="none"/>
          <w:u w:val="single"/>
          <w:shd w:val="pct10" w:color="auto" w:fill="FFFFFF"/>
          <w:lang w:val="en-US" w:eastAsia="zh-CN"/>
        </w:rPr>
        <w:t>项目</w:t>
      </w:r>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二、建设地点：</w:t>
      </w:r>
      <w:r>
        <w:rPr>
          <w:rFonts w:hint="eastAsia" w:ascii="宋体" w:hAnsi="宋体"/>
          <w:highlight w:val="none"/>
          <w:u w:val="single"/>
          <w:shd w:val="pct10" w:color="auto" w:fill="FFFFFF"/>
        </w:rPr>
        <w:t>章丘市圣井镇重汽工业园</w:t>
      </w:r>
    </w:p>
    <w:p>
      <w:pPr>
        <w:shd w:val="clear" w:color="auto" w:fill="auto"/>
        <w:spacing w:line="480" w:lineRule="exact"/>
        <w:ind w:firstLine="420" w:firstLineChars="200"/>
        <w:rPr>
          <w:rFonts w:hint="eastAsia" w:ascii="宋体" w:hAnsi="宋体"/>
          <w:highlight w:val="none"/>
          <w:u w:val="single"/>
          <w:shd w:val="pct10" w:color="auto" w:fill="FFFFFF"/>
        </w:rPr>
      </w:pPr>
      <w:r>
        <w:rPr>
          <w:rFonts w:hint="eastAsia" w:ascii="黑体" w:hAnsi="宋体" w:eastAsia="黑体"/>
          <w:highlight w:val="none"/>
        </w:rPr>
        <w:t>三、使用地点：</w:t>
      </w:r>
      <w:r>
        <w:rPr>
          <w:rFonts w:hint="eastAsia" w:ascii="宋体" w:hAnsi="宋体"/>
          <w:highlight w:val="none"/>
          <w:u w:val="single"/>
        </w:rPr>
        <w:t>中国重汽集团济</w:t>
      </w:r>
      <w:r>
        <w:rPr>
          <w:rFonts w:hint="eastAsia" w:ascii="宋体" w:hAnsi="宋体"/>
          <w:color w:val="000000"/>
          <w:highlight w:val="none"/>
          <w:u w:val="single"/>
        </w:rPr>
        <w:t>南发动机厂</w:t>
      </w:r>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四、工作制度：</w:t>
      </w:r>
      <w:r>
        <w:rPr>
          <w:rFonts w:hint="eastAsia" w:ascii="宋体" w:hAnsi="宋体"/>
          <w:highlight w:val="none"/>
        </w:rPr>
        <w:t>全年工作250天、</w:t>
      </w:r>
      <w:r>
        <w:rPr>
          <w:rFonts w:hint="eastAsia" w:ascii="宋体" w:hAnsi="宋体"/>
          <w:highlight w:val="none"/>
          <w:u w:val="single"/>
          <w:shd w:val="pct10" w:color="auto" w:fill="FFFFFF"/>
        </w:rPr>
        <w:t>3</w:t>
      </w:r>
      <w:r>
        <w:rPr>
          <w:rFonts w:hint="eastAsia" w:ascii="宋体" w:hAnsi="宋体"/>
          <w:highlight w:val="none"/>
        </w:rPr>
        <w:t>班制、设备年时基数</w:t>
      </w:r>
      <w:r>
        <w:rPr>
          <w:rFonts w:hint="eastAsia" w:ascii="宋体" w:hAnsi="宋体"/>
          <w:highlight w:val="none"/>
          <w:u w:val="single"/>
          <w:shd w:val="pct10" w:color="auto" w:fill="FFFFFF"/>
        </w:rPr>
        <w:t>5000</w:t>
      </w:r>
      <w:r>
        <w:rPr>
          <w:rFonts w:hint="eastAsia" w:ascii="宋体" w:hAnsi="宋体"/>
          <w:highlight w:val="none"/>
        </w:rPr>
        <w:t>小时</w:t>
      </w:r>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rPr>
        <w:t>五、使用地点区域自然环境：</w:t>
      </w:r>
    </w:p>
    <w:p>
      <w:pPr>
        <w:shd w:val="clear" w:color="auto" w:fill="auto"/>
        <w:spacing w:line="480" w:lineRule="exact"/>
        <w:ind w:firstLine="420" w:firstLineChars="200"/>
        <w:rPr>
          <w:rFonts w:hint="eastAsia" w:ascii="宋体" w:hAnsi="宋体"/>
          <w:highlight w:val="none"/>
        </w:rPr>
      </w:pPr>
      <w:r>
        <w:rPr>
          <w:rFonts w:hint="eastAsia" w:ascii="宋体" w:hAnsi="宋体"/>
          <w:bCs/>
          <w:highlight w:val="none"/>
        </w:rPr>
        <w:t>1、海拨高度：1000</w:t>
      </w:r>
      <w:r>
        <w:rPr>
          <w:rFonts w:ascii="宋体" w:hAnsi="宋体"/>
          <w:bCs/>
          <w:highlight w:val="none"/>
        </w:rPr>
        <w:t>m</w:t>
      </w:r>
      <w:r>
        <w:rPr>
          <w:rFonts w:hint="eastAsia" w:ascii="宋体" w:hAnsi="宋体"/>
          <w:bCs/>
          <w:highlight w:val="none"/>
        </w:rPr>
        <w:t>以下</w:t>
      </w:r>
    </w:p>
    <w:p>
      <w:pPr>
        <w:shd w:val="clear" w:color="auto" w:fill="auto"/>
        <w:spacing w:line="480" w:lineRule="exact"/>
        <w:ind w:left="2047" w:leftChars="200" w:hanging="1627" w:hangingChars="775"/>
        <w:rPr>
          <w:rFonts w:hint="eastAsia" w:ascii="宋体" w:hAnsi="宋体"/>
          <w:highlight w:val="none"/>
        </w:rPr>
      </w:pPr>
      <w:r>
        <w:rPr>
          <w:rFonts w:hint="eastAsia" w:ascii="宋体" w:hAnsi="宋体"/>
          <w:highlight w:val="none"/>
        </w:rPr>
        <w:t>2、环境温度：室外极端最低温度-19.7℃、极端最高温度42℃，昼夜最大温</w:t>
      </w:r>
      <w:r>
        <w:rPr>
          <w:rFonts w:hint="eastAsia" w:ascii="宋体" w:hAnsi="宋体"/>
          <w:bCs/>
          <w:highlight w:val="none"/>
        </w:rPr>
        <w:t>差25℃；室内温度5～40℃。</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3、相对湿度：年平均59%，</w:t>
      </w:r>
      <w:r>
        <w:rPr>
          <w:rFonts w:hint="eastAsia" w:ascii="宋体" w:hAnsi="宋体"/>
          <w:bCs/>
          <w:highlight w:val="none"/>
        </w:rPr>
        <w:t>最大95%、最小15%。</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4、降雨量：日最大降雨量300mm、时最大降雨量100mm。</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5、最大风速：33.3m/s。</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6、最大积雪厚度：200mm。</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7、最大冻土深度：450mm。</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8、地震设防裂度：七度。</w:t>
      </w:r>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六、能源环境：</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1、电力：中国制式，供电电压</w:t>
      </w:r>
      <w:r>
        <w:rPr>
          <w:rFonts w:ascii="宋体" w:hAnsi="宋体"/>
          <w:highlight w:val="none"/>
        </w:rPr>
        <w:t>380V</w:t>
      </w:r>
      <w:r>
        <w:rPr>
          <w:rFonts w:hint="eastAsia" w:ascii="宋体" w:hAnsi="宋体"/>
          <w:highlight w:val="none"/>
        </w:rPr>
        <w:t>±</w:t>
      </w:r>
      <w:r>
        <w:rPr>
          <w:rFonts w:ascii="宋体" w:hAnsi="宋体"/>
          <w:highlight w:val="none"/>
        </w:rPr>
        <w:t>1</w:t>
      </w:r>
      <w:r>
        <w:rPr>
          <w:rFonts w:hint="eastAsia" w:ascii="宋体" w:hAnsi="宋体"/>
          <w:highlight w:val="none"/>
        </w:rPr>
        <w:t>5</w:t>
      </w:r>
      <w:r>
        <w:rPr>
          <w:rFonts w:ascii="宋体" w:hAnsi="宋体"/>
          <w:highlight w:val="none"/>
        </w:rPr>
        <w:t>%</w:t>
      </w:r>
      <w:r>
        <w:rPr>
          <w:rFonts w:hint="eastAsia" w:ascii="宋体" w:hAnsi="宋体"/>
          <w:highlight w:val="none"/>
        </w:rPr>
        <w:t>/220V±</w:t>
      </w:r>
      <w:r>
        <w:rPr>
          <w:rFonts w:ascii="宋体" w:hAnsi="宋体"/>
          <w:highlight w:val="none"/>
        </w:rPr>
        <w:t>1</w:t>
      </w:r>
      <w:r>
        <w:rPr>
          <w:rFonts w:hint="eastAsia" w:ascii="宋体" w:hAnsi="宋体"/>
          <w:highlight w:val="none"/>
        </w:rPr>
        <w:t>5</w:t>
      </w:r>
      <w:r>
        <w:rPr>
          <w:rFonts w:ascii="宋体" w:hAnsi="宋体"/>
          <w:highlight w:val="none"/>
        </w:rPr>
        <w:t>%</w:t>
      </w:r>
      <w:r>
        <w:rPr>
          <w:rFonts w:hint="eastAsia" w:ascii="宋体" w:hAnsi="宋体"/>
          <w:highlight w:val="none"/>
        </w:rPr>
        <w:t>，供电频率</w:t>
      </w:r>
      <w:r>
        <w:rPr>
          <w:rFonts w:ascii="宋体" w:hAnsi="宋体"/>
          <w:highlight w:val="none"/>
        </w:rPr>
        <w:t>50Hz</w:t>
      </w:r>
      <w:r>
        <w:rPr>
          <w:rFonts w:hint="eastAsia" w:ascii="宋体" w:hAnsi="宋体"/>
          <w:highlight w:val="none"/>
        </w:rPr>
        <w:t>±</w:t>
      </w:r>
      <w:r>
        <w:rPr>
          <w:rFonts w:ascii="宋体" w:hAnsi="宋体"/>
          <w:highlight w:val="none"/>
        </w:rPr>
        <w:t>2%</w:t>
      </w:r>
      <w:r>
        <w:rPr>
          <w:rFonts w:hint="eastAsia" w:ascii="宋体" w:hAnsi="宋体"/>
          <w:highlight w:val="none"/>
        </w:rPr>
        <w:t>。</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2、压缩空气：自备空压机自产压缩空气，</w:t>
      </w:r>
      <w:r>
        <w:rPr>
          <w:rFonts w:ascii="宋体" w:hAnsi="宋体"/>
          <w:highlight w:val="none"/>
        </w:rPr>
        <w:t>0.</w:t>
      </w:r>
      <w:r>
        <w:rPr>
          <w:rFonts w:hint="eastAsia" w:ascii="宋体" w:hAnsi="宋体"/>
          <w:highlight w:val="none"/>
        </w:rPr>
        <w:t>4～0.6</w:t>
      </w:r>
      <w:r>
        <w:rPr>
          <w:rFonts w:ascii="宋体" w:hAnsi="宋体"/>
          <w:highlight w:val="none"/>
        </w:rPr>
        <w:t>M</w:t>
      </w:r>
      <w:r>
        <w:rPr>
          <w:rFonts w:hint="eastAsia" w:ascii="宋体" w:hAnsi="宋体"/>
          <w:highlight w:val="none"/>
        </w:rPr>
        <w:t>P</w:t>
      </w:r>
      <w:r>
        <w:rPr>
          <w:rFonts w:ascii="宋体" w:hAnsi="宋体"/>
          <w:highlight w:val="none"/>
        </w:rPr>
        <w:t>a</w:t>
      </w:r>
      <w:r>
        <w:rPr>
          <w:rFonts w:hint="eastAsia" w:ascii="宋体" w:hAnsi="宋体"/>
          <w:highlight w:val="none"/>
        </w:rPr>
        <w:t>。</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3、工位照度：不低于500Lx。</w:t>
      </w: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p>
    <w:p>
      <w:pPr>
        <w:shd w:val="clear" w:color="auto" w:fill="auto"/>
        <w:spacing w:line="480" w:lineRule="exact"/>
        <w:rPr>
          <w:rFonts w:hint="eastAsia" w:ascii="宋体" w:hAnsi="宋体"/>
          <w:highlight w:val="none"/>
        </w:rPr>
      </w:pPr>
    </w:p>
    <w:p>
      <w:pPr>
        <w:pStyle w:val="4"/>
        <w:shd w:val="clear" w:color="auto" w:fill="auto"/>
        <w:spacing w:before="120" w:after="120" w:line="480" w:lineRule="exact"/>
        <w:jc w:val="center"/>
        <w:rPr>
          <w:rFonts w:hint="eastAsia"/>
          <w:b w:val="0"/>
          <w:sz w:val="24"/>
          <w:szCs w:val="24"/>
          <w:highlight w:val="none"/>
        </w:rPr>
      </w:pPr>
      <w:bookmarkStart w:id="106" w:name="_Toc13018"/>
      <w:bookmarkStart w:id="107" w:name="_Toc137705867"/>
      <w:bookmarkStart w:id="108" w:name="_Toc19068"/>
      <w:bookmarkStart w:id="109" w:name="_Toc27088"/>
      <w:bookmarkStart w:id="110" w:name="_Toc9838"/>
      <w:r>
        <w:rPr>
          <w:rFonts w:hint="eastAsia"/>
          <w:b w:val="0"/>
          <w:sz w:val="24"/>
          <w:szCs w:val="24"/>
          <w:highlight w:val="none"/>
        </w:rPr>
        <w:t>第二节采购货物概况</w:t>
      </w:r>
      <w:bookmarkEnd w:id="106"/>
      <w:bookmarkEnd w:id="107"/>
      <w:bookmarkEnd w:id="108"/>
      <w:bookmarkEnd w:id="109"/>
      <w:bookmarkEnd w:id="110"/>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一、设备名称：</w:t>
      </w:r>
      <w:r>
        <w:rPr>
          <w:rFonts w:hint="eastAsia" w:ascii="黑体" w:hAnsi="宋体" w:eastAsia="黑体"/>
          <w:highlight w:val="none"/>
          <w:u w:val="single"/>
        </w:rPr>
        <w:t>发动机拧紧设备</w:t>
      </w:r>
      <w:r>
        <w:rPr>
          <w:rFonts w:hint="eastAsia" w:ascii="黑体" w:hAnsi="宋体" w:eastAsia="黑体"/>
          <w:highlight w:val="none"/>
          <w:u w:val="none"/>
          <w:lang w:val="en-US" w:eastAsia="zh-CN"/>
        </w:rPr>
        <w:t>提升改造</w:t>
      </w:r>
      <w:r>
        <w:rPr>
          <w:rFonts w:hint="eastAsia" w:ascii="宋体" w:hAnsi="宋体"/>
          <w:highlight w:val="none"/>
        </w:rPr>
        <w:t>（详见下表）</w:t>
      </w:r>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二、设备数量：</w:t>
      </w:r>
      <w:r>
        <w:rPr>
          <w:rFonts w:hint="eastAsia"/>
          <w:highlight w:val="none"/>
          <w:u w:val="single"/>
          <w:lang w:val="en-US" w:eastAsia="zh-CN"/>
        </w:rPr>
        <w:t>4</w:t>
      </w:r>
      <w:r>
        <w:rPr>
          <w:rFonts w:hint="eastAsia"/>
          <w:highlight w:val="none"/>
          <w:u w:val="single"/>
        </w:rPr>
        <w:t>套</w:t>
      </w:r>
      <w:r>
        <w:rPr>
          <w:rFonts w:hint="eastAsia" w:ascii="宋体" w:hAnsi="宋体"/>
          <w:highlight w:val="none"/>
        </w:rPr>
        <w:t>（详见下表）</w:t>
      </w:r>
    </w:p>
    <w:p>
      <w:pPr>
        <w:shd w:val="clear" w:color="auto" w:fill="auto"/>
        <w:spacing w:line="560" w:lineRule="exact"/>
        <w:ind w:firstLine="420" w:firstLineChars="200"/>
        <w:rPr>
          <w:rFonts w:hint="eastAsia" w:ascii="宋体" w:hAnsi="宋体"/>
          <w:highlight w:val="none"/>
        </w:rPr>
      </w:pPr>
      <w:r>
        <w:rPr>
          <w:rFonts w:hint="eastAsia" w:ascii="黑体" w:hAnsi="宋体" w:eastAsia="黑体"/>
          <w:highlight w:val="none"/>
        </w:rPr>
        <w:t>三、分投分中：不</w:t>
      </w:r>
      <w:r>
        <w:rPr>
          <w:rFonts w:hint="eastAsia" w:ascii="宋体" w:hAnsi="宋体"/>
          <w:highlight w:val="none"/>
        </w:rPr>
        <w:t>允许。</w:t>
      </w:r>
    </w:p>
    <w:p>
      <w:pPr>
        <w:widowControl/>
        <w:shd w:val="clear" w:color="auto" w:fill="auto"/>
        <w:jc w:val="center"/>
        <w:rPr>
          <w:rFonts w:ascii="宋体" w:hAnsi="宋体"/>
          <w:highlight w:val="none"/>
        </w:rPr>
      </w:pPr>
      <w:r>
        <w:rPr>
          <w:rFonts w:hint="eastAsia" w:ascii="宋体" w:hAnsi="宋体"/>
          <w:highlight w:val="none"/>
        </w:rPr>
        <w:t>采购货物主要构成一览表</w:t>
      </w:r>
    </w:p>
    <w:tbl>
      <w:tblPr>
        <w:tblStyle w:val="4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616"/>
        <w:gridCol w:w="2059"/>
        <w:gridCol w:w="2462"/>
        <w:gridCol w:w="680"/>
        <w:gridCol w:w="1300"/>
        <w:gridCol w:w="961"/>
        <w:gridCol w:w="10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2" w:hRule="atLeast"/>
          <w:jc w:val="center"/>
        </w:trPr>
        <w:tc>
          <w:tcPr>
            <w:tcW w:w="338"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序号</w:t>
            </w:r>
          </w:p>
        </w:tc>
        <w:tc>
          <w:tcPr>
            <w:tcW w:w="1129"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设备名称</w:t>
            </w:r>
          </w:p>
        </w:tc>
        <w:tc>
          <w:tcPr>
            <w:tcW w:w="1350" w:type="pct"/>
            <w:noWrap w:val="0"/>
            <w:vAlign w:val="center"/>
          </w:tcPr>
          <w:p>
            <w:pPr>
              <w:widowControl/>
              <w:shd w:val="clear" w:color="auto" w:fill="auto"/>
              <w:snapToGrid w:val="0"/>
              <w:jc w:val="center"/>
              <w:rPr>
                <w:rFonts w:hint="default" w:ascii="宋体" w:hAnsi="宋体" w:eastAsia="宋体" w:cs="宋体"/>
                <w:b/>
                <w:bCs/>
                <w:color w:val="000000"/>
                <w:kern w:val="0"/>
                <w:sz w:val="20"/>
                <w:szCs w:val="20"/>
                <w:highlight w:val="none"/>
                <w:lang w:val="en-US" w:eastAsia="zh-CN"/>
              </w:rPr>
            </w:pPr>
            <w:r>
              <w:rPr>
                <w:rFonts w:hint="eastAsia" w:ascii="宋体" w:hAnsi="宋体" w:cs="宋体"/>
                <w:b/>
                <w:bCs/>
                <w:color w:val="000000"/>
                <w:kern w:val="0"/>
                <w:sz w:val="20"/>
                <w:szCs w:val="20"/>
                <w:highlight w:val="none"/>
                <w:lang w:val="en-US" w:eastAsia="zh-CN"/>
              </w:rPr>
              <w:t>供货内容</w:t>
            </w:r>
          </w:p>
        </w:tc>
        <w:tc>
          <w:tcPr>
            <w:tcW w:w="373"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数量</w:t>
            </w:r>
          </w:p>
        </w:tc>
        <w:tc>
          <w:tcPr>
            <w:tcW w:w="713"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安装地点/</w:t>
            </w:r>
          </w:p>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服务对象</w:t>
            </w:r>
          </w:p>
        </w:tc>
        <w:tc>
          <w:tcPr>
            <w:tcW w:w="527"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供货方式</w:t>
            </w:r>
          </w:p>
        </w:tc>
        <w:tc>
          <w:tcPr>
            <w:tcW w:w="567" w:type="pct"/>
            <w:noWrap w:val="0"/>
            <w:vAlign w:val="center"/>
          </w:tcPr>
          <w:p>
            <w:pPr>
              <w:widowControl/>
              <w:shd w:val="clear" w:color="auto" w:fill="auto"/>
              <w:snapToGrid w:val="0"/>
              <w:jc w:val="center"/>
              <w:rPr>
                <w:rFonts w:hint="eastAsia" w:ascii="宋体" w:hAnsi="宋体" w:cs="宋体"/>
                <w:b/>
                <w:bCs/>
                <w:color w:val="000000"/>
                <w:kern w:val="0"/>
                <w:sz w:val="20"/>
                <w:szCs w:val="20"/>
                <w:highlight w:val="none"/>
              </w:rPr>
            </w:pPr>
            <w:r>
              <w:rPr>
                <w:rFonts w:hint="eastAsia" w:ascii="宋体" w:hAnsi="宋体" w:cs="宋体"/>
                <w:b/>
                <w:bCs/>
                <w:color w:val="000000"/>
                <w:kern w:val="0"/>
                <w:sz w:val="20"/>
                <w:szCs w:val="20"/>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38" w:type="pct"/>
            <w:noWrap w:val="0"/>
            <w:vAlign w:val="center"/>
          </w:tcPr>
          <w:p>
            <w:pPr>
              <w:widowControl/>
              <w:shd w:val="clear" w:color="auto" w:fill="auto"/>
              <w:snapToGrid w:val="0"/>
              <w:jc w:val="center"/>
              <w:rPr>
                <w:rFonts w:hint="eastAsia" w:ascii="宋体" w:hAnsi="宋体"/>
                <w:b/>
                <w:bCs/>
                <w:sz w:val="21"/>
                <w:szCs w:val="21"/>
                <w:highlight w:val="none"/>
              </w:rPr>
            </w:pPr>
            <w:r>
              <w:rPr>
                <w:rFonts w:hint="eastAsia" w:ascii="宋体" w:hAnsi="宋体" w:cs="宋体"/>
                <w:kern w:val="0"/>
                <w:sz w:val="18"/>
                <w:szCs w:val="18"/>
                <w:highlight w:val="none"/>
              </w:rPr>
              <w:t>1</w:t>
            </w:r>
          </w:p>
        </w:tc>
        <w:tc>
          <w:tcPr>
            <w:tcW w:w="1129" w:type="pct"/>
            <w:noWrap w:val="0"/>
            <w:vAlign w:val="center"/>
          </w:tcPr>
          <w:p>
            <w:pPr>
              <w:widowControl/>
              <w:shd w:val="clear" w:color="auto" w:fill="auto"/>
              <w:snapToGrid w:val="0"/>
              <w:jc w:val="center"/>
              <w:rPr>
                <w:rFonts w:hint="eastAsia" w:ascii="宋体" w:hAnsi="宋体" w:eastAsia="宋体"/>
                <w:b/>
                <w:bCs/>
                <w:sz w:val="21"/>
                <w:szCs w:val="21"/>
                <w:highlight w:val="none"/>
                <w:lang w:val="en-US" w:eastAsia="zh-CN"/>
              </w:rPr>
            </w:pPr>
            <w:r>
              <w:rPr>
                <w:rFonts w:hint="eastAsia" w:ascii="宋体" w:hAnsi="宋体" w:cs="宋体"/>
                <w:kern w:val="0"/>
                <w:sz w:val="18"/>
                <w:szCs w:val="18"/>
                <w:highlight w:val="none"/>
                <w:lang w:bidi="ar"/>
              </w:rPr>
              <w:t>缸盖主螺栓拧紧机</w:t>
            </w:r>
            <w:r>
              <w:rPr>
                <w:rFonts w:hint="eastAsia" w:ascii="宋体" w:hAnsi="宋体" w:cs="宋体"/>
                <w:kern w:val="0"/>
                <w:sz w:val="18"/>
                <w:szCs w:val="18"/>
                <w:highlight w:val="none"/>
                <w:lang w:val="en-US" w:eastAsia="zh-CN" w:bidi="ar"/>
              </w:rPr>
              <w:t>提升</w:t>
            </w:r>
          </w:p>
        </w:tc>
        <w:tc>
          <w:tcPr>
            <w:tcW w:w="1350" w:type="pct"/>
            <w:noWrap w:val="0"/>
            <w:vAlign w:val="center"/>
          </w:tcPr>
          <w:p>
            <w:pPr>
              <w:pStyle w:val="36"/>
              <w:keepNext w:val="0"/>
              <w:keepLines w:val="0"/>
              <w:widowControl/>
              <w:suppressLineNumbers w:val="0"/>
              <w:shd w:val="clear" w:color="auto" w:fill="auto"/>
              <w:kinsoku/>
              <w:wordWrap/>
              <w:overflowPunct/>
              <w:snapToGrid w:val="0"/>
              <w:jc w:val="center"/>
              <w:rPr>
                <w:rFonts w:hint="eastAsia" w:ascii="宋体" w:hAnsi="宋体"/>
                <w:b/>
                <w:bCs/>
                <w:sz w:val="18"/>
                <w:szCs w:val="18"/>
                <w:highlight w:val="none"/>
              </w:rPr>
            </w:pPr>
            <w:r>
              <w:rPr>
                <w:rFonts w:hint="eastAsia" w:ascii="宋体" w:hAnsi="宋体" w:eastAsia="宋体" w:cs="宋体"/>
                <w:color w:val="000000"/>
                <w:sz w:val="18"/>
                <w:szCs w:val="18"/>
                <w:highlight w:val="none"/>
              </w:rPr>
              <w:t>新增拧紧轴2套及相关附件</w:t>
            </w:r>
          </w:p>
        </w:tc>
        <w:tc>
          <w:tcPr>
            <w:tcW w:w="373" w:type="pct"/>
            <w:noWrap w:val="0"/>
            <w:vAlign w:val="center"/>
          </w:tcPr>
          <w:p>
            <w:pPr>
              <w:widowControl/>
              <w:shd w:val="clear" w:color="auto" w:fill="auto"/>
              <w:snapToGrid w:val="0"/>
              <w:jc w:val="center"/>
              <w:rPr>
                <w:rFonts w:hint="eastAsia" w:ascii="宋体" w:hAnsi="宋体" w:eastAsia="宋体"/>
                <w:b/>
                <w:bCs/>
                <w:sz w:val="18"/>
                <w:szCs w:val="18"/>
                <w:highlight w:val="none"/>
                <w:lang w:val="en-US" w:eastAsia="zh-CN"/>
              </w:rPr>
            </w:pPr>
            <w:r>
              <w:rPr>
                <w:rFonts w:hint="eastAsia" w:ascii="宋体" w:hAnsi="宋体" w:cs="宋体"/>
                <w:kern w:val="0"/>
                <w:sz w:val="18"/>
                <w:szCs w:val="18"/>
                <w:highlight w:val="none"/>
              </w:rPr>
              <w:t>1</w:t>
            </w:r>
            <w:r>
              <w:rPr>
                <w:rFonts w:hint="eastAsia" w:ascii="宋体" w:hAnsi="宋体" w:cs="宋体"/>
                <w:kern w:val="0"/>
                <w:sz w:val="18"/>
                <w:szCs w:val="18"/>
                <w:highlight w:val="none"/>
                <w:lang w:val="en-US" w:eastAsia="zh-CN"/>
              </w:rPr>
              <w:t>套</w:t>
            </w:r>
          </w:p>
        </w:tc>
        <w:tc>
          <w:tcPr>
            <w:tcW w:w="713" w:type="pct"/>
            <w:noWrap w:val="0"/>
            <w:vAlign w:val="center"/>
          </w:tcPr>
          <w:p>
            <w:pPr>
              <w:widowControl/>
              <w:shd w:val="clear" w:color="auto" w:fill="auto"/>
              <w:snapToGrid w:val="0"/>
              <w:jc w:val="center"/>
              <w:rPr>
                <w:rFonts w:hint="eastAsia" w:ascii="宋体" w:hAnsi="宋体"/>
                <w:b/>
                <w:bCs/>
                <w:sz w:val="21"/>
                <w:szCs w:val="21"/>
                <w:highlight w:val="none"/>
              </w:rPr>
            </w:pPr>
            <w:r>
              <w:rPr>
                <w:rFonts w:hint="eastAsia" w:ascii="宋体" w:hAnsi="宋体" w:cs="宋体"/>
                <w:kern w:val="0"/>
                <w:sz w:val="18"/>
                <w:szCs w:val="18"/>
                <w:highlight w:val="none"/>
              </w:rPr>
              <w:t>济南发动机厂</w:t>
            </w:r>
          </w:p>
        </w:tc>
        <w:tc>
          <w:tcPr>
            <w:tcW w:w="527" w:type="pct"/>
            <w:noWrap w:val="0"/>
            <w:vAlign w:val="center"/>
          </w:tcPr>
          <w:p>
            <w:pPr>
              <w:widowControl/>
              <w:shd w:val="clear" w:color="auto" w:fill="auto"/>
              <w:snapToGrid w:val="0"/>
              <w:spacing w:line="360" w:lineRule="auto"/>
              <w:jc w:val="center"/>
              <w:rPr>
                <w:rFonts w:hint="eastAsia" w:ascii="宋体" w:hAnsi="宋体"/>
                <w:b/>
                <w:bCs/>
                <w:sz w:val="21"/>
                <w:szCs w:val="21"/>
                <w:highlight w:val="none"/>
              </w:rPr>
            </w:pPr>
            <w:r>
              <w:rPr>
                <w:rFonts w:hint="eastAsia" w:ascii="宋体" w:hAnsi="宋体" w:cs="宋体"/>
                <w:kern w:val="0"/>
                <w:sz w:val="18"/>
                <w:szCs w:val="18"/>
                <w:highlight w:val="none"/>
              </w:rPr>
              <w:t>交钥匙</w:t>
            </w:r>
          </w:p>
        </w:tc>
        <w:tc>
          <w:tcPr>
            <w:tcW w:w="567" w:type="pct"/>
            <w:noWrap w:val="0"/>
            <w:vAlign w:val="center"/>
          </w:tcPr>
          <w:p>
            <w:pPr>
              <w:widowControl/>
              <w:shd w:val="clear" w:color="auto" w:fill="auto"/>
              <w:snapToGrid w:val="0"/>
              <w:spacing w:line="360" w:lineRule="auto"/>
              <w:rPr>
                <w:rFonts w:hint="eastAsia" w:ascii="宋体" w:hAnsi="宋体"/>
                <w:b/>
                <w:bCs/>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38"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2</w:t>
            </w:r>
          </w:p>
        </w:tc>
        <w:tc>
          <w:tcPr>
            <w:tcW w:w="1129" w:type="pct"/>
            <w:noWrap w:val="0"/>
            <w:vAlign w:val="center"/>
          </w:tcPr>
          <w:p>
            <w:pPr>
              <w:widowControl/>
              <w:shd w:val="clear" w:color="auto" w:fill="auto"/>
              <w:snapToGrid w:val="0"/>
              <w:jc w:val="center"/>
              <w:rPr>
                <w:rFonts w:hint="eastAsia" w:ascii="宋体" w:hAnsi="宋体" w:cs="宋体"/>
                <w:kern w:val="0"/>
                <w:sz w:val="18"/>
                <w:szCs w:val="18"/>
                <w:highlight w:val="none"/>
                <w:lang w:bidi="ar"/>
              </w:rPr>
            </w:pPr>
            <w:r>
              <w:rPr>
                <w:rFonts w:hint="eastAsia" w:ascii="宋体" w:hAnsi="宋体" w:cs="宋体"/>
                <w:kern w:val="0"/>
                <w:sz w:val="18"/>
                <w:szCs w:val="18"/>
                <w:highlight w:val="none"/>
                <w:lang w:bidi="ar"/>
              </w:rPr>
              <w:t>缸盖副螺母拧紧机</w:t>
            </w:r>
            <w:r>
              <w:rPr>
                <w:rFonts w:hint="eastAsia" w:ascii="宋体" w:hAnsi="宋体" w:cs="宋体"/>
                <w:kern w:val="0"/>
                <w:sz w:val="18"/>
                <w:szCs w:val="18"/>
                <w:highlight w:val="none"/>
                <w:lang w:val="en-US" w:eastAsia="zh-CN" w:bidi="ar"/>
              </w:rPr>
              <w:t>提升</w:t>
            </w:r>
          </w:p>
        </w:tc>
        <w:tc>
          <w:tcPr>
            <w:tcW w:w="1350" w:type="pct"/>
            <w:noWrap w:val="0"/>
            <w:vAlign w:val="center"/>
          </w:tcPr>
          <w:p>
            <w:pPr>
              <w:pStyle w:val="36"/>
              <w:keepNext w:val="0"/>
              <w:keepLines w:val="0"/>
              <w:widowControl/>
              <w:suppressLineNumbers w:val="0"/>
              <w:shd w:val="clear" w:color="auto" w:fill="auto"/>
              <w:kinsoku/>
              <w:wordWrap/>
              <w:overflowPunct/>
              <w:snapToGrid w:val="0"/>
              <w:jc w:val="center"/>
              <w:rPr>
                <w:rFonts w:hint="eastAsia" w:ascii="宋体" w:hAnsi="宋体" w:cs="宋体"/>
                <w:kern w:val="0"/>
                <w:sz w:val="18"/>
                <w:szCs w:val="18"/>
                <w:highlight w:val="none"/>
              </w:rPr>
            </w:pPr>
            <w:r>
              <w:rPr>
                <w:rFonts w:hint="eastAsia" w:ascii="宋体" w:hAnsi="宋体" w:eastAsia="宋体" w:cs="宋体"/>
                <w:color w:val="000000"/>
                <w:sz w:val="18"/>
                <w:szCs w:val="18"/>
                <w:highlight w:val="none"/>
              </w:rPr>
              <w:t>新增拧紧轴3套及相关附件</w:t>
            </w:r>
          </w:p>
        </w:tc>
        <w:tc>
          <w:tcPr>
            <w:tcW w:w="37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1</w:t>
            </w:r>
            <w:r>
              <w:rPr>
                <w:rFonts w:hint="eastAsia" w:ascii="宋体" w:hAnsi="宋体" w:cs="宋体"/>
                <w:kern w:val="0"/>
                <w:sz w:val="18"/>
                <w:szCs w:val="18"/>
                <w:highlight w:val="none"/>
                <w:lang w:val="en-US" w:eastAsia="zh-CN"/>
              </w:rPr>
              <w:t>套</w:t>
            </w:r>
          </w:p>
        </w:tc>
        <w:tc>
          <w:tcPr>
            <w:tcW w:w="71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济南发动机厂</w:t>
            </w:r>
          </w:p>
        </w:tc>
        <w:tc>
          <w:tcPr>
            <w:tcW w:w="527" w:type="pct"/>
            <w:noWrap w:val="0"/>
            <w:vAlign w:val="center"/>
          </w:tcPr>
          <w:p>
            <w:pPr>
              <w:widowControl/>
              <w:shd w:val="clear" w:color="auto" w:fill="auto"/>
              <w:snapToGrid w:val="0"/>
              <w:spacing w:line="360" w:lineRule="auto"/>
              <w:jc w:val="center"/>
              <w:rPr>
                <w:rFonts w:hint="eastAsia" w:ascii="宋体" w:hAnsi="宋体" w:cs="宋体"/>
                <w:kern w:val="0"/>
                <w:sz w:val="18"/>
                <w:szCs w:val="18"/>
                <w:highlight w:val="none"/>
              </w:rPr>
            </w:pPr>
            <w:r>
              <w:rPr>
                <w:rFonts w:hint="eastAsia" w:ascii="宋体" w:hAnsi="宋体" w:cs="宋体"/>
                <w:kern w:val="0"/>
                <w:sz w:val="18"/>
                <w:szCs w:val="18"/>
                <w:highlight w:val="none"/>
              </w:rPr>
              <w:t>交钥匙</w:t>
            </w:r>
          </w:p>
        </w:tc>
        <w:tc>
          <w:tcPr>
            <w:tcW w:w="567" w:type="pct"/>
            <w:noWrap w:val="0"/>
            <w:vAlign w:val="center"/>
          </w:tcPr>
          <w:p>
            <w:pPr>
              <w:widowControl/>
              <w:shd w:val="clear" w:color="auto" w:fill="auto"/>
              <w:snapToGrid w:val="0"/>
              <w:spacing w:line="360" w:lineRule="auto"/>
              <w:rPr>
                <w:rFonts w:hint="eastAsia" w:ascii="宋体" w:hAnsi="宋体"/>
                <w:b/>
                <w:bCs/>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38"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3</w:t>
            </w:r>
          </w:p>
        </w:tc>
        <w:tc>
          <w:tcPr>
            <w:tcW w:w="1129" w:type="pct"/>
            <w:noWrap w:val="0"/>
            <w:vAlign w:val="center"/>
          </w:tcPr>
          <w:p>
            <w:pPr>
              <w:widowControl/>
              <w:shd w:val="clear" w:color="auto" w:fill="auto"/>
              <w:snapToGrid w:val="0"/>
              <w:jc w:val="center"/>
              <w:rPr>
                <w:rFonts w:hint="eastAsia" w:ascii="宋体" w:hAnsi="宋体" w:cs="宋体"/>
                <w:kern w:val="0"/>
                <w:sz w:val="18"/>
                <w:szCs w:val="18"/>
                <w:highlight w:val="none"/>
                <w:lang w:bidi="ar"/>
              </w:rPr>
            </w:pPr>
            <w:r>
              <w:rPr>
                <w:rFonts w:hint="eastAsia" w:ascii="宋体" w:hAnsi="宋体" w:cs="宋体"/>
                <w:kern w:val="0"/>
                <w:sz w:val="18"/>
                <w:szCs w:val="18"/>
                <w:highlight w:val="none"/>
                <w:lang w:bidi="ar"/>
              </w:rPr>
              <w:t>飞轮螺栓拧紧机</w:t>
            </w:r>
            <w:r>
              <w:rPr>
                <w:rFonts w:hint="eastAsia" w:ascii="宋体" w:hAnsi="宋体" w:cs="宋体"/>
                <w:kern w:val="0"/>
                <w:sz w:val="18"/>
                <w:szCs w:val="18"/>
                <w:highlight w:val="none"/>
                <w:lang w:val="en-US" w:eastAsia="zh-CN" w:bidi="ar"/>
              </w:rPr>
              <w:t>提升</w:t>
            </w:r>
          </w:p>
        </w:tc>
        <w:tc>
          <w:tcPr>
            <w:tcW w:w="1350" w:type="pct"/>
            <w:noWrap w:val="0"/>
            <w:vAlign w:val="center"/>
          </w:tcPr>
          <w:p>
            <w:pPr>
              <w:pStyle w:val="36"/>
              <w:keepNext w:val="0"/>
              <w:keepLines w:val="0"/>
              <w:widowControl/>
              <w:suppressLineNumbers w:val="0"/>
              <w:shd w:val="clear" w:color="auto" w:fill="auto"/>
              <w:kinsoku/>
              <w:wordWrap/>
              <w:overflowPunct/>
              <w:snapToGrid w:val="0"/>
              <w:jc w:val="center"/>
              <w:rPr>
                <w:rFonts w:hint="eastAsia" w:ascii="宋体" w:hAnsi="宋体" w:cs="宋体"/>
                <w:kern w:val="0"/>
                <w:sz w:val="18"/>
                <w:szCs w:val="18"/>
                <w:highlight w:val="none"/>
              </w:rPr>
            </w:pPr>
            <w:r>
              <w:rPr>
                <w:rFonts w:hint="eastAsia" w:ascii="宋体" w:hAnsi="宋体" w:eastAsia="宋体" w:cs="宋体"/>
                <w:color w:val="000000"/>
                <w:sz w:val="18"/>
                <w:szCs w:val="18"/>
                <w:highlight w:val="none"/>
              </w:rPr>
              <w:t>新增拧紧轴3套及相关附件</w:t>
            </w:r>
          </w:p>
        </w:tc>
        <w:tc>
          <w:tcPr>
            <w:tcW w:w="37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1</w:t>
            </w:r>
            <w:r>
              <w:rPr>
                <w:rFonts w:hint="eastAsia" w:ascii="宋体" w:hAnsi="宋体" w:cs="宋体"/>
                <w:kern w:val="0"/>
                <w:sz w:val="18"/>
                <w:szCs w:val="18"/>
                <w:highlight w:val="none"/>
                <w:lang w:val="en-US" w:eastAsia="zh-CN"/>
              </w:rPr>
              <w:t>套</w:t>
            </w:r>
          </w:p>
        </w:tc>
        <w:tc>
          <w:tcPr>
            <w:tcW w:w="71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济南发动机厂</w:t>
            </w:r>
          </w:p>
        </w:tc>
        <w:tc>
          <w:tcPr>
            <w:tcW w:w="527" w:type="pct"/>
            <w:noWrap w:val="0"/>
            <w:vAlign w:val="center"/>
          </w:tcPr>
          <w:p>
            <w:pPr>
              <w:widowControl/>
              <w:shd w:val="clear" w:color="auto" w:fill="auto"/>
              <w:snapToGrid w:val="0"/>
              <w:spacing w:line="360" w:lineRule="auto"/>
              <w:jc w:val="center"/>
              <w:rPr>
                <w:rFonts w:hint="eastAsia" w:ascii="宋体" w:hAnsi="宋体" w:cs="宋体"/>
                <w:kern w:val="0"/>
                <w:sz w:val="18"/>
                <w:szCs w:val="18"/>
                <w:highlight w:val="none"/>
              </w:rPr>
            </w:pPr>
            <w:r>
              <w:rPr>
                <w:rFonts w:hint="eastAsia" w:ascii="宋体" w:hAnsi="宋体" w:cs="宋体"/>
                <w:kern w:val="0"/>
                <w:sz w:val="18"/>
                <w:szCs w:val="18"/>
                <w:highlight w:val="none"/>
              </w:rPr>
              <w:t>交钥匙</w:t>
            </w:r>
          </w:p>
        </w:tc>
        <w:tc>
          <w:tcPr>
            <w:tcW w:w="567" w:type="pct"/>
            <w:noWrap w:val="0"/>
            <w:vAlign w:val="center"/>
          </w:tcPr>
          <w:p>
            <w:pPr>
              <w:widowControl/>
              <w:shd w:val="clear" w:color="auto" w:fill="auto"/>
              <w:snapToGrid w:val="0"/>
              <w:spacing w:line="360" w:lineRule="auto"/>
              <w:rPr>
                <w:rFonts w:hint="eastAsia" w:ascii="宋体" w:hAnsi="宋体"/>
                <w:b/>
                <w:bCs/>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38"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4</w:t>
            </w:r>
          </w:p>
        </w:tc>
        <w:tc>
          <w:tcPr>
            <w:tcW w:w="1129" w:type="pct"/>
            <w:noWrap w:val="0"/>
            <w:vAlign w:val="center"/>
          </w:tcPr>
          <w:p>
            <w:pPr>
              <w:widowControl/>
              <w:shd w:val="clear" w:color="auto" w:fill="auto"/>
              <w:snapToGrid w:val="0"/>
              <w:jc w:val="center"/>
              <w:rPr>
                <w:rFonts w:hint="eastAsia" w:ascii="宋体" w:hAnsi="宋体" w:cs="宋体"/>
                <w:kern w:val="0"/>
                <w:sz w:val="18"/>
                <w:szCs w:val="18"/>
                <w:highlight w:val="none"/>
                <w:lang w:bidi="ar"/>
              </w:rPr>
            </w:pPr>
            <w:r>
              <w:rPr>
                <w:rFonts w:hint="eastAsia" w:ascii="宋体" w:hAnsi="宋体" w:cs="宋体"/>
                <w:kern w:val="0"/>
                <w:sz w:val="18"/>
                <w:szCs w:val="18"/>
                <w:highlight w:val="none"/>
                <w:lang w:bidi="ar"/>
              </w:rPr>
              <w:t>飞轮壳螺栓拧紧机</w:t>
            </w:r>
            <w:r>
              <w:rPr>
                <w:rFonts w:hint="eastAsia" w:ascii="宋体" w:hAnsi="宋体" w:cs="宋体"/>
                <w:kern w:val="0"/>
                <w:sz w:val="18"/>
                <w:szCs w:val="18"/>
                <w:highlight w:val="none"/>
                <w:lang w:val="en-US" w:eastAsia="zh-CN" w:bidi="ar"/>
              </w:rPr>
              <w:t>提升</w:t>
            </w:r>
          </w:p>
        </w:tc>
        <w:tc>
          <w:tcPr>
            <w:tcW w:w="1350" w:type="pct"/>
            <w:noWrap w:val="0"/>
            <w:vAlign w:val="center"/>
          </w:tcPr>
          <w:p>
            <w:pPr>
              <w:pStyle w:val="36"/>
              <w:keepNext w:val="0"/>
              <w:keepLines w:val="0"/>
              <w:widowControl/>
              <w:suppressLineNumbers w:val="0"/>
              <w:shd w:val="clear" w:color="auto" w:fill="auto"/>
              <w:kinsoku/>
              <w:wordWrap/>
              <w:overflowPunct/>
              <w:snapToGrid w:val="0"/>
              <w:jc w:val="center"/>
              <w:rPr>
                <w:rFonts w:hint="eastAsia" w:ascii="宋体" w:hAnsi="宋体" w:cs="宋体"/>
                <w:kern w:val="0"/>
                <w:sz w:val="18"/>
                <w:szCs w:val="18"/>
                <w:highlight w:val="none"/>
              </w:rPr>
            </w:pPr>
            <w:r>
              <w:rPr>
                <w:rFonts w:hint="eastAsia" w:ascii="宋体" w:hAnsi="宋体" w:eastAsia="宋体" w:cs="宋体"/>
                <w:color w:val="000000"/>
                <w:sz w:val="18"/>
                <w:szCs w:val="18"/>
                <w:highlight w:val="none"/>
              </w:rPr>
              <w:t>新</w:t>
            </w:r>
            <w:r>
              <w:rPr>
                <w:rFonts w:hint="eastAsia" w:cs="宋体"/>
                <w:color w:val="000000"/>
                <w:sz w:val="18"/>
                <w:szCs w:val="18"/>
                <w:highlight w:val="none"/>
                <w:lang w:val="en-US" w:eastAsia="zh-CN"/>
              </w:rPr>
              <w:t>增单轴</w:t>
            </w:r>
            <w:r>
              <w:rPr>
                <w:rFonts w:hint="eastAsia" w:ascii="宋体" w:hAnsi="宋体" w:eastAsia="宋体" w:cs="宋体"/>
                <w:color w:val="000000"/>
                <w:sz w:val="18"/>
                <w:szCs w:val="18"/>
                <w:highlight w:val="none"/>
              </w:rPr>
              <w:t>拧紧</w:t>
            </w:r>
            <w:r>
              <w:rPr>
                <w:rFonts w:hint="eastAsia" w:cs="宋体"/>
                <w:color w:val="000000"/>
                <w:sz w:val="18"/>
                <w:szCs w:val="18"/>
                <w:highlight w:val="none"/>
                <w:lang w:val="en-US" w:eastAsia="zh-CN"/>
              </w:rPr>
              <w:t>机构1套</w:t>
            </w:r>
            <w:r>
              <w:rPr>
                <w:rFonts w:hint="eastAsia" w:ascii="宋体" w:hAnsi="宋体" w:eastAsia="宋体" w:cs="宋体"/>
                <w:color w:val="000000"/>
                <w:sz w:val="18"/>
                <w:szCs w:val="18"/>
                <w:highlight w:val="none"/>
              </w:rPr>
              <w:t>及相关附件</w:t>
            </w:r>
          </w:p>
        </w:tc>
        <w:tc>
          <w:tcPr>
            <w:tcW w:w="37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1</w:t>
            </w:r>
            <w:r>
              <w:rPr>
                <w:rFonts w:hint="eastAsia" w:ascii="宋体" w:hAnsi="宋体" w:cs="宋体"/>
                <w:kern w:val="0"/>
                <w:sz w:val="18"/>
                <w:szCs w:val="18"/>
                <w:highlight w:val="none"/>
                <w:lang w:val="en-US" w:eastAsia="zh-CN"/>
              </w:rPr>
              <w:t>套</w:t>
            </w:r>
          </w:p>
        </w:tc>
        <w:tc>
          <w:tcPr>
            <w:tcW w:w="713" w:type="pct"/>
            <w:noWrap w:val="0"/>
            <w:vAlign w:val="center"/>
          </w:tcPr>
          <w:p>
            <w:pPr>
              <w:widowControl/>
              <w:shd w:val="clear" w:color="auto" w:fill="auto"/>
              <w:snapToGrid w:val="0"/>
              <w:jc w:val="center"/>
              <w:rPr>
                <w:rFonts w:hint="eastAsia" w:ascii="宋体" w:hAnsi="宋体" w:cs="宋体"/>
                <w:kern w:val="0"/>
                <w:sz w:val="18"/>
                <w:szCs w:val="18"/>
                <w:highlight w:val="none"/>
              </w:rPr>
            </w:pPr>
            <w:r>
              <w:rPr>
                <w:rFonts w:hint="eastAsia" w:ascii="宋体" w:hAnsi="宋体" w:cs="宋体"/>
                <w:kern w:val="0"/>
                <w:sz w:val="18"/>
                <w:szCs w:val="18"/>
                <w:highlight w:val="none"/>
              </w:rPr>
              <w:t>济南发动机厂</w:t>
            </w:r>
          </w:p>
        </w:tc>
        <w:tc>
          <w:tcPr>
            <w:tcW w:w="527" w:type="pct"/>
            <w:noWrap w:val="0"/>
            <w:vAlign w:val="center"/>
          </w:tcPr>
          <w:p>
            <w:pPr>
              <w:widowControl/>
              <w:shd w:val="clear" w:color="auto" w:fill="auto"/>
              <w:snapToGrid w:val="0"/>
              <w:spacing w:line="360" w:lineRule="auto"/>
              <w:jc w:val="center"/>
              <w:rPr>
                <w:rFonts w:hint="eastAsia" w:ascii="宋体" w:hAnsi="宋体" w:cs="宋体"/>
                <w:kern w:val="0"/>
                <w:sz w:val="18"/>
                <w:szCs w:val="18"/>
                <w:highlight w:val="none"/>
              </w:rPr>
            </w:pPr>
            <w:r>
              <w:rPr>
                <w:rFonts w:hint="eastAsia" w:ascii="宋体" w:hAnsi="宋体" w:cs="宋体"/>
                <w:kern w:val="0"/>
                <w:sz w:val="18"/>
                <w:szCs w:val="18"/>
                <w:highlight w:val="none"/>
              </w:rPr>
              <w:t>交钥匙</w:t>
            </w:r>
          </w:p>
        </w:tc>
        <w:tc>
          <w:tcPr>
            <w:tcW w:w="567" w:type="pct"/>
            <w:noWrap w:val="0"/>
            <w:vAlign w:val="center"/>
          </w:tcPr>
          <w:p>
            <w:pPr>
              <w:widowControl/>
              <w:shd w:val="clear" w:color="auto" w:fill="auto"/>
              <w:snapToGrid w:val="0"/>
              <w:spacing w:line="360" w:lineRule="auto"/>
              <w:rPr>
                <w:rFonts w:hint="eastAsia" w:ascii="宋体" w:hAnsi="宋体"/>
                <w:b/>
                <w:bCs/>
                <w:sz w:val="21"/>
                <w:szCs w:val="21"/>
                <w:highlight w:val="none"/>
              </w:rPr>
            </w:pPr>
          </w:p>
        </w:tc>
      </w:tr>
    </w:tbl>
    <w:p>
      <w:pPr>
        <w:shd w:val="clear" w:color="auto" w:fill="auto"/>
        <w:spacing w:line="480" w:lineRule="exact"/>
        <w:ind w:firstLine="420" w:firstLineChars="200"/>
        <w:rPr>
          <w:sz w:val="21"/>
          <w:szCs w:val="21"/>
          <w:highlight w:val="none"/>
        </w:rPr>
      </w:pPr>
      <w:r>
        <w:rPr>
          <w:sz w:val="21"/>
          <w:szCs w:val="21"/>
          <w:highlight w:val="none"/>
        </w:rPr>
        <w:t>备注：</w:t>
      </w:r>
      <w:bookmarkStart w:id="111" w:name="_Toc137705868"/>
    </w:p>
    <w:p>
      <w:pPr>
        <w:shd w:val="clear" w:color="auto" w:fill="auto"/>
        <w:spacing w:line="480" w:lineRule="exact"/>
        <w:ind w:firstLine="420" w:firstLineChars="200"/>
        <w:rPr>
          <w:sz w:val="21"/>
          <w:szCs w:val="21"/>
          <w:highlight w:val="none"/>
        </w:rPr>
      </w:pPr>
      <w:r>
        <w:rPr>
          <w:sz w:val="21"/>
          <w:szCs w:val="21"/>
          <w:highlight w:val="none"/>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hd w:val="clear" w:color="auto" w:fill="auto"/>
        <w:spacing w:line="480" w:lineRule="exact"/>
        <w:ind w:firstLine="420" w:firstLineChars="200"/>
        <w:rPr>
          <w:sz w:val="21"/>
          <w:szCs w:val="21"/>
          <w:highlight w:val="none"/>
        </w:rPr>
      </w:pPr>
      <w:r>
        <w:rPr>
          <w:sz w:val="21"/>
          <w:szCs w:val="21"/>
          <w:highlight w:val="none"/>
        </w:rPr>
        <w:t>②.本表“供货方式”指：交钥匙方式——包括设计、制造、运输、安装、调试和验收直到交付使用以及培训等。</w:t>
      </w:r>
    </w:p>
    <w:p>
      <w:pPr>
        <w:pStyle w:val="2"/>
        <w:shd w:val="clear" w:color="auto" w:fill="auto"/>
        <w:spacing w:before="120" w:after="120"/>
        <w:jc w:val="center"/>
        <w:rPr>
          <w:rFonts w:hint="eastAsia" w:ascii="黑体" w:eastAsia="黑体"/>
          <w:sz w:val="24"/>
          <w:szCs w:val="24"/>
          <w:highlight w:val="none"/>
        </w:rPr>
      </w:pPr>
      <w:bookmarkStart w:id="112" w:name="_Toc32262"/>
      <w:bookmarkStart w:id="113" w:name="_Toc17328"/>
      <w:r>
        <w:rPr>
          <w:rFonts w:hint="eastAsia" w:ascii="黑体" w:eastAsia="黑体"/>
          <w:sz w:val="24"/>
          <w:szCs w:val="24"/>
          <w:highlight w:val="none"/>
        </w:rPr>
        <w:br w:type="page"/>
      </w:r>
      <w:r>
        <w:rPr>
          <w:rFonts w:hint="eastAsia" w:ascii="黑体" w:eastAsia="黑体"/>
          <w:sz w:val="24"/>
          <w:szCs w:val="24"/>
          <w:highlight w:val="none"/>
        </w:rPr>
        <w:t>第二章技术要求</w:t>
      </w:r>
      <w:bookmarkEnd w:id="111"/>
      <w:bookmarkEnd w:id="112"/>
      <w:bookmarkEnd w:id="113"/>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sz w:val="28"/>
          <w:szCs w:val="28"/>
          <w:highlight w:val="none"/>
        </w:rPr>
      </w:pPr>
      <w:r>
        <w:rPr>
          <w:rFonts w:hint="eastAsia" w:ascii="黑体" w:hAnsi="黑体" w:eastAsia="黑体" w:cs="Times New Roman"/>
          <w:b/>
          <w:bCs/>
          <w:sz w:val="28"/>
          <w:szCs w:val="28"/>
          <w:highlight w:val="none"/>
        </w:rPr>
        <w:t>一、基本要求</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1、投标方所供的设备，必须符合中国最新版的法律、法规和相关标准、规范的要求，符合项目所在地政府有关特殊要求。</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2、投标方所供设备涉及的专利权技术以及知识产权保护的其它技术等，应保证招标方不因此受到任何侵权指控以及实际损失。</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3、投标方应保证所供设备的先进性、可靠性、经济性和实用性，并为全新设备。</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4、投标方应满足招标方提出的各项技术要求，必要时应当免费提供技术承诺或担保。</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5、投标方应保证所供设备为中国公布的非淘汰设备，并为中国指定或规定的主管部门认可的环保型和节能型设备。</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6、投标方应保证所供设备的完整性和成套性，能保证设备的正常运行、使用。</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7、投标方应对招标方采购的设备所涉及的技术、产能等信息负有保密义务，招标方拥有追究投标方泄密责任的权利；招标方如有需要，投标方应无条件签署保密协议。</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8、投标方需提供近三年内项目业绩证明。</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sz w:val="28"/>
          <w:szCs w:val="28"/>
          <w:highlight w:val="none"/>
        </w:rPr>
      </w:pPr>
      <w:r>
        <w:rPr>
          <w:rFonts w:hint="eastAsia" w:ascii="黑体" w:hAnsi="黑体" w:eastAsia="黑体" w:cs="Times New Roman"/>
          <w:b/>
          <w:bCs/>
          <w:sz w:val="28"/>
          <w:szCs w:val="28"/>
          <w:highlight w:val="none"/>
        </w:rPr>
        <w:t>二、执行标准</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1、招标方此处所列标准仅为涉及的主要标准，而且不保证其为最新版执行标准；投标方应当在投标文件中认真予以填写、补充和修改完善。</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2、投标方需要执行的标准，应当以所供设备通过招标方将来组织的最终验收之日开始执行的最新标准。</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pPr>
        <w:shd w:val="clear" w:color="auto" w:fill="auto"/>
        <w:spacing w:line="360" w:lineRule="exact"/>
        <w:ind w:firstLine="420" w:firstLineChars="200"/>
        <w:rPr>
          <w:rFonts w:hint="eastAsia" w:ascii="宋体" w:hAnsi="宋体"/>
          <w:highlight w:val="none"/>
        </w:rPr>
      </w:pPr>
      <w:r>
        <w:rPr>
          <w:rFonts w:hint="eastAsia" w:ascii="宋体" w:hAnsi="宋体"/>
          <w:highlight w:val="none"/>
        </w:rPr>
        <w:t>4、如果有采用国际标准的货物，其执行标准由投标方提供、招标方确认。</w:t>
      </w:r>
    </w:p>
    <w:p>
      <w:pPr>
        <w:shd w:val="clear" w:color="auto" w:fill="auto"/>
        <w:overflowPunct w:val="0"/>
        <w:spacing w:line="360" w:lineRule="exact"/>
        <w:ind w:firstLine="420" w:firstLineChars="200"/>
        <w:rPr>
          <w:rFonts w:hint="eastAsia" w:ascii="宋体" w:hAnsi="宋体"/>
          <w:highlight w:val="none"/>
        </w:rPr>
      </w:pPr>
      <w:r>
        <w:rPr>
          <w:rFonts w:hint="eastAsia" w:ascii="宋体" w:hAnsi="宋体" w:eastAsia="宋体" w:cs="Times New Roman"/>
          <w:highlight w:val="none"/>
        </w:rPr>
        <w:t>5、涉及的主要标准：</w:t>
      </w:r>
    </w:p>
    <w:tbl>
      <w:tblPr>
        <w:tblStyle w:val="4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640"/>
        <w:gridCol w:w="6354"/>
        <w:gridCol w:w="2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hint="eastAsia" w:ascii="宋体" w:hAnsi="宋体" w:cs="宋体"/>
                <w:b/>
                <w:bCs/>
                <w:sz w:val="21"/>
                <w:szCs w:val="21"/>
                <w:highlight w:val="none"/>
              </w:rPr>
            </w:pPr>
            <w:r>
              <w:rPr>
                <w:rFonts w:hint="eastAsia" w:ascii="宋体" w:hAnsi="宋体" w:cs="宋体"/>
                <w:b/>
                <w:bCs/>
                <w:sz w:val="21"/>
                <w:szCs w:val="21"/>
                <w:highlight w:val="none"/>
              </w:rPr>
              <w:t>序号</w:t>
            </w:r>
          </w:p>
        </w:tc>
        <w:tc>
          <w:tcPr>
            <w:tcW w:w="3465" w:type="pct"/>
            <w:noWrap w:val="0"/>
            <w:vAlign w:val="center"/>
          </w:tcPr>
          <w:p>
            <w:pPr>
              <w:shd w:val="clear" w:color="auto" w:fill="auto"/>
              <w:overflowPunct w:val="0"/>
              <w:autoSpaceDE w:val="0"/>
              <w:autoSpaceDN w:val="0"/>
              <w:jc w:val="center"/>
              <w:rPr>
                <w:rFonts w:hint="eastAsia" w:ascii="宋体" w:hAnsi="宋体" w:cs="宋体"/>
                <w:b/>
                <w:bCs/>
                <w:sz w:val="21"/>
                <w:szCs w:val="21"/>
                <w:highlight w:val="none"/>
              </w:rPr>
            </w:pPr>
            <w:r>
              <w:rPr>
                <w:rFonts w:hint="eastAsia" w:ascii="宋体" w:hAnsi="宋体" w:cs="宋体"/>
                <w:b/>
                <w:bCs/>
                <w:sz w:val="21"/>
                <w:szCs w:val="21"/>
                <w:highlight w:val="none"/>
              </w:rPr>
              <w:t>标准名称</w:t>
            </w:r>
          </w:p>
        </w:tc>
        <w:tc>
          <w:tcPr>
            <w:tcW w:w="1185" w:type="pct"/>
            <w:noWrap w:val="0"/>
            <w:vAlign w:val="center"/>
          </w:tcPr>
          <w:p>
            <w:pPr>
              <w:shd w:val="clear" w:color="auto" w:fill="auto"/>
              <w:overflowPunct w:val="0"/>
              <w:autoSpaceDE w:val="0"/>
              <w:autoSpaceDN w:val="0"/>
              <w:jc w:val="center"/>
              <w:rPr>
                <w:rFonts w:hint="eastAsia" w:ascii="宋体" w:hAnsi="宋体" w:cs="宋体"/>
                <w:b/>
                <w:bCs/>
                <w:sz w:val="21"/>
                <w:szCs w:val="21"/>
                <w:highlight w:val="none"/>
              </w:rPr>
            </w:pPr>
            <w:r>
              <w:rPr>
                <w:rFonts w:hint="eastAsia" w:ascii="宋体" w:hAnsi="宋体" w:cs="宋体"/>
                <w:b/>
                <w:bCs/>
                <w:sz w:val="21"/>
                <w:szCs w:val="21"/>
                <w:highlight w:val="none"/>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1</w:t>
            </w:r>
          </w:p>
        </w:tc>
        <w:tc>
          <w:tcPr>
            <w:tcW w:w="346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《电气装置安装工程电缆线路施工及验收规范》</w:t>
            </w:r>
          </w:p>
        </w:tc>
        <w:tc>
          <w:tcPr>
            <w:tcW w:w="118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GB50168-2006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2</w:t>
            </w:r>
          </w:p>
        </w:tc>
        <w:tc>
          <w:tcPr>
            <w:tcW w:w="346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中国重型汽车有限公司企业标准《设备设施颜色标识》</w:t>
            </w:r>
          </w:p>
        </w:tc>
        <w:tc>
          <w:tcPr>
            <w:tcW w:w="118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Q/ZZ30070-2021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3</w:t>
            </w:r>
          </w:p>
        </w:tc>
        <w:tc>
          <w:tcPr>
            <w:tcW w:w="346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fldChar w:fldCharType="begin"/>
            </w:r>
            <w:r>
              <w:rPr>
                <w:rFonts w:hint="eastAsia" w:ascii="宋体" w:hAnsi="宋体" w:cs="宋体"/>
                <w:sz w:val="21"/>
                <w:szCs w:val="21"/>
                <w:highlight w:val="none"/>
              </w:rPr>
              <w:instrText xml:space="preserve"> HYPERLINK "http://product.dangdang.com/1100236607.html" \t "_blank" </w:instrText>
            </w:r>
            <w:r>
              <w:rPr>
                <w:rFonts w:hint="eastAsia" w:ascii="宋体" w:hAnsi="宋体" w:cs="宋体"/>
                <w:sz w:val="21"/>
                <w:szCs w:val="21"/>
                <w:highlight w:val="none"/>
              </w:rPr>
              <w:fldChar w:fldCharType="separate"/>
            </w:r>
            <w:r>
              <w:rPr>
                <w:rFonts w:hint="eastAsia" w:ascii="宋体" w:hAnsi="宋体" w:cs="宋体"/>
                <w:sz w:val="21"/>
                <w:szCs w:val="21"/>
                <w:highlight w:val="none"/>
              </w:rPr>
              <w:t>机器的安全性防止人体上下肢触及危险区的安全距离</w:t>
            </w:r>
            <w:r>
              <w:rPr>
                <w:rFonts w:hint="eastAsia" w:ascii="宋体" w:hAnsi="宋体" w:cs="宋体"/>
                <w:sz w:val="21"/>
                <w:szCs w:val="21"/>
                <w:highlight w:val="none"/>
              </w:rPr>
              <w:fldChar w:fldCharType="end"/>
            </w:r>
          </w:p>
        </w:tc>
        <w:tc>
          <w:tcPr>
            <w:tcW w:w="118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GB23821-2009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4</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《工业企业噪声控制设计规范》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GBJ87-85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5</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《工业企业噪声测量规范》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GBJ122-88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6</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工作场所物理因素测量</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GBZ/T189.1-2007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7</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《通信电源设备安装工程设计规范》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YD/T5040-2005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8</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《电气装置安装工程电力变压器、互感器施工及验收规范》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GBJ148-1990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9</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《电气装置安装工程电缆线路施工及验收规范》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GB50168-1992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10</w:t>
            </w:r>
          </w:p>
        </w:tc>
        <w:tc>
          <w:tcPr>
            <w:tcW w:w="346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《可编程序控制器国际标准》</w:t>
            </w:r>
          </w:p>
        </w:tc>
        <w:tc>
          <w:tcPr>
            <w:tcW w:w="118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IEC1131_3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11</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《软件维护指南》</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GB/T14079-1993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12</w:t>
            </w:r>
          </w:p>
        </w:tc>
        <w:tc>
          <w:tcPr>
            <w:tcW w:w="3465" w:type="pct"/>
            <w:noWrap w:val="0"/>
            <w:vAlign w:val="center"/>
          </w:tcPr>
          <w:p>
            <w:pPr>
              <w:widowControl w:val="0"/>
              <w:shd w:val="clear" w:color="auto" w:fill="auto"/>
              <w:overflowPunct w:val="0"/>
              <w:autoSpaceDE w:val="0"/>
              <w:autoSpaceDN w:val="0"/>
              <w:adjustRightInd/>
              <w:spacing w:before="27" w:line="240" w:lineRule="auto"/>
              <w:ind w:right="36" w:rightChars="17"/>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《机械设备安装工程施工及验收规范》</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GB50231-98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13</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电工成套装置中的导线颜色</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GB/T2681-81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14</w:t>
            </w:r>
          </w:p>
        </w:tc>
        <w:tc>
          <w:tcPr>
            <w:tcW w:w="346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电工成套装置中的指示灯和按钮的颜色</w:t>
            </w:r>
          </w:p>
        </w:tc>
        <w:tc>
          <w:tcPr>
            <w:tcW w:w="1185" w:type="pct"/>
            <w:noWrap w:val="0"/>
            <w:vAlign w:val="center"/>
          </w:tcPr>
          <w:p>
            <w:pPr>
              <w:shd w:val="clear" w:color="auto" w:fill="auto"/>
              <w:overflowPunct w:val="0"/>
              <w:autoSpaceDE w:val="0"/>
              <w:autoSpaceDN w:val="0"/>
              <w:jc w:val="center"/>
              <w:rPr>
                <w:rFonts w:hint="eastAsia" w:ascii="宋体" w:hAnsi="宋体" w:cs="Microsoft JhengHei Light"/>
                <w:color w:val="000000"/>
                <w:sz w:val="21"/>
                <w:szCs w:val="21"/>
                <w:highlight w:val="none"/>
              </w:rPr>
            </w:pPr>
            <w:r>
              <w:rPr>
                <w:rFonts w:hint="eastAsia" w:ascii="宋体" w:hAnsi="宋体" w:cs="宋体"/>
                <w:sz w:val="21"/>
                <w:szCs w:val="21"/>
                <w:highlight w:val="none"/>
              </w:rPr>
              <w:t>GB/T2682-81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349" w:type="pct"/>
            <w:noWrap w:val="0"/>
            <w:vAlign w:val="center"/>
          </w:tcPr>
          <w:p>
            <w:pPr>
              <w:shd w:val="clear" w:color="auto" w:fill="auto"/>
              <w:overflowPunct w:val="0"/>
              <w:autoSpaceDE w:val="0"/>
              <w:autoSpaceDN w:val="0"/>
              <w:jc w:val="center"/>
              <w:rPr>
                <w:rFonts w:ascii="宋体" w:hAnsi="宋体" w:cs="宋体"/>
                <w:sz w:val="21"/>
                <w:szCs w:val="21"/>
                <w:highlight w:val="none"/>
              </w:rPr>
            </w:pPr>
            <w:r>
              <w:rPr>
                <w:rFonts w:hint="eastAsia" w:ascii="宋体" w:hAnsi="宋体" w:cs="宋体"/>
                <w:sz w:val="21"/>
                <w:szCs w:val="21"/>
                <w:highlight w:val="none"/>
              </w:rPr>
              <w:t>15</w:t>
            </w:r>
          </w:p>
        </w:tc>
        <w:tc>
          <w:tcPr>
            <w:tcW w:w="346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fldChar w:fldCharType="begin"/>
            </w:r>
            <w:r>
              <w:rPr>
                <w:rFonts w:hint="eastAsia" w:ascii="宋体" w:hAnsi="宋体" w:cs="宋体"/>
                <w:sz w:val="21"/>
                <w:szCs w:val="21"/>
                <w:highlight w:val="none"/>
              </w:rPr>
              <w:instrText xml:space="preserve"> HYPERLINK "http://wenku.baidu.com/view/db95ac1014791711cc791788.html" \t "_blank" </w:instrText>
            </w:r>
            <w:r>
              <w:rPr>
                <w:rFonts w:hint="eastAsia" w:ascii="宋体" w:hAnsi="宋体" w:cs="宋体"/>
                <w:sz w:val="21"/>
                <w:szCs w:val="21"/>
                <w:highlight w:val="none"/>
              </w:rPr>
              <w:fldChar w:fldCharType="separate"/>
            </w:r>
            <w:r>
              <w:rPr>
                <w:rFonts w:hint="eastAsia" w:ascii="宋体" w:hAnsi="宋体" w:cs="宋体"/>
                <w:sz w:val="21"/>
                <w:szCs w:val="21"/>
                <w:highlight w:val="none"/>
              </w:rPr>
              <w:t>机械设备防护罩安全标准</w:t>
            </w:r>
            <w:r>
              <w:rPr>
                <w:rFonts w:hint="eastAsia" w:ascii="宋体" w:hAnsi="宋体" w:cs="宋体"/>
                <w:sz w:val="21"/>
                <w:szCs w:val="21"/>
                <w:highlight w:val="none"/>
              </w:rPr>
              <w:fldChar w:fldCharType="end"/>
            </w:r>
          </w:p>
        </w:tc>
        <w:tc>
          <w:tcPr>
            <w:tcW w:w="1185" w:type="pct"/>
            <w:noWrap w:val="0"/>
            <w:vAlign w:val="center"/>
          </w:tcPr>
          <w:p>
            <w:pPr>
              <w:shd w:val="clear" w:color="auto" w:fill="auto"/>
              <w:overflowPunct w:val="0"/>
              <w:autoSpaceDE w:val="0"/>
              <w:autoSpaceDN w:val="0"/>
              <w:jc w:val="center"/>
              <w:rPr>
                <w:rFonts w:hint="eastAsia" w:ascii="宋体" w:hAnsi="宋体" w:cs="宋体"/>
                <w:sz w:val="21"/>
                <w:szCs w:val="21"/>
                <w:highlight w:val="none"/>
              </w:rPr>
            </w:pPr>
            <w:r>
              <w:rPr>
                <w:rFonts w:hint="eastAsia" w:ascii="宋体" w:hAnsi="宋体" w:cs="宋体"/>
                <w:sz w:val="21"/>
                <w:szCs w:val="21"/>
                <w:highlight w:val="none"/>
              </w:rPr>
              <w:t>GB8196-2003</w:t>
            </w:r>
          </w:p>
        </w:tc>
      </w:tr>
    </w:tbl>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ascii="黑体" w:hAnsi="黑体" w:eastAsia="黑体"/>
          <w:b/>
          <w:bCs/>
          <w:sz w:val="28"/>
          <w:szCs w:val="28"/>
          <w:highlight w:val="none"/>
        </w:rPr>
      </w:pPr>
      <w:r>
        <w:rPr>
          <w:rFonts w:hint="eastAsia" w:ascii="黑体" w:hAnsi="黑体" w:eastAsia="黑体"/>
          <w:b/>
          <w:bCs/>
          <w:kern w:val="2"/>
          <w:sz w:val="28"/>
          <w:szCs w:val="28"/>
          <w:lang w:val="en-US" w:eastAsia="zh-CN" w:bidi="ar-SA"/>
        </w:rPr>
        <w:t>三、</w:t>
      </w:r>
      <w:r>
        <w:rPr>
          <w:rFonts w:hint="eastAsia" w:ascii="黑体" w:hAnsi="黑体" w:eastAsia="黑体"/>
          <w:b/>
          <w:bCs/>
          <w:sz w:val="28"/>
          <w:szCs w:val="28"/>
          <w:highlight w:val="none"/>
        </w:rPr>
        <w:t>技术规范和技术要求</w:t>
      </w:r>
    </w:p>
    <w:p>
      <w:pPr>
        <w:pStyle w:val="22"/>
        <w:shd w:val="clear" w:color="auto" w:fill="auto"/>
        <w:spacing w:line="360" w:lineRule="auto"/>
        <w:outlineLvl w:val="0"/>
        <w:rPr>
          <w:rFonts w:hint="eastAsia" w:hAnsi="宋体" w:cs="宋体"/>
          <w:b/>
          <w:bCs/>
          <w:sz w:val="24"/>
          <w:szCs w:val="22"/>
          <w:highlight w:val="none"/>
        </w:rPr>
      </w:pPr>
      <w:r>
        <w:rPr>
          <w:rFonts w:hint="eastAsia" w:hAnsi="宋体" w:cs="宋体"/>
          <w:b/>
          <w:bCs/>
          <w:sz w:val="24"/>
          <w:szCs w:val="22"/>
          <w:highlight w:val="none"/>
          <w:lang w:val="en-US" w:eastAsia="zh-CN"/>
        </w:rPr>
        <w:t>1、</w:t>
      </w:r>
      <w:r>
        <w:rPr>
          <w:rFonts w:hint="eastAsia" w:hAnsi="宋体" w:cs="宋体"/>
          <w:b/>
          <w:bCs/>
          <w:sz w:val="24"/>
          <w:szCs w:val="22"/>
          <w:highlight w:val="none"/>
        </w:rPr>
        <w:t>总体工艺要求</w:t>
      </w:r>
    </w:p>
    <w:p>
      <w:pPr>
        <w:pStyle w:val="22"/>
        <w:numPr>
          <w:ilvl w:val="0"/>
          <w:numId w:val="0"/>
        </w:numPr>
        <w:shd w:val="clear" w:color="auto" w:fill="auto"/>
        <w:spacing w:line="360" w:lineRule="auto"/>
        <w:ind w:left="360" w:firstLine="0"/>
        <w:outlineLvl w:val="0"/>
        <w:rPr>
          <w:rFonts w:hAnsi="宋体" w:cs="宋体"/>
          <w:sz w:val="24"/>
          <w:szCs w:val="22"/>
          <w:highlight w:val="none"/>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1</w:t>
      </w:r>
      <w:r>
        <w:rPr>
          <w:rFonts w:hint="eastAsia" w:hAnsi="宋体" w:cs="宋体"/>
          <w:b/>
          <w:bCs/>
          <w:sz w:val="24"/>
          <w:szCs w:val="22"/>
          <w:highlight w:val="none"/>
          <w:lang w:eastAsia="zh-CN"/>
        </w:rPr>
        <w:t>）</w:t>
      </w:r>
      <w:r>
        <w:rPr>
          <w:rFonts w:hAnsi="宋体" w:cs="宋体"/>
          <w:b/>
          <w:bCs/>
          <w:sz w:val="24"/>
          <w:szCs w:val="22"/>
          <w:highlight w:val="none"/>
        </w:rPr>
        <w:t>精度与一致性：</w:t>
      </w:r>
      <w:r>
        <w:rPr>
          <w:rFonts w:hAnsi="宋体" w:cs="宋体"/>
          <w:sz w:val="24"/>
          <w:szCs w:val="22"/>
          <w:highlight w:val="none"/>
        </w:rPr>
        <w:t>所有拧紧设备必须实现高精度、高重复性的拧紧过程，扭矩和角度的控制精度</w:t>
      </w:r>
      <w:r>
        <w:rPr>
          <w:rFonts w:hint="eastAsia" w:hAnsi="宋体" w:cs="宋体"/>
          <w:sz w:val="24"/>
          <w:szCs w:val="22"/>
          <w:highlight w:val="none"/>
        </w:rPr>
        <w:t>达到±3%。</w:t>
      </w:r>
    </w:p>
    <w:p>
      <w:pPr>
        <w:pStyle w:val="22"/>
        <w:numPr>
          <w:ilvl w:val="0"/>
          <w:numId w:val="0"/>
        </w:numPr>
        <w:shd w:val="clear" w:color="auto" w:fill="auto"/>
        <w:spacing w:line="360" w:lineRule="auto"/>
        <w:ind w:left="360" w:firstLine="0"/>
        <w:outlineLvl w:val="0"/>
        <w:rPr>
          <w:rFonts w:hint="eastAsia" w:hAnsi="宋体" w:cs="宋体"/>
          <w:sz w:val="24"/>
          <w:szCs w:val="22"/>
          <w:highlight w:val="none"/>
          <w:lang w:val="en-US" w:eastAsia="zh-CN"/>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2</w:t>
      </w:r>
      <w:r>
        <w:rPr>
          <w:rFonts w:hint="eastAsia" w:hAnsi="宋体" w:cs="宋体"/>
          <w:b/>
          <w:bCs/>
          <w:sz w:val="24"/>
          <w:szCs w:val="22"/>
          <w:highlight w:val="none"/>
          <w:lang w:eastAsia="zh-CN"/>
        </w:rPr>
        <w:t>）</w:t>
      </w:r>
      <w:r>
        <w:rPr>
          <w:rFonts w:hAnsi="宋体" w:cs="宋体"/>
          <w:b/>
          <w:bCs/>
          <w:sz w:val="24"/>
          <w:szCs w:val="22"/>
          <w:highlight w:val="none"/>
        </w:rPr>
        <w:t>数据追溯：</w:t>
      </w:r>
      <w:r>
        <w:rPr>
          <w:rFonts w:hAnsi="宋体" w:cs="宋体"/>
          <w:sz w:val="24"/>
          <w:szCs w:val="22"/>
          <w:highlight w:val="none"/>
        </w:rPr>
        <w:t>每颗螺栓的拧紧过程数据（包括但不限于目标扭矩、实际扭矩、目标角度、实际角度、拧紧时间、结果状态OK/NOK）必须被完整记录。数据需能通过Profinet接口实时上传至</w:t>
      </w:r>
      <w:r>
        <w:rPr>
          <w:rFonts w:hint="eastAsia" w:hAnsi="宋体" w:cs="宋体"/>
          <w:sz w:val="24"/>
          <w:szCs w:val="22"/>
          <w:highlight w:val="none"/>
          <w:lang w:eastAsia="zh-CN"/>
        </w:rPr>
        <w:t>招标方</w:t>
      </w:r>
      <w:r>
        <w:rPr>
          <w:rFonts w:hint="eastAsia" w:hAnsi="宋体" w:cs="宋体"/>
          <w:sz w:val="24"/>
          <w:szCs w:val="22"/>
          <w:highlight w:val="none"/>
        </w:rPr>
        <w:t>数据库中</w:t>
      </w:r>
      <w:r>
        <w:rPr>
          <w:rFonts w:hAnsi="宋体" w:cs="宋体"/>
          <w:sz w:val="24"/>
          <w:szCs w:val="22"/>
          <w:highlight w:val="none"/>
        </w:rPr>
        <w:t>，并至少在本机控制器内存储超过100,000个拧紧结果。</w:t>
      </w:r>
      <w:r>
        <w:rPr>
          <w:rFonts w:hint="eastAsia" w:hAnsi="宋体" w:cs="宋体"/>
          <w:sz w:val="24"/>
          <w:szCs w:val="22"/>
          <w:highlight w:val="none"/>
          <w:lang w:val="en-US" w:eastAsia="zh-CN"/>
        </w:rPr>
        <w:t>拧紧数据采集、上传范围要求：</w:t>
      </w:r>
    </w:p>
    <w:p>
      <w:pPr>
        <w:pStyle w:val="22"/>
        <w:numPr>
          <w:ilvl w:val="0"/>
          <w:numId w:val="10"/>
        </w:numPr>
        <w:shd w:val="clear" w:color="auto" w:fill="auto"/>
        <w:spacing w:line="360" w:lineRule="auto"/>
        <w:ind w:left="420" w:leftChars="0" w:firstLine="480" w:firstLineChars="200"/>
        <w:outlineLvl w:val="0"/>
        <w:rPr>
          <w:rFonts w:hint="eastAsia" w:hAnsi="宋体" w:cs="宋体"/>
          <w:sz w:val="24"/>
          <w:szCs w:val="22"/>
          <w:highlight w:val="none"/>
          <w:lang w:val="en-US" w:eastAsia="zh-CN"/>
        </w:rPr>
      </w:pPr>
      <w:r>
        <w:rPr>
          <w:rFonts w:hint="eastAsia" w:hAnsi="宋体" w:cs="宋体"/>
          <w:sz w:val="24"/>
          <w:szCs w:val="22"/>
          <w:highlight w:val="none"/>
          <w:lang w:val="en-US" w:eastAsia="zh-CN"/>
        </w:rPr>
        <w:t>此次招标范围内的4台拧紧提升设备。</w:t>
      </w:r>
    </w:p>
    <w:p>
      <w:pPr>
        <w:pStyle w:val="22"/>
        <w:numPr>
          <w:ilvl w:val="0"/>
          <w:numId w:val="10"/>
        </w:numPr>
        <w:shd w:val="clear" w:color="auto" w:fill="auto"/>
        <w:spacing w:line="360" w:lineRule="auto"/>
        <w:ind w:left="420" w:leftChars="0" w:firstLine="480" w:firstLineChars="200"/>
        <w:outlineLvl w:val="0"/>
        <w:rPr>
          <w:rFonts w:hint="eastAsia" w:hAnsi="宋体" w:cs="宋体"/>
          <w:sz w:val="24"/>
          <w:szCs w:val="22"/>
          <w:highlight w:val="none"/>
          <w:lang w:val="en-US" w:eastAsia="zh-CN"/>
        </w:rPr>
      </w:pPr>
      <w:r>
        <w:rPr>
          <w:rFonts w:hint="eastAsia" w:hAnsi="宋体" w:cs="宋体"/>
          <w:sz w:val="24"/>
          <w:szCs w:val="22"/>
          <w:highlight w:val="none"/>
          <w:lang w:val="en-US" w:eastAsia="zh-CN"/>
        </w:rPr>
        <w:t>招标方现有中间齿轮拧紧设备、主轴承拧紧设备、连杆拧紧设备，共4个采集点（阿特拉斯</w:t>
      </w:r>
      <w:r>
        <w:rPr>
          <w:rFonts w:hAnsi="宋体" w:cs="宋体"/>
          <w:sz w:val="24"/>
          <w:szCs w:val="22"/>
          <w:highlight w:val="none"/>
        </w:rPr>
        <w:t>QST80-600CT</w:t>
      </w:r>
      <w:r>
        <w:rPr>
          <w:rFonts w:hint="eastAsia" w:hAnsi="宋体" w:cs="宋体"/>
          <w:sz w:val="24"/>
          <w:szCs w:val="22"/>
          <w:highlight w:val="none"/>
          <w:lang w:val="en-US" w:eastAsia="zh-CN"/>
        </w:rPr>
        <w:t>拧紧轴+控制器PF6000；ETP  ST系列电枪）。</w:t>
      </w:r>
    </w:p>
    <w:p>
      <w:pPr>
        <w:pStyle w:val="22"/>
        <w:numPr>
          <w:ilvl w:val="0"/>
          <w:numId w:val="10"/>
        </w:numPr>
        <w:shd w:val="clear" w:color="auto" w:fill="auto"/>
        <w:spacing w:line="360" w:lineRule="auto"/>
        <w:ind w:left="420" w:leftChars="0" w:firstLine="480" w:firstLineChars="200"/>
        <w:outlineLvl w:val="0"/>
        <w:rPr>
          <w:rFonts w:hint="default" w:hAnsi="宋体" w:cs="宋体"/>
          <w:sz w:val="24"/>
          <w:szCs w:val="22"/>
          <w:highlight w:val="none"/>
          <w:lang w:val="en-US" w:eastAsia="zh-CN"/>
        </w:rPr>
      </w:pPr>
      <w:r>
        <w:rPr>
          <w:rFonts w:hint="eastAsia" w:hAnsi="宋体" w:cs="宋体"/>
          <w:sz w:val="24"/>
          <w:szCs w:val="22"/>
          <w:highlight w:val="none"/>
          <w:lang w:val="en-US" w:eastAsia="zh-CN"/>
        </w:rPr>
        <w:t>数据采集软件具备可扩展性，招标方通过设定IP地址、拧紧轴型号及数量、拧紧参数，即可将拧紧数据上传至招标方数据库内。</w:t>
      </w:r>
    </w:p>
    <w:p>
      <w:pPr>
        <w:pStyle w:val="22"/>
        <w:numPr>
          <w:ilvl w:val="0"/>
          <w:numId w:val="0"/>
        </w:numPr>
        <w:shd w:val="clear" w:color="auto" w:fill="auto"/>
        <w:spacing w:line="360" w:lineRule="auto"/>
        <w:ind w:left="360" w:firstLine="0"/>
        <w:outlineLvl w:val="0"/>
        <w:rPr>
          <w:rFonts w:hAnsi="宋体" w:cs="宋体"/>
          <w:sz w:val="24"/>
          <w:szCs w:val="22"/>
          <w:highlight w:val="none"/>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3</w:t>
      </w:r>
      <w:r>
        <w:rPr>
          <w:rFonts w:hint="eastAsia" w:hAnsi="宋体" w:cs="宋体"/>
          <w:b/>
          <w:bCs/>
          <w:sz w:val="24"/>
          <w:szCs w:val="22"/>
          <w:highlight w:val="none"/>
          <w:lang w:eastAsia="zh-CN"/>
        </w:rPr>
        <w:t>）</w:t>
      </w:r>
      <w:r>
        <w:rPr>
          <w:rFonts w:hAnsi="宋体" w:cs="宋体"/>
          <w:b/>
          <w:bCs/>
          <w:sz w:val="24"/>
          <w:szCs w:val="22"/>
          <w:highlight w:val="none"/>
        </w:rPr>
        <w:t>人机交互：</w:t>
      </w:r>
    </w:p>
    <w:p>
      <w:pPr>
        <w:pStyle w:val="22"/>
        <w:numPr>
          <w:ilvl w:val="0"/>
          <w:numId w:val="11"/>
        </w:numPr>
        <w:shd w:val="clear" w:color="auto" w:fill="auto"/>
        <w:spacing w:line="360" w:lineRule="auto"/>
        <w:ind w:left="420" w:leftChars="0" w:firstLine="480" w:firstLineChars="200"/>
        <w:outlineLvl w:val="0"/>
        <w:rPr>
          <w:rFonts w:hint="default" w:hAnsi="宋体" w:eastAsia="宋体" w:cs="宋体"/>
          <w:b w:val="0"/>
          <w:bCs w:val="0"/>
          <w:sz w:val="24"/>
          <w:szCs w:val="22"/>
          <w:highlight w:val="none"/>
        </w:rPr>
      </w:pPr>
      <w:r>
        <w:rPr>
          <w:rFonts w:hAnsi="宋体" w:eastAsia="宋体" w:cs="宋体"/>
          <w:sz w:val="24"/>
          <w:szCs w:val="22"/>
          <w:highlight w:val="none"/>
        </w:rPr>
        <w:t>配备</w:t>
      </w:r>
      <w:r>
        <w:rPr>
          <w:rFonts w:hint="eastAsia" w:hAnsi="宋体" w:eastAsia="宋体" w:cs="宋体"/>
          <w:sz w:val="24"/>
          <w:szCs w:val="22"/>
          <w:highlight w:val="none"/>
          <w:lang w:val="en-US" w:eastAsia="zh-CN"/>
        </w:rPr>
        <w:t>1台</w:t>
      </w:r>
      <w:r>
        <w:rPr>
          <w:rFonts w:hint="default" w:hAnsi="宋体" w:eastAsia="宋体" w:cs="宋体"/>
          <w:sz w:val="24"/>
          <w:szCs w:val="22"/>
          <w:highlight w:val="none"/>
        </w:rPr>
        <w:t>工控机，用于</w:t>
      </w:r>
      <w:r>
        <w:rPr>
          <w:rFonts w:hint="eastAsia" w:hAnsi="宋体" w:eastAsia="宋体" w:cs="宋体"/>
          <w:sz w:val="24"/>
          <w:szCs w:val="22"/>
          <w:highlight w:val="none"/>
          <w:lang w:val="en-US" w:eastAsia="zh-CN"/>
        </w:rPr>
        <w:t>采集拧紧设备的</w:t>
      </w:r>
      <w:r>
        <w:rPr>
          <w:rFonts w:hint="default" w:hAnsi="宋体" w:eastAsia="宋体" w:cs="宋体"/>
          <w:sz w:val="24"/>
          <w:szCs w:val="22"/>
          <w:highlight w:val="none"/>
        </w:rPr>
        <w:t>拧紧结果</w:t>
      </w:r>
      <w:r>
        <w:rPr>
          <w:rFonts w:hint="eastAsia" w:hAnsi="宋体" w:eastAsia="宋体" w:cs="宋体"/>
          <w:sz w:val="24"/>
          <w:szCs w:val="22"/>
          <w:highlight w:val="none"/>
          <w:lang w:eastAsia="zh-CN"/>
        </w:rPr>
        <w:t>。</w:t>
      </w:r>
    </w:p>
    <w:p>
      <w:pPr>
        <w:pStyle w:val="22"/>
        <w:numPr>
          <w:ilvl w:val="0"/>
          <w:numId w:val="11"/>
        </w:numPr>
        <w:shd w:val="clear" w:color="auto" w:fill="auto"/>
        <w:spacing w:line="360" w:lineRule="auto"/>
        <w:ind w:left="420" w:leftChars="0" w:firstLine="480" w:firstLineChars="200"/>
        <w:outlineLvl w:val="0"/>
        <w:rPr>
          <w:rFonts w:hAnsi="宋体" w:eastAsia="宋体" w:cs="宋体"/>
          <w:sz w:val="24"/>
          <w:szCs w:val="22"/>
          <w:highlight w:val="none"/>
        </w:rPr>
      </w:pPr>
      <w:r>
        <w:rPr>
          <w:rFonts w:hAnsi="宋体" w:eastAsia="宋体" w:cs="宋体"/>
          <w:sz w:val="24"/>
          <w:szCs w:val="22"/>
          <w:highlight w:val="none"/>
        </w:rPr>
        <w:t>每台设备需配备清晰的三色灯（绿-OK，黄-警告/工作中，红-NOK/故障）和声光报警器。</w:t>
      </w:r>
    </w:p>
    <w:p>
      <w:pPr>
        <w:pStyle w:val="22"/>
        <w:numPr>
          <w:ilvl w:val="0"/>
          <w:numId w:val="0"/>
        </w:numPr>
        <w:shd w:val="clear" w:color="auto" w:fill="auto"/>
        <w:spacing w:line="360" w:lineRule="auto"/>
        <w:ind w:left="360" w:firstLine="0"/>
        <w:outlineLvl w:val="0"/>
        <w:rPr>
          <w:rFonts w:hAnsi="宋体" w:cs="宋体"/>
          <w:sz w:val="24"/>
          <w:szCs w:val="22"/>
          <w:highlight w:val="none"/>
        </w:rPr>
      </w:pPr>
      <w:r>
        <w:rPr>
          <w:rFonts w:hint="eastAsia" w:hAnsi="宋体" w:cs="宋体"/>
          <w:b/>
          <w:bCs/>
          <w:sz w:val="24"/>
          <w:szCs w:val="22"/>
          <w:highlight w:val="none"/>
          <w:lang w:val="en-US" w:eastAsia="zh-CN"/>
        </w:rPr>
        <w:t>（4）</w:t>
      </w:r>
      <w:r>
        <w:rPr>
          <w:rFonts w:hAnsi="宋体" w:cs="宋体"/>
          <w:b/>
          <w:bCs/>
          <w:sz w:val="24"/>
          <w:szCs w:val="22"/>
          <w:highlight w:val="none"/>
        </w:rPr>
        <w:t>安全规范：</w:t>
      </w:r>
    </w:p>
    <w:p>
      <w:pPr>
        <w:pStyle w:val="22"/>
        <w:numPr>
          <w:ilvl w:val="0"/>
          <w:numId w:val="12"/>
        </w:numPr>
        <w:shd w:val="clear" w:color="auto" w:fill="auto"/>
        <w:spacing w:line="360" w:lineRule="auto"/>
        <w:ind w:left="420" w:leftChars="0" w:firstLine="480" w:firstLineChars="200"/>
        <w:outlineLvl w:val="0"/>
        <w:rPr>
          <w:rFonts w:hAnsi="宋体" w:eastAsia="宋体" w:cs="宋体"/>
          <w:sz w:val="24"/>
          <w:szCs w:val="22"/>
          <w:highlight w:val="none"/>
        </w:rPr>
      </w:pPr>
      <w:r>
        <w:rPr>
          <w:rFonts w:hAnsi="宋体" w:eastAsia="宋体" w:cs="宋体"/>
          <w:sz w:val="24"/>
          <w:szCs w:val="22"/>
          <w:highlight w:val="none"/>
        </w:rPr>
        <w:t>设备需具备紧急停止按钮，并符合安全标准。</w:t>
      </w:r>
    </w:p>
    <w:p>
      <w:pPr>
        <w:pStyle w:val="22"/>
        <w:numPr>
          <w:ilvl w:val="0"/>
          <w:numId w:val="12"/>
        </w:numPr>
        <w:shd w:val="clear" w:color="auto" w:fill="auto"/>
        <w:spacing w:line="360" w:lineRule="auto"/>
        <w:ind w:left="420" w:leftChars="0" w:firstLine="480" w:firstLineChars="200"/>
        <w:outlineLvl w:val="0"/>
        <w:rPr>
          <w:rFonts w:hAnsi="宋体" w:eastAsia="宋体" w:cs="宋体"/>
          <w:sz w:val="24"/>
          <w:szCs w:val="22"/>
          <w:highlight w:val="none"/>
        </w:rPr>
      </w:pPr>
      <w:r>
        <w:rPr>
          <w:rFonts w:hAnsi="宋体" w:eastAsia="宋体" w:cs="宋体"/>
          <w:sz w:val="24"/>
          <w:szCs w:val="22"/>
          <w:highlight w:val="none"/>
        </w:rPr>
        <w:t>电气系统需有可靠的接地和短路保护。</w:t>
      </w:r>
    </w:p>
    <w:p>
      <w:pPr>
        <w:pStyle w:val="22"/>
        <w:numPr>
          <w:ilvl w:val="0"/>
          <w:numId w:val="12"/>
        </w:numPr>
        <w:shd w:val="clear" w:color="auto" w:fill="auto"/>
        <w:spacing w:line="360" w:lineRule="auto"/>
        <w:ind w:left="420" w:leftChars="0" w:firstLine="480" w:firstLineChars="200"/>
        <w:outlineLvl w:val="0"/>
        <w:rPr>
          <w:rFonts w:hAnsi="宋体" w:eastAsia="宋体" w:cs="宋体"/>
          <w:sz w:val="24"/>
          <w:szCs w:val="22"/>
          <w:highlight w:val="none"/>
        </w:rPr>
      </w:pPr>
      <w:r>
        <w:rPr>
          <w:rFonts w:hint="default" w:hAnsi="宋体" w:eastAsia="宋体" w:cs="宋体"/>
          <w:sz w:val="24"/>
          <w:szCs w:val="22"/>
          <w:highlight w:val="none"/>
        </w:rPr>
        <w:t>具备断电/断气自锁与机械防坠保护功能。</w:t>
      </w:r>
    </w:p>
    <w:p>
      <w:pPr>
        <w:pStyle w:val="22"/>
        <w:shd w:val="clear" w:color="auto" w:fill="auto"/>
        <w:spacing w:line="360" w:lineRule="auto"/>
        <w:outlineLvl w:val="0"/>
        <w:rPr>
          <w:rFonts w:hAnsi="宋体" w:cs="宋体"/>
          <w:sz w:val="24"/>
          <w:szCs w:val="22"/>
          <w:highlight w:val="none"/>
        </w:rPr>
      </w:pPr>
      <w:r>
        <w:rPr>
          <w:rFonts w:hint="eastAsia" w:hAnsi="宋体" w:cs="宋体"/>
          <w:b/>
          <w:bCs/>
          <w:sz w:val="24"/>
          <w:szCs w:val="22"/>
          <w:highlight w:val="none"/>
          <w:lang w:val="en-US" w:eastAsia="zh-CN"/>
        </w:rPr>
        <w:t>2、</w:t>
      </w:r>
      <w:r>
        <w:rPr>
          <w:rFonts w:hAnsi="宋体" w:cs="宋体"/>
          <w:b/>
          <w:bCs/>
          <w:sz w:val="24"/>
          <w:szCs w:val="22"/>
          <w:highlight w:val="none"/>
        </w:rPr>
        <w:t>详细工艺要求与配置</w:t>
      </w:r>
    </w:p>
    <w:p>
      <w:pPr>
        <w:pStyle w:val="22"/>
        <w:shd w:val="clear" w:color="auto" w:fill="auto"/>
        <w:spacing w:line="360" w:lineRule="auto"/>
        <w:outlineLvl w:val="0"/>
        <w:rPr>
          <w:rFonts w:hint="eastAsia" w:hAnsi="宋体" w:eastAsia="宋体" w:cs="宋体"/>
          <w:sz w:val="24"/>
          <w:szCs w:val="22"/>
          <w:highlight w:val="none"/>
          <w:lang w:val="en-US" w:eastAsia="zh-CN"/>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1</w:t>
      </w:r>
      <w:r>
        <w:rPr>
          <w:rFonts w:hint="eastAsia" w:hAnsi="宋体" w:cs="宋体"/>
          <w:b/>
          <w:bCs/>
          <w:sz w:val="24"/>
          <w:szCs w:val="22"/>
          <w:highlight w:val="none"/>
          <w:lang w:eastAsia="zh-CN"/>
        </w:rPr>
        <w:t>）</w:t>
      </w:r>
      <w:r>
        <w:rPr>
          <w:rFonts w:hAnsi="宋体" w:cs="宋体"/>
          <w:b/>
          <w:bCs/>
          <w:sz w:val="24"/>
          <w:szCs w:val="22"/>
          <w:highlight w:val="none"/>
        </w:rPr>
        <w:t>缸盖主螺栓拧紧机</w:t>
      </w:r>
      <w:r>
        <w:rPr>
          <w:rFonts w:hint="eastAsia" w:hAnsi="宋体" w:cs="宋体"/>
          <w:b/>
          <w:bCs/>
          <w:sz w:val="24"/>
          <w:szCs w:val="22"/>
          <w:highlight w:val="none"/>
          <w:lang w:val="en-US" w:eastAsia="zh-CN"/>
        </w:rPr>
        <w:t>提升</w:t>
      </w:r>
    </w:p>
    <w:p>
      <w:pPr>
        <w:pStyle w:val="22"/>
        <w:numPr>
          <w:ilvl w:val="0"/>
          <w:numId w:val="13"/>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工艺要求：</w:t>
      </w:r>
    </w:p>
    <w:p>
      <w:pPr>
        <w:pStyle w:val="22"/>
        <w:numPr>
          <w:ilvl w:val="0"/>
          <w:numId w:val="14"/>
        </w:numPr>
        <w:shd w:val="clear" w:color="auto" w:fill="auto"/>
        <w:spacing w:line="360" w:lineRule="auto"/>
        <w:ind w:left="1440" w:hanging="360"/>
        <w:outlineLvl w:val="0"/>
        <w:rPr>
          <w:rFonts w:hAnsi="宋体" w:cs="宋体"/>
          <w:sz w:val="24"/>
          <w:szCs w:val="22"/>
          <w:highlight w:val="none"/>
        </w:rPr>
      </w:pPr>
      <w:r>
        <w:rPr>
          <w:rFonts w:hAnsi="宋体" w:cs="宋体"/>
          <w:b/>
          <w:bCs/>
          <w:sz w:val="24"/>
          <w:szCs w:val="22"/>
          <w:highlight w:val="none"/>
        </w:rPr>
        <w:t>功能：</w:t>
      </w:r>
      <w:r>
        <w:rPr>
          <w:rFonts w:hAnsi="宋体" w:cs="宋体"/>
          <w:sz w:val="24"/>
          <w:szCs w:val="22"/>
          <w:highlight w:val="none"/>
        </w:rPr>
        <w:t>用于发动机缸盖主螺栓的同步拧紧。装配好缸盖的缸体</w:t>
      </w:r>
      <w:r>
        <w:rPr>
          <w:rFonts w:hint="eastAsia" w:hAnsi="宋体" w:cs="宋体"/>
          <w:sz w:val="24"/>
          <w:szCs w:val="22"/>
          <w:highlight w:val="none"/>
        </w:rPr>
        <w:t>到位后</w:t>
      </w:r>
      <w:r>
        <w:rPr>
          <w:rFonts w:hAnsi="宋体" w:cs="宋体"/>
          <w:sz w:val="24"/>
          <w:szCs w:val="22"/>
          <w:highlight w:val="none"/>
        </w:rPr>
        <w:t>，启动设备，4根轴应能同时对4颗主螺栓进行拧紧。</w:t>
      </w:r>
      <w:r>
        <w:rPr>
          <w:rFonts w:hint="eastAsia" w:hAnsi="宋体" w:cs="宋体"/>
          <w:sz w:val="24"/>
          <w:szCs w:val="22"/>
          <w:highlight w:val="none"/>
        </w:rPr>
        <w:t>共计拧紧6次24颗缸盖主螺栓。</w:t>
      </w:r>
    </w:p>
    <w:p>
      <w:pPr>
        <w:pStyle w:val="22"/>
        <w:numPr>
          <w:ilvl w:val="0"/>
          <w:numId w:val="14"/>
        </w:numPr>
        <w:shd w:val="clear" w:color="auto" w:fill="auto"/>
        <w:spacing w:line="360" w:lineRule="auto"/>
        <w:ind w:left="1440" w:hanging="360"/>
        <w:outlineLvl w:val="0"/>
        <w:rPr>
          <w:rFonts w:hAnsi="宋体" w:cs="宋体"/>
          <w:sz w:val="24"/>
          <w:szCs w:val="22"/>
          <w:highlight w:val="none"/>
        </w:rPr>
      </w:pPr>
      <w:r>
        <w:rPr>
          <w:rFonts w:hAnsi="宋体" w:cs="宋体"/>
          <w:b/>
          <w:bCs/>
          <w:sz w:val="24"/>
          <w:szCs w:val="22"/>
          <w:highlight w:val="none"/>
        </w:rPr>
        <w:t>拧紧策略：</w:t>
      </w:r>
      <w:r>
        <w:rPr>
          <w:rFonts w:hint="eastAsia" w:hAnsi="宋体" w:cs="宋体"/>
          <w:sz w:val="24"/>
          <w:szCs w:val="22"/>
          <w:highlight w:val="none"/>
        </w:rPr>
        <w:t>采用力矩法＋转角法进行拧紧</w:t>
      </w:r>
    </w:p>
    <w:p>
      <w:pPr>
        <w:pStyle w:val="22"/>
        <w:numPr>
          <w:ilvl w:val="2"/>
          <w:numId w:val="15"/>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（30+20）N·ｍ预紧</w:t>
      </w:r>
    </w:p>
    <w:p>
      <w:pPr>
        <w:pStyle w:val="22"/>
        <w:numPr>
          <w:ilvl w:val="2"/>
          <w:numId w:val="15"/>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（200±20）N·ｍ拧紧</w:t>
      </w:r>
    </w:p>
    <w:p>
      <w:pPr>
        <w:pStyle w:val="22"/>
        <w:numPr>
          <w:ilvl w:val="2"/>
          <w:numId w:val="15"/>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125°＋5°转角</w:t>
      </w:r>
    </w:p>
    <w:p>
      <w:pPr>
        <w:pStyle w:val="22"/>
        <w:numPr>
          <w:ilvl w:val="2"/>
          <w:numId w:val="15"/>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125°＋5°转角</w:t>
      </w:r>
    </w:p>
    <w:p>
      <w:pPr>
        <w:pStyle w:val="22"/>
        <w:numPr>
          <w:ilvl w:val="2"/>
          <w:numId w:val="15"/>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最终拧紧力矩260N·ｍ～380N·ｍ</w:t>
      </w:r>
    </w:p>
    <w:p>
      <w:pPr>
        <w:pStyle w:val="22"/>
        <w:numPr>
          <w:ilvl w:val="0"/>
          <w:numId w:val="14"/>
        </w:numPr>
        <w:shd w:val="clear" w:color="auto" w:fill="auto"/>
        <w:spacing w:line="360" w:lineRule="auto"/>
        <w:ind w:left="1440" w:hanging="360"/>
        <w:outlineLvl w:val="0"/>
        <w:rPr>
          <w:rFonts w:hAnsi="宋体" w:cs="宋体"/>
          <w:sz w:val="24"/>
          <w:szCs w:val="22"/>
          <w:highlight w:val="none"/>
        </w:rPr>
      </w:pPr>
      <w:r>
        <w:rPr>
          <w:rFonts w:hAnsi="宋体" w:cs="宋体"/>
          <w:b/>
          <w:bCs/>
          <w:sz w:val="24"/>
          <w:szCs w:val="22"/>
          <w:highlight w:val="none"/>
        </w:rPr>
        <w:t>同步性：</w:t>
      </w:r>
      <w:r>
        <w:rPr>
          <w:rFonts w:hAnsi="宋体" w:cs="宋体"/>
          <w:sz w:val="24"/>
          <w:szCs w:val="22"/>
          <w:highlight w:val="none"/>
        </w:rPr>
        <w:t>4根轴的启动和停止必须保持高度同步，确保螺栓受力均匀。</w:t>
      </w:r>
    </w:p>
    <w:p>
      <w:pPr>
        <w:pStyle w:val="22"/>
        <w:numPr>
          <w:ilvl w:val="0"/>
          <w:numId w:val="14"/>
        </w:numPr>
        <w:shd w:val="clear" w:color="auto" w:fill="auto"/>
        <w:spacing w:line="360" w:lineRule="auto"/>
        <w:ind w:left="1440" w:hanging="360"/>
        <w:outlineLvl w:val="0"/>
        <w:rPr>
          <w:rFonts w:hint="eastAsia" w:hAnsi="宋体" w:cs="宋体"/>
          <w:sz w:val="24"/>
          <w:szCs w:val="22"/>
          <w:highlight w:val="none"/>
        </w:rPr>
      </w:pPr>
      <w:r>
        <w:rPr>
          <w:rFonts w:hint="eastAsia" w:hAnsi="宋体" w:cs="宋体"/>
          <w:b/>
          <w:bCs/>
          <w:sz w:val="24"/>
          <w:szCs w:val="22"/>
          <w:highlight w:val="none"/>
        </w:rPr>
        <w:t>信息采集：</w:t>
      </w:r>
      <w:r>
        <w:rPr>
          <w:rFonts w:hint="eastAsia" w:hAnsi="宋体" w:cs="宋体"/>
          <w:sz w:val="24"/>
          <w:szCs w:val="22"/>
          <w:highlight w:val="none"/>
        </w:rPr>
        <w:t>拧紧曲线需自动上传至toolsnet，拧紧数据（包括过程中力矩、转角）需上传至数据库，同时设备本地需对拧紧结果进行判定；拧紧数据通过扫码枪与发动机信息绑定。</w:t>
      </w:r>
    </w:p>
    <w:p>
      <w:pPr>
        <w:pStyle w:val="22"/>
        <w:numPr>
          <w:ilvl w:val="0"/>
          <w:numId w:val="13"/>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设备配置清单：</w:t>
      </w:r>
    </w:p>
    <w:p>
      <w:pPr>
        <w:pStyle w:val="22"/>
        <w:numPr>
          <w:ilvl w:val="0"/>
          <w:numId w:val="1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拧紧轴：</w:t>
      </w:r>
      <w:r>
        <w:rPr>
          <w:rFonts w:hint="eastAsia" w:hAnsi="宋体" w:cs="宋体"/>
          <w:b/>
          <w:bCs/>
          <w:sz w:val="24"/>
          <w:szCs w:val="22"/>
          <w:highlight w:val="none"/>
          <w:lang w:val="en-US" w:eastAsia="zh-CN"/>
        </w:rPr>
        <w:t>新增2套拧紧轴及控制器，</w:t>
      </w:r>
      <w:r>
        <w:rPr>
          <w:rFonts w:hint="eastAsia" w:hAnsi="宋体" w:cs="宋体"/>
          <w:sz w:val="24"/>
          <w:szCs w:val="22"/>
          <w:highlight w:val="none"/>
          <w:lang w:val="en-US" w:eastAsia="zh-CN"/>
        </w:rPr>
        <w:t>选用阿特拉斯或同等品牌，拧紧轴选型应确保扭矩精度±3%以内、连续工作10个小时不出现发热报警情况</w:t>
      </w:r>
      <w:r>
        <w:rPr>
          <w:rFonts w:hint="eastAsia" w:hAnsi="宋体" w:cs="宋体"/>
          <w:sz w:val="24"/>
          <w:szCs w:val="22"/>
          <w:highlight w:val="none"/>
          <w:lang w:eastAsia="zh-CN"/>
        </w:rPr>
        <w:t>；</w:t>
      </w:r>
      <w:r>
        <w:rPr>
          <w:rFonts w:hint="eastAsia" w:hAnsi="宋体" w:cs="宋体"/>
          <w:sz w:val="24"/>
          <w:szCs w:val="22"/>
          <w:highlight w:val="none"/>
        </w:rPr>
        <w:t>控制器</w:t>
      </w:r>
      <w:r>
        <w:rPr>
          <w:rFonts w:hint="eastAsia" w:hAnsi="宋体" w:cs="宋体"/>
          <w:sz w:val="24"/>
          <w:szCs w:val="22"/>
          <w:highlight w:val="none"/>
          <w:lang w:val="en-US" w:eastAsia="zh-CN"/>
        </w:rPr>
        <w:t>选用</w:t>
      </w:r>
      <w:r>
        <w:rPr>
          <w:rFonts w:hint="eastAsia" w:hAnsi="宋体" w:cs="宋体"/>
          <w:sz w:val="24"/>
          <w:szCs w:val="22"/>
          <w:highlight w:val="none"/>
        </w:rPr>
        <w:t>PM4000</w:t>
      </w:r>
      <w:r>
        <w:rPr>
          <w:rFonts w:hint="eastAsia" w:hAnsi="宋体" w:cs="宋体"/>
          <w:sz w:val="24"/>
          <w:szCs w:val="22"/>
          <w:highlight w:val="none"/>
          <w:lang w:val="en-US" w:eastAsia="zh-CN"/>
        </w:rPr>
        <w:t>或同等规格产品；配备电源模块1个；</w:t>
      </w:r>
    </w:p>
    <w:p>
      <w:pPr>
        <w:pStyle w:val="22"/>
        <w:numPr>
          <w:ilvl w:val="0"/>
          <w:numId w:val="1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集成对象：</w:t>
      </w:r>
      <w:r>
        <w:rPr>
          <w:rFonts w:hint="eastAsia" w:hAnsi="宋体" w:cs="宋体"/>
          <w:sz w:val="24"/>
          <w:szCs w:val="22"/>
          <w:highlight w:val="none"/>
          <w:lang w:eastAsia="zh-CN"/>
        </w:rPr>
        <w:t>招标方</w:t>
      </w:r>
      <w:r>
        <w:rPr>
          <w:rFonts w:hAnsi="宋体" w:cs="宋体"/>
          <w:sz w:val="24"/>
          <w:szCs w:val="22"/>
          <w:highlight w:val="none"/>
        </w:rPr>
        <w:t>现有2</w:t>
      </w:r>
      <w:r>
        <w:rPr>
          <w:rFonts w:hint="eastAsia" w:hAnsi="宋体" w:cs="宋体"/>
          <w:sz w:val="24"/>
          <w:szCs w:val="22"/>
          <w:highlight w:val="none"/>
          <w:lang w:val="en-US" w:eastAsia="zh-CN"/>
        </w:rPr>
        <w:t>套</w:t>
      </w:r>
      <w:r>
        <w:rPr>
          <w:rFonts w:hAnsi="宋体" w:cs="宋体"/>
          <w:sz w:val="24"/>
          <w:szCs w:val="22"/>
          <w:highlight w:val="none"/>
        </w:rPr>
        <w:t>阿特拉斯QST90-1000COT拧紧轴</w:t>
      </w:r>
      <w:r>
        <w:rPr>
          <w:rFonts w:hint="eastAsia" w:hAnsi="宋体" w:cs="宋体"/>
          <w:sz w:val="24"/>
          <w:szCs w:val="22"/>
          <w:highlight w:val="none"/>
          <w:lang w:val="en-US" w:eastAsia="zh-CN"/>
        </w:rPr>
        <w:t>及</w:t>
      </w:r>
      <w:r>
        <w:rPr>
          <w:rFonts w:hint="eastAsia" w:hAnsi="宋体" w:cs="宋体"/>
          <w:sz w:val="24"/>
          <w:szCs w:val="22"/>
          <w:highlight w:val="none"/>
        </w:rPr>
        <w:t>PM4000</w:t>
      </w:r>
      <w:r>
        <w:rPr>
          <w:rFonts w:hint="eastAsia" w:hAnsi="宋体" w:cs="宋体"/>
          <w:sz w:val="24"/>
          <w:szCs w:val="22"/>
          <w:highlight w:val="none"/>
          <w:lang w:val="en-US" w:eastAsia="zh-CN"/>
        </w:rPr>
        <w:t>控制器</w:t>
      </w:r>
      <w:r>
        <w:rPr>
          <w:rFonts w:hint="eastAsia" w:hAnsi="宋体" w:cs="宋体"/>
          <w:sz w:val="24"/>
          <w:szCs w:val="22"/>
          <w:highlight w:val="none"/>
          <w:lang w:eastAsia="zh-CN"/>
        </w:rPr>
        <w:t>；</w:t>
      </w:r>
    </w:p>
    <w:p>
      <w:pPr>
        <w:pStyle w:val="22"/>
        <w:numPr>
          <w:ilvl w:val="0"/>
          <w:numId w:val="1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机械结构：</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悬置机构：</w:t>
      </w:r>
      <w:r>
        <w:rPr>
          <w:rFonts w:hAnsi="宋体" w:cs="宋体"/>
          <w:sz w:val="24"/>
          <w:szCs w:val="22"/>
          <w:highlight w:val="none"/>
        </w:rPr>
        <w:t>刚性龙门架或坚固的悬臂梁结构，内置4个轴的安装板，高度可调。</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平衡系统：</w:t>
      </w:r>
      <w:r>
        <w:rPr>
          <w:rFonts w:hAnsi="宋体" w:cs="宋体"/>
          <w:sz w:val="24"/>
          <w:szCs w:val="22"/>
          <w:highlight w:val="none"/>
        </w:rPr>
        <w:t>采用弹簧或气动平衡器，使操作者能轻松、精准地移动和定位拧紧单元。</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导向与对中：</w:t>
      </w:r>
      <w:r>
        <w:rPr>
          <w:rFonts w:hAnsi="宋体" w:cs="宋体"/>
          <w:sz w:val="24"/>
          <w:szCs w:val="22"/>
          <w:highlight w:val="none"/>
        </w:rPr>
        <w:t>配备浮动螺母套筒或导向销，确保拧紧轴与螺栓的自动对中。</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b/>
          <w:bCs/>
          <w:sz w:val="24"/>
          <w:szCs w:val="22"/>
          <w:highlight w:val="none"/>
        </w:rPr>
        <w:t>支架：</w:t>
      </w:r>
      <w:r>
        <w:rPr>
          <w:rFonts w:hint="eastAsia" w:hAnsi="宋体" w:cs="宋体"/>
          <w:sz w:val="24"/>
          <w:szCs w:val="22"/>
          <w:highlight w:val="none"/>
        </w:rPr>
        <w:t>控制器及电源模块配备安装支架。</w:t>
      </w:r>
    </w:p>
    <w:p>
      <w:pPr>
        <w:pStyle w:val="22"/>
        <w:numPr>
          <w:ilvl w:val="0"/>
          <w:numId w:val="1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电气与线缆：</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sz w:val="24"/>
          <w:szCs w:val="22"/>
          <w:highlight w:val="none"/>
        </w:rPr>
        <w:t>控制器与电源模块间的控制电缆，4根。</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sz w:val="24"/>
          <w:szCs w:val="22"/>
          <w:highlight w:val="none"/>
        </w:rPr>
        <w:t>控制器</w:t>
      </w:r>
      <w:r>
        <w:rPr>
          <w:rFonts w:hAnsi="宋体" w:cs="宋体"/>
          <w:sz w:val="24"/>
          <w:szCs w:val="22"/>
          <w:highlight w:val="none"/>
        </w:rPr>
        <w:t>与拧紧轴间的拧紧轴电缆，4根。</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sz w:val="24"/>
          <w:szCs w:val="22"/>
          <w:highlight w:val="none"/>
        </w:rPr>
        <w:t>相应的控制电缆，3套。</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sz w:val="24"/>
          <w:szCs w:val="22"/>
          <w:highlight w:val="none"/>
        </w:rPr>
        <w:t>必要的IO模块，用于接收启动、复位信号及控制三色灯、报警器</w:t>
      </w:r>
      <w:r>
        <w:rPr>
          <w:rFonts w:hint="eastAsia" w:hAnsi="宋体" w:cs="宋体"/>
          <w:sz w:val="24"/>
          <w:szCs w:val="22"/>
          <w:highlight w:val="none"/>
        </w:rPr>
        <w:t>，配备8位档位开关。</w:t>
      </w:r>
    </w:p>
    <w:p>
      <w:pPr>
        <w:pStyle w:val="22"/>
        <w:numPr>
          <w:ilvl w:val="0"/>
          <w:numId w:val="16"/>
        </w:numPr>
        <w:shd w:val="clear" w:color="auto" w:fill="auto"/>
        <w:spacing w:line="360" w:lineRule="auto"/>
        <w:ind w:left="1440" w:leftChars="0" w:hanging="360" w:firstLineChars="0"/>
        <w:outlineLvl w:val="0"/>
        <w:rPr>
          <w:rFonts w:hAnsi="宋体" w:cs="宋体"/>
          <w:sz w:val="24"/>
          <w:szCs w:val="22"/>
          <w:highlight w:val="none"/>
        </w:rPr>
      </w:pPr>
      <w:r>
        <w:rPr>
          <w:rFonts w:hint="eastAsia" w:hAnsi="宋体" w:cs="宋体"/>
          <w:sz w:val="24"/>
          <w:szCs w:val="22"/>
          <w:highlight w:val="none"/>
          <w:lang w:val="en-US" w:eastAsia="zh-CN"/>
        </w:rPr>
        <w:t>扫码装置：</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eastAsia="宋体" w:cs="宋体"/>
          <w:sz w:val="24"/>
          <w:szCs w:val="22"/>
          <w:highlight w:val="none"/>
          <w:lang w:val="en-US" w:eastAsia="zh-CN"/>
        </w:rPr>
        <w:t>通过扫描发动机序列号，将拧紧数据与发动机绑定，选用斑马DS3678或同等规格产品。</w:t>
      </w:r>
    </w:p>
    <w:p>
      <w:pPr>
        <w:pStyle w:val="22"/>
        <w:shd w:val="clear" w:color="auto" w:fill="auto"/>
        <w:spacing w:line="360" w:lineRule="auto"/>
        <w:ind w:firstLine="240" w:firstLineChars="100"/>
        <w:outlineLvl w:val="0"/>
        <w:rPr>
          <w:rFonts w:hint="eastAsia" w:hAnsi="宋体" w:eastAsia="宋体" w:cs="宋体"/>
          <w:sz w:val="24"/>
          <w:szCs w:val="22"/>
          <w:highlight w:val="none"/>
          <w:lang w:val="en-US" w:eastAsia="zh-CN"/>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2</w:t>
      </w:r>
      <w:r>
        <w:rPr>
          <w:rFonts w:hint="eastAsia" w:hAnsi="宋体" w:cs="宋体"/>
          <w:b/>
          <w:bCs/>
          <w:sz w:val="24"/>
          <w:szCs w:val="22"/>
          <w:highlight w:val="none"/>
          <w:lang w:eastAsia="zh-CN"/>
        </w:rPr>
        <w:t>）</w:t>
      </w:r>
      <w:r>
        <w:rPr>
          <w:rFonts w:hAnsi="宋体" w:cs="宋体"/>
          <w:b/>
          <w:bCs/>
          <w:sz w:val="24"/>
          <w:szCs w:val="22"/>
          <w:highlight w:val="none"/>
        </w:rPr>
        <w:t>缸盖副螺母拧紧机</w:t>
      </w:r>
      <w:r>
        <w:rPr>
          <w:rFonts w:hint="eastAsia" w:hAnsi="宋体" w:cs="宋体"/>
          <w:b/>
          <w:bCs/>
          <w:sz w:val="24"/>
          <w:szCs w:val="22"/>
          <w:highlight w:val="none"/>
          <w:lang w:val="en-US" w:eastAsia="zh-CN"/>
        </w:rPr>
        <w:t>提升</w:t>
      </w:r>
    </w:p>
    <w:p>
      <w:pPr>
        <w:pStyle w:val="22"/>
        <w:numPr>
          <w:ilvl w:val="0"/>
          <w:numId w:val="17"/>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工艺要求：</w:t>
      </w:r>
    </w:p>
    <w:p>
      <w:pPr>
        <w:pStyle w:val="22"/>
        <w:numPr>
          <w:ilvl w:val="0"/>
          <w:numId w:val="18"/>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功能：</w:t>
      </w:r>
      <w:r>
        <w:rPr>
          <w:rFonts w:hAnsi="宋体" w:cs="宋体"/>
          <w:sz w:val="24"/>
          <w:szCs w:val="22"/>
          <w:highlight w:val="none"/>
        </w:rPr>
        <w:t>用于发动机缸盖副螺母的拧紧</w:t>
      </w:r>
      <w:r>
        <w:rPr>
          <w:rFonts w:hint="eastAsia" w:hAnsi="宋体" w:cs="宋体"/>
          <w:sz w:val="24"/>
          <w:szCs w:val="22"/>
          <w:highlight w:val="none"/>
        </w:rPr>
        <w:t>，单次拧紧3颗缸盖副螺母，共需拧紧7次21颗缸盖副螺母</w:t>
      </w:r>
      <w:r>
        <w:rPr>
          <w:rFonts w:hAnsi="宋体" w:cs="宋体"/>
          <w:sz w:val="24"/>
          <w:szCs w:val="22"/>
          <w:highlight w:val="none"/>
        </w:rPr>
        <w:t>。操作模式同主螺栓设备。</w:t>
      </w:r>
    </w:p>
    <w:p>
      <w:pPr>
        <w:pStyle w:val="22"/>
        <w:numPr>
          <w:ilvl w:val="0"/>
          <w:numId w:val="18"/>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拧紧策略：</w:t>
      </w:r>
      <w:r>
        <w:rPr>
          <w:rFonts w:hint="eastAsia" w:hAnsi="宋体" w:cs="宋体"/>
          <w:sz w:val="24"/>
          <w:szCs w:val="22"/>
          <w:highlight w:val="none"/>
        </w:rPr>
        <w:t>采用力矩法＋转角法进行拧紧</w:t>
      </w:r>
    </w:p>
    <w:p>
      <w:pPr>
        <w:pStyle w:val="22"/>
        <w:numPr>
          <w:ilvl w:val="2"/>
          <w:numId w:val="19"/>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（20+10）N·ｍ预紧</w:t>
      </w:r>
    </w:p>
    <w:p>
      <w:pPr>
        <w:pStyle w:val="22"/>
        <w:numPr>
          <w:ilvl w:val="2"/>
          <w:numId w:val="19"/>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（75±7）N·ｍ拧紧</w:t>
      </w:r>
    </w:p>
    <w:p>
      <w:pPr>
        <w:pStyle w:val="22"/>
        <w:numPr>
          <w:ilvl w:val="2"/>
          <w:numId w:val="19"/>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 xml:space="preserve"> 125°＋5°转角</w:t>
      </w:r>
    </w:p>
    <w:p>
      <w:pPr>
        <w:pStyle w:val="22"/>
        <w:numPr>
          <w:ilvl w:val="2"/>
          <w:numId w:val="19"/>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 xml:space="preserve"> 最终拧紧力矩90N·ｍ～180N·ｍ</w:t>
      </w:r>
    </w:p>
    <w:p>
      <w:pPr>
        <w:pStyle w:val="22"/>
        <w:numPr>
          <w:ilvl w:val="0"/>
          <w:numId w:val="18"/>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灵活性：</w:t>
      </w:r>
      <w:r>
        <w:rPr>
          <w:rFonts w:hAnsi="宋体" w:cs="宋体"/>
          <w:sz w:val="24"/>
          <w:szCs w:val="22"/>
          <w:highlight w:val="none"/>
        </w:rPr>
        <w:t>三根轴的空间布局需根据我方提供的缸盖螺栓孔位图进行非标设计。</w:t>
      </w:r>
    </w:p>
    <w:p>
      <w:pPr>
        <w:pStyle w:val="22"/>
        <w:shd w:val="clear" w:color="auto" w:fill="auto"/>
        <w:spacing w:line="360" w:lineRule="auto"/>
        <w:ind w:left="1080"/>
        <w:outlineLvl w:val="0"/>
        <w:rPr>
          <w:rFonts w:hAnsi="宋体" w:cs="宋体"/>
          <w:sz w:val="24"/>
          <w:szCs w:val="22"/>
          <w:highlight w:val="none"/>
        </w:rPr>
      </w:pPr>
      <w:r>
        <w:rPr>
          <w:rFonts w:hint="eastAsia" w:hAnsi="宋体" w:cs="宋体"/>
          <w:b/>
          <w:bCs/>
          <w:sz w:val="24"/>
          <w:szCs w:val="22"/>
          <w:highlight w:val="none"/>
        </w:rPr>
        <w:t>4.信息采集：</w:t>
      </w:r>
      <w:r>
        <w:rPr>
          <w:rFonts w:hint="eastAsia" w:hAnsi="宋体" w:cs="宋体"/>
          <w:sz w:val="24"/>
          <w:szCs w:val="22"/>
          <w:highlight w:val="none"/>
        </w:rPr>
        <w:t>拧紧曲线需自动上传至toolsnet，拧紧数据（包括过程中力矩、转角）需上传至数据库，同时设备本地需对拧紧结果进行判定；</w:t>
      </w:r>
    </w:p>
    <w:p>
      <w:pPr>
        <w:pStyle w:val="22"/>
        <w:shd w:val="clear" w:color="auto" w:fill="auto"/>
        <w:spacing w:line="360" w:lineRule="auto"/>
        <w:ind w:left="1440"/>
        <w:outlineLvl w:val="0"/>
        <w:rPr>
          <w:rFonts w:hAnsi="宋体" w:cs="宋体"/>
          <w:sz w:val="24"/>
          <w:szCs w:val="22"/>
          <w:highlight w:val="none"/>
        </w:rPr>
      </w:pPr>
      <w:r>
        <w:rPr>
          <w:rFonts w:hint="eastAsia" w:hAnsi="宋体" w:cs="宋体"/>
          <w:sz w:val="24"/>
          <w:szCs w:val="22"/>
          <w:highlight w:val="none"/>
        </w:rPr>
        <w:t>拧紧数据通过扫码枪与发动机信息绑定。</w:t>
      </w:r>
    </w:p>
    <w:p>
      <w:pPr>
        <w:pStyle w:val="22"/>
        <w:numPr>
          <w:ilvl w:val="0"/>
          <w:numId w:val="17"/>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设备配置清单：</w:t>
      </w:r>
    </w:p>
    <w:p>
      <w:pPr>
        <w:pStyle w:val="22"/>
        <w:numPr>
          <w:ilvl w:val="0"/>
          <w:numId w:val="20"/>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拧紧轴：</w:t>
      </w:r>
      <w:r>
        <w:rPr>
          <w:rFonts w:hint="eastAsia" w:hAnsi="宋体" w:cs="宋体"/>
          <w:b/>
          <w:bCs/>
          <w:sz w:val="24"/>
          <w:szCs w:val="22"/>
          <w:highlight w:val="none"/>
          <w:lang w:val="en-US" w:eastAsia="zh-CN"/>
        </w:rPr>
        <w:t>新增3套拧紧轴及控制器，</w:t>
      </w:r>
      <w:r>
        <w:rPr>
          <w:rFonts w:hint="eastAsia" w:hAnsi="宋体" w:cs="宋体"/>
          <w:sz w:val="24"/>
          <w:szCs w:val="22"/>
          <w:highlight w:val="none"/>
          <w:lang w:val="en-US" w:eastAsia="zh-CN"/>
        </w:rPr>
        <w:t>选用阿特拉斯或同等品牌，拧紧轴选型应确保扭矩精度±3%以内、连续工作10个小时不出现发热报警情况</w:t>
      </w:r>
      <w:r>
        <w:rPr>
          <w:rFonts w:hint="eastAsia" w:hAnsi="宋体" w:cs="宋体"/>
          <w:sz w:val="24"/>
          <w:szCs w:val="22"/>
          <w:highlight w:val="none"/>
          <w:lang w:eastAsia="zh-CN"/>
        </w:rPr>
        <w:t>；</w:t>
      </w:r>
      <w:r>
        <w:rPr>
          <w:rFonts w:hint="eastAsia" w:hAnsi="宋体" w:cs="宋体"/>
          <w:sz w:val="24"/>
          <w:szCs w:val="22"/>
          <w:highlight w:val="none"/>
        </w:rPr>
        <w:t>控制器</w:t>
      </w:r>
      <w:r>
        <w:rPr>
          <w:rFonts w:hint="eastAsia" w:hAnsi="宋体" w:cs="宋体"/>
          <w:sz w:val="24"/>
          <w:szCs w:val="22"/>
          <w:highlight w:val="none"/>
          <w:lang w:val="en-US" w:eastAsia="zh-CN"/>
        </w:rPr>
        <w:t>选用</w:t>
      </w:r>
      <w:r>
        <w:rPr>
          <w:rFonts w:hint="eastAsia" w:hAnsi="宋体" w:cs="宋体"/>
          <w:sz w:val="24"/>
          <w:szCs w:val="22"/>
          <w:highlight w:val="none"/>
        </w:rPr>
        <w:t>PM4000</w:t>
      </w:r>
      <w:r>
        <w:rPr>
          <w:rFonts w:hint="eastAsia" w:hAnsi="宋体" w:cs="宋体"/>
          <w:sz w:val="24"/>
          <w:szCs w:val="22"/>
          <w:highlight w:val="none"/>
          <w:lang w:val="en-US" w:eastAsia="zh-CN"/>
        </w:rPr>
        <w:t>或同等规格产品</w:t>
      </w:r>
      <w:r>
        <w:rPr>
          <w:rFonts w:hint="eastAsia" w:hAnsi="宋体" w:cs="宋体"/>
          <w:b w:val="0"/>
          <w:bCs w:val="0"/>
          <w:sz w:val="24"/>
          <w:szCs w:val="22"/>
          <w:highlight w:val="none"/>
          <w:lang w:val="en-US" w:eastAsia="zh-CN"/>
        </w:rPr>
        <w:t>，</w:t>
      </w:r>
      <w:r>
        <w:rPr>
          <w:rFonts w:hAnsi="宋体" w:cs="宋体"/>
          <w:b w:val="0"/>
          <w:bCs w:val="0"/>
          <w:sz w:val="24"/>
          <w:szCs w:val="22"/>
          <w:highlight w:val="none"/>
        </w:rPr>
        <w:t>必须带Profinet接口</w:t>
      </w:r>
      <w:r>
        <w:rPr>
          <w:rFonts w:hint="eastAsia" w:hAnsi="宋体" w:cs="宋体"/>
          <w:sz w:val="24"/>
          <w:szCs w:val="22"/>
          <w:highlight w:val="none"/>
          <w:lang w:val="en-US" w:eastAsia="zh-CN"/>
        </w:rPr>
        <w:t>；配备电源模块1个；</w:t>
      </w:r>
    </w:p>
    <w:p>
      <w:pPr>
        <w:pStyle w:val="22"/>
        <w:numPr>
          <w:ilvl w:val="0"/>
          <w:numId w:val="20"/>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机械结构：</w:t>
      </w:r>
    </w:p>
    <w:p>
      <w:pPr>
        <w:pStyle w:val="22"/>
        <w:numPr>
          <w:ilvl w:val="2"/>
          <w:numId w:val="19"/>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悬置机构：</w:t>
      </w:r>
      <w:r>
        <w:rPr>
          <w:rFonts w:hAnsi="宋体" w:cs="宋体"/>
          <w:sz w:val="24"/>
          <w:szCs w:val="22"/>
          <w:highlight w:val="none"/>
        </w:rPr>
        <w:t>结构与</w:t>
      </w:r>
      <w:r>
        <w:rPr>
          <w:rFonts w:hint="eastAsia" w:hAnsi="宋体" w:cs="宋体"/>
          <w:sz w:val="24"/>
          <w:szCs w:val="22"/>
          <w:highlight w:val="none"/>
        </w:rPr>
        <w:t>缸盖</w:t>
      </w:r>
      <w:r>
        <w:rPr>
          <w:rFonts w:hAnsi="宋体" w:cs="宋体"/>
          <w:sz w:val="24"/>
          <w:szCs w:val="22"/>
          <w:highlight w:val="none"/>
        </w:rPr>
        <w:t>主螺栓设备类似，根据3根轴的布局定制安装框架。</w:t>
      </w:r>
    </w:p>
    <w:p>
      <w:pPr>
        <w:pStyle w:val="22"/>
        <w:numPr>
          <w:ilvl w:val="2"/>
          <w:numId w:val="19"/>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平衡系统：</w:t>
      </w:r>
      <w:r>
        <w:rPr>
          <w:rFonts w:hAnsi="宋体" w:cs="宋体"/>
          <w:sz w:val="24"/>
          <w:szCs w:val="22"/>
          <w:highlight w:val="none"/>
        </w:rPr>
        <w:t>同主螺栓设备。</w:t>
      </w:r>
    </w:p>
    <w:p>
      <w:pPr>
        <w:pStyle w:val="22"/>
        <w:numPr>
          <w:ilvl w:val="2"/>
          <w:numId w:val="19"/>
        </w:numPr>
        <w:shd w:val="clear" w:color="auto" w:fill="auto"/>
        <w:tabs>
          <w:tab w:val="left" w:pos="2160"/>
        </w:tabs>
        <w:spacing w:line="360" w:lineRule="auto"/>
        <w:outlineLvl w:val="0"/>
        <w:rPr>
          <w:rFonts w:hAnsi="宋体" w:cs="宋体"/>
          <w:sz w:val="24"/>
          <w:szCs w:val="22"/>
          <w:highlight w:val="none"/>
        </w:rPr>
      </w:pPr>
      <w:r>
        <w:rPr>
          <w:rFonts w:hint="eastAsia" w:hAnsi="宋体" w:cs="宋体"/>
          <w:b/>
          <w:bCs/>
          <w:sz w:val="24"/>
          <w:szCs w:val="22"/>
          <w:highlight w:val="none"/>
        </w:rPr>
        <w:t>支架：</w:t>
      </w:r>
      <w:r>
        <w:rPr>
          <w:rFonts w:hint="eastAsia" w:hAnsi="宋体" w:cs="宋体"/>
          <w:sz w:val="24"/>
          <w:szCs w:val="22"/>
          <w:highlight w:val="none"/>
        </w:rPr>
        <w:t>控制器及电源模块配备安装支架。</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电气与线缆：</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sz w:val="24"/>
          <w:szCs w:val="22"/>
          <w:highlight w:val="none"/>
        </w:rPr>
        <w:t>控制器与电源模块间的电缆，</w:t>
      </w:r>
      <w:r>
        <w:rPr>
          <w:rFonts w:hint="eastAsia" w:hAnsi="宋体" w:cs="宋体"/>
          <w:sz w:val="24"/>
          <w:szCs w:val="22"/>
          <w:highlight w:val="none"/>
        </w:rPr>
        <w:t>3</w:t>
      </w:r>
      <w:r>
        <w:rPr>
          <w:rFonts w:hAnsi="宋体" w:cs="宋体"/>
          <w:sz w:val="24"/>
          <w:szCs w:val="22"/>
          <w:highlight w:val="none"/>
        </w:rPr>
        <w:t>根。</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sz w:val="24"/>
          <w:szCs w:val="22"/>
          <w:highlight w:val="none"/>
        </w:rPr>
        <w:t>相应的控制电缆，3套控制器</w:t>
      </w:r>
      <w:r>
        <w:rPr>
          <w:rFonts w:hAnsi="宋体" w:cs="宋体"/>
          <w:sz w:val="24"/>
          <w:szCs w:val="22"/>
          <w:highlight w:val="none"/>
        </w:rPr>
        <w:t>与拧紧轴间的拧紧轴电缆，</w:t>
      </w:r>
      <w:r>
        <w:rPr>
          <w:rFonts w:hint="eastAsia" w:hAnsi="宋体" w:cs="宋体"/>
          <w:sz w:val="24"/>
          <w:szCs w:val="22"/>
          <w:highlight w:val="none"/>
        </w:rPr>
        <w:t>3</w:t>
      </w:r>
      <w:r>
        <w:rPr>
          <w:rFonts w:hAnsi="宋体" w:cs="宋体"/>
          <w:sz w:val="24"/>
          <w:szCs w:val="22"/>
          <w:highlight w:val="none"/>
        </w:rPr>
        <w:t>根。</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相应的控制电缆，3套。</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必要的IO模块，用于接收启动、复位信号及控制三色灯、报警器，配备8位档位开关。</w:t>
      </w:r>
    </w:p>
    <w:p>
      <w:pPr>
        <w:pStyle w:val="22"/>
        <w:numPr>
          <w:ilvl w:val="0"/>
          <w:numId w:val="20"/>
        </w:numPr>
        <w:shd w:val="clear" w:color="auto" w:fill="auto"/>
        <w:spacing w:line="360" w:lineRule="auto"/>
        <w:ind w:left="1440" w:leftChars="0" w:hanging="360" w:firstLineChars="0"/>
        <w:outlineLvl w:val="0"/>
        <w:rPr>
          <w:rFonts w:hAnsi="宋体" w:eastAsia="宋体" w:cs="宋体"/>
          <w:b/>
          <w:bCs/>
          <w:sz w:val="24"/>
          <w:szCs w:val="22"/>
          <w:highlight w:val="none"/>
        </w:rPr>
      </w:pPr>
      <w:r>
        <w:rPr>
          <w:rFonts w:hint="eastAsia" w:hAnsi="宋体" w:eastAsia="宋体" w:cs="宋体"/>
          <w:b/>
          <w:bCs/>
          <w:sz w:val="24"/>
          <w:szCs w:val="22"/>
          <w:highlight w:val="none"/>
          <w:lang w:val="en-US" w:eastAsia="zh-CN"/>
        </w:rPr>
        <w:t>扫码装置：</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default" w:hAnsi="宋体" w:eastAsia="宋体" w:cs="宋体"/>
          <w:sz w:val="24"/>
          <w:szCs w:val="22"/>
          <w:highlight w:val="none"/>
          <w:lang w:val="en-US" w:eastAsia="zh-CN"/>
        </w:rPr>
        <w:t>通过扫描发动机序列号，将拧紧数据与发动机绑定，选用斑马DS3678或同等规格产品。</w:t>
      </w:r>
    </w:p>
    <w:p>
      <w:pPr>
        <w:pStyle w:val="22"/>
        <w:shd w:val="clear" w:color="auto" w:fill="auto"/>
        <w:spacing w:line="360" w:lineRule="auto"/>
        <w:outlineLvl w:val="0"/>
        <w:rPr>
          <w:rFonts w:hAnsi="宋体" w:cs="宋体"/>
          <w:sz w:val="24"/>
          <w:szCs w:val="22"/>
          <w:highlight w:val="none"/>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3</w:t>
      </w:r>
      <w:r>
        <w:rPr>
          <w:rFonts w:hint="eastAsia" w:hAnsi="宋体" w:cs="宋体"/>
          <w:b/>
          <w:bCs/>
          <w:sz w:val="24"/>
          <w:szCs w:val="22"/>
          <w:highlight w:val="none"/>
          <w:lang w:eastAsia="zh-CN"/>
        </w:rPr>
        <w:t>）</w:t>
      </w:r>
      <w:r>
        <w:rPr>
          <w:rFonts w:hAnsi="宋体" w:cs="宋体"/>
          <w:b/>
          <w:bCs/>
          <w:sz w:val="24"/>
          <w:szCs w:val="22"/>
          <w:highlight w:val="none"/>
        </w:rPr>
        <w:t>飞轮螺栓拧紧机</w:t>
      </w:r>
      <w:r>
        <w:rPr>
          <w:rFonts w:hint="eastAsia" w:hAnsi="宋体" w:cs="宋体"/>
          <w:b/>
          <w:bCs/>
          <w:sz w:val="24"/>
          <w:szCs w:val="22"/>
          <w:highlight w:val="none"/>
          <w:lang w:val="en-US" w:eastAsia="zh-CN"/>
        </w:rPr>
        <w:t>提升</w:t>
      </w:r>
      <w:r>
        <w:rPr>
          <w:rFonts w:hAnsi="宋体" w:cs="宋体"/>
          <w:b/>
          <w:bCs/>
          <w:sz w:val="24"/>
          <w:szCs w:val="22"/>
          <w:highlight w:val="none"/>
        </w:rPr>
        <w:t>（带旋转定位与托盘举升）</w:t>
      </w:r>
    </w:p>
    <w:p>
      <w:pPr>
        <w:pStyle w:val="22"/>
        <w:numPr>
          <w:ilvl w:val="0"/>
          <w:numId w:val="21"/>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工艺要求：</w:t>
      </w:r>
    </w:p>
    <w:p>
      <w:pPr>
        <w:pStyle w:val="22"/>
        <w:numPr>
          <w:ilvl w:val="0"/>
          <w:numId w:val="22"/>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功能：</w:t>
      </w:r>
      <w:r>
        <w:rPr>
          <w:rFonts w:hint="eastAsia" w:hAnsi="宋体" w:cs="宋体"/>
          <w:sz w:val="24"/>
          <w:szCs w:val="22"/>
          <w:highlight w:val="none"/>
        </w:rPr>
        <w:t>分3次拧</w:t>
      </w:r>
      <w:r>
        <w:rPr>
          <w:rFonts w:hAnsi="宋体" w:cs="宋体"/>
          <w:sz w:val="24"/>
          <w:szCs w:val="22"/>
          <w:highlight w:val="none"/>
        </w:rPr>
        <w:t>紧圆周均布的9颗飞轮螺栓。</w:t>
      </w:r>
    </w:p>
    <w:p>
      <w:pPr>
        <w:pStyle w:val="22"/>
        <w:numPr>
          <w:ilvl w:val="0"/>
          <w:numId w:val="22"/>
        </w:numPr>
        <w:shd w:val="clear" w:color="auto" w:fill="auto"/>
        <w:spacing w:line="360" w:lineRule="auto"/>
        <w:ind w:left="1440" w:leftChars="0" w:hanging="360" w:firstLineChars="0"/>
        <w:outlineLvl w:val="0"/>
        <w:rPr>
          <w:rFonts w:hAnsi="宋体" w:cs="宋体"/>
          <w:sz w:val="24"/>
          <w:szCs w:val="22"/>
          <w:highlight w:val="none"/>
        </w:rPr>
      </w:pPr>
      <w:r>
        <w:rPr>
          <w:rFonts w:hint="eastAsia" w:hAnsi="宋体" w:cs="宋体"/>
          <w:b/>
          <w:bCs/>
          <w:sz w:val="24"/>
          <w:szCs w:val="22"/>
          <w:highlight w:val="none"/>
        </w:rPr>
        <w:t>拧紧策略：</w:t>
      </w:r>
      <w:r>
        <w:rPr>
          <w:rFonts w:hint="eastAsia" w:hAnsi="宋体" w:cs="宋体"/>
          <w:sz w:val="24"/>
          <w:szCs w:val="22"/>
          <w:highlight w:val="none"/>
        </w:rPr>
        <w:t>采用力矩法＋转角法进行拧紧</w:t>
      </w:r>
    </w:p>
    <w:p>
      <w:pPr>
        <w:pStyle w:val="22"/>
        <w:numPr>
          <w:ilvl w:val="2"/>
          <w:numId w:val="15"/>
        </w:numPr>
        <w:shd w:val="clear" w:color="auto" w:fill="auto"/>
        <w:tabs>
          <w:tab w:val="left" w:pos="2160"/>
        </w:tabs>
        <w:spacing w:line="360" w:lineRule="auto"/>
        <w:outlineLvl w:val="0"/>
        <w:rPr>
          <w:rFonts w:hint="default" w:hAnsi="宋体" w:eastAsia="宋体" w:cs="宋体"/>
          <w:sz w:val="24"/>
          <w:szCs w:val="22"/>
          <w:highlight w:val="none"/>
          <w:lang w:val="en-US" w:eastAsia="zh-CN"/>
        </w:rPr>
      </w:pPr>
      <w:r>
        <w:rPr>
          <w:rFonts w:hint="eastAsia" w:hAnsi="宋体" w:eastAsia="宋体" w:cs="宋体"/>
          <w:sz w:val="24"/>
          <w:szCs w:val="22"/>
          <w:highlight w:val="none"/>
          <w:lang w:val="en-US" w:eastAsia="zh-CN"/>
        </w:rPr>
        <w:t>（80±8）N·m拧紧</w:t>
      </w:r>
    </w:p>
    <w:p>
      <w:pPr>
        <w:pStyle w:val="22"/>
        <w:numPr>
          <w:ilvl w:val="2"/>
          <w:numId w:val="15"/>
        </w:numPr>
        <w:shd w:val="clear" w:color="auto" w:fill="auto"/>
        <w:tabs>
          <w:tab w:val="left" w:pos="2160"/>
        </w:tabs>
        <w:spacing w:line="360" w:lineRule="auto"/>
        <w:outlineLvl w:val="0"/>
        <w:rPr>
          <w:rFonts w:hint="default" w:hAnsi="宋体" w:eastAsia="宋体" w:cs="宋体"/>
          <w:sz w:val="24"/>
          <w:szCs w:val="22"/>
          <w:highlight w:val="none"/>
          <w:lang w:val="en-US" w:eastAsia="zh-CN"/>
        </w:rPr>
      </w:pPr>
      <w:r>
        <w:rPr>
          <w:rFonts w:hint="eastAsia" w:hAnsi="宋体" w:eastAsia="宋体" w:cs="宋体"/>
          <w:sz w:val="24"/>
          <w:szCs w:val="22"/>
          <w:highlight w:val="none"/>
          <w:lang w:val="en-US" w:eastAsia="zh-CN"/>
        </w:rPr>
        <w:t>180°±5°转角</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lang w:val="en-US" w:eastAsia="zh-CN"/>
        </w:rPr>
      </w:pPr>
      <w:r>
        <w:rPr>
          <w:rFonts w:hint="eastAsia" w:hAnsi="宋体" w:eastAsia="宋体" w:cs="宋体"/>
          <w:sz w:val="24"/>
          <w:szCs w:val="22"/>
          <w:highlight w:val="none"/>
          <w:lang w:val="en-US" w:eastAsia="zh-CN"/>
        </w:rPr>
        <w:t>最终拧紧力矩220N·ｍ～300N·ｍ</w:t>
      </w:r>
    </w:p>
    <w:p>
      <w:pPr>
        <w:pStyle w:val="22"/>
        <w:numPr>
          <w:ilvl w:val="0"/>
          <w:numId w:val="22"/>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定位精度：</w:t>
      </w:r>
      <w:r>
        <w:rPr>
          <w:rFonts w:hAnsi="宋体" w:cs="宋体"/>
          <w:sz w:val="24"/>
          <w:szCs w:val="22"/>
          <w:highlight w:val="none"/>
        </w:rPr>
        <w:t>分度盘需保证拧紧轴能准确对准螺栓，不得有刮碰风险。</w:t>
      </w:r>
    </w:p>
    <w:p>
      <w:pPr>
        <w:pStyle w:val="22"/>
        <w:numPr>
          <w:ilvl w:val="0"/>
          <w:numId w:val="22"/>
        </w:numPr>
        <w:shd w:val="clear" w:color="auto" w:fill="auto"/>
        <w:spacing w:line="360" w:lineRule="auto"/>
        <w:ind w:left="1440" w:leftChars="0" w:hanging="360" w:firstLineChars="0"/>
        <w:outlineLvl w:val="0"/>
        <w:rPr>
          <w:rFonts w:hAnsi="宋体" w:cs="宋体"/>
          <w:sz w:val="24"/>
          <w:szCs w:val="22"/>
          <w:highlight w:val="none"/>
        </w:rPr>
      </w:pPr>
      <w:r>
        <w:rPr>
          <w:rFonts w:hint="eastAsia" w:hAnsi="宋体" w:cs="宋体"/>
          <w:b/>
          <w:bCs/>
          <w:sz w:val="24"/>
          <w:szCs w:val="22"/>
          <w:highlight w:val="none"/>
        </w:rPr>
        <w:t>信息采集：</w:t>
      </w:r>
      <w:r>
        <w:rPr>
          <w:rFonts w:hint="eastAsia" w:hAnsi="宋体" w:cs="宋体"/>
          <w:sz w:val="24"/>
          <w:szCs w:val="22"/>
          <w:highlight w:val="none"/>
        </w:rPr>
        <w:t>拧紧曲线需自动上传至toolsnet，拧紧数据（包括过程中力矩、转角）需上传至数据库，同时设备本地需对拧紧结果进行判定；拧紧数据通过扫码枪与发动机信息绑定。</w:t>
      </w:r>
    </w:p>
    <w:p>
      <w:pPr>
        <w:pStyle w:val="22"/>
        <w:numPr>
          <w:ilvl w:val="0"/>
          <w:numId w:val="21"/>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设备配置清单：</w:t>
      </w:r>
    </w:p>
    <w:p>
      <w:pPr>
        <w:pStyle w:val="22"/>
        <w:numPr>
          <w:ilvl w:val="0"/>
          <w:numId w:val="23"/>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拧紧轴：</w:t>
      </w:r>
      <w:r>
        <w:rPr>
          <w:rFonts w:hint="eastAsia" w:hAnsi="宋体" w:cs="宋体"/>
          <w:b/>
          <w:bCs/>
          <w:sz w:val="24"/>
          <w:szCs w:val="22"/>
          <w:highlight w:val="none"/>
          <w:lang w:val="en-US" w:eastAsia="zh-CN"/>
        </w:rPr>
        <w:t>新增3套拧紧轴及控制器，</w:t>
      </w:r>
      <w:r>
        <w:rPr>
          <w:rFonts w:hint="eastAsia" w:hAnsi="宋体" w:cs="宋体"/>
          <w:sz w:val="24"/>
          <w:szCs w:val="22"/>
          <w:highlight w:val="none"/>
          <w:lang w:val="en-US" w:eastAsia="zh-CN"/>
        </w:rPr>
        <w:t>选用阿特拉斯或同等品牌，拧紧轴选型应确保扭矩精度±3%以内、连续工作10个小时不出现发热报警情况</w:t>
      </w:r>
      <w:r>
        <w:rPr>
          <w:rFonts w:hint="eastAsia" w:hAnsi="宋体" w:cs="宋体"/>
          <w:sz w:val="24"/>
          <w:szCs w:val="22"/>
          <w:highlight w:val="none"/>
          <w:lang w:eastAsia="zh-CN"/>
        </w:rPr>
        <w:t>；</w:t>
      </w:r>
      <w:r>
        <w:rPr>
          <w:rFonts w:hint="eastAsia" w:hAnsi="宋体" w:cs="宋体"/>
          <w:sz w:val="24"/>
          <w:szCs w:val="22"/>
          <w:highlight w:val="none"/>
        </w:rPr>
        <w:t>控制器</w:t>
      </w:r>
      <w:r>
        <w:rPr>
          <w:rFonts w:hint="eastAsia" w:hAnsi="宋体" w:cs="宋体"/>
          <w:sz w:val="24"/>
          <w:szCs w:val="22"/>
          <w:highlight w:val="none"/>
          <w:lang w:val="en-US" w:eastAsia="zh-CN"/>
        </w:rPr>
        <w:t>选用</w:t>
      </w:r>
      <w:r>
        <w:rPr>
          <w:rFonts w:hint="eastAsia" w:hAnsi="宋体" w:cs="宋体"/>
          <w:sz w:val="24"/>
          <w:szCs w:val="22"/>
          <w:highlight w:val="none"/>
        </w:rPr>
        <w:t>PM4000</w:t>
      </w:r>
      <w:r>
        <w:rPr>
          <w:rFonts w:hint="eastAsia" w:hAnsi="宋体" w:cs="宋体"/>
          <w:sz w:val="24"/>
          <w:szCs w:val="22"/>
          <w:highlight w:val="none"/>
          <w:lang w:val="en-US" w:eastAsia="zh-CN"/>
        </w:rPr>
        <w:t>或同等规格产品</w:t>
      </w:r>
      <w:r>
        <w:rPr>
          <w:rFonts w:hint="eastAsia" w:hAnsi="宋体" w:cs="宋体"/>
          <w:b w:val="0"/>
          <w:bCs w:val="0"/>
          <w:sz w:val="24"/>
          <w:szCs w:val="22"/>
          <w:highlight w:val="none"/>
          <w:lang w:val="en-US" w:eastAsia="zh-CN"/>
        </w:rPr>
        <w:t>，</w:t>
      </w:r>
      <w:r>
        <w:rPr>
          <w:rFonts w:hAnsi="宋体" w:cs="宋体"/>
          <w:b w:val="0"/>
          <w:bCs w:val="0"/>
          <w:sz w:val="24"/>
          <w:szCs w:val="22"/>
          <w:highlight w:val="none"/>
        </w:rPr>
        <w:t>必须带Profinet接口</w:t>
      </w:r>
      <w:r>
        <w:rPr>
          <w:rFonts w:hint="eastAsia" w:hAnsi="宋体" w:cs="宋体"/>
          <w:sz w:val="24"/>
          <w:szCs w:val="22"/>
          <w:highlight w:val="none"/>
          <w:lang w:val="en-US" w:eastAsia="zh-CN"/>
        </w:rPr>
        <w:t>；配备电源模块1个；</w:t>
      </w:r>
    </w:p>
    <w:p>
      <w:pPr>
        <w:pStyle w:val="22"/>
        <w:numPr>
          <w:ilvl w:val="0"/>
          <w:numId w:val="23"/>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机械结构：</w:t>
      </w:r>
    </w:p>
    <w:p>
      <w:pPr>
        <w:pStyle w:val="22"/>
        <w:numPr>
          <w:ilvl w:val="2"/>
          <w:numId w:val="24"/>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悬置机构：</w:t>
      </w:r>
      <w:r>
        <w:rPr>
          <w:rFonts w:hAnsi="宋体" w:cs="宋体"/>
          <w:sz w:val="24"/>
          <w:szCs w:val="22"/>
          <w:highlight w:val="none"/>
        </w:rPr>
        <w:t>结构与</w:t>
      </w:r>
      <w:r>
        <w:rPr>
          <w:rFonts w:hint="eastAsia" w:hAnsi="宋体" w:cs="宋体"/>
          <w:sz w:val="24"/>
          <w:szCs w:val="22"/>
          <w:highlight w:val="none"/>
        </w:rPr>
        <w:t>缸盖</w:t>
      </w:r>
      <w:r>
        <w:rPr>
          <w:rFonts w:hAnsi="宋体" w:cs="宋体"/>
          <w:sz w:val="24"/>
          <w:szCs w:val="22"/>
          <w:highlight w:val="none"/>
        </w:rPr>
        <w:t>主螺栓设备类似，根据3根轴的布局定制安装框架。</w:t>
      </w:r>
    </w:p>
    <w:p>
      <w:pPr>
        <w:pStyle w:val="22"/>
        <w:numPr>
          <w:ilvl w:val="2"/>
          <w:numId w:val="24"/>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平衡系统：</w:t>
      </w:r>
      <w:r>
        <w:rPr>
          <w:rFonts w:hAnsi="宋体" w:cs="宋体"/>
          <w:sz w:val="24"/>
          <w:szCs w:val="22"/>
          <w:highlight w:val="none"/>
        </w:rPr>
        <w:t>同主螺栓设备。</w:t>
      </w:r>
    </w:p>
    <w:p>
      <w:pPr>
        <w:pStyle w:val="22"/>
        <w:numPr>
          <w:ilvl w:val="2"/>
          <w:numId w:val="24"/>
        </w:numPr>
        <w:shd w:val="clear" w:color="auto" w:fill="auto"/>
        <w:tabs>
          <w:tab w:val="left" w:pos="2160"/>
        </w:tabs>
        <w:spacing w:line="360" w:lineRule="auto"/>
        <w:outlineLvl w:val="0"/>
        <w:rPr>
          <w:rFonts w:hAnsi="宋体" w:cs="宋体"/>
          <w:sz w:val="24"/>
          <w:szCs w:val="22"/>
          <w:highlight w:val="none"/>
        </w:rPr>
      </w:pPr>
      <w:r>
        <w:rPr>
          <w:rFonts w:hint="eastAsia" w:hAnsi="宋体" w:cs="宋体"/>
          <w:b/>
          <w:bCs/>
          <w:sz w:val="24"/>
          <w:szCs w:val="22"/>
          <w:highlight w:val="none"/>
        </w:rPr>
        <w:t>旋转机构：</w:t>
      </w:r>
      <w:r>
        <w:rPr>
          <w:rFonts w:hint="eastAsia" w:hAnsi="宋体" w:cs="宋体"/>
          <w:sz w:val="24"/>
          <w:szCs w:val="22"/>
          <w:highlight w:val="none"/>
        </w:rPr>
        <w:t>符合人机工程的手动旋转机构。</w:t>
      </w:r>
    </w:p>
    <w:p>
      <w:pPr>
        <w:pStyle w:val="22"/>
        <w:numPr>
          <w:ilvl w:val="2"/>
          <w:numId w:val="24"/>
        </w:numPr>
        <w:shd w:val="clear" w:color="auto" w:fill="auto"/>
        <w:tabs>
          <w:tab w:val="left" w:pos="2160"/>
        </w:tabs>
        <w:spacing w:line="360" w:lineRule="auto"/>
        <w:outlineLvl w:val="0"/>
        <w:rPr>
          <w:rFonts w:hAnsi="宋体" w:cs="宋体"/>
          <w:sz w:val="24"/>
          <w:szCs w:val="22"/>
          <w:highlight w:val="none"/>
        </w:rPr>
      </w:pPr>
      <w:r>
        <w:rPr>
          <w:rFonts w:hint="eastAsia" w:hAnsi="宋体" w:cs="宋体"/>
          <w:b/>
          <w:bCs/>
          <w:sz w:val="24"/>
          <w:szCs w:val="22"/>
          <w:highlight w:val="none"/>
        </w:rPr>
        <w:t>支架：</w:t>
      </w:r>
      <w:r>
        <w:rPr>
          <w:rFonts w:hint="eastAsia" w:hAnsi="宋体" w:cs="宋体"/>
          <w:sz w:val="24"/>
          <w:szCs w:val="22"/>
          <w:highlight w:val="none"/>
        </w:rPr>
        <w:t>控制器及电源模块配备安装支架。</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电气与线缆：</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Ansi="宋体" w:cs="宋体"/>
          <w:sz w:val="24"/>
          <w:szCs w:val="22"/>
          <w:highlight w:val="none"/>
        </w:rPr>
        <w:t>控制器与电源模块间的电缆，</w:t>
      </w:r>
      <w:r>
        <w:rPr>
          <w:rFonts w:hint="eastAsia" w:hAnsi="宋体" w:cs="宋体"/>
          <w:sz w:val="24"/>
          <w:szCs w:val="22"/>
          <w:highlight w:val="none"/>
        </w:rPr>
        <w:t>3</w:t>
      </w:r>
      <w:r>
        <w:rPr>
          <w:rFonts w:hAnsi="宋体" w:cs="宋体"/>
          <w:sz w:val="24"/>
          <w:szCs w:val="22"/>
          <w:highlight w:val="none"/>
        </w:rPr>
        <w:t>根。</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sz w:val="24"/>
          <w:szCs w:val="22"/>
          <w:highlight w:val="none"/>
        </w:rPr>
        <w:t>相应的控制电缆，3套控制器</w:t>
      </w:r>
      <w:r>
        <w:rPr>
          <w:rFonts w:hAnsi="宋体" w:cs="宋体"/>
          <w:sz w:val="24"/>
          <w:szCs w:val="22"/>
          <w:highlight w:val="none"/>
        </w:rPr>
        <w:t>与拧紧轴间的拧紧轴电缆，</w:t>
      </w:r>
      <w:r>
        <w:rPr>
          <w:rFonts w:hint="eastAsia" w:hAnsi="宋体" w:cs="宋体"/>
          <w:sz w:val="24"/>
          <w:szCs w:val="22"/>
          <w:highlight w:val="none"/>
        </w:rPr>
        <w:t>3</w:t>
      </w:r>
      <w:r>
        <w:rPr>
          <w:rFonts w:hAnsi="宋体" w:cs="宋体"/>
          <w:sz w:val="24"/>
          <w:szCs w:val="22"/>
          <w:highlight w:val="none"/>
        </w:rPr>
        <w:t>根。</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相应的控制电缆，3套。</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必要的IO模块，用于接收启动、复位信号及控制三色灯、报警器，配备8位档位开关。</w:t>
      </w:r>
    </w:p>
    <w:p>
      <w:pPr>
        <w:pStyle w:val="22"/>
        <w:numPr>
          <w:ilvl w:val="0"/>
          <w:numId w:val="23"/>
        </w:numPr>
        <w:shd w:val="clear" w:color="auto" w:fill="auto"/>
        <w:spacing w:line="360" w:lineRule="auto"/>
        <w:ind w:left="1440" w:leftChars="0" w:hanging="360" w:firstLineChars="0"/>
        <w:outlineLvl w:val="0"/>
        <w:rPr>
          <w:rFonts w:hAnsi="宋体" w:eastAsia="宋体" w:cs="宋体"/>
          <w:b/>
          <w:bCs/>
          <w:sz w:val="24"/>
          <w:szCs w:val="22"/>
          <w:highlight w:val="none"/>
        </w:rPr>
      </w:pPr>
      <w:r>
        <w:rPr>
          <w:rFonts w:hint="eastAsia" w:hAnsi="宋体" w:eastAsia="宋体" w:cs="宋体"/>
          <w:b/>
          <w:bCs/>
          <w:sz w:val="24"/>
          <w:szCs w:val="22"/>
          <w:highlight w:val="none"/>
          <w:lang w:val="en-US" w:eastAsia="zh-CN"/>
        </w:rPr>
        <w:t>扫码装置：</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default" w:hAnsi="宋体" w:eastAsia="宋体" w:cs="宋体"/>
          <w:sz w:val="24"/>
          <w:szCs w:val="22"/>
          <w:highlight w:val="none"/>
          <w:lang w:val="en-US" w:eastAsia="zh-CN"/>
        </w:rPr>
        <w:t>通过扫描发动机序列号，将拧紧数据与发动机绑定，选用斑马DS3678或同等规格产品。</w:t>
      </w:r>
    </w:p>
    <w:p>
      <w:pPr>
        <w:pStyle w:val="22"/>
        <w:shd w:val="clear" w:color="auto" w:fill="auto"/>
        <w:spacing w:line="360" w:lineRule="auto"/>
        <w:outlineLvl w:val="0"/>
        <w:rPr>
          <w:rFonts w:hAnsi="宋体" w:cs="宋体"/>
          <w:sz w:val="24"/>
          <w:szCs w:val="22"/>
          <w:highlight w:val="none"/>
        </w:rPr>
      </w:pPr>
      <w:r>
        <w:rPr>
          <w:rFonts w:hint="eastAsia" w:hAnsi="宋体" w:cs="宋体"/>
          <w:b/>
          <w:bCs/>
          <w:sz w:val="24"/>
          <w:szCs w:val="22"/>
          <w:highlight w:val="none"/>
          <w:lang w:eastAsia="zh-CN"/>
        </w:rPr>
        <w:t>（</w:t>
      </w:r>
      <w:r>
        <w:rPr>
          <w:rFonts w:hint="eastAsia" w:hAnsi="宋体" w:cs="宋体"/>
          <w:b/>
          <w:bCs/>
          <w:sz w:val="24"/>
          <w:szCs w:val="22"/>
          <w:highlight w:val="none"/>
          <w:lang w:val="en-US" w:eastAsia="zh-CN"/>
        </w:rPr>
        <w:t>4</w:t>
      </w:r>
      <w:r>
        <w:rPr>
          <w:rFonts w:hint="eastAsia" w:hAnsi="宋体" w:cs="宋体"/>
          <w:b/>
          <w:bCs/>
          <w:sz w:val="24"/>
          <w:szCs w:val="22"/>
          <w:highlight w:val="none"/>
          <w:lang w:eastAsia="zh-CN"/>
        </w:rPr>
        <w:t>）</w:t>
      </w:r>
      <w:r>
        <w:rPr>
          <w:rFonts w:hAnsi="宋体" w:cs="宋体"/>
          <w:b/>
          <w:bCs/>
          <w:sz w:val="24"/>
          <w:szCs w:val="22"/>
          <w:highlight w:val="none"/>
        </w:rPr>
        <w:t>飞轮壳螺栓单轴助力臂拧紧机</w:t>
      </w:r>
    </w:p>
    <w:p>
      <w:pPr>
        <w:pStyle w:val="22"/>
        <w:numPr>
          <w:ilvl w:val="0"/>
          <w:numId w:val="25"/>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工艺要求：</w:t>
      </w:r>
    </w:p>
    <w:p>
      <w:pPr>
        <w:pStyle w:val="22"/>
        <w:numPr>
          <w:ilvl w:val="0"/>
          <w:numId w:val="2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功能：</w:t>
      </w:r>
      <w:r>
        <w:rPr>
          <w:rFonts w:hAnsi="宋体" w:cs="宋体"/>
          <w:sz w:val="24"/>
          <w:szCs w:val="22"/>
          <w:highlight w:val="none"/>
        </w:rPr>
        <w:t>用于飞轮壳螺栓的拧紧，协助操作者省力、精准地完成作业。</w:t>
      </w:r>
    </w:p>
    <w:p>
      <w:pPr>
        <w:pStyle w:val="22"/>
        <w:numPr>
          <w:ilvl w:val="0"/>
          <w:numId w:val="2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操作：</w:t>
      </w:r>
      <w:r>
        <w:rPr>
          <w:rFonts w:hAnsi="宋体" w:cs="宋体"/>
          <w:sz w:val="24"/>
          <w:szCs w:val="22"/>
          <w:highlight w:val="none"/>
        </w:rPr>
        <w:t>操作者手持助力臂末端的拧紧轴，将其移动至螺栓位置。助力臂应实现“零重力”或“低重力”效果，移动轻便，且在任意位置可停。</w:t>
      </w:r>
    </w:p>
    <w:p>
      <w:pPr>
        <w:pStyle w:val="22"/>
        <w:numPr>
          <w:ilvl w:val="0"/>
          <w:numId w:val="26"/>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拧紧策略：</w:t>
      </w:r>
      <w:r>
        <w:rPr>
          <w:rFonts w:hint="eastAsia" w:hAnsi="宋体" w:cs="宋体"/>
          <w:sz w:val="24"/>
          <w:szCs w:val="22"/>
          <w:highlight w:val="none"/>
        </w:rPr>
        <w:t>采用力矩法＋转角法进行拧紧</w:t>
      </w:r>
    </w:p>
    <w:p>
      <w:pPr>
        <w:pStyle w:val="22"/>
        <w:numPr>
          <w:ilvl w:val="2"/>
          <w:numId w:val="27"/>
        </w:numPr>
        <w:shd w:val="clear" w:color="auto" w:fill="auto"/>
        <w:tabs>
          <w:tab w:val="left" w:pos="2160"/>
        </w:tabs>
        <w:spacing w:line="360" w:lineRule="auto"/>
        <w:outlineLvl w:val="0"/>
        <w:rPr>
          <w:rFonts w:hAnsi="宋体" w:eastAsia="宋体" w:cs="宋体"/>
          <w:b w:val="0"/>
          <w:bCs w:val="0"/>
          <w:sz w:val="24"/>
          <w:szCs w:val="22"/>
          <w:highlight w:val="none"/>
        </w:rPr>
      </w:pPr>
      <w:r>
        <w:rPr>
          <w:rFonts w:hint="eastAsia" w:hAnsi="宋体" w:eastAsia="宋体" w:cs="宋体"/>
          <w:b w:val="0"/>
          <w:bCs w:val="0"/>
          <w:sz w:val="24"/>
          <w:szCs w:val="22"/>
          <w:highlight w:val="none"/>
        </w:rPr>
        <w:t>（40＋20）N·m拧紧</w:t>
      </w:r>
    </w:p>
    <w:p>
      <w:pPr>
        <w:pStyle w:val="22"/>
        <w:numPr>
          <w:ilvl w:val="2"/>
          <w:numId w:val="27"/>
        </w:numPr>
        <w:shd w:val="clear" w:color="auto" w:fill="auto"/>
        <w:tabs>
          <w:tab w:val="left" w:pos="2160"/>
        </w:tabs>
        <w:spacing w:line="360" w:lineRule="auto"/>
        <w:outlineLvl w:val="0"/>
        <w:rPr>
          <w:rFonts w:hint="eastAsia" w:hAnsi="宋体" w:eastAsia="宋体" w:cs="宋体"/>
          <w:b w:val="0"/>
          <w:bCs w:val="0"/>
          <w:sz w:val="24"/>
          <w:szCs w:val="22"/>
          <w:highlight w:val="none"/>
        </w:rPr>
      </w:pPr>
      <w:r>
        <w:rPr>
          <w:rFonts w:hint="eastAsia" w:hAnsi="宋体" w:eastAsia="宋体" w:cs="宋体"/>
          <w:b w:val="0"/>
          <w:bCs w:val="0"/>
          <w:sz w:val="24"/>
          <w:szCs w:val="22"/>
          <w:highlight w:val="none"/>
        </w:rPr>
        <w:t xml:space="preserve"> 120°±5°转角</w:t>
      </w:r>
    </w:p>
    <w:p>
      <w:pPr>
        <w:pStyle w:val="22"/>
        <w:numPr>
          <w:ilvl w:val="2"/>
          <w:numId w:val="27"/>
        </w:numPr>
        <w:shd w:val="clear" w:color="auto" w:fill="auto"/>
        <w:tabs>
          <w:tab w:val="left" w:pos="2160"/>
        </w:tabs>
        <w:spacing w:line="360" w:lineRule="auto"/>
        <w:outlineLvl w:val="0"/>
        <w:rPr>
          <w:rFonts w:hint="eastAsia" w:hAnsi="宋体" w:eastAsia="宋体" w:cs="宋体"/>
          <w:b w:val="0"/>
          <w:bCs w:val="0"/>
          <w:sz w:val="24"/>
          <w:szCs w:val="22"/>
          <w:highlight w:val="none"/>
        </w:rPr>
      </w:pPr>
      <w:r>
        <w:rPr>
          <w:rFonts w:hint="eastAsia" w:hAnsi="宋体" w:eastAsia="宋体" w:cs="宋体"/>
          <w:b w:val="0"/>
          <w:bCs w:val="0"/>
          <w:sz w:val="24"/>
          <w:szCs w:val="22"/>
          <w:highlight w:val="none"/>
        </w:rPr>
        <w:t>最终拧紧力矩110N·ｍ～140N·ｍ</w:t>
      </w:r>
    </w:p>
    <w:p>
      <w:pPr>
        <w:pStyle w:val="22"/>
        <w:numPr>
          <w:ilvl w:val="0"/>
          <w:numId w:val="26"/>
        </w:numPr>
        <w:shd w:val="clear" w:color="auto" w:fill="auto"/>
        <w:spacing w:line="360" w:lineRule="auto"/>
        <w:ind w:left="1440" w:leftChars="0" w:hanging="360" w:firstLineChars="0"/>
        <w:outlineLvl w:val="0"/>
        <w:rPr>
          <w:rFonts w:hAnsi="宋体" w:cs="宋体"/>
          <w:sz w:val="24"/>
          <w:szCs w:val="22"/>
          <w:highlight w:val="none"/>
        </w:rPr>
      </w:pPr>
      <w:r>
        <w:rPr>
          <w:rFonts w:hint="eastAsia" w:hAnsi="宋体" w:cs="宋体"/>
          <w:b/>
          <w:bCs/>
          <w:sz w:val="24"/>
          <w:szCs w:val="22"/>
          <w:highlight w:val="none"/>
        </w:rPr>
        <w:t>信息采集：</w:t>
      </w:r>
      <w:r>
        <w:rPr>
          <w:rFonts w:hint="eastAsia" w:hAnsi="宋体" w:cs="宋体"/>
          <w:sz w:val="24"/>
          <w:szCs w:val="22"/>
          <w:highlight w:val="none"/>
        </w:rPr>
        <w:t>拧紧曲线需自动上传至toolsnet，拧紧数据（包括过程中力矩、转角）需上传至数据库，同时设备本地需对拧紧结果进行判定。</w:t>
      </w:r>
    </w:p>
    <w:p>
      <w:pPr>
        <w:pStyle w:val="22"/>
        <w:numPr>
          <w:ilvl w:val="0"/>
          <w:numId w:val="25"/>
        </w:numPr>
        <w:shd w:val="clear" w:color="auto" w:fill="auto"/>
        <w:spacing w:line="360" w:lineRule="auto"/>
        <w:outlineLvl w:val="0"/>
        <w:rPr>
          <w:rFonts w:hAnsi="宋体" w:cs="宋体"/>
          <w:sz w:val="24"/>
          <w:szCs w:val="22"/>
          <w:highlight w:val="none"/>
        </w:rPr>
      </w:pPr>
      <w:r>
        <w:rPr>
          <w:rFonts w:hAnsi="宋体" w:cs="宋体"/>
          <w:b/>
          <w:bCs/>
          <w:sz w:val="24"/>
          <w:szCs w:val="22"/>
          <w:highlight w:val="none"/>
        </w:rPr>
        <w:t>设备配置清单：</w:t>
      </w:r>
    </w:p>
    <w:p>
      <w:pPr>
        <w:pStyle w:val="22"/>
        <w:numPr>
          <w:ilvl w:val="0"/>
          <w:numId w:val="28"/>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拧紧轴：</w:t>
      </w:r>
      <w:r>
        <w:rPr>
          <w:rFonts w:hint="eastAsia" w:hAnsi="宋体" w:cs="宋体"/>
          <w:b/>
          <w:bCs/>
          <w:sz w:val="24"/>
          <w:szCs w:val="22"/>
          <w:highlight w:val="none"/>
          <w:lang w:val="en-US" w:eastAsia="zh-CN"/>
        </w:rPr>
        <w:t>新增1套拧紧轴及控制器，</w:t>
      </w:r>
      <w:r>
        <w:rPr>
          <w:rFonts w:hint="eastAsia" w:hAnsi="宋体" w:cs="宋体"/>
          <w:sz w:val="24"/>
          <w:szCs w:val="22"/>
          <w:highlight w:val="none"/>
          <w:lang w:val="en-US" w:eastAsia="zh-CN"/>
        </w:rPr>
        <w:t>选用阿特拉斯或同等品牌，拧紧轴选型应确保扭矩精度±3%以内、连续工作10个小时不出现发热报警情况</w:t>
      </w:r>
      <w:r>
        <w:rPr>
          <w:rFonts w:hint="eastAsia" w:hAnsi="宋体" w:cs="宋体"/>
          <w:sz w:val="24"/>
          <w:szCs w:val="22"/>
          <w:highlight w:val="none"/>
          <w:lang w:eastAsia="zh-CN"/>
        </w:rPr>
        <w:t>；</w:t>
      </w:r>
      <w:r>
        <w:rPr>
          <w:rFonts w:hint="eastAsia" w:hAnsi="宋体" w:cs="宋体"/>
          <w:sz w:val="24"/>
          <w:szCs w:val="22"/>
          <w:highlight w:val="none"/>
        </w:rPr>
        <w:t>控制器</w:t>
      </w:r>
      <w:r>
        <w:rPr>
          <w:rFonts w:hint="eastAsia" w:hAnsi="宋体" w:cs="宋体"/>
          <w:sz w:val="24"/>
          <w:szCs w:val="22"/>
          <w:highlight w:val="none"/>
          <w:lang w:val="en-US" w:eastAsia="zh-CN"/>
        </w:rPr>
        <w:t>选用</w:t>
      </w:r>
      <w:r>
        <w:rPr>
          <w:rFonts w:hint="eastAsia" w:hAnsi="宋体" w:cs="宋体"/>
          <w:sz w:val="24"/>
          <w:szCs w:val="22"/>
          <w:highlight w:val="none"/>
        </w:rPr>
        <w:t>PM4000</w:t>
      </w:r>
      <w:r>
        <w:rPr>
          <w:rFonts w:hint="eastAsia" w:hAnsi="宋体" w:cs="宋体"/>
          <w:sz w:val="24"/>
          <w:szCs w:val="22"/>
          <w:highlight w:val="none"/>
          <w:lang w:val="en-US" w:eastAsia="zh-CN"/>
        </w:rPr>
        <w:t>或同等规格产品</w:t>
      </w:r>
      <w:r>
        <w:rPr>
          <w:rFonts w:hint="eastAsia" w:hAnsi="宋体" w:cs="宋体"/>
          <w:b w:val="0"/>
          <w:bCs w:val="0"/>
          <w:sz w:val="24"/>
          <w:szCs w:val="22"/>
          <w:highlight w:val="none"/>
          <w:lang w:val="en-US" w:eastAsia="zh-CN"/>
        </w:rPr>
        <w:t>，</w:t>
      </w:r>
      <w:r>
        <w:rPr>
          <w:rFonts w:hAnsi="宋体" w:cs="宋体"/>
          <w:b w:val="0"/>
          <w:bCs w:val="0"/>
          <w:sz w:val="24"/>
          <w:szCs w:val="22"/>
          <w:highlight w:val="none"/>
        </w:rPr>
        <w:t>必须带Profinet接口</w:t>
      </w:r>
      <w:r>
        <w:rPr>
          <w:rFonts w:hint="eastAsia" w:hAnsi="宋体" w:cs="宋体"/>
          <w:sz w:val="24"/>
          <w:szCs w:val="22"/>
          <w:highlight w:val="none"/>
          <w:lang w:val="en-US" w:eastAsia="zh-CN"/>
        </w:rPr>
        <w:t>；配备电源模块1个；</w:t>
      </w:r>
    </w:p>
    <w:p>
      <w:pPr>
        <w:pStyle w:val="22"/>
        <w:numPr>
          <w:ilvl w:val="0"/>
          <w:numId w:val="28"/>
        </w:numPr>
        <w:shd w:val="clear" w:color="auto" w:fill="auto"/>
        <w:spacing w:line="360" w:lineRule="auto"/>
        <w:ind w:left="1440" w:leftChars="0" w:hanging="360" w:firstLineChars="0"/>
        <w:outlineLvl w:val="0"/>
        <w:rPr>
          <w:rFonts w:hAnsi="宋体" w:cs="宋体"/>
          <w:sz w:val="24"/>
          <w:szCs w:val="22"/>
          <w:highlight w:val="none"/>
        </w:rPr>
      </w:pPr>
      <w:r>
        <w:rPr>
          <w:rFonts w:hAnsi="宋体" w:cs="宋体"/>
          <w:b/>
          <w:bCs/>
          <w:sz w:val="24"/>
          <w:szCs w:val="22"/>
          <w:highlight w:val="none"/>
        </w:rPr>
        <w:t>机械结构：</w:t>
      </w:r>
    </w:p>
    <w:p>
      <w:pPr>
        <w:pStyle w:val="22"/>
        <w:numPr>
          <w:ilvl w:val="2"/>
          <w:numId w:val="27"/>
        </w:numPr>
        <w:shd w:val="clear" w:color="auto" w:fill="auto"/>
        <w:tabs>
          <w:tab w:val="left" w:pos="2160"/>
        </w:tabs>
        <w:spacing w:line="360" w:lineRule="auto"/>
        <w:outlineLvl w:val="0"/>
        <w:rPr>
          <w:rFonts w:hAnsi="宋体" w:cs="宋体"/>
          <w:sz w:val="24"/>
          <w:szCs w:val="22"/>
          <w:highlight w:val="none"/>
        </w:rPr>
      </w:pPr>
      <w:r>
        <w:rPr>
          <w:rFonts w:hAnsi="宋体" w:cs="宋体"/>
          <w:b/>
          <w:bCs/>
          <w:sz w:val="24"/>
          <w:szCs w:val="22"/>
          <w:highlight w:val="none"/>
        </w:rPr>
        <w:t>助力臂：</w:t>
      </w:r>
      <w:r>
        <w:rPr>
          <w:rFonts w:hAnsi="宋体" w:cs="宋体"/>
          <w:sz w:val="24"/>
          <w:szCs w:val="22"/>
          <w:highlight w:val="none"/>
        </w:rPr>
        <w:t>进口或国产优质品牌硬臂式助力臂，覆盖范围需满足工作半径要求，承载能力需大于拧紧轴总成重量。</w:t>
      </w:r>
    </w:p>
    <w:p>
      <w:pPr>
        <w:pStyle w:val="22"/>
        <w:numPr>
          <w:ilvl w:val="2"/>
          <w:numId w:val="27"/>
        </w:numPr>
        <w:shd w:val="clear" w:color="auto" w:fill="auto"/>
        <w:tabs>
          <w:tab w:val="left" w:pos="2160"/>
        </w:tabs>
        <w:spacing w:line="360" w:lineRule="auto"/>
        <w:outlineLvl w:val="0"/>
        <w:rPr>
          <w:rFonts w:hAnsi="宋体" w:cs="宋体"/>
          <w:sz w:val="24"/>
          <w:szCs w:val="22"/>
          <w:highlight w:val="none"/>
        </w:rPr>
      </w:pPr>
      <w:r>
        <w:rPr>
          <w:rFonts w:hint="eastAsia" w:hAnsi="宋体" w:cs="宋体"/>
          <w:b/>
          <w:bCs/>
          <w:sz w:val="24"/>
          <w:szCs w:val="22"/>
          <w:highlight w:val="none"/>
        </w:rPr>
        <w:t>支架：</w:t>
      </w:r>
      <w:r>
        <w:rPr>
          <w:rFonts w:hint="eastAsia" w:hAnsi="宋体" w:cs="宋体"/>
          <w:sz w:val="24"/>
          <w:szCs w:val="22"/>
          <w:highlight w:val="none"/>
        </w:rPr>
        <w:t>控制器及电源模块配备安装支架。</w:t>
      </w:r>
    </w:p>
    <w:p>
      <w:pPr>
        <w:pStyle w:val="22"/>
        <w:numPr>
          <w:ilvl w:val="0"/>
          <w:numId w:val="28"/>
        </w:numPr>
        <w:shd w:val="clear" w:color="auto" w:fill="auto"/>
        <w:spacing w:line="360" w:lineRule="auto"/>
        <w:ind w:left="1440" w:leftChars="0" w:hanging="360" w:firstLineChars="0"/>
        <w:outlineLvl w:val="0"/>
        <w:rPr>
          <w:rFonts w:hAnsi="宋体" w:eastAsia="宋体" w:cs="宋体"/>
          <w:b/>
          <w:bCs/>
          <w:sz w:val="24"/>
          <w:szCs w:val="22"/>
          <w:highlight w:val="none"/>
        </w:rPr>
      </w:pPr>
      <w:r>
        <w:rPr>
          <w:rFonts w:hAnsi="宋体" w:eastAsia="宋体" w:cs="宋体"/>
          <w:b/>
          <w:bCs/>
          <w:sz w:val="24"/>
          <w:szCs w:val="22"/>
          <w:highlight w:val="none"/>
        </w:rPr>
        <w:t>电气与线缆：</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控制器与电源模块间的电缆，1根。</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eastAsia" w:hAnsi="宋体" w:cs="宋体"/>
          <w:sz w:val="24"/>
          <w:szCs w:val="22"/>
          <w:highlight w:val="none"/>
        </w:rPr>
        <w:t>控制器</w:t>
      </w:r>
      <w:r>
        <w:rPr>
          <w:rFonts w:hAnsi="宋体" w:cs="宋体"/>
          <w:sz w:val="24"/>
          <w:szCs w:val="22"/>
          <w:highlight w:val="none"/>
        </w:rPr>
        <w:t>与拧紧轴间的拧紧轴电缆，</w:t>
      </w:r>
      <w:r>
        <w:rPr>
          <w:rFonts w:hint="eastAsia" w:hAnsi="宋体" w:cs="宋体"/>
          <w:sz w:val="24"/>
          <w:szCs w:val="22"/>
          <w:highlight w:val="none"/>
        </w:rPr>
        <w:t>1</w:t>
      </w:r>
      <w:r>
        <w:rPr>
          <w:rFonts w:hAnsi="宋体" w:cs="宋体"/>
          <w:sz w:val="24"/>
          <w:szCs w:val="22"/>
          <w:highlight w:val="none"/>
        </w:rPr>
        <w:t>根。</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相应的控制电缆，1套。</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必要的IO模块，用于接收启动、复位信号及控制三色灯、报警器，配备8位档位开关。</w:t>
      </w:r>
    </w:p>
    <w:p>
      <w:pPr>
        <w:pStyle w:val="22"/>
        <w:numPr>
          <w:ilvl w:val="2"/>
          <w:numId w:val="15"/>
        </w:numPr>
        <w:shd w:val="clear" w:color="auto" w:fill="auto"/>
        <w:tabs>
          <w:tab w:val="left" w:pos="2160"/>
        </w:tabs>
        <w:spacing w:line="360" w:lineRule="auto"/>
        <w:outlineLvl w:val="0"/>
        <w:rPr>
          <w:rFonts w:hint="eastAsia" w:hAnsi="宋体" w:eastAsia="宋体" w:cs="宋体"/>
          <w:sz w:val="24"/>
          <w:szCs w:val="22"/>
          <w:highlight w:val="none"/>
        </w:rPr>
      </w:pPr>
      <w:r>
        <w:rPr>
          <w:rFonts w:hint="eastAsia" w:hAnsi="宋体" w:eastAsia="宋体" w:cs="宋体"/>
          <w:sz w:val="24"/>
          <w:szCs w:val="22"/>
          <w:highlight w:val="none"/>
        </w:rPr>
        <w:t>助力臂提供动力的气路或电路。</w:t>
      </w:r>
    </w:p>
    <w:p>
      <w:pPr>
        <w:pStyle w:val="22"/>
        <w:numPr>
          <w:ilvl w:val="0"/>
          <w:numId w:val="28"/>
        </w:numPr>
        <w:shd w:val="clear" w:color="auto" w:fill="auto"/>
        <w:spacing w:line="360" w:lineRule="auto"/>
        <w:ind w:left="1440" w:leftChars="0" w:hanging="360" w:firstLineChars="0"/>
        <w:outlineLvl w:val="0"/>
        <w:rPr>
          <w:rFonts w:hAnsi="宋体" w:eastAsia="宋体" w:cs="宋体"/>
          <w:b/>
          <w:bCs/>
          <w:sz w:val="24"/>
          <w:szCs w:val="22"/>
          <w:highlight w:val="none"/>
        </w:rPr>
      </w:pPr>
      <w:r>
        <w:rPr>
          <w:rFonts w:hint="eastAsia" w:hAnsi="宋体" w:eastAsia="宋体" w:cs="宋体"/>
          <w:b/>
          <w:bCs/>
          <w:sz w:val="24"/>
          <w:szCs w:val="22"/>
          <w:highlight w:val="none"/>
          <w:lang w:val="en-US" w:eastAsia="zh-CN"/>
        </w:rPr>
        <w:t>扫码装置：</w:t>
      </w:r>
    </w:p>
    <w:p>
      <w:pPr>
        <w:pStyle w:val="22"/>
        <w:numPr>
          <w:ilvl w:val="2"/>
          <w:numId w:val="15"/>
        </w:numPr>
        <w:shd w:val="clear" w:color="auto" w:fill="auto"/>
        <w:tabs>
          <w:tab w:val="left" w:pos="2160"/>
        </w:tabs>
        <w:spacing w:line="360" w:lineRule="auto"/>
        <w:outlineLvl w:val="0"/>
        <w:rPr>
          <w:rFonts w:hAnsi="宋体" w:cs="宋体"/>
          <w:sz w:val="24"/>
          <w:szCs w:val="22"/>
          <w:highlight w:val="none"/>
        </w:rPr>
      </w:pPr>
      <w:r>
        <w:rPr>
          <w:rFonts w:hint="default" w:hAnsi="宋体" w:eastAsia="宋体" w:cs="宋体"/>
          <w:sz w:val="24"/>
          <w:szCs w:val="22"/>
          <w:highlight w:val="none"/>
          <w:lang w:val="en-US" w:eastAsia="zh-CN"/>
        </w:rPr>
        <w:t>通过扫描发动机序列号，将拧紧数据与发动机绑定，选用斑马DS3678或同等规格产品。</w:t>
      </w:r>
    </w:p>
    <w:p>
      <w:pPr>
        <w:pStyle w:val="22"/>
        <w:numPr>
          <w:ilvl w:val="0"/>
          <w:numId w:val="29"/>
        </w:numPr>
        <w:shd w:val="clear" w:color="auto" w:fill="auto"/>
        <w:spacing w:line="360" w:lineRule="auto"/>
        <w:outlineLvl w:val="0"/>
        <w:rPr>
          <w:rFonts w:hint="eastAsia" w:hAnsi="宋体" w:cs="宋体"/>
          <w:b/>
          <w:bCs/>
          <w:sz w:val="24"/>
          <w:szCs w:val="22"/>
          <w:highlight w:val="none"/>
          <w:lang w:val="en-US" w:eastAsia="zh-CN"/>
        </w:rPr>
      </w:pPr>
      <w:r>
        <w:rPr>
          <w:rFonts w:hint="eastAsia" w:hAnsi="宋体" w:cs="宋体"/>
          <w:b/>
          <w:bCs/>
          <w:sz w:val="24"/>
          <w:szCs w:val="22"/>
          <w:highlight w:val="none"/>
          <w:lang w:val="en-US" w:eastAsia="zh-CN"/>
        </w:rPr>
        <w:t>其他</w:t>
      </w:r>
    </w:p>
    <w:p>
      <w:pPr>
        <w:pStyle w:val="22"/>
        <w:shd w:val="clear" w:color="auto" w:fill="auto"/>
        <w:spacing w:line="360" w:lineRule="auto"/>
        <w:ind w:firstLine="480" w:firstLineChars="200"/>
        <w:rPr>
          <w:rFonts w:hint="eastAsia" w:hAnsi="宋体" w:eastAsia="宋体" w:cs="宋体"/>
          <w:sz w:val="24"/>
          <w:szCs w:val="24"/>
          <w:highlight w:val="none"/>
        </w:rPr>
      </w:pPr>
      <w:r>
        <w:rPr>
          <w:rFonts w:hint="eastAsia" w:hAnsi="宋体" w:eastAsia="宋体" w:cs="宋体"/>
          <w:sz w:val="24"/>
          <w:szCs w:val="24"/>
          <w:highlight w:val="none"/>
          <w:lang w:val="en-US" w:eastAsia="zh-CN"/>
        </w:rPr>
        <w:t>为招标方现场的主轴承2轴拧紧机、连杆2轴拧紧机配备控制器安装支架。</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四、主要技术状态说明</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项目实施地点在济南发动机厂装调部，现场环境符合发动机装配要求。</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w:t>
      </w:r>
      <w:r>
        <w:rPr>
          <w:rFonts w:hint="eastAsia" w:hAnsi="宋体" w:cs="宋体"/>
          <w:sz w:val="24"/>
          <w:szCs w:val="24"/>
          <w:highlight w:val="none"/>
          <w:lang w:eastAsia="zh-CN"/>
        </w:rPr>
        <w:t>、</w:t>
      </w:r>
      <w:r>
        <w:rPr>
          <w:rFonts w:hint="eastAsia" w:hAnsi="宋体" w:cs="宋体"/>
          <w:sz w:val="24"/>
          <w:szCs w:val="24"/>
          <w:highlight w:val="none"/>
        </w:rPr>
        <w:t>电气系统要求</w:t>
      </w:r>
    </w:p>
    <w:p>
      <w:pPr>
        <w:pStyle w:val="22"/>
        <w:shd w:val="clear" w:color="auto" w:fill="auto"/>
        <w:spacing w:line="360" w:lineRule="auto"/>
        <w:ind w:firstLine="480" w:firstLineChars="200"/>
        <w:outlineLvl w:val="0"/>
        <w:rPr>
          <w:rFonts w:hAnsi="宋体" w:cs="宋体"/>
          <w:sz w:val="24"/>
          <w:szCs w:val="24"/>
          <w:highlight w:val="none"/>
        </w:rPr>
      </w:pPr>
      <w:r>
        <w:rPr>
          <w:rFonts w:hint="eastAsia" w:hAnsi="宋体" w:cs="宋体"/>
          <w:sz w:val="24"/>
          <w:szCs w:val="24"/>
          <w:highlight w:val="none"/>
        </w:rPr>
        <w:t>（1）低压电器：施耐德、西门子等知名品牌产品，并在投标档中予以分别标明。</w:t>
      </w:r>
    </w:p>
    <w:p>
      <w:pPr>
        <w:pStyle w:val="22"/>
        <w:shd w:val="clear" w:color="auto" w:fill="auto"/>
        <w:spacing w:line="360" w:lineRule="auto"/>
        <w:ind w:firstLine="480" w:firstLineChars="200"/>
        <w:outlineLvl w:val="0"/>
        <w:rPr>
          <w:rFonts w:hAnsi="宋体" w:cs="宋体"/>
          <w:sz w:val="24"/>
          <w:szCs w:val="24"/>
          <w:highlight w:val="none"/>
        </w:rPr>
      </w:pPr>
      <w:r>
        <w:rPr>
          <w:rFonts w:hint="eastAsia" w:hAnsi="宋体" w:cs="宋体"/>
          <w:sz w:val="24"/>
          <w:szCs w:val="24"/>
          <w:highlight w:val="none"/>
        </w:rPr>
        <w:t>（2）工控机选用研华或同能品牌。</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rPr>
        <w:t>（3）条码枪选用斑马DS3678-DP。</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rPr>
        <w:t>2</w:t>
      </w:r>
      <w:r>
        <w:rPr>
          <w:rFonts w:hint="eastAsia" w:hAnsi="宋体" w:cs="宋体"/>
          <w:sz w:val="24"/>
          <w:szCs w:val="24"/>
          <w:highlight w:val="none"/>
          <w:lang w:eastAsia="zh-CN"/>
        </w:rPr>
        <w:t>、</w:t>
      </w:r>
      <w:r>
        <w:rPr>
          <w:rFonts w:hint="eastAsia" w:hAnsi="宋体" w:cs="宋体"/>
          <w:sz w:val="24"/>
          <w:szCs w:val="24"/>
          <w:highlight w:val="none"/>
        </w:rPr>
        <w:t>装置颜色：设备色标按照中国重型汽车集团有限公司企业标准。</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rPr>
        <w:t>3</w:t>
      </w:r>
      <w:r>
        <w:rPr>
          <w:rFonts w:hint="eastAsia" w:hAnsi="宋体" w:cs="宋体"/>
          <w:sz w:val="24"/>
          <w:szCs w:val="24"/>
          <w:highlight w:val="none"/>
          <w:lang w:eastAsia="zh-CN"/>
        </w:rPr>
        <w:t>、</w:t>
      </w:r>
      <w:r>
        <w:rPr>
          <w:rFonts w:hint="eastAsia" w:hAnsi="宋体" w:cs="宋体"/>
          <w:sz w:val="24"/>
          <w:szCs w:val="24"/>
          <w:highlight w:val="none"/>
        </w:rPr>
        <w:t>装置噪音达标要求：常时音不大于80dB，连续音不大于85dB，瞬间音不大于90dB，检测规范按照国家标准噪音测试依据：GBZ/T189.8-2007执行。</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rPr>
        <w:t>4</w:t>
      </w:r>
      <w:r>
        <w:rPr>
          <w:rFonts w:hint="eastAsia" w:hAnsi="宋体" w:cs="宋体"/>
          <w:sz w:val="24"/>
          <w:szCs w:val="24"/>
          <w:highlight w:val="none"/>
          <w:lang w:eastAsia="zh-CN"/>
        </w:rPr>
        <w:t>、</w:t>
      </w:r>
      <w:r>
        <w:rPr>
          <w:rFonts w:hint="eastAsia" w:hAnsi="宋体" w:cs="宋体"/>
          <w:sz w:val="24"/>
          <w:szCs w:val="24"/>
          <w:highlight w:val="none"/>
        </w:rPr>
        <w:t>节能环保要求：所选电机、电气元件能耗要符合国家最新法规要求，尽量选用节能产品。</w:t>
      </w:r>
    </w:p>
    <w:p>
      <w:pPr>
        <w:pStyle w:val="22"/>
        <w:shd w:val="clear" w:color="auto" w:fill="auto"/>
        <w:spacing w:line="360" w:lineRule="auto"/>
        <w:ind w:firstLine="480" w:firstLineChars="200"/>
        <w:outlineLvl w:val="0"/>
        <w:rPr>
          <w:rFonts w:hint="eastAsia" w:hAnsi="宋体" w:eastAsia="宋体" w:cs="宋体"/>
          <w:sz w:val="24"/>
          <w:szCs w:val="24"/>
          <w:highlight w:val="none"/>
          <w:lang w:eastAsia="zh-CN"/>
        </w:rPr>
      </w:pPr>
      <w:r>
        <w:rPr>
          <w:rFonts w:hint="eastAsia" w:hAnsi="宋体" w:cs="宋体"/>
          <w:sz w:val="24"/>
          <w:szCs w:val="24"/>
          <w:highlight w:val="none"/>
          <w:lang w:val="en-US" w:eastAsia="zh-CN"/>
        </w:rPr>
        <w:t>5、</w:t>
      </w:r>
      <w:r>
        <w:rPr>
          <w:rFonts w:hint="eastAsia" w:hAnsi="宋体" w:cs="宋体"/>
          <w:sz w:val="24"/>
          <w:szCs w:val="24"/>
          <w:highlight w:val="none"/>
        </w:rPr>
        <w:t>程序图纸要求</w:t>
      </w:r>
      <w:r>
        <w:rPr>
          <w:rFonts w:hint="eastAsia" w:hAnsi="宋体" w:cs="宋体"/>
          <w:sz w:val="24"/>
          <w:szCs w:val="24"/>
          <w:highlight w:val="none"/>
          <w:lang w:eastAsia="zh-CN"/>
        </w:rPr>
        <w:t>：</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5</w:t>
      </w:r>
      <w:r>
        <w:rPr>
          <w:rFonts w:hint="eastAsia" w:hAnsi="宋体" w:cs="宋体"/>
          <w:sz w:val="24"/>
          <w:szCs w:val="24"/>
          <w:highlight w:val="none"/>
        </w:rPr>
        <w:t>.1投标方必须提供所有设备程序的源代码，包括但不限于PLC程序、HMI程序、机器人程序、视觉程序、伺服等。</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5</w:t>
      </w:r>
      <w:r>
        <w:rPr>
          <w:rFonts w:hint="eastAsia" w:hAnsi="宋体" w:cs="宋体"/>
          <w:sz w:val="24"/>
          <w:szCs w:val="24"/>
          <w:highlight w:val="none"/>
        </w:rPr>
        <w:t>.2投标方所提供的程序不得设置任何密码、保护等限制手段，PLC不得设置修改下载权限，功能块不得设置密码保护。</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5</w:t>
      </w:r>
      <w:r>
        <w:rPr>
          <w:rFonts w:hint="eastAsia" w:hAnsi="宋体" w:cs="宋体"/>
          <w:sz w:val="24"/>
          <w:szCs w:val="24"/>
          <w:highlight w:val="none"/>
        </w:rPr>
        <w:t>.3HMI界面等需要密码保护的程序，投标方必须提供所有级别的用户名、密码。</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5</w:t>
      </w:r>
      <w:r>
        <w:rPr>
          <w:rFonts w:hint="eastAsia" w:hAnsi="宋体" w:cs="宋体"/>
          <w:sz w:val="24"/>
          <w:szCs w:val="24"/>
          <w:highlight w:val="none"/>
        </w:rPr>
        <w:t>.4投标方需在设备验收前提供设备程序源码，HMI界面各级用户名和密码，并保证与现场程序一致。</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5</w:t>
      </w:r>
      <w:r>
        <w:rPr>
          <w:rFonts w:hint="eastAsia" w:hAnsi="宋体" w:cs="宋体"/>
          <w:sz w:val="24"/>
          <w:szCs w:val="24"/>
          <w:highlight w:val="none"/>
        </w:rPr>
        <w:t>.5投标方需在终验收前提供最新的设备程序源码和电气图纸，图纸要求为可编辑原格式（EPLAN、CAD格式）且与实际接线一致。</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6、</w:t>
      </w:r>
      <w:r>
        <w:rPr>
          <w:rFonts w:hint="eastAsia" w:hAnsi="宋体" w:cs="宋体"/>
          <w:sz w:val="24"/>
          <w:szCs w:val="24"/>
          <w:highlight w:val="none"/>
        </w:rPr>
        <w:t>接口协议要求</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6</w:t>
      </w:r>
      <w:r>
        <w:rPr>
          <w:rFonts w:hint="eastAsia" w:hAnsi="宋体" w:cs="宋体"/>
          <w:sz w:val="24"/>
          <w:szCs w:val="24"/>
          <w:highlight w:val="none"/>
        </w:rPr>
        <w:t>.1投标方免费开放所有通讯接口，包括但不限于以太网、RS232、RS485、PROFIBUS、PROFINET、MODBUS等常见接口，以及设备特有的专用接口。</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6</w:t>
      </w:r>
      <w:r>
        <w:rPr>
          <w:rFonts w:hint="eastAsia" w:hAnsi="宋体" w:cs="宋体"/>
          <w:sz w:val="24"/>
          <w:szCs w:val="24"/>
          <w:highlight w:val="none"/>
        </w:rPr>
        <w:t>.2投标方免费提供数据交互功能，交互数据包括但不限于实时数据、历史数据、报警信息等。</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6</w:t>
      </w:r>
      <w:r>
        <w:rPr>
          <w:rFonts w:hint="eastAsia" w:hAnsi="宋体" w:cs="宋体"/>
          <w:sz w:val="24"/>
          <w:szCs w:val="24"/>
          <w:highlight w:val="none"/>
        </w:rPr>
        <w:t>.3投标方在设备入场前提供接口的技术文档和参数说明，包括但不限于接口协议、通讯速率、数据格式等。</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6</w:t>
      </w:r>
      <w:r>
        <w:rPr>
          <w:rFonts w:hint="eastAsia" w:hAnsi="宋体" w:cs="宋体"/>
          <w:sz w:val="24"/>
          <w:szCs w:val="24"/>
          <w:highlight w:val="none"/>
        </w:rPr>
        <w:t>.4设备使用周期内，投标方免费派遣技术人员与招标方调试团队共同进行设备通讯接口的调试工作。</w:t>
      </w:r>
    </w:p>
    <w:p>
      <w:pPr>
        <w:pStyle w:val="22"/>
        <w:shd w:val="clear" w:color="auto" w:fill="auto"/>
        <w:spacing w:line="360" w:lineRule="auto"/>
        <w:ind w:firstLine="480" w:firstLineChars="200"/>
        <w:outlineLvl w:val="0"/>
        <w:rPr>
          <w:rFonts w:hint="eastAsia" w:hAnsi="宋体" w:cs="宋体"/>
          <w:sz w:val="24"/>
          <w:szCs w:val="24"/>
          <w:highlight w:val="none"/>
        </w:rPr>
      </w:pPr>
      <w:r>
        <w:rPr>
          <w:rFonts w:hint="eastAsia" w:hAnsi="宋体" w:cs="宋体"/>
          <w:sz w:val="24"/>
          <w:szCs w:val="24"/>
          <w:highlight w:val="none"/>
          <w:lang w:val="en-US" w:eastAsia="zh-CN"/>
        </w:rPr>
        <w:t>7、</w:t>
      </w:r>
      <w:r>
        <w:rPr>
          <w:rFonts w:hint="eastAsia" w:hAnsi="宋体" w:cs="宋体"/>
          <w:sz w:val="24"/>
          <w:szCs w:val="24"/>
          <w:highlight w:val="none"/>
        </w:rPr>
        <w:t>电机功率≥7.5kW,必须选用一级能效，电机功率＜7.5kW，优先选用一级能效；其中能源供应设备及年运行时间≥2000h工艺设备电机必须选用一级能效。</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五、安全要求</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w:t>
      </w:r>
      <w:r>
        <w:rPr>
          <w:rFonts w:hint="eastAsia" w:hAnsi="宋体" w:cs="宋体"/>
          <w:sz w:val="24"/>
          <w:szCs w:val="24"/>
          <w:highlight w:val="none"/>
          <w:lang w:eastAsia="zh-CN"/>
        </w:rPr>
        <w:t>、</w:t>
      </w:r>
      <w:r>
        <w:rPr>
          <w:rFonts w:hint="eastAsia" w:hAnsi="宋体" w:cs="宋体"/>
          <w:sz w:val="24"/>
          <w:szCs w:val="24"/>
          <w:highlight w:val="none"/>
        </w:rPr>
        <w:t>安全装置功能安全可靠：悬挂式工装必须配备必要的防坠落装置，立柱式工装在拧紧时必须有气动刹车；</w:t>
      </w:r>
    </w:p>
    <w:p>
      <w:pPr>
        <w:pStyle w:val="131"/>
        <w:shd w:val="clear" w:color="auto" w:fill="auto"/>
        <w:spacing w:line="360" w:lineRule="auto"/>
        <w:ind w:firstLine="480"/>
        <w:jc w:val="left"/>
        <w:rPr>
          <w:rFonts w:hint="eastAsia" w:ascii="宋体" w:hAnsi="宋体" w:cs="宋体"/>
          <w:sz w:val="24"/>
          <w:szCs w:val="24"/>
          <w:highlight w:val="none"/>
        </w:rPr>
      </w:pPr>
      <w:r>
        <w:rPr>
          <w:rFonts w:hint="eastAsia" w:ascii="宋体" w:hAnsi="宋体" w:cs="宋体"/>
          <w:sz w:val="24"/>
          <w:szCs w:val="24"/>
          <w:highlight w:val="none"/>
        </w:rPr>
        <w:t>2</w:t>
      </w:r>
      <w:r>
        <w:rPr>
          <w:rFonts w:hint="eastAsia" w:ascii="宋体" w:hAnsi="宋体" w:cs="宋体"/>
          <w:sz w:val="24"/>
          <w:szCs w:val="24"/>
          <w:highlight w:val="none"/>
          <w:lang w:eastAsia="zh-CN"/>
        </w:rPr>
        <w:t>、</w:t>
      </w:r>
      <w:r>
        <w:rPr>
          <w:rFonts w:hint="eastAsia" w:ascii="宋体" w:hAnsi="宋体" w:cs="宋体"/>
          <w:sz w:val="24"/>
          <w:szCs w:val="24"/>
          <w:highlight w:val="none"/>
        </w:rPr>
        <w:t>安全防护、环境保护、节能要求应满足ISO及国家相关标准。</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六、供货要求</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w:t>
      </w:r>
      <w:r>
        <w:rPr>
          <w:rFonts w:hint="eastAsia" w:hAnsi="宋体" w:cs="宋体"/>
          <w:sz w:val="24"/>
          <w:szCs w:val="24"/>
          <w:highlight w:val="none"/>
          <w:lang w:eastAsia="zh-CN"/>
        </w:rPr>
        <w:t>、</w:t>
      </w:r>
      <w:r>
        <w:rPr>
          <w:rFonts w:hint="eastAsia" w:hAnsi="宋体" w:cs="宋体"/>
          <w:sz w:val="24"/>
          <w:szCs w:val="24"/>
          <w:highlight w:val="none"/>
        </w:rPr>
        <w:t>供货范围包括货物维护维修所必需的专用工具；</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2</w:t>
      </w:r>
      <w:r>
        <w:rPr>
          <w:rFonts w:hint="eastAsia" w:hAnsi="宋体" w:cs="宋体"/>
          <w:sz w:val="24"/>
          <w:szCs w:val="24"/>
          <w:highlight w:val="none"/>
          <w:lang w:eastAsia="zh-CN"/>
        </w:rPr>
        <w:t>、</w:t>
      </w:r>
      <w:r>
        <w:rPr>
          <w:rFonts w:hint="eastAsia" w:hAnsi="宋体" w:cs="宋体"/>
          <w:sz w:val="24"/>
          <w:szCs w:val="24"/>
          <w:highlight w:val="none"/>
        </w:rPr>
        <w:t>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3</w:t>
      </w:r>
      <w:r>
        <w:rPr>
          <w:rFonts w:hint="eastAsia" w:hAnsi="宋体" w:cs="宋体"/>
          <w:sz w:val="24"/>
          <w:szCs w:val="24"/>
          <w:highlight w:val="none"/>
          <w:lang w:eastAsia="zh-CN"/>
        </w:rPr>
        <w:t>、</w:t>
      </w:r>
      <w:r>
        <w:rPr>
          <w:rFonts w:hint="eastAsia" w:hAnsi="宋体" w:cs="宋体"/>
          <w:sz w:val="24"/>
          <w:szCs w:val="24"/>
          <w:highlight w:val="none"/>
        </w:rPr>
        <w:t>供货范围包括货物正常运行所必需的全套连线设备、材料等。如货物端连接法兰外端面之内的、电气系统接口压线板（插座等）之内的设备、材料、连接螺栓、垫片等；</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4</w:t>
      </w:r>
      <w:r>
        <w:rPr>
          <w:rFonts w:hint="eastAsia" w:hAnsi="宋体" w:cs="宋体"/>
          <w:sz w:val="24"/>
          <w:szCs w:val="24"/>
          <w:highlight w:val="none"/>
          <w:lang w:eastAsia="zh-CN"/>
        </w:rPr>
        <w:t>、</w:t>
      </w:r>
      <w:r>
        <w:rPr>
          <w:rFonts w:hint="eastAsia" w:hAnsi="宋体" w:cs="宋体"/>
          <w:sz w:val="24"/>
          <w:szCs w:val="24"/>
          <w:highlight w:val="none"/>
        </w:rPr>
        <w:t>供货范围包括货物正常运行、使用所需要的过桥、护栏、防护网、盖板等辅助设施；</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5</w:t>
      </w:r>
      <w:r>
        <w:rPr>
          <w:rFonts w:hint="eastAsia" w:hAnsi="宋体" w:cs="宋体"/>
          <w:sz w:val="24"/>
          <w:szCs w:val="24"/>
          <w:highlight w:val="none"/>
          <w:lang w:eastAsia="zh-CN"/>
        </w:rPr>
        <w:t>、</w:t>
      </w:r>
      <w:r>
        <w:rPr>
          <w:rFonts w:hint="eastAsia" w:hAnsi="宋体" w:cs="宋体"/>
          <w:sz w:val="24"/>
          <w:szCs w:val="24"/>
          <w:highlight w:val="none"/>
        </w:rPr>
        <w:t>备品备件、易损件和专用耗材是招标方为保证货物质保期之后正常运行一年所自备自用的备品备件、易损件和专用耗材。质保期之内正常需要的备品备件、易损件和专用耗材全部包括在供货范围之内而不属于本条款界定的范围（应有明细）；</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6</w:t>
      </w:r>
      <w:r>
        <w:rPr>
          <w:rFonts w:hint="eastAsia" w:hAnsi="宋体" w:cs="宋体"/>
          <w:sz w:val="24"/>
          <w:szCs w:val="24"/>
          <w:highlight w:val="none"/>
          <w:lang w:eastAsia="zh-CN"/>
        </w:rPr>
        <w:t>、</w:t>
      </w:r>
      <w:r>
        <w:rPr>
          <w:rFonts w:hint="eastAsia" w:hAnsi="宋体" w:cs="宋体"/>
          <w:sz w:val="24"/>
          <w:szCs w:val="24"/>
          <w:highlight w:val="none"/>
        </w:rPr>
        <w:t>供货范围包括易损件和专用耗材的制造图纸及其技术要求等资料；</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7</w:t>
      </w:r>
      <w:r>
        <w:rPr>
          <w:rFonts w:hint="eastAsia" w:hAnsi="宋体" w:cs="宋体"/>
          <w:sz w:val="24"/>
          <w:szCs w:val="24"/>
          <w:highlight w:val="none"/>
          <w:lang w:eastAsia="zh-CN"/>
        </w:rPr>
        <w:t>、</w:t>
      </w:r>
      <w:r>
        <w:rPr>
          <w:rFonts w:hint="eastAsia" w:hAnsi="宋体" w:cs="宋体"/>
          <w:sz w:val="24"/>
          <w:szCs w:val="24"/>
          <w:highlight w:val="none"/>
        </w:rPr>
        <w:t>在合同签订后15个日历日内，提供货物基础及相关的设计、制作所需的纸质及电子版资料；电子版文件应当能够使用常用版本软件可以阅读甚至使用，进口货物、设备应有中外文对照；</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8</w:t>
      </w:r>
      <w:r>
        <w:rPr>
          <w:rFonts w:hint="eastAsia" w:hAnsi="宋体" w:cs="宋体"/>
          <w:sz w:val="24"/>
          <w:szCs w:val="24"/>
          <w:highlight w:val="none"/>
          <w:lang w:eastAsia="zh-CN"/>
        </w:rPr>
        <w:t>、</w:t>
      </w:r>
      <w:r>
        <w:rPr>
          <w:rFonts w:hint="eastAsia" w:hAnsi="宋体" w:cs="宋体"/>
          <w:sz w:val="24"/>
          <w:szCs w:val="24"/>
          <w:highlight w:val="none"/>
        </w:rPr>
        <w:t>在预验收前，提供货物各部分的功能描述文件、图片、影像等资料（进口、设备应有中外文对照）；</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9</w:t>
      </w:r>
      <w:r>
        <w:rPr>
          <w:rFonts w:hint="eastAsia" w:hAnsi="宋体" w:cs="宋体"/>
          <w:sz w:val="24"/>
          <w:szCs w:val="24"/>
          <w:highlight w:val="none"/>
          <w:lang w:eastAsia="zh-CN"/>
        </w:rPr>
        <w:t>、</w:t>
      </w:r>
      <w:r>
        <w:rPr>
          <w:rFonts w:hint="eastAsia" w:hAnsi="宋体" w:cs="宋体"/>
          <w:sz w:val="24"/>
          <w:szCs w:val="24"/>
          <w:highlight w:val="none"/>
        </w:rPr>
        <w:t>在终验收前，提供为保证货物后续正常运行所需的工装、吊（挂）具明细及其图纸、具体技术要求等资料（如果供货范围包含该部分实物）；</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10</w:t>
      </w:r>
      <w:r>
        <w:rPr>
          <w:rFonts w:hint="eastAsia" w:hAnsi="宋体" w:cs="宋体"/>
          <w:sz w:val="24"/>
          <w:szCs w:val="24"/>
          <w:highlight w:val="none"/>
          <w:lang w:eastAsia="zh-CN"/>
        </w:rPr>
        <w:t>、</w:t>
      </w:r>
      <w:r>
        <w:rPr>
          <w:rFonts w:hint="eastAsia" w:hAnsi="宋体" w:cs="宋体"/>
          <w:sz w:val="24"/>
          <w:szCs w:val="24"/>
          <w:highlight w:val="none"/>
        </w:rPr>
        <w:t>在终验收前，提供确定的维修所需要且</w:t>
      </w:r>
      <w:r>
        <w:rPr>
          <w:rFonts w:hint="eastAsia" w:hAnsi="宋体" w:cs="宋体"/>
          <w:sz w:val="24"/>
          <w:szCs w:val="24"/>
          <w:highlight w:val="none"/>
          <w:lang w:eastAsia="zh-CN"/>
        </w:rPr>
        <w:t>招标方</w:t>
      </w:r>
      <w:r>
        <w:rPr>
          <w:rFonts w:hint="eastAsia" w:hAnsi="宋体" w:cs="宋体"/>
          <w:sz w:val="24"/>
          <w:szCs w:val="24"/>
          <w:highlight w:val="none"/>
        </w:rPr>
        <w:t>可以自行采购的外购件、外协件、电气元件及主要原材料的供货厂家明细表；</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11</w:t>
      </w:r>
      <w:r>
        <w:rPr>
          <w:rFonts w:hint="eastAsia" w:hAnsi="宋体" w:cs="宋体"/>
          <w:sz w:val="24"/>
          <w:szCs w:val="24"/>
          <w:highlight w:val="none"/>
          <w:lang w:eastAsia="zh-CN"/>
        </w:rPr>
        <w:t>、</w:t>
      </w:r>
      <w:r>
        <w:rPr>
          <w:rFonts w:hint="eastAsia" w:hAnsi="宋体" w:cs="宋体"/>
          <w:sz w:val="24"/>
          <w:szCs w:val="24"/>
          <w:highlight w:val="none"/>
        </w:rPr>
        <w:t>在终验收后、终验收后的第一笔货款支付日之前，提供包括货物的备品备件、易损件和专用耗材的图纸及技术参数、技术要求等资料；</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12</w:t>
      </w:r>
      <w:r>
        <w:rPr>
          <w:rFonts w:hint="eastAsia" w:hAnsi="宋体" w:cs="宋体"/>
          <w:sz w:val="24"/>
          <w:szCs w:val="24"/>
          <w:highlight w:val="none"/>
          <w:lang w:eastAsia="zh-CN"/>
        </w:rPr>
        <w:t>、</w:t>
      </w:r>
      <w:r>
        <w:rPr>
          <w:rFonts w:hint="eastAsia" w:hAnsi="宋体" w:cs="宋体"/>
          <w:sz w:val="24"/>
          <w:szCs w:val="24"/>
          <w:highlight w:val="none"/>
        </w:rPr>
        <w:t>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pStyle w:val="22"/>
        <w:shd w:val="clear" w:color="auto" w:fill="auto"/>
        <w:spacing w:line="360" w:lineRule="auto"/>
        <w:ind w:firstLine="480" w:firstLineChars="200"/>
        <w:rPr>
          <w:rFonts w:hAnsi="宋体" w:cs="宋体"/>
          <w:color w:val="000000"/>
          <w:sz w:val="24"/>
          <w:szCs w:val="24"/>
          <w:highlight w:val="none"/>
        </w:rPr>
      </w:pPr>
      <w:r>
        <w:rPr>
          <w:rFonts w:hint="eastAsia" w:hAnsi="宋体" w:cs="宋体"/>
          <w:sz w:val="24"/>
          <w:szCs w:val="24"/>
          <w:highlight w:val="none"/>
        </w:rPr>
        <w:t>13</w:t>
      </w:r>
      <w:r>
        <w:rPr>
          <w:rFonts w:hint="eastAsia" w:hAnsi="宋体" w:cs="宋体"/>
          <w:sz w:val="24"/>
          <w:szCs w:val="24"/>
          <w:highlight w:val="none"/>
          <w:lang w:eastAsia="zh-CN"/>
        </w:rPr>
        <w:t>、</w:t>
      </w:r>
      <w:r>
        <w:rPr>
          <w:rFonts w:hint="eastAsia" w:hAnsi="宋体" w:cs="宋体"/>
          <w:sz w:val="24"/>
          <w:szCs w:val="24"/>
          <w:highlight w:val="none"/>
        </w:rPr>
        <w:t>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r>
        <w:rPr>
          <w:rFonts w:hint="eastAsia" w:hAnsi="宋体" w:cs="宋体"/>
          <w:color w:val="000000"/>
          <w:sz w:val="24"/>
          <w:szCs w:val="24"/>
          <w:highlight w:val="none"/>
        </w:rPr>
        <w:t>项目所涉及的设备和电气程序需开源不得加密。</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14</w:t>
      </w:r>
      <w:r>
        <w:rPr>
          <w:rFonts w:hint="eastAsia" w:hAnsi="宋体" w:cs="宋体"/>
          <w:sz w:val="24"/>
          <w:szCs w:val="24"/>
          <w:highlight w:val="none"/>
          <w:lang w:eastAsia="zh-CN"/>
        </w:rPr>
        <w:t>、</w:t>
      </w:r>
      <w:r>
        <w:rPr>
          <w:rFonts w:hint="eastAsia" w:hAnsi="宋体" w:cs="宋体"/>
          <w:sz w:val="24"/>
          <w:szCs w:val="24"/>
          <w:highlight w:val="none"/>
        </w:rPr>
        <w:t>本条款所列的技术资料、图片、影像等，投标方应各提供5套，每份技术文件应装有目录清单；</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15</w:t>
      </w:r>
      <w:r>
        <w:rPr>
          <w:rFonts w:hint="eastAsia" w:hAnsi="宋体" w:cs="宋体"/>
          <w:sz w:val="24"/>
          <w:szCs w:val="24"/>
          <w:highlight w:val="none"/>
          <w:lang w:eastAsia="zh-CN"/>
        </w:rPr>
        <w:t>、</w:t>
      </w:r>
      <w:r>
        <w:rPr>
          <w:rFonts w:hint="eastAsia" w:hAnsi="宋体" w:cs="宋体"/>
          <w:sz w:val="24"/>
          <w:szCs w:val="24"/>
          <w:highlight w:val="none"/>
        </w:rPr>
        <w:t>全部供货范围内的设备、材料、零配件和工器具等，除合同特别约定外，其质保期均至终验收签字生效之日起12个月；</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16</w:t>
      </w:r>
      <w:r>
        <w:rPr>
          <w:rFonts w:hint="eastAsia" w:hAnsi="宋体" w:cs="宋体"/>
          <w:sz w:val="24"/>
          <w:szCs w:val="24"/>
          <w:highlight w:val="none"/>
          <w:lang w:eastAsia="zh-CN"/>
        </w:rPr>
        <w:t>、</w:t>
      </w:r>
      <w:r>
        <w:rPr>
          <w:rFonts w:hint="eastAsia" w:hAnsi="宋体" w:cs="宋体"/>
          <w:sz w:val="24"/>
          <w:szCs w:val="24"/>
          <w:highlight w:val="none"/>
        </w:rPr>
        <w:t>投标货物或涉及的关键总成和零件，如果有更长时间质保期，允许更改并说明，此将有利于投标方；</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17</w:t>
      </w:r>
      <w:r>
        <w:rPr>
          <w:rFonts w:hint="eastAsia" w:hAnsi="宋体" w:cs="宋体"/>
          <w:sz w:val="24"/>
          <w:szCs w:val="24"/>
          <w:highlight w:val="none"/>
          <w:lang w:eastAsia="zh-CN"/>
        </w:rPr>
        <w:t>、</w:t>
      </w:r>
      <w:r>
        <w:rPr>
          <w:rFonts w:hint="eastAsia" w:hAnsi="宋体" w:cs="宋体"/>
          <w:sz w:val="24"/>
          <w:szCs w:val="24"/>
          <w:highlight w:val="none"/>
        </w:rPr>
        <w:t>设计使用寿命短于质保期的易损件除外，但属于易损件的，应当有明确说明；</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18</w:t>
      </w:r>
      <w:r>
        <w:rPr>
          <w:rFonts w:hint="eastAsia" w:hAnsi="宋体" w:cs="宋体"/>
          <w:sz w:val="24"/>
          <w:szCs w:val="24"/>
          <w:highlight w:val="none"/>
          <w:lang w:eastAsia="zh-CN"/>
        </w:rPr>
        <w:t>、</w:t>
      </w:r>
      <w:r>
        <w:rPr>
          <w:rFonts w:hint="eastAsia" w:hAnsi="宋体" w:cs="宋体"/>
          <w:sz w:val="24"/>
          <w:szCs w:val="24"/>
          <w:highlight w:val="none"/>
        </w:rPr>
        <w:t>质保期之内，如果出现设备、总成、关键零部件或者多处一般零部件的更换或维修行为，则质保期自更换或维修行为结束、货物重新正常运行使用之日起重新计算；</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19</w:t>
      </w:r>
      <w:r>
        <w:rPr>
          <w:rFonts w:hint="eastAsia" w:hAnsi="宋体" w:cs="宋体"/>
          <w:sz w:val="24"/>
          <w:szCs w:val="24"/>
          <w:highlight w:val="none"/>
          <w:lang w:eastAsia="zh-CN"/>
        </w:rPr>
        <w:t>、</w:t>
      </w:r>
      <w:r>
        <w:rPr>
          <w:rFonts w:hint="eastAsia" w:hAnsi="宋体" w:cs="宋体"/>
          <w:sz w:val="24"/>
          <w:szCs w:val="24"/>
          <w:highlight w:val="none"/>
        </w:rPr>
        <w:t>质保期内免费提供零部件和及时有效的服务。质保期内因货物本身缺陷造成的各种故障，卖方应负责免费维修和服务；</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20</w:t>
      </w:r>
      <w:r>
        <w:rPr>
          <w:rFonts w:hint="eastAsia" w:hAnsi="宋体" w:cs="宋体"/>
          <w:sz w:val="24"/>
          <w:szCs w:val="24"/>
          <w:highlight w:val="none"/>
          <w:lang w:eastAsia="zh-CN"/>
        </w:rPr>
        <w:t>、</w:t>
      </w:r>
      <w:r>
        <w:rPr>
          <w:rFonts w:hint="eastAsia" w:hAnsi="宋体" w:cs="宋体"/>
          <w:sz w:val="24"/>
          <w:szCs w:val="24"/>
          <w:highlight w:val="none"/>
        </w:rPr>
        <w:t>质保期终止之日起一年内重复出现的质保期之内出现的故障，仍属于质保范围而且应当免费；</w:t>
      </w:r>
    </w:p>
    <w:p>
      <w:pPr>
        <w:pStyle w:val="22"/>
        <w:shd w:val="clear" w:color="auto" w:fill="auto"/>
        <w:spacing w:line="360" w:lineRule="auto"/>
        <w:ind w:firstLine="480" w:firstLineChars="200"/>
        <w:rPr>
          <w:rFonts w:hAnsi="宋体" w:cs="宋体"/>
          <w:sz w:val="24"/>
          <w:szCs w:val="24"/>
          <w:highlight w:val="none"/>
        </w:rPr>
      </w:pPr>
      <w:r>
        <w:rPr>
          <w:rFonts w:hint="eastAsia" w:hAnsi="宋体" w:cs="宋体"/>
          <w:sz w:val="24"/>
          <w:szCs w:val="24"/>
          <w:highlight w:val="none"/>
        </w:rPr>
        <w:t>21</w:t>
      </w:r>
      <w:r>
        <w:rPr>
          <w:rFonts w:hint="eastAsia" w:hAnsi="宋体" w:cs="宋体"/>
          <w:sz w:val="24"/>
          <w:szCs w:val="24"/>
          <w:highlight w:val="none"/>
          <w:lang w:eastAsia="zh-CN"/>
        </w:rPr>
        <w:t>、</w:t>
      </w:r>
      <w:r>
        <w:rPr>
          <w:rFonts w:hint="eastAsia" w:hAnsi="宋体" w:cs="宋体"/>
          <w:sz w:val="24"/>
          <w:szCs w:val="24"/>
          <w:highlight w:val="none"/>
        </w:rPr>
        <w:t>本条款所列要求，如招标方认为投标方提供的资料不能满足要求时，有权要求投标方免费补充或增加；</w:t>
      </w:r>
    </w:p>
    <w:p>
      <w:pPr>
        <w:pStyle w:val="22"/>
        <w:shd w:val="clear" w:color="auto" w:fill="auto"/>
        <w:spacing w:line="360" w:lineRule="auto"/>
        <w:ind w:firstLine="480" w:firstLineChars="200"/>
        <w:rPr>
          <w:rFonts w:ascii="Cambria Math" w:hAnsi="Cambria Math"/>
          <w:sz w:val="24"/>
          <w:szCs w:val="24"/>
          <w:highlight w:val="none"/>
        </w:rPr>
      </w:pPr>
      <w:r>
        <w:rPr>
          <w:rFonts w:hint="eastAsia" w:hAnsi="宋体" w:cs="宋体"/>
          <w:sz w:val="24"/>
          <w:szCs w:val="24"/>
          <w:highlight w:val="none"/>
        </w:rPr>
        <w:t>22</w:t>
      </w:r>
      <w:r>
        <w:rPr>
          <w:rFonts w:hint="eastAsia" w:hAnsi="宋体" w:cs="宋体"/>
          <w:sz w:val="24"/>
          <w:szCs w:val="24"/>
          <w:highlight w:val="none"/>
          <w:lang w:eastAsia="zh-CN"/>
        </w:rPr>
        <w:t>、</w:t>
      </w:r>
      <w:r>
        <w:rPr>
          <w:rFonts w:hint="eastAsia" w:ascii="Cambria Math" w:hAnsi="Cambria Math"/>
          <w:sz w:val="24"/>
          <w:szCs w:val="24"/>
          <w:highlight w:val="none"/>
        </w:rPr>
        <w:t>本项目需在中标后</w:t>
      </w:r>
      <w:r>
        <w:rPr>
          <w:rFonts w:hint="eastAsia" w:ascii="Cambria Math" w:hAnsi="Cambria Math"/>
          <w:sz w:val="24"/>
          <w:szCs w:val="24"/>
          <w:highlight w:val="none"/>
          <w:shd w:val="clear" w:color="FFFFFF" w:fill="D9D9D9"/>
        </w:rPr>
        <w:t>20</w:t>
      </w:r>
      <w:r>
        <w:rPr>
          <w:rFonts w:hint="eastAsia" w:ascii="Cambria Math" w:hAnsi="Cambria Math"/>
          <w:sz w:val="24"/>
          <w:szCs w:val="24"/>
          <w:highlight w:val="none"/>
        </w:rPr>
        <w:t>个日历日内完成发货，到货后</w:t>
      </w:r>
      <w:r>
        <w:rPr>
          <w:rFonts w:hint="eastAsia" w:ascii="Cambria Math" w:hAnsi="Cambria Math"/>
          <w:sz w:val="24"/>
          <w:szCs w:val="24"/>
          <w:highlight w:val="none"/>
          <w:shd w:val="clear" w:color="FFFFFF" w:fill="D9D9D9"/>
        </w:rPr>
        <w:t>10</w:t>
      </w:r>
      <w:r>
        <w:rPr>
          <w:rFonts w:hint="eastAsia" w:ascii="Cambria Math" w:hAnsi="Cambria Math"/>
          <w:sz w:val="24"/>
          <w:szCs w:val="24"/>
          <w:highlight w:val="none"/>
        </w:rPr>
        <w:t>个日历日内完成安装。卖方应根据该时间节点制定一个详细的、确保可行的设计制造时间进度表，时间表应着重标出重点时间节点。</w:t>
      </w:r>
    </w:p>
    <w:p>
      <w:pPr>
        <w:pStyle w:val="22"/>
        <w:shd w:val="clear" w:color="auto" w:fill="auto"/>
        <w:spacing w:line="360" w:lineRule="auto"/>
        <w:ind w:firstLine="480" w:firstLineChars="200"/>
        <w:rPr>
          <w:rFonts w:ascii="Cambria Math" w:hAnsi="Cambria Math"/>
          <w:sz w:val="24"/>
          <w:szCs w:val="24"/>
          <w:highlight w:val="none"/>
        </w:rPr>
      </w:pPr>
      <w:r>
        <w:rPr>
          <w:rFonts w:hint="eastAsia" w:ascii="Cambria Math" w:hAnsi="Cambria Math"/>
          <w:sz w:val="24"/>
          <w:szCs w:val="24"/>
          <w:highlight w:val="none"/>
        </w:rPr>
        <w:t>23</w:t>
      </w:r>
      <w:r>
        <w:rPr>
          <w:rFonts w:hint="eastAsia" w:ascii="Cambria Math" w:hAnsi="Cambria Math"/>
          <w:sz w:val="24"/>
          <w:szCs w:val="24"/>
          <w:highlight w:val="none"/>
          <w:lang w:eastAsia="zh-CN"/>
        </w:rPr>
        <w:t>、</w:t>
      </w:r>
      <w:r>
        <w:rPr>
          <w:rFonts w:hint="eastAsia" w:ascii="Cambria Math" w:hAnsi="Cambria Math"/>
          <w:sz w:val="24"/>
          <w:szCs w:val="24"/>
          <w:highlight w:val="none"/>
        </w:rPr>
        <w:t>全部供货范围内的设备、材料、零配件和工器具等，除合同特别约定外，其质保期均自终验收签字生效之日起</w:t>
      </w:r>
      <w:r>
        <w:rPr>
          <w:rFonts w:hint="eastAsia" w:ascii="Cambria Math" w:hAnsi="Cambria Math"/>
          <w:sz w:val="24"/>
          <w:szCs w:val="24"/>
          <w:highlight w:val="none"/>
          <w:shd w:val="pct10" w:color="auto" w:fill="FFFFFF"/>
        </w:rPr>
        <w:t>12</w:t>
      </w:r>
      <w:r>
        <w:rPr>
          <w:rFonts w:hint="eastAsia" w:ascii="Cambria Math" w:hAnsi="Cambria Math"/>
          <w:sz w:val="24"/>
          <w:szCs w:val="24"/>
          <w:highlight w:val="none"/>
        </w:rPr>
        <w:t>个月。</w:t>
      </w:r>
    </w:p>
    <w:p>
      <w:pPr>
        <w:shd w:val="clear" w:color="auto" w:fill="auto"/>
        <w:spacing w:line="480" w:lineRule="exact"/>
        <w:ind w:firstLine="420" w:firstLineChars="200"/>
        <w:rPr>
          <w:rFonts w:ascii="Cambria Math" w:hAnsi="Cambria Math"/>
          <w:highlight w:val="none"/>
        </w:rPr>
      </w:pPr>
      <w:r>
        <w:rPr>
          <w:rFonts w:hint="eastAsia" w:ascii="Cambria Math" w:hAnsi="Cambria Math"/>
          <w:highlight w:val="none"/>
        </w:rPr>
        <w:t>24</w:t>
      </w:r>
      <w:r>
        <w:rPr>
          <w:rFonts w:hint="eastAsia" w:ascii="Cambria Math" w:hAnsi="Cambria Math"/>
          <w:highlight w:val="none"/>
          <w:lang w:eastAsia="zh-CN"/>
        </w:rPr>
        <w:t>、</w:t>
      </w:r>
      <w:r>
        <w:rPr>
          <w:rFonts w:hint="eastAsia" w:ascii="Cambria Math" w:hAnsi="Cambria Math"/>
          <w:highlight w:val="none"/>
        </w:rPr>
        <w:t>质保期之内，如果设备出现设备、总成、关键零部件或者多处一般零部件的更换或维修行为，则质保期自更换或维修行为结束、设备重新正常运行使用之日起重新计算。</w:t>
      </w:r>
    </w:p>
    <w:p>
      <w:pPr>
        <w:pStyle w:val="22"/>
        <w:shd w:val="clear" w:color="auto" w:fill="auto"/>
        <w:spacing w:line="360" w:lineRule="auto"/>
        <w:ind w:firstLine="480" w:firstLineChars="200"/>
        <w:rPr>
          <w:rFonts w:ascii="Cambria Math" w:hAnsi="Cambria Math"/>
          <w:sz w:val="24"/>
          <w:szCs w:val="24"/>
          <w:highlight w:val="none"/>
        </w:rPr>
      </w:pPr>
      <w:r>
        <w:rPr>
          <w:rFonts w:hint="eastAsia" w:ascii="Cambria Math" w:hAnsi="Cambria Math"/>
          <w:sz w:val="24"/>
          <w:szCs w:val="24"/>
          <w:highlight w:val="none"/>
        </w:rPr>
        <w:t>25</w:t>
      </w:r>
      <w:r>
        <w:rPr>
          <w:rFonts w:hint="eastAsia" w:ascii="Cambria Math" w:hAnsi="Cambria Math"/>
          <w:sz w:val="24"/>
          <w:szCs w:val="24"/>
          <w:highlight w:val="none"/>
          <w:lang w:eastAsia="zh-CN"/>
        </w:rPr>
        <w:t>、</w:t>
      </w:r>
      <w:r>
        <w:rPr>
          <w:rFonts w:hint="eastAsia" w:ascii="Cambria Math" w:hAnsi="Cambria Math"/>
          <w:sz w:val="24"/>
          <w:szCs w:val="24"/>
          <w:highlight w:val="none"/>
        </w:rPr>
        <w:t>质保期内免费提供零部件和及时有效的服务。质保期内因货物本身缺陷造成的各种故障，卖方应负责免费维修和服务。</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七、售中售后服务</w:t>
      </w:r>
    </w:p>
    <w:p>
      <w:pPr>
        <w:shd w:val="clear" w:color="auto" w:fill="auto"/>
        <w:adjustRightInd w:val="0"/>
        <w:snapToGrid w:val="0"/>
        <w:spacing w:line="460" w:lineRule="exact"/>
        <w:ind w:firstLine="420" w:firstLineChars="200"/>
        <w:rPr>
          <w:rFonts w:ascii="Cambria Math" w:hAnsi="Cambria Math"/>
          <w:highlight w:val="none"/>
        </w:rPr>
      </w:pPr>
      <w:r>
        <w:rPr>
          <w:rFonts w:hint="eastAsia" w:ascii="Cambria Math" w:hAnsi="Cambria Math"/>
          <w:highlight w:val="none"/>
        </w:rPr>
        <w:t>1</w:t>
      </w:r>
      <w:r>
        <w:rPr>
          <w:rFonts w:hint="eastAsia" w:ascii="Cambria Math" w:hAnsi="Cambria Math"/>
          <w:highlight w:val="none"/>
          <w:lang w:eastAsia="zh-CN"/>
        </w:rPr>
        <w:t>、</w:t>
      </w:r>
      <w:r>
        <w:rPr>
          <w:rFonts w:hint="eastAsia" w:ascii="Cambria Math" w:hAnsi="Cambria Math"/>
          <w:highlight w:val="none"/>
        </w:rPr>
        <w:t>应负责对</w:t>
      </w:r>
      <w:r>
        <w:rPr>
          <w:rFonts w:hint="eastAsia" w:ascii="Cambria Math" w:hAnsi="Cambria Math"/>
          <w:highlight w:val="none"/>
          <w:lang w:eastAsia="zh-CN"/>
        </w:rPr>
        <w:t>招标方</w:t>
      </w:r>
      <w:r>
        <w:rPr>
          <w:rFonts w:hint="eastAsia" w:ascii="Cambria Math" w:hAnsi="Cambria Math"/>
          <w:highlight w:val="none"/>
        </w:rPr>
        <w:t>技术、维修和操作人员提供免费的、卖方生产制造现场的理论、技术和操作、维修等方面的技术指导和培训。</w:t>
      </w:r>
    </w:p>
    <w:p>
      <w:pPr>
        <w:shd w:val="clear" w:color="auto" w:fill="auto"/>
        <w:adjustRightInd w:val="0"/>
        <w:snapToGrid w:val="0"/>
        <w:spacing w:line="460" w:lineRule="exact"/>
        <w:ind w:firstLine="420" w:firstLineChars="200"/>
        <w:rPr>
          <w:rFonts w:ascii="Cambria Math" w:hAnsi="Cambria Math"/>
          <w:highlight w:val="none"/>
        </w:rPr>
      </w:pPr>
      <w:r>
        <w:rPr>
          <w:rFonts w:hint="eastAsia" w:ascii="Cambria Math" w:hAnsi="Cambria Math"/>
          <w:highlight w:val="none"/>
        </w:rPr>
        <w:t>2</w:t>
      </w:r>
      <w:r>
        <w:rPr>
          <w:rFonts w:hint="eastAsia" w:ascii="Cambria Math" w:hAnsi="Cambria Math"/>
          <w:highlight w:val="none"/>
          <w:lang w:eastAsia="zh-CN"/>
        </w:rPr>
        <w:t>、</w:t>
      </w:r>
      <w:r>
        <w:rPr>
          <w:rFonts w:hint="eastAsia" w:ascii="Cambria Math" w:hAnsi="Cambria Math"/>
          <w:highlight w:val="none"/>
        </w:rPr>
        <w:t>应负责在</w:t>
      </w:r>
      <w:r>
        <w:rPr>
          <w:rFonts w:hint="eastAsia" w:ascii="Cambria Math" w:hAnsi="Cambria Math"/>
          <w:highlight w:val="none"/>
          <w:lang w:eastAsia="zh-CN"/>
        </w:rPr>
        <w:t>招标方</w:t>
      </w:r>
      <w:r>
        <w:rPr>
          <w:rFonts w:hint="eastAsia" w:ascii="Cambria Math" w:hAnsi="Cambria Math"/>
          <w:highlight w:val="none"/>
        </w:rPr>
        <w:t>设备使用现场，进行5工作日免费的技术指导和培训。</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3</w:t>
      </w:r>
      <w:r>
        <w:rPr>
          <w:rFonts w:hint="eastAsia" w:ascii="Cambria Math" w:hAnsi="Cambria Math"/>
          <w:highlight w:val="none"/>
          <w:lang w:eastAsia="zh-CN"/>
        </w:rPr>
        <w:t>、</w:t>
      </w:r>
      <w:r>
        <w:rPr>
          <w:rFonts w:hint="eastAsia" w:ascii="Cambria Math" w:hAnsi="Cambria Math"/>
          <w:highlight w:val="none"/>
        </w:rPr>
        <w:t>应免费提供培训资料2份。</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4</w:t>
      </w:r>
      <w:r>
        <w:rPr>
          <w:rFonts w:hint="eastAsia" w:ascii="Cambria Math" w:hAnsi="Cambria Math"/>
          <w:highlight w:val="none"/>
          <w:lang w:eastAsia="zh-CN"/>
        </w:rPr>
        <w:t>、</w:t>
      </w:r>
      <w:r>
        <w:rPr>
          <w:rFonts w:hint="eastAsia" w:ascii="Cambria Math" w:hAnsi="Cambria Math"/>
          <w:highlight w:val="none"/>
        </w:rPr>
        <w:t>应按要求免费积极协助和提供</w:t>
      </w:r>
      <w:r>
        <w:rPr>
          <w:rFonts w:hint="eastAsia" w:ascii="Cambria Math" w:hAnsi="Cambria Math"/>
          <w:highlight w:val="none"/>
          <w:lang w:eastAsia="zh-CN"/>
        </w:rPr>
        <w:t>招标方</w:t>
      </w:r>
      <w:r>
        <w:rPr>
          <w:rFonts w:hint="eastAsia" w:ascii="Cambria Math" w:hAnsi="Cambria Math"/>
          <w:highlight w:val="none"/>
        </w:rPr>
        <w:t>以及</w:t>
      </w:r>
      <w:r>
        <w:rPr>
          <w:rFonts w:hint="eastAsia" w:ascii="Cambria Math" w:hAnsi="Cambria Math"/>
          <w:highlight w:val="none"/>
          <w:lang w:eastAsia="zh-CN"/>
        </w:rPr>
        <w:t>招标方</w:t>
      </w:r>
      <w:r>
        <w:rPr>
          <w:rFonts w:hint="eastAsia" w:ascii="Cambria Math" w:hAnsi="Cambria Math"/>
          <w:highlight w:val="none"/>
        </w:rPr>
        <w:t>所委托的工程设计单位有关人员所需要的、与设备有关的工程设计资料、技术咨询等</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5</w:t>
      </w:r>
      <w:r>
        <w:rPr>
          <w:rFonts w:hint="eastAsia" w:ascii="Cambria Math" w:hAnsi="Cambria Math"/>
          <w:highlight w:val="none"/>
          <w:lang w:eastAsia="zh-CN"/>
        </w:rPr>
        <w:t>、</w:t>
      </w:r>
      <w:r>
        <w:rPr>
          <w:rFonts w:hint="eastAsia" w:ascii="Cambria Math" w:hAnsi="Cambria Math"/>
          <w:highlight w:val="none"/>
        </w:rPr>
        <w:t>若卖方提供的设备涉及到外购外协货物、而且该货物的技术质量等较为关键时，卖方应能保证得到配套厂家的技术支持，并免费为</w:t>
      </w:r>
      <w:r>
        <w:rPr>
          <w:rFonts w:hint="eastAsia" w:ascii="Cambria Math" w:hAnsi="Cambria Math"/>
          <w:highlight w:val="none"/>
          <w:lang w:eastAsia="zh-CN"/>
        </w:rPr>
        <w:t>招标方</w:t>
      </w:r>
      <w:r>
        <w:rPr>
          <w:rFonts w:hint="eastAsia" w:ascii="Cambria Math" w:hAnsi="Cambria Math"/>
          <w:highlight w:val="none"/>
        </w:rPr>
        <w:t>提供技术服务。</w:t>
      </w:r>
    </w:p>
    <w:p>
      <w:pPr>
        <w:shd w:val="clear" w:color="auto" w:fill="auto"/>
        <w:adjustRightInd w:val="0"/>
        <w:snapToGrid w:val="0"/>
        <w:spacing w:line="460" w:lineRule="exact"/>
        <w:ind w:firstLine="420" w:firstLineChars="200"/>
        <w:rPr>
          <w:rFonts w:hint="eastAsia" w:ascii="Cambria Math" w:hAnsi="Cambria Math"/>
          <w:highlight w:val="none"/>
        </w:rPr>
      </w:pPr>
      <w:r>
        <w:rPr>
          <w:rFonts w:ascii="Cambria Math" w:hAnsi="Cambria Math"/>
          <w:highlight w:val="none"/>
        </w:rPr>
        <w:t>6</w:t>
      </w:r>
      <w:r>
        <w:rPr>
          <w:rFonts w:hint="eastAsia" w:ascii="Cambria Math" w:hAnsi="Cambria Math"/>
          <w:highlight w:val="none"/>
          <w:lang w:eastAsia="zh-CN"/>
        </w:rPr>
        <w:t>、</w:t>
      </w:r>
      <w:r>
        <w:rPr>
          <w:rFonts w:hint="eastAsia" w:ascii="Cambria Math" w:hAnsi="Cambria Math"/>
          <w:highlight w:val="none"/>
        </w:rPr>
        <w:t>负责制定对</w:t>
      </w:r>
      <w:r>
        <w:rPr>
          <w:rFonts w:hint="eastAsia" w:ascii="Cambria Math" w:hAnsi="Cambria Math"/>
          <w:highlight w:val="none"/>
          <w:lang w:eastAsia="zh-CN"/>
        </w:rPr>
        <w:t>招标方</w:t>
      </w:r>
      <w:r>
        <w:rPr>
          <w:rFonts w:hint="eastAsia" w:ascii="Cambria Math" w:hAnsi="Cambria Math"/>
          <w:highlight w:val="none"/>
        </w:rPr>
        <w:t>人员在运行、维修等方面的培训计划，并有专人负责实施培训计划，负责指导</w:t>
      </w:r>
      <w:r>
        <w:rPr>
          <w:rFonts w:hint="eastAsia" w:ascii="Cambria Math" w:hAnsi="Cambria Math"/>
          <w:highlight w:val="none"/>
          <w:lang w:eastAsia="zh-CN"/>
        </w:rPr>
        <w:t>招标方</w:t>
      </w:r>
      <w:r>
        <w:rPr>
          <w:rFonts w:hint="eastAsia" w:ascii="Cambria Math" w:hAnsi="Cambria Math"/>
          <w:highlight w:val="none"/>
        </w:rPr>
        <w:t>受培训人员正确理解设计和制造意图，认识设备的特点和特性，掌握在运行、维修和使用管理中应遵守的规则等方面的综合知识。</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313" w:beforeLines="100" w:after="157" w:afterLines="50" w:line="480" w:lineRule="exact"/>
        <w:textAlignment w:val="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八、其他</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1</w:t>
      </w:r>
      <w:r>
        <w:rPr>
          <w:rFonts w:hint="eastAsia" w:ascii="Cambria Math" w:hAnsi="Cambria Math"/>
          <w:highlight w:val="none"/>
          <w:lang w:eastAsia="zh-CN"/>
        </w:rPr>
        <w:t>、</w:t>
      </w:r>
      <w:r>
        <w:rPr>
          <w:rFonts w:hint="eastAsia" w:ascii="Cambria Math" w:hAnsi="Cambria Math"/>
          <w:highlight w:val="none"/>
        </w:rPr>
        <w:t>投标人承诺对参与该项目所获得的与招标人产品相关的所有信息都予以保密，并承担与此相关的所有法律责任；</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2</w:t>
      </w:r>
      <w:r>
        <w:rPr>
          <w:rFonts w:hint="eastAsia" w:ascii="Cambria Math" w:hAnsi="Cambria Math"/>
          <w:highlight w:val="none"/>
          <w:lang w:eastAsia="zh-CN"/>
        </w:rPr>
        <w:t>、</w:t>
      </w:r>
      <w:r>
        <w:rPr>
          <w:rFonts w:hint="eastAsia" w:ascii="Cambria Math" w:hAnsi="Cambria Math"/>
          <w:highlight w:val="none"/>
        </w:rPr>
        <w:t>终验收合格后，质保期一年。在正常运行的情况下，系统出现故障，在接到通知后</w:t>
      </w:r>
      <w:r>
        <w:rPr>
          <w:rFonts w:ascii="Cambria Math" w:hAnsi="Cambria Math"/>
          <w:highlight w:val="none"/>
        </w:rPr>
        <w:t>4小时以内予以答复，并在24小时以内派出服务人员，无偿维修；在质保期满后，投标方在接到通知后4小时以内予以答复，并在24小时以内派出服务人员；</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3</w:t>
      </w:r>
      <w:r>
        <w:rPr>
          <w:rFonts w:hint="eastAsia" w:ascii="Cambria Math" w:hAnsi="Cambria Math"/>
          <w:highlight w:val="none"/>
          <w:lang w:eastAsia="zh-CN"/>
        </w:rPr>
        <w:t>、</w:t>
      </w:r>
      <w:r>
        <w:rPr>
          <w:rFonts w:hint="eastAsia" w:ascii="Cambria Math" w:hAnsi="Cambria Math"/>
          <w:highlight w:val="none"/>
        </w:rPr>
        <w:t>其余未尽事宜，投标人应与招标人指派的答疑人员充分沟通，理解认可并接受相关技术规范及服务要求；</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4</w:t>
      </w:r>
      <w:r>
        <w:rPr>
          <w:rFonts w:hint="eastAsia" w:ascii="Cambria Math" w:hAnsi="Cambria Math"/>
          <w:highlight w:val="none"/>
          <w:lang w:eastAsia="zh-CN"/>
        </w:rPr>
        <w:t>、</w:t>
      </w:r>
      <w:r>
        <w:rPr>
          <w:rFonts w:hint="eastAsia" w:ascii="Cambria Math" w:hAnsi="Cambria Math"/>
          <w:highlight w:val="none"/>
        </w:rPr>
        <w:t>中标人需安排专人负责本招标项目的联络、检测计划布置、检测现场指导工作，该负责人对于以上问题的响应时间不得超过</w:t>
      </w:r>
      <w:r>
        <w:rPr>
          <w:rFonts w:ascii="Cambria Math" w:hAnsi="Cambria Math"/>
          <w:highlight w:val="none"/>
        </w:rPr>
        <w:t>2小时；</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5</w:t>
      </w:r>
      <w:r>
        <w:rPr>
          <w:rFonts w:hint="eastAsia" w:ascii="Cambria Math" w:hAnsi="Cambria Math"/>
          <w:highlight w:val="none"/>
          <w:lang w:eastAsia="zh-CN"/>
        </w:rPr>
        <w:t>、</w:t>
      </w:r>
      <w:r>
        <w:rPr>
          <w:rFonts w:hint="eastAsia" w:ascii="Cambria Math" w:hAnsi="Cambria Math"/>
          <w:highlight w:val="none"/>
        </w:rPr>
        <w:t>投标人需自备交通工具、各种设备及食宿等必需品；</w:t>
      </w:r>
    </w:p>
    <w:p>
      <w:pPr>
        <w:shd w:val="clear" w:color="auto" w:fill="auto"/>
        <w:adjustRightInd w:val="0"/>
        <w:snapToGrid w:val="0"/>
        <w:spacing w:line="460" w:lineRule="exact"/>
        <w:ind w:firstLine="420" w:firstLineChars="200"/>
        <w:rPr>
          <w:rFonts w:ascii="Cambria Math" w:hAnsi="Cambria Math"/>
          <w:highlight w:val="none"/>
        </w:rPr>
      </w:pPr>
      <w:r>
        <w:rPr>
          <w:rFonts w:ascii="Cambria Math" w:hAnsi="Cambria Math"/>
          <w:highlight w:val="none"/>
        </w:rPr>
        <w:t>6</w:t>
      </w:r>
      <w:r>
        <w:rPr>
          <w:rFonts w:hint="eastAsia" w:ascii="Cambria Math" w:hAnsi="Cambria Math"/>
          <w:highlight w:val="none"/>
          <w:lang w:eastAsia="zh-CN"/>
        </w:rPr>
        <w:t>、</w:t>
      </w:r>
      <w:r>
        <w:rPr>
          <w:rFonts w:hint="eastAsia" w:ascii="Cambria Math" w:hAnsi="Cambria Math"/>
          <w:highlight w:val="none"/>
        </w:rPr>
        <w:t>中标方需对招标人提供的数据及企业资料进行保密，并不得向第三方扩散，因泄密对招标人造成的损失由中标方承担相应全部责任；</w:t>
      </w:r>
    </w:p>
    <w:p>
      <w:pPr>
        <w:pStyle w:val="13"/>
        <w:shd w:val="clear" w:color="auto" w:fill="auto"/>
        <w:rPr>
          <w:rFonts w:hint="eastAsia"/>
          <w:highlight w:val="none"/>
        </w:rPr>
      </w:pPr>
    </w:p>
    <w:p>
      <w:pPr>
        <w:pStyle w:val="2"/>
        <w:shd w:val="clear" w:color="auto" w:fill="auto"/>
        <w:spacing w:before="120" w:after="120" w:line="480" w:lineRule="exact"/>
        <w:jc w:val="center"/>
        <w:rPr>
          <w:rFonts w:hint="eastAsia" w:ascii="黑体" w:eastAsia="黑体"/>
          <w:b w:val="0"/>
          <w:sz w:val="24"/>
          <w:szCs w:val="24"/>
          <w:highlight w:val="none"/>
        </w:rPr>
      </w:pPr>
      <w:bookmarkStart w:id="114" w:name="_Toc5879"/>
      <w:bookmarkStart w:id="115" w:name="_Toc10810"/>
      <w:bookmarkStart w:id="116" w:name="_Toc9668"/>
      <w:bookmarkStart w:id="117" w:name="_Toc10963"/>
      <w:bookmarkStart w:id="118" w:name="_Toc137705869"/>
      <w:r>
        <w:rPr>
          <w:rFonts w:hint="eastAsia" w:ascii="黑体" w:eastAsia="黑体"/>
          <w:b w:val="0"/>
          <w:sz w:val="24"/>
          <w:szCs w:val="24"/>
          <w:highlight w:val="none"/>
        </w:rPr>
        <w:br w:type="page"/>
      </w:r>
      <w:r>
        <w:rPr>
          <w:rFonts w:hint="eastAsia" w:ascii="黑体" w:eastAsia="黑体"/>
          <w:b w:val="0"/>
          <w:sz w:val="24"/>
          <w:szCs w:val="24"/>
          <w:highlight w:val="none"/>
        </w:rPr>
        <w:t>第三章供货范围及供货方式</w:t>
      </w:r>
      <w:bookmarkEnd w:id="114"/>
      <w:bookmarkEnd w:id="115"/>
      <w:bookmarkEnd w:id="116"/>
      <w:bookmarkEnd w:id="117"/>
      <w:bookmarkEnd w:id="118"/>
    </w:p>
    <w:p>
      <w:pPr>
        <w:pStyle w:val="4"/>
        <w:shd w:val="clear" w:color="auto" w:fill="auto"/>
        <w:spacing w:before="120" w:after="120" w:line="480" w:lineRule="exact"/>
        <w:jc w:val="center"/>
        <w:rPr>
          <w:rFonts w:hint="eastAsia"/>
          <w:b w:val="0"/>
          <w:sz w:val="24"/>
          <w:szCs w:val="24"/>
          <w:highlight w:val="none"/>
        </w:rPr>
      </w:pPr>
      <w:bookmarkStart w:id="119" w:name="_Toc137705870"/>
      <w:bookmarkStart w:id="120" w:name="_Toc19615"/>
      <w:bookmarkStart w:id="121" w:name="_Toc22761"/>
      <w:bookmarkStart w:id="122" w:name="_Toc15892"/>
      <w:bookmarkStart w:id="123" w:name="_Toc10065"/>
      <w:r>
        <w:rPr>
          <w:rFonts w:hint="eastAsia"/>
          <w:b w:val="0"/>
          <w:sz w:val="24"/>
          <w:szCs w:val="24"/>
          <w:highlight w:val="none"/>
        </w:rPr>
        <w:t>第一节供货范围</w:t>
      </w:r>
      <w:bookmarkEnd w:id="119"/>
      <w:bookmarkEnd w:id="120"/>
      <w:bookmarkEnd w:id="121"/>
      <w:bookmarkEnd w:id="122"/>
      <w:bookmarkEnd w:id="123"/>
    </w:p>
    <w:p>
      <w:pPr>
        <w:numPr>
          <w:ilvl w:val="0"/>
          <w:numId w:val="30"/>
        </w:numPr>
        <w:shd w:val="clear" w:color="auto" w:fill="auto"/>
        <w:spacing w:line="480" w:lineRule="exact"/>
        <w:ind w:firstLine="420" w:firstLineChars="200"/>
        <w:rPr>
          <w:rFonts w:hint="eastAsia" w:ascii="黑体" w:hAnsi="宋体" w:eastAsia="黑体"/>
          <w:highlight w:val="none"/>
          <w:lang w:val="en-US" w:eastAsia="zh-CN"/>
        </w:rPr>
      </w:pPr>
      <w:r>
        <w:rPr>
          <w:rFonts w:hint="eastAsia" w:ascii="黑体" w:hAnsi="宋体" w:eastAsia="黑体"/>
          <w:highlight w:val="none"/>
          <w:lang w:val="en-US" w:eastAsia="zh-CN"/>
        </w:rPr>
        <w:t>供货范围</w:t>
      </w:r>
    </w:p>
    <w:tbl>
      <w:tblPr>
        <w:tblStyle w:val="41"/>
        <w:tblW w:w="985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23" w:type="dxa"/>
          <w:bottom w:w="0" w:type="dxa"/>
          <w:right w:w="23" w:type="dxa"/>
        </w:tblCellMar>
      </w:tblPr>
      <w:tblGrid>
        <w:gridCol w:w="434"/>
        <w:gridCol w:w="1054"/>
        <w:gridCol w:w="483"/>
        <w:gridCol w:w="802"/>
        <w:gridCol w:w="802"/>
        <w:gridCol w:w="802"/>
        <w:gridCol w:w="802"/>
        <w:gridCol w:w="802"/>
        <w:gridCol w:w="802"/>
        <w:gridCol w:w="802"/>
        <w:gridCol w:w="803"/>
        <w:gridCol w:w="14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469" w:hRule="atLeast"/>
          <w:jc w:val="center"/>
        </w:trPr>
        <w:tc>
          <w:tcPr>
            <w:tcW w:w="434"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054"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名称</w:t>
            </w:r>
          </w:p>
        </w:tc>
        <w:tc>
          <w:tcPr>
            <w:tcW w:w="483"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轴数量</w:t>
            </w:r>
          </w:p>
        </w:tc>
        <w:tc>
          <w:tcPr>
            <w:tcW w:w="6417" w:type="dxa"/>
            <w:gridSpan w:val="8"/>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主要供货清单</w:t>
            </w:r>
          </w:p>
        </w:tc>
        <w:tc>
          <w:tcPr>
            <w:tcW w:w="1466" w:type="dxa"/>
            <w:vMerge w:val="restart"/>
            <w:tcBorders>
              <w:top w:val="single" w:color="000000" w:sz="4" w:space="0"/>
              <w:left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21" w:hRule="atLeast"/>
          <w:jc w:val="center"/>
        </w:trPr>
        <w:tc>
          <w:tcPr>
            <w:tcW w:w="434" w:type="dxa"/>
            <w:vMerge w:val="continue"/>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b/>
                <w:bCs/>
                <w:i w:val="0"/>
                <w:iCs w:val="0"/>
                <w:color w:val="000000"/>
                <w:sz w:val="22"/>
                <w:szCs w:val="22"/>
                <w:u w:val="none"/>
              </w:rPr>
            </w:pPr>
          </w:p>
        </w:tc>
        <w:tc>
          <w:tcPr>
            <w:tcW w:w="1054" w:type="dxa"/>
            <w:vMerge w:val="continue"/>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b/>
                <w:bCs/>
                <w:i w:val="0"/>
                <w:iCs w:val="0"/>
                <w:color w:val="000000"/>
                <w:sz w:val="22"/>
                <w:szCs w:val="22"/>
                <w:u w:val="none"/>
              </w:rPr>
            </w:pPr>
          </w:p>
        </w:tc>
        <w:tc>
          <w:tcPr>
            <w:tcW w:w="483" w:type="dxa"/>
            <w:vMerge w:val="continue"/>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b/>
                <w:bCs/>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拧紧轴</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控制器</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电源模块</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工装</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控制器支架</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工控机</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采集软件</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条码枪</w:t>
            </w:r>
          </w:p>
        </w:tc>
        <w:tc>
          <w:tcPr>
            <w:tcW w:w="1466" w:type="dxa"/>
            <w:vMerge w:val="continue"/>
            <w:tcBorders>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主轴承</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已有PM4000控制器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连杆</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已有PM4000控制器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飞轮</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飞轮壳</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缸盖主螺栓</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已有两根轴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缸盖副螺栓</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空压机齿轮</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kinsoku/>
              <w:wordWrap/>
              <w:overflowPunct w:val="0"/>
              <w:topLinePunct w:val="0"/>
              <w:autoSpaceDE/>
              <w:autoSpaceDN/>
              <w:bidi w:val="0"/>
              <w:adjustRightInd/>
              <w:snapToGrid w:val="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70" w:hRule="atLeast"/>
          <w:jc w:val="center"/>
        </w:trPr>
        <w:tc>
          <w:tcPr>
            <w:tcW w:w="4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齿轮室</w:t>
            </w:r>
          </w:p>
        </w:tc>
        <w:tc>
          <w:tcPr>
            <w:tcW w:w="4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46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uppressLineNumbers w:val="0"/>
              <w:kinsoku/>
              <w:wordWrap/>
              <w:overflowPunct w:val="0"/>
              <w:topLinePunct w:val="0"/>
              <w:autoSpaceDE/>
              <w:autoSpaceDN/>
              <w:bidi w:val="0"/>
              <w:adjustRightInd/>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已有PF6000控制器</w:t>
            </w:r>
          </w:p>
        </w:tc>
      </w:tr>
    </w:tbl>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lang w:val="en-US" w:eastAsia="zh-CN"/>
        </w:rPr>
        <w:t>二、</w:t>
      </w:r>
      <w:r>
        <w:rPr>
          <w:rFonts w:hint="eastAsia" w:ascii="黑体" w:hAnsi="宋体" w:eastAsia="黑体"/>
          <w:highlight w:val="none"/>
        </w:rPr>
        <w:t>主要货物一般供货范围界定</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1、供货范围包括本技术标书“采购货物概况”所列及所要求的设备。</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2、供货范围包括为保证设备正常安装、调试和验收完成及以前所必需的整套配件、附件及材料、油料、控制软件及程序或指令等。</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如果终验收完成后，投标方有需要收回的配件、附件、材料、油料等，应当在投标文件的技术偏离条款中，予以详细说明；否则视同包括在供货范围之内。</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3、供货范围包括货物维护维修所必需的专用工具。</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如投标方难以提供或无优势提供以及属于选用配置的，则应当在投标文件的技术偏离条款中，予以详细说明并注明投标报价未包含该部分的货值。</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5、供货范围包括为保证设备自身正常运行所必需的、满足使用地点环境条件的通风、冷却、降温等必需设施。</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6、以“交钥匙”方式采购的设备，在满足技术标书本节上述要求之外，供货范围还包括如下界定（货物）：</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6.1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6.2供货范围包括设备正常运行所必需的全套连线设备、材料等。如货物端联接法兰外端面之内的、电气系统接口压线板（插座等）之内的设备、材料、联接螺栓、垫片等。</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6.3供货范围包括设备正常运行、使用所需要的过桥、护栏、防护网、盖板等辅助设施。</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6.3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lang w:val="en-US" w:eastAsia="zh-CN"/>
        </w:rPr>
        <w:t>三</w:t>
      </w:r>
      <w:r>
        <w:rPr>
          <w:rFonts w:hint="eastAsia" w:ascii="黑体" w:hAnsi="宋体" w:eastAsia="黑体"/>
          <w:highlight w:val="none"/>
        </w:rPr>
        <w:t>、备品备件、易损件和专用耗材供货范围</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p>
    <w:p>
      <w:pPr>
        <w:shd w:val="clear" w:color="auto" w:fill="auto"/>
        <w:spacing w:line="480" w:lineRule="exact"/>
        <w:ind w:firstLine="420" w:firstLineChars="200"/>
        <w:rPr>
          <w:rFonts w:ascii="宋体" w:hAnsi="宋体"/>
          <w:highlight w:val="none"/>
        </w:rPr>
      </w:pPr>
      <w:r>
        <w:rPr>
          <w:rFonts w:hint="eastAsia" w:ascii="宋体" w:hAnsi="宋体"/>
          <w:highlight w:val="none"/>
        </w:rPr>
        <w:t>2、供货范围包括易损件和专用耗材的制造图纸及其技术要求等资料。</w:t>
      </w:r>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lang w:val="en-US" w:eastAsia="zh-CN"/>
        </w:rPr>
        <w:t>四</w:t>
      </w:r>
      <w:r>
        <w:rPr>
          <w:rFonts w:hint="eastAsia" w:ascii="黑体" w:hAnsi="宋体" w:eastAsia="黑体"/>
          <w:highlight w:val="none"/>
        </w:rPr>
        <w:t>、技术资料供货范围</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技术资料供货范围包括：</w:t>
      </w:r>
    </w:p>
    <w:p>
      <w:pPr>
        <w:shd w:val="clear" w:color="auto" w:fill="auto"/>
        <w:spacing w:line="480" w:lineRule="exact"/>
        <w:ind w:firstLine="420" w:firstLineChars="200"/>
        <w:rPr>
          <w:rFonts w:hint="eastAsia" w:ascii="宋体" w:hAnsi="宋体"/>
          <w:bCs/>
          <w:highlight w:val="none"/>
        </w:rPr>
      </w:pPr>
      <w:r>
        <w:rPr>
          <w:rFonts w:hint="eastAsia" w:ascii="宋体" w:hAnsi="宋体"/>
          <w:highlight w:val="none"/>
        </w:rPr>
        <w:t>1、在</w:t>
      </w:r>
      <w:r>
        <w:rPr>
          <w:rFonts w:hint="eastAsia" w:ascii="宋体" w:hAnsi="宋体"/>
          <w:bCs/>
          <w:highlight w:val="none"/>
        </w:rPr>
        <w:t>合同签订后</w:t>
      </w:r>
      <w:r>
        <w:rPr>
          <w:rFonts w:hint="eastAsia" w:ascii="宋体" w:hAnsi="宋体"/>
          <w:bCs/>
          <w:highlight w:val="none"/>
          <w:u w:val="single"/>
          <w:shd w:val="pct10" w:color="auto" w:fill="FFFFFF"/>
        </w:rPr>
        <w:t>10</w:t>
      </w:r>
      <w:r>
        <w:rPr>
          <w:rFonts w:hint="eastAsia" w:ascii="宋体" w:hAnsi="宋体"/>
          <w:bCs/>
          <w:highlight w:val="none"/>
        </w:rPr>
        <w:t>个日历日内，提供设备基础及相关的设计、制作所需的纸质及电子版资料；电子版文件应当能够使用常用版本软件可以阅读甚至使用，进口货物、设备应有中外文对照。</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2、在预验收前，</w:t>
      </w:r>
      <w:r>
        <w:rPr>
          <w:rFonts w:hint="eastAsia" w:ascii="宋体" w:hAnsi="宋体"/>
          <w:bCs/>
          <w:highlight w:val="none"/>
        </w:rPr>
        <w:t>提供设备各部分的功能描述文件、图片、影像等资料（进口、设备应有中外文对照）。</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3、在终验收前，提供为保证设备后续正常运行所需的工装、吊（挂）具明细及其图纸、具体技术要求等资料（如果供货范围包含该部分实物）。</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4、在终验收前，提供确定的维修所需要且招标方可以自行采购的外购件、外协件、电气元件及主要原材料的供货厂家明细表。</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5、在终验收后的第一笔货款支付日之前，提供包括设备的备品备件、易损件和专用耗材的图纸及技术参数、技术要求等资料。</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8、本条款所列的技术资料、图片、影像等，投标方应各提供4套，其中2套为电子版光（U）盘；每份技术文件应装有目录清单。</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9、本条款所列要求，如招标方认为投标方提供的资料不能满足要求时，有权要求投标方免费补充或增加。</w:t>
      </w:r>
    </w:p>
    <w:p>
      <w:pPr>
        <w:shd w:val="clear" w:color="auto" w:fill="auto"/>
        <w:spacing w:line="480" w:lineRule="exact"/>
        <w:ind w:firstLine="420" w:firstLineChars="200"/>
        <w:rPr>
          <w:rFonts w:hint="eastAsia" w:ascii="宋体" w:hAnsi="宋体"/>
          <w:highlight w:val="none"/>
        </w:rPr>
      </w:pPr>
    </w:p>
    <w:p>
      <w:pPr>
        <w:pStyle w:val="4"/>
        <w:shd w:val="clear" w:color="auto" w:fill="auto"/>
        <w:spacing w:before="120" w:after="120" w:line="480" w:lineRule="exact"/>
        <w:jc w:val="center"/>
        <w:rPr>
          <w:rFonts w:hint="eastAsia"/>
          <w:b w:val="0"/>
          <w:sz w:val="24"/>
          <w:szCs w:val="24"/>
          <w:highlight w:val="none"/>
        </w:rPr>
      </w:pPr>
      <w:bookmarkStart w:id="124" w:name="_Toc13936"/>
      <w:bookmarkStart w:id="125" w:name="_Toc137705871"/>
      <w:bookmarkStart w:id="126" w:name="_Toc26064"/>
      <w:bookmarkStart w:id="127" w:name="_Toc8159"/>
      <w:bookmarkStart w:id="128" w:name="_Toc9858"/>
      <w:r>
        <w:rPr>
          <w:rFonts w:hint="eastAsia"/>
          <w:b w:val="0"/>
          <w:sz w:val="24"/>
          <w:szCs w:val="24"/>
          <w:highlight w:val="none"/>
        </w:rPr>
        <w:br w:type="page"/>
      </w:r>
      <w:r>
        <w:rPr>
          <w:rFonts w:hint="eastAsia"/>
          <w:b w:val="0"/>
          <w:sz w:val="24"/>
          <w:szCs w:val="24"/>
          <w:highlight w:val="none"/>
        </w:rPr>
        <w:t>第二节供货方式</w:t>
      </w:r>
      <w:bookmarkEnd w:id="124"/>
      <w:bookmarkEnd w:id="125"/>
      <w:bookmarkEnd w:id="126"/>
      <w:bookmarkEnd w:id="127"/>
      <w:bookmarkEnd w:id="128"/>
    </w:p>
    <w:p>
      <w:pPr>
        <w:shd w:val="clear" w:color="auto" w:fill="auto"/>
        <w:spacing w:line="480" w:lineRule="exact"/>
        <w:ind w:firstLine="420" w:firstLineChars="200"/>
        <w:rPr>
          <w:rFonts w:hint="eastAsia" w:ascii="宋体" w:hAnsi="宋体"/>
          <w:highlight w:val="none"/>
        </w:rPr>
      </w:pPr>
      <w:r>
        <w:rPr>
          <w:rFonts w:hint="eastAsia" w:ascii="黑体" w:hAnsi="宋体" w:eastAsia="黑体"/>
          <w:highlight w:val="none"/>
        </w:rPr>
        <w:t>一、供货地点：</w:t>
      </w:r>
      <w:r>
        <w:rPr>
          <w:rFonts w:hint="eastAsia" w:ascii="宋体" w:hAnsi="宋体"/>
          <w:highlight w:val="none"/>
        </w:rPr>
        <w:t>本项目建设工地。</w:t>
      </w:r>
    </w:p>
    <w:p>
      <w:pPr>
        <w:shd w:val="clear" w:color="auto" w:fill="auto"/>
        <w:spacing w:line="480" w:lineRule="exact"/>
        <w:ind w:firstLine="420" w:firstLineChars="200"/>
        <w:jc w:val="left"/>
        <w:rPr>
          <w:rFonts w:hint="eastAsia" w:ascii="黑体" w:hAnsi="宋体" w:eastAsia="黑体"/>
          <w:highlight w:val="none"/>
        </w:rPr>
      </w:pPr>
      <w:r>
        <w:rPr>
          <w:rFonts w:hint="eastAsia" w:ascii="黑体" w:hAnsi="宋体" w:eastAsia="黑体"/>
          <w:highlight w:val="none"/>
        </w:rPr>
        <w:t>二、供货时间</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1、以交钥匙方式供货的，按照以下时间要求（安装调试工期超过10个日历日的，投标方应当随标书提供详细的工期计划）：</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1.1自合同签定生效之日起，</w:t>
      </w:r>
      <w:r>
        <w:rPr>
          <w:rFonts w:hint="eastAsia" w:ascii="宋体" w:hAnsi="宋体"/>
          <w:highlight w:val="none"/>
          <w:u w:val="single"/>
          <w:shd w:val="pct10" w:color="auto" w:fill="FFFFFF"/>
        </w:rPr>
        <w:t>20</w:t>
      </w:r>
      <w:r>
        <w:rPr>
          <w:rFonts w:hint="eastAsia" w:ascii="宋体" w:hAnsi="宋体"/>
          <w:highlight w:val="none"/>
        </w:rPr>
        <w:t>个日历日之内交货至供货地点。</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1.2接续</w:t>
      </w:r>
      <w:r>
        <w:rPr>
          <w:rFonts w:hint="eastAsia" w:ascii="宋体" w:hAnsi="宋体"/>
          <w:highlight w:val="none"/>
          <w:u w:val="single"/>
          <w:shd w:val="pct10" w:color="auto" w:fill="FFFFFF"/>
        </w:rPr>
        <w:t>10</w:t>
      </w:r>
      <w:r>
        <w:rPr>
          <w:rFonts w:hint="eastAsia" w:ascii="宋体" w:hAnsi="宋体"/>
          <w:highlight w:val="none"/>
        </w:rPr>
        <w:t>个日历日之内安装调试完毕</w:t>
      </w:r>
      <w:r>
        <w:rPr>
          <w:rFonts w:hint="eastAsia" w:ascii="宋体" w:hAnsi="宋体"/>
          <w:lang w:eastAsia="zh-CN"/>
        </w:rPr>
        <w:t>，</w:t>
      </w:r>
      <w:r>
        <w:rPr>
          <w:rFonts w:hint="eastAsia" w:ascii="宋体" w:hAnsi="宋体"/>
          <w:lang w:val="en-US" w:eastAsia="zh-CN"/>
        </w:rPr>
        <w:t>达到协议约定的技术状态</w:t>
      </w:r>
      <w:r>
        <w:rPr>
          <w:rFonts w:hint="eastAsia" w:ascii="宋体" w:hAnsi="宋体"/>
        </w:rPr>
        <w:t>。</w:t>
      </w:r>
    </w:p>
    <w:p>
      <w:pPr>
        <w:shd w:val="clear" w:color="auto" w:fill="auto"/>
        <w:spacing w:line="480" w:lineRule="exact"/>
        <w:ind w:firstLine="420" w:firstLineChars="200"/>
        <w:jc w:val="left"/>
        <w:rPr>
          <w:rFonts w:hint="eastAsia" w:ascii="黑体" w:hAnsi="宋体" w:eastAsia="黑体"/>
          <w:highlight w:val="none"/>
        </w:rPr>
      </w:pPr>
      <w:r>
        <w:rPr>
          <w:rFonts w:hint="eastAsia" w:ascii="黑体" w:hAnsi="宋体" w:eastAsia="黑体"/>
          <w:highlight w:val="none"/>
        </w:rPr>
        <w:t>三、质保期及质保要求</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1、全部供货范围内的设备、材料、零配件和工器具等，除合同特别约定外，其质保期均自终验收签字生效之日起</w:t>
      </w:r>
      <w:r>
        <w:rPr>
          <w:rFonts w:hint="eastAsia" w:ascii="宋体" w:hAnsi="宋体"/>
          <w:highlight w:val="none"/>
          <w:u w:val="single"/>
          <w:shd w:val="pct10" w:color="auto" w:fill="FFFFFF"/>
        </w:rPr>
        <w:t>12</w:t>
      </w:r>
      <w:r>
        <w:rPr>
          <w:rFonts w:hint="eastAsia" w:ascii="宋体" w:hAnsi="宋体"/>
          <w:highlight w:val="none"/>
        </w:rPr>
        <w:t>个月。</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投标货物或涉及的关键总成和零件，如果有更长时间质保期，允许更改并说明，此将有利于投标方。</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设计使用寿命短于质保期的易损件除外，但属于易损件的，应当有明确说明。</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2、质保期之内，如果设备出现设备、总成、关键零部件或者多处一般零部件的更换或维修行为，则质保期自更换或维修行为结束、设备重新正常运行使用之日起重新计算。</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3、质保期内免费提供零部件和及时有效的服务。质保期内因货物本身缺陷造成的各种故障，投标方应负责免费维修和服务。</w:t>
      </w:r>
    </w:p>
    <w:p>
      <w:pPr>
        <w:shd w:val="clear" w:color="auto" w:fill="auto"/>
        <w:spacing w:line="480" w:lineRule="exact"/>
        <w:ind w:firstLine="420" w:firstLineChars="200"/>
        <w:jc w:val="left"/>
        <w:rPr>
          <w:rFonts w:hint="eastAsia" w:ascii="宋体" w:hAnsi="宋体"/>
          <w:highlight w:val="none"/>
        </w:rPr>
      </w:pPr>
      <w:r>
        <w:rPr>
          <w:rFonts w:hint="eastAsia" w:ascii="宋体" w:hAnsi="宋体"/>
          <w:highlight w:val="none"/>
        </w:rPr>
        <w:t>4、质保期终止之日起12个月内重复出现的质保期之内出现的故障，仍属质保范围而且应当免费。</w:t>
      </w:r>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rPr>
        <w:t>四、包装</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1、所提供设备的包装，应遵照国家标准和有关包装、包皮的技术条件，或按照最好的商业惯例进行包装。</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2、包装应能满足所需要采取的运输方式（船运、汽运或铁路运输）、多次吊装卸装、卸货以及长期露天堆放要求，应能防止雨淋、受潮、生锈、腐蚀、受振、受磁以及机械和化学因素等引起的损坏。</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3、所提供设备的包装，应能防止其一般性被窃或受外力破坏；一般不得采用有大缝隙的板条包装。</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4、应对包装件做必要的加固和固定，以防止运输可能造成的损坏。</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5、每个包装件应有装箱单，并至少标明名称、型号规格、数量、净重和毛重、投标方（或供货商）名称和制造日期等相关内容。</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6、每个包装箱应有明显标志，并具有中文书写的合同号、装运标志、发货和到货地点名称、发货人和收货人名称、设备名称和项目号、箱号和外型尺寸等内容。</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7、应按照不同的装运要求在包装箱上标明“小心轻放”、“箭头向上”、“防潮”、“防磁”、“不准平放”等标志，以及其它适用的国标通用标志。</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8、包装箱应连续编号，不应出现重复编号。</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9、在不受到外界破坏情况下，包装应保证自交货日起一年内货物（或设备）完好无损。</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五、运输</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1、应负责将设备运到目的地，并必须做到设备在任何运输过程中不受损坏和遗失。</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2、同批设备应统一包装、编号运输。</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3、一般情况下，经由铁路、公路运输的包装件尺寸和重量不应超过国家所规定的尺寸限制。特殊情况应予以说明。</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4、在每批设备发出后，应立即通知招标方；通知中应指明：合同号、货运单号、件数、重量和设备发出日期等相关内容。</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5、设备运抵交货地点后，应负责货物（或设备）的卸货、搬运、保管等事宜；或按照合同约定。</w:t>
      </w:r>
    </w:p>
    <w:p>
      <w:pPr>
        <w:pStyle w:val="2"/>
        <w:shd w:val="clear" w:color="auto" w:fill="auto"/>
        <w:spacing w:before="120" w:after="120" w:line="480" w:lineRule="exact"/>
        <w:jc w:val="center"/>
        <w:rPr>
          <w:rFonts w:hint="eastAsia" w:ascii="黑体" w:eastAsia="黑体"/>
          <w:b w:val="0"/>
          <w:sz w:val="24"/>
          <w:szCs w:val="24"/>
          <w:highlight w:val="none"/>
        </w:rPr>
      </w:pPr>
      <w:r>
        <w:rPr>
          <w:rFonts w:ascii="宋体" w:hAnsi="宋体"/>
          <w:highlight w:val="none"/>
        </w:rPr>
        <w:br w:type="page"/>
      </w:r>
      <w:bookmarkStart w:id="129" w:name="_Toc9796"/>
      <w:bookmarkStart w:id="130" w:name="_Toc137705872"/>
      <w:bookmarkStart w:id="131" w:name="_Toc28593"/>
      <w:bookmarkStart w:id="132" w:name="_Toc30960"/>
      <w:bookmarkStart w:id="133" w:name="_Toc2931"/>
      <w:r>
        <w:rPr>
          <w:rFonts w:hint="eastAsia" w:ascii="黑体" w:eastAsia="黑体"/>
          <w:b w:val="0"/>
          <w:bCs w:val="0"/>
          <w:sz w:val="24"/>
          <w:szCs w:val="24"/>
          <w:highlight w:val="none"/>
        </w:rPr>
        <w:t>第四章售中售后服务</w:t>
      </w:r>
      <w:bookmarkEnd w:id="129"/>
      <w:bookmarkEnd w:id="130"/>
      <w:bookmarkEnd w:id="131"/>
      <w:bookmarkEnd w:id="132"/>
      <w:bookmarkEnd w:id="133"/>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一、技术及培训服务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1、应负责对招标方</w:t>
      </w:r>
      <w:r>
        <w:rPr>
          <w:rFonts w:hint="eastAsia" w:ascii="宋体" w:hAnsi="宋体"/>
          <w:highlight w:val="none"/>
          <w:u w:val="single"/>
          <w:shd w:val="pct10" w:color="auto" w:fill="FFFFFF"/>
        </w:rPr>
        <w:t>3-5</w:t>
      </w:r>
      <w:r>
        <w:rPr>
          <w:rFonts w:hint="eastAsia" w:ascii="宋体" w:hAnsi="宋体"/>
          <w:highlight w:val="none"/>
        </w:rPr>
        <w:t>名技术、维修和操作人员提供不少于</w:t>
      </w:r>
      <w:r>
        <w:rPr>
          <w:rFonts w:hint="eastAsia" w:ascii="宋体" w:hAnsi="宋体"/>
          <w:highlight w:val="none"/>
          <w:u w:val="single"/>
          <w:shd w:val="pct10" w:color="auto" w:fill="FFFFFF"/>
        </w:rPr>
        <w:t>2</w:t>
      </w:r>
      <w:r>
        <w:rPr>
          <w:rFonts w:hint="eastAsia" w:ascii="宋体" w:hAnsi="宋体"/>
          <w:highlight w:val="none"/>
        </w:rPr>
        <w:t>个日历日的免费的理论、技术和操作、维修等方面的技术指导和培训</w:t>
      </w:r>
      <w:r>
        <w:rPr>
          <w:rFonts w:hint="eastAsia"/>
          <w:highlight w:val="none"/>
          <w:lang w:val="zh-CN"/>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2、应负责在招标方设备使用现场，进行1～2次免费的技术指导和培训，并接受招标方有关人员的技术咨询。</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3、应免费提供一定数量的培训资料。</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4、应按要求免费积极协助和提供招标方以及招标方所委托的工程设计单位有关人员所需要的、与设备有关的工程设计资料、技术咨询等。</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5、若投标方提供的设备涉及到外购外协货物、而且该货物的技术质量等较为关键时，投标方应能保证得到配套厂家的技术支持，并免费为招标方提供技术服务。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二、安装调试及验收服务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2、若投标方提供的设备涉及到外购外协货物、而且该货物的技术质量等较为关键时，应保证能得到供应商的技术支持，并免费为招标方提供安装使用现场的指导与培训。</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5、投标方应当向招标方提供货物试验、验收的有关标准、规范和方法，同时提供货物涉及并使用的软件合法性证明。</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6、服务缺陷视同货物缺陷和履约延期。</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三、售后服务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1、投标方提供的设备涉及的所有售后服务均由投标方负责。如果发生问题并且收到通知，投标方应当在2小时内予以答复。</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2、如发现所提供的设备存在问题，需要投标方解决或配合解决时：在质保期之内，应在接到通知后</w:t>
      </w:r>
      <w:r>
        <w:rPr>
          <w:rFonts w:hint="eastAsia" w:ascii="宋体" w:hAnsi="宋体"/>
          <w:highlight w:val="none"/>
          <w:u w:val="single"/>
          <w:shd w:val="pct10" w:color="auto" w:fill="FFFFFF"/>
        </w:rPr>
        <w:t>24</w:t>
      </w:r>
      <w:r>
        <w:rPr>
          <w:rFonts w:hint="eastAsia" w:ascii="宋体" w:hAnsi="宋体"/>
          <w:highlight w:val="none"/>
        </w:rPr>
        <w:t>小时内派有关人员到达现场；在质保期之外，应在接到通知后</w:t>
      </w:r>
      <w:r>
        <w:rPr>
          <w:rFonts w:hint="eastAsia" w:ascii="宋体" w:hAnsi="宋体"/>
          <w:highlight w:val="none"/>
          <w:u w:val="single"/>
          <w:shd w:val="pct10" w:color="auto" w:fill="FFFFFF"/>
        </w:rPr>
        <w:t>24</w:t>
      </w:r>
      <w:r>
        <w:rPr>
          <w:rFonts w:hint="eastAsia" w:ascii="宋体" w:hAnsi="宋体"/>
          <w:highlight w:val="none"/>
        </w:rPr>
        <w:t>小时内派有关人员到达现场。</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3、投标方派往招标方使用现场的人员，应具有较高的业务素质；现场解决问题时，不得无故拖延或推迟，应为招标方提供最佳的服务。</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四、其它服务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1、若投标方所提供设备有需要进口的，投标方一般应自行、自费办理；必要时，买卖双方共同办理。</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2、除招标文件、投标文件、答疑文件、技术协议、合同等约定之外，投标方应免费负责必要的或强制性的设备的检验、试验、化验等直接费用。</w:t>
      </w:r>
    </w:p>
    <w:p>
      <w:pPr>
        <w:shd w:val="clear" w:color="auto" w:fill="auto"/>
        <w:spacing w:line="520" w:lineRule="exact"/>
        <w:ind w:firstLine="420" w:firstLineChars="200"/>
        <w:rPr>
          <w:rFonts w:hint="eastAsia"/>
          <w:highlight w:val="none"/>
        </w:rPr>
      </w:pPr>
      <w:r>
        <w:rPr>
          <w:rFonts w:hint="eastAsia" w:ascii="宋体" w:hAnsi="宋体"/>
          <w:highlight w:val="none"/>
        </w:rPr>
        <w:t>3、本章节条款所列“免费”，并非指定不可收费，而是指招标文件、投标文件、</w:t>
      </w:r>
      <w:r>
        <w:rPr>
          <w:rFonts w:hint="eastAsia"/>
          <w:highlight w:val="none"/>
        </w:rPr>
        <w:t>答疑文件、技术交流文件、技术协议书和合同等范围之外，投标方不可另行收取的费用。</w:t>
      </w:r>
    </w:p>
    <w:p>
      <w:pPr>
        <w:shd w:val="clear" w:color="auto" w:fill="auto"/>
        <w:spacing w:line="480" w:lineRule="exact"/>
        <w:ind w:firstLine="420" w:firstLineChars="200"/>
        <w:rPr>
          <w:rFonts w:hint="eastAsia" w:ascii="宋体" w:hAnsi="宋体"/>
          <w:highlight w:val="none"/>
        </w:rPr>
      </w:pPr>
    </w:p>
    <w:p>
      <w:pPr>
        <w:pStyle w:val="2"/>
        <w:shd w:val="clear" w:color="auto" w:fill="auto"/>
        <w:spacing w:before="120" w:after="120" w:line="480" w:lineRule="exact"/>
        <w:jc w:val="center"/>
        <w:rPr>
          <w:rFonts w:hint="eastAsia" w:ascii="黑体" w:eastAsia="黑体"/>
          <w:b w:val="0"/>
          <w:sz w:val="24"/>
          <w:szCs w:val="24"/>
          <w:highlight w:val="none"/>
        </w:rPr>
      </w:pPr>
      <w:r>
        <w:rPr>
          <w:rFonts w:ascii="宋体" w:hAnsi="宋体"/>
          <w:highlight w:val="none"/>
        </w:rPr>
        <w:br w:type="page"/>
      </w:r>
      <w:bookmarkStart w:id="134" w:name="_Toc23200"/>
      <w:bookmarkStart w:id="135" w:name="_Toc19419"/>
      <w:bookmarkStart w:id="136" w:name="_Toc137705873"/>
      <w:bookmarkStart w:id="137" w:name="_Toc21539"/>
      <w:bookmarkStart w:id="138" w:name="_Toc9060"/>
      <w:r>
        <w:rPr>
          <w:rFonts w:hint="eastAsia" w:ascii="黑体" w:eastAsia="黑体"/>
          <w:b w:val="0"/>
          <w:sz w:val="24"/>
          <w:szCs w:val="24"/>
          <w:highlight w:val="none"/>
        </w:rPr>
        <w:t>第五章预验收和终验收</w:t>
      </w:r>
      <w:bookmarkEnd w:id="134"/>
      <w:bookmarkEnd w:id="135"/>
      <w:bookmarkEnd w:id="136"/>
      <w:bookmarkEnd w:id="137"/>
      <w:bookmarkEnd w:id="138"/>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rPr>
        <w:t>一、验收的一般约定</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1、验收标准一般以技术协议书和合同规定验收。</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2、如果验收过程中，发现招标文件、投标文件、答疑文件、技术交流文件等与技术协议书、合同存在差异，原则上以涉及条款中对招标方最有利条款为验收依据。</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二、检验</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1、国产货物的检验由买卖双方按照合同要求或在制造现场进行。</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2、进口货物的检验，投标方需要按照下述要求进行：</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2.1进口货物发货前，应对货物的质量、型号、规格、性能和数量/重量作精密、全面的检验，并出具证明书，证明所供货物符合合同规定。</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2.2应依据合同规定的要求，提供买卖双方达成一致的货物的验收标准和装箱单，作为招标方检验的依据。</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2.3进口货物到达目的地后，招标方有权申请中国商品检验检疫局进行检验，如发现货物的品质及规格与合同或发票不符，除招标方的责任外，招标方有权在货物到达卸货目的地后18</w:t>
      </w:r>
      <w:r>
        <w:rPr>
          <w:rFonts w:ascii="宋体" w:hAnsi="宋体"/>
          <w:highlight w:val="none"/>
        </w:rPr>
        <w:t>0</w:t>
      </w:r>
      <w:r>
        <w:rPr>
          <w:rFonts w:hint="eastAsia" w:ascii="宋体" w:hAnsi="宋体"/>
          <w:highlight w:val="none"/>
        </w:rPr>
        <w:t>个日历日内，根据中国商品检验检疫局出具的证明书向投标方提出索赔，因索赔所发生的一切费用</w:t>
      </w:r>
      <w:r>
        <w:rPr>
          <w:rFonts w:ascii="宋体" w:hAnsi="宋体"/>
          <w:highlight w:val="none"/>
        </w:rPr>
        <w:t>(</w:t>
      </w:r>
      <w:r>
        <w:rPr>
          <w:rFonts w:hint="eastAsia" w:ascii="宋体" w:hAnsi="宋体"/>
          <w:highlight w:val="none"/>
        </w:rPr>
        <w:t>包括检验检疫费等</w:t>
      </w:r>
      <w:r>
        <w:rPr>
          <w:rFonts w:ascii="宋体" w:hAnsi="宋体"/>
          <w:highlight w:val="none"/>
        </w:rPr>
        <w:t>)</w:t>
      </w:r>
      <w:r>
        <w:rPr>
          <w:rFonts w:hint="eastAsia" w:ascii="宋体" w:hAnsi="宋体"/>
          <w:highlight w:val="none"/>
        </w:rPr>
        <w:t>均由投标方承担。</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三、验收基本条件</w:t>
      </w:r>
    </w:p>
    <w:p>
      <w:pPr>
        <w:shd w:val="clear" w:color="auto" w:fill="auto"/>
        <w:adjustRightInd w:val="0"/>
        <w:snapToGrid w:val="0"/>
        <w:spacing w:line="460" w:lineRule="exact"/>
        <w:ind w:firstLine="420" w:firstLineChars="200"/>
        <w:rPr>
          <w:rFonts w:hint="eastAsia" w:ascii="宋体" w:hAnsi="宋体"/>
          <w:highlight w:val="none"/>
        </w:rPr>
      </w:pPr>
      <w:r>
        <w:rPr>
          <w:rFonts w:hint="eastAsia"/>
          <w:highlight w:val="none"/>
        </w:rPr>
        <w:t>验收一般分预验收和终验收两部分。预验收一般在投标方现场进行，终验收在安装调试完成及试运行后的招标方现场进行。但是所有的项目，包括不能预验收的项目和预验收通过的项目都在终验收</w:t>
      </w:r>
      <w:r>
        <w:rPr>
          <w:rFonts w:hint="eastAsia" w:ascii="宋体" w:hAnsi="宋体"/>
          <w:highlight w:val="none"/>
        </w:rPr>
        <w:t>时重新检验，最终只以终验收为准。</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买卖双方按照合同约定执行了合同，同时设备完成了试运行并经检验合格，则具备验收条件。</w:t>
      </w:r>
    </w:p>
    <w:p>
      <w:pPr>
        <w:shd w:val="clear" w:color="auto" w:fill="auto"/>
        <w:adjustRightInd w:val="0"/>
        <w:snapToGrid w:val="0"/>
        <w:spacing w:line="460" w:lineRule="exact"/>
        <w:ind w:firstLine="420" w:firstLineChars="200"/>
        <w:rPr>
          <w:rFonts w:hint="eastAsia" w:ascii="宋体" w:hAnsi="宋体" w:eastAsia="宋体"/>
          <w:highlight w:val="none"/>
          <w:lang w:eastAsia="zh-CN"/>
        </w:rPr>
      </w:pPr>
      <w:r>
        <w:rPr>
          <w:rFonts w:hint="eastAsia" w:ascii="宋体" w:hAnsi="宋体"/>
          <w:highlight w:val="none"/>
        </w:rPr>
        <w:t>1、预验收一般条件</w:t>
      </w:r>
      <w:r>
        <w:rPr>
          <w:rFonts w:hint="eastAsia" w:ascii="宋体" w:hAnsi="宋体"/>
          <w:highlight w:val="none"/>
          <w:lang w:eastAsia="zh-CN"/>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1.1投标方已经按照“供货范围”要求提供了预验收资料，并且资料齐全、完整和有效。</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1.2设备应完整且所有的零部件应该安装牢固，外观无损伤，所有的焊缝饱满、无残渣等缺陷。</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1.3一般情况下，所有的管路和线缆等，接头应完全正确、可靠地联接；应排列有序（正确、牢固、整齐），有必要的防护，无皱褶、收缩和裂缝等不良现象。</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1.4设备的润滑系统工作正常、可靠，润滑点易于到达。</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1.5使用的压力容器、电气等应具备合格证（如果有压力容器）。</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1.6设备的油漆质量应饱满、有光泽，无掉漆、无色差、无“桔皮”等不良现象（特殊标志除外）。</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1.7设备标牌完整、清晰、明确。</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1.8地线联接和地极符合国际（</w:t>
      </w:r>
      <w:r>
        <w:rPr>
          <w:rFonts w:ascii="宋体" w:hAnsi="宋体"/>
          <w:highlight w:val="none"/>
        </w:rPr>
        <w:t>ISO</w:t>
      </w:r>
      <w:r>
        <w:rPr>
          <w:rFonts w:hint="eastAsia" w:ascii="宋体" w:hAnsi="宋体"/>
          <w:highlight w:val="none"/>
        </w:rPr>
        <w:t>/</w:t>
      </w:r>
      <w:r>
        <w:rPr>
          <w:rFonts w:ascii="宋体" w:hAnsi="宋体"/>
          <w:highlight w:val="none"/>
        </w:rPr>
        <w:t>IEC</w:t>
      </w:r>
      <w:r>
        <w:rPr>
          <w:rFonts w:hint="eastAsia" w:ascii="宋体" w:hAnsi="宋体"/>
          <w:highlight w:val="none"/>
        </w:rPr>
        <w:t>）标准规范。</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1.9设备的安全要求符合中国最新的相关法律、法规、标准和规范以及合同要求。</w:t>
      </w:r>
    </w:p>
    <w:p>
      <w:pPr>
        <w:shd w:val="clear" w:color="auto" w:fill="auto"/>
        <w:adjustRightInd w:val="0"/>
        <w:snapToGrid w:val="0"/>
        <w:spacing w:line="460" w:lineRule="exact"/>
        <w:ind w:firstLine="420" w:firstLineChars="200"/>
        <w:rPr>
          <w:rFonts w:hint="eastAsia" w:ascii="宋体" w:hAnsi="宋体" w:eastAsia="宋体"/>
          <w:highlight w:val="none"/>
          <w:lang w:eastAsia="zh-CN"/>
        </w:rPr>
      </w:pPr>
      <w:r>
        <w:rPr>
          <w:rFonts w:hint="eastAsia" w:ascii="宋体" w:hAnsi="宋体"/>
          <w:highlight w:val="none"/>
        </w:rPr>
        <w:t>2、终验收一般条件</w:t>
      </w:r>
      <w:r>
        <w:rPr>
          <w:rFonts w:hint="eastAsia" w:ascii="宋体" w:hAnsi="宋体"/>
          <w:highlight w:val="none"/>
          <w:lang w:eastAsia="zh-CN"/>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2.1经过预验收而且没有出现新的质量问题，或者满足预验收条款。</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2.2设备安装调试完毕，并至少经过了验收要求的负荷试运行。</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2.3设备正常运行时，噪声等环境影响因素满足国家和当地环保主管部门规定，安全措施落实、有效。</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2.4计量仪器、仪表配套合理，采用中国的法定计量单位，计量准确、灵敏可靠。保证设计指标和仪器说明书的参数的实现。</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2.5试运行期间或之后无维修、调整等行为（特殊情况除外）。</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2.6设备质量、技术性能等，达到签定的技术协议书和合同规定的终验收标准。</w:t>
      </w:r>
    </w:p>
    <w:p>
      <w:pPr>
        <w:shd w:val="clear" w:color="auto" w:fill="auto"/>
        <w:spacing w:line="480" w:lineRule="exact"/>
        <w:ind w:firstLine="420" w:firstLineChars="200"/>
        <w:rPr>
          <w:rFonts w:hint="eastAsia" w:ascii="宋体" w:hAnsi="宋体" w:eastAsia="宋体"/>
          <w:highlight w:val="none"/>
          <w:lang w:eastAsia="zh-CN"/>
        </w:rPr>
      </w:pPr>
      <w:r>
        <w:rPr>
          <w:rFonts w:hint="eastAsia" w:ascii="宋体" w:hAnsi="宋体"/>
          <w:highlight w:val="none"/>
        </w:rPr>
        <w:t>3、终验收基本要求</w:t>
      </w:r>
      <w:r>
        <w:rPr>
          <w:rFonts w:hint="eastAsia" w:ascii="宋体" w:hAnsi="宋体"/>
          <w:highlight w:val="none"/>
          <w:lang w:eastAsia="zh-CN"/>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3.1所有供货清单符合合同要求。</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3.2设备配置及功能与技术协议无偏离。</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3.3出现下列问题之一，视作验收失败：</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3.3.1在整个验收过程中发生关键零部件损坏或重大故障；</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3.3.2一般性故障超过</w:t>
      </w:r>
      <w:r>
        <w:rPr>
          <w:rFonts w:hint="eastAsia" w:ascii="宋体" w:hAnsi="宋体"/>
          <w:highlight w:val="none"/>
          <w:u w:val="single"/>
          <w:shd w:val="pct10" w:color="auto" w:fill="FFFFFF"/>
        </w:rPr>
        <w:t>3</w:t>
      </w:r>
      <w:r>
        <w:rPr>
          <w:rFonts w:hint="eastAsia" w:ascii="宋体" w:hAnsi="宋体"/>
          <w:highlight w:val="none"/>
        </w:rPr>
        <w:t>次；</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3.3.3所有出现的维修调整，每次时间均不超过</w:t>
      </w:r>
      <w:r>
        <w:rPr>
          <w:rFonts w:hint="eastAsia" w:ascii="宋体" w:hAnsi="宋体"/>
          <w:highlight w:val="none"/>
          <w:u w:val="single"/>
          <w:shd w:val="pct10" w:color="auto" w:fill="FFFFFF"/>
        </w:rPr>
        <w:t>30</w:t>
      </w:r>
      <w:r>
        <w:rPr>
          <w:rFonts w:hint="eastAsia" w:ascii="宋体" w:hAnsi="宋体"/>
          <w:highlight w:val="none"/>
        </w:rPr>
        <w:t>分钟；所有维修调整时间的总和不超过总运行时间的</w:t>
      </w:r>
      <w:r>
        <w:rPr>
          <w:rFonts w:hint="eastAsia" w:ascii="宋体" w:hAnsi="宋体"/>
          <w:highlight w:val="none"/>
          <w:u w:val="single"/>
          <w:shd w:val="pct10" w:color="auto" w:fill="FFFFFF"/>
        </w:rPr>
        <w:t>2</w:t>
      </w:r>
      <w:r>
        <w:rPr>
          <w:rFonts w:hint="eastAsia" w:ascii="宋体" w:hAnsi="宋体"/>
          <w:highlight w:val="none"/>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3.3.4更换的零部件货值不超过总货值的</w:t>
      </w:r>
      <w:r>
        <w:rPr>
          <w:rFonts w:hint="eastAsia" w:ascii="宋体" w:hAnsi="宋体"/>
          <w:highlight w:val="none"/>
          <w:u w:val="single"/>
          <w:shd w:val="pct10" w:color="auto" w:fill="FFFFFF"/>
        </w:rPr>
        <w:t>2</w:t>
      </w:r>
      <w:r>
        <w:rPr>
          <w:rFonts w:hint="eastAsia" w:ascii="宋体" w:hAnsi="宋体"/>
          <w:highlight w:val="none"/>
        </w:rPr>
        <w:t>%；</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3.4累计负载运行实际性能达到合同规定；</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3.5终验收内容包括以下内容：</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3.5.1终验收在招标方车间进行，验收内容包括但不限于设备资料、培训、设备配置、生产节拍、工期、重复定位精度。</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3.5.2投标方在终验收时需提交一份预验收时发现的缺陷和设备故障确认完成整改的汇总表，列入终验收报告。</w:t>
      </w:r>
    </w:p>
    <w:p>
      <w:pPr>
        <w:shd w:val="clear" w:color="auto" w:fill="auto"/>
        <w:tabs>
          <w:tab w:val="left" w:pos="1260"/>
        </w:tabs>
        <w:adjustRightInd w:val="0"/>
        <w:snapToGrid w:val="0"/>
        <w:spacing w:line="460" w:lineRule="exact"/>
        <w:ind w:firstLine="420" w:firstLineChars="200"/>
        <w:rPr>
          <w:rFonts w:hint="eastAsia" w:ascii="宋体" w:hAnsi="宋体"/>
          <w:highlight w:val="none"/>
        </w:rPr>
      </w:pPr>
      <w:r>
        <w:rPr>
          <w:rFonts w:hint="eastAsia" w:ascii="宋体" w:hAnsi="宋体"/>
          <w:highlight w:val="none"/>
        </w:rPr>
        <w:t>3.5.3存在影响节拍、装配质量、安全的缺陷，投标方应及时整改，整改合格后验收和移交。当由于招标方原因影响终验收进度时，则移交日期相应顺延。</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3.6终验收原则上要求一次完成。若一次验收不成功，最多允许两次；如果出现第三次验收失败，重新作价或退货；</w:t>
      </w:r>
    </w:p>
    <w:p>
      <w:pPr>
        <w:shd w:val="clear" w:color="auto" w:fill="auto"/>
        <w:adjustRightInd w:val="0"/>
        <w:snapToGrid w:val="0"/>
        <w:spacing w:line="460" w:lineRule="exact"/>
        <w:ind w:firstLine="420" w:firstLineChars="200"/>
        <w:rPr>
          <w:rFonts w:ascii="宋体" w:hAnsi="宋体"/>
          <w:highlight w:val="none"/>
        </w:rPr>
      </w:pPr>
      <w:r>
        <w:rPr>
          <w:rFonts w:hint="eastAsia" w:ascii="宋体" w:hAnsi="宋体"/>
          <w:highlight w:val="none"/>
        </w:rPr>
        <w:t>3.7终验收通过后买卖双方共同签署终验收报告，并移交、核对全部供货范围内物品。</w:t>
      </w:r>
    </w:p>
    <w:p>
      <w:pPr>
        <w:shd w:val="clear" w:color="auto" w:fill="auto"/>
        <w:spacing w:line="480" w:lineRule="exact"/>
        <w:ind w:firstLine="420" w:firstLineChars="200"/>
        <w:rPr>
          <w:rFonts w:hint="eastAsia" w:ascii="宋体" w:hAnsi="宋体"/>
          <w:highlight w:val="none"/>
        </w:rPr>
      </w:pPr>
    </w:p>
    <w:p>
      <w:pPr>
        <w:pStyle w:val="2"/>
        <w:shd w:val="clear" w:color="auto" w:fill="auto"/>
        <w:spacing w:before="120" w:after="120" w:line="480" w:lineRule="exact"/>
        <w:jc w:val="center"/>
        <w:rPr>
          <w:rFonts w:hint="eastAsia" w:ascii="黑体" w:eastAsia="黑体"/>
          <w:b w:val="0"/>
          <w:sz w:val="24"/>
          <w:szCs w:val="24"/>
          <w:highlight w:val="none"/>
        </w:rPr>
      </w:pPr>
      <w:r>
        <w:rPr>
          <w:rFonts w:ascii="宋体" w:hAnsi="宋体"/>
          <w:highlight w:val="none"/>
        </w:rPr>
        <w:br w:type="page"/>
      </w:r>
      <w:bookmarkStart w:id="139" w:name="_Toc28978"/>
      <w:bookmarkStart w:id="140" w:name="_Toc22000"/>
      <w:bookmarkStart w:id="141" w:name="_Toc137705874"/>
      <w:bookmarkStart w:id="142" w:name="_Toc25335"/>
      <w:bookmarkStart w:id="143" w:name="_Toc12996"/>
      <w:r>
        <w:rPr>
          <w:rFonts w:hint="eastAsia" w:ascii="黑体" w:eastAsia="黑体"/>
          <w:b w:val="0"/>
          <w:sz w:val="24"/>
          <w:szCs w:val="24"/>
          <w:highlight w:val="none"/>
        </w:rPr>
        <w:t>第六章投标技术文件一般要求</w:t>
      </w:r>
      <w:bookmarkEnd w:id="139"/>
      <w:bookmarkEnd w:id="140"/>
      <w:bookmarkEnd w:id="141"/>
      <w:bookmarkEnd w:id="142"/>
      <w:bookmarkEnd w:id="143"/>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一、技术文件一般内容要求</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1、投标方应认真阅读招标文件和本技术标书，并按要求编写投标技术文件。</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2、投标技术文件至少应对投标设备的功能用途、技术性能、质量标准、技术参数等作出详细说明。</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3、投标技术文件至少应根据投标设备的关键设备、总成、零部件或系统作出优越性说明。</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4、投标技术文件至少应按照招标文件要求（或投标方建议）列明备品备件、易损件和专用耗材明细。</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5、投标方应当而且必须分别说明所列备品备件、易损件和专用耗材的使用寿命（以有效工作小时数说明）。</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6、投标的设备，应当根据其配置和备品备件、易损件、专用耗材情况，尽可能详细且分类填入下表：</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6.1投标设备配置一览表：</w:t>
      </w:r>
    </w:p>
    <w:p>
      <w:pPr>
        <w:shd w:val="clear" w:color="auto" w:fill="auto"/>
        <w:adjustRightInd w:val="0"/>
        <w:snapToGrid w:val="0"/>
        <w:spacing w:line="460" w:lineRule="exact"/>
        <w:ind w:firstLine="1890" w:firstLineChars="900"/>
        <w:rPr>
          <w:rFonts w:hint="eastAsia" w:ascii="宋体" w:hAnsi="宋体"/>
          <w:highlight w:val="none"/>
        </w:rPr>
      </w:pPr>
      <w:r>
        <w:rPr>
          <w:rFonts w:hint="eastAsia" w:ascii="宋体" w:hAnsi="宋体"/>
          <w:highlight w:val="none"/>
        </w:rPr>
        <w:t>投标货物配置一览表</w:t>
      </w:r>
      <w:r>
        <w:rPr>
          <w:rFonts w:hint="eastAsia" w:ascii="宋体" w:hAnsi="宋体"/>
          <w:sz w:val="21"/>
          <w:highlight w:val="none"/>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序号</w:t>
            </w:r>
          </w:p>
        </w:tc>
        <w:tc>
          <w:tcPr>
            <w:tcW w:w="1924"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名称</w:t>
            </w:r>
          </w:p>
        </w:tc>
        <w:tc>
          <w:tcPr>
            <w:tcW w:w="1236"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型号规格</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单位</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数量</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单价</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总价</w:t>
            </w:r>
          </w:p>
        </w:tc>
        <w:tc>
          <w:tcPr>
            <w:tcW w:w="2235"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bl>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6.2备品备件、易损件和专用耗材明细表：</w:t>
      </w:r>
    </w:p>
    <w:p>
      <w:pPr>
        <w:shd w:val="clear" w:color="auto" w:fill="auto"/>
        <w:adjustRightInd w:val="0"/>
        <w:snapToGrid w:val="0"/>
        <w:spacing w:line="460" w:lineRule="exact"/>
        <w:ind w:firstLine="1890" w:firstLineChars="900"/>
        <w:rPr>
          <w:rFonts w:hint="eastAsia" w:ascii="宋体" w:hAnsi="宋体"/>
          <w:highlight w:val="none"/>
        </w:rPr>
      </w:pPr>
      <w:r>
        <w:rPr>
          <w:rFonts w:hint="eastAsia" w:ascii="宋体" w:hAnsi="宋体"/>
          <w:highlight w:val="none"/>
        </w:rPr>
        <w:t>备品备件、易损件和专用耗材明细表</w:t>
      </w:r>
      <w:r>
        <w:rPr>
          <w:rFonts w:hint="eastAsia" w:ascii="宋体" w:hAnsi="宋体"/>
          <w:sz w:val="21"/>
          <w:highlight w:val="none"/>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序号</w:t>
            </w:r>
          </w:p>
        </w:tc>
        <w:tc>
          <w:tcPr>
            <w:tcW w:w="1924"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名称</w:t>
            </w:r>
          </w:p>
        </w:tc>
        <w:tc>
          <w:tcPr>
            <w:tcW w:w="1236"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型号规格</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单位</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数量</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单价</w:t>
            </w: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总价</w:t>
            </w:r>
          </w:p>
        </w:tc>
        <w:tc>
          <w:tcPr>
            <w:tcW w:w="2235" w:type="dxa"/>
            <w:noWrap w:val="0"/>
            <w:vAlign w:val="top"/>
          </w:tcPr>
          <w:p>
            <w:pPr>
              <w:shd w:val="clear" w:color="auto" w:fill="auto"/>
              <w:adjustRightInd w:val="0"/>
              <w:snapToGrid w:val="0"/>
              <w:spacing w:line="360" w:lineRule="exact"/>
              <w:jc w:val="center"/>
              <w:rPr>
                <w:rFonts w:hint="eastAsia" w:ascii="宋体" w:hAnsi="宋体"/>
                <w:sz w:val="21"/>
                <w:highlight w:val="none"/>
              </w:rPr>
            </w:pPr>
            <w:r>
              <w:rPr>
                <w:rFonts w:hint="eastAsia" w:ascii="宋体" w:hAnsi="宋体"/>
                <w:sz w:val="21"/>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1924"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1236" w:type="dxa"/>
            <w:noWrap w:val="0"/>
            <w:vAlign w:val="top"/>
          </w:tcPr>
          <w:p>
            <w:pPr>
              <w:shd w:val="clear" w:color="auto" w:fill="auto"/>
              <w:adjustRightInd w:val="0"/>
              <w:snapToGrid w:val="0"/>
              <w:spacing w:line="360" w:lineRule="exact"/>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720" w:type="dxa"/>
            <w:noWrap w:val="0"/>
            <w:vAlign w:val="top"/>
          </w:tcPr>
          <w:p>
            <w:pPr>
              <w:shd w:val="clear" w:color="auto" w:fill="auto"/>
              <w:adjustRightInd w:val="0"/>
              <w:snapToGrid w:val="0"/>
              <w:spacing w:line="360" w:lineRule="exact"/>
              <w:jc w:val="center"/>
              <w:rPr>
                <w:rFonts w:hint="eastAsia" w:ascii="宋体" w:hAnsi="宋体"/>
                <w:sz w:val="21"/>
                <w:highlight w:val="none"/>
              </w:rPr>
            </w:pPr>
          </w:p>
        </w:tc>
        <w:tc>
          <w:tcPr>
            <w:tcW w:w="2235" w:type="dxa"/>
            <w:noWrap w:val="0"/>
            <w:vAlign w:val="top"/>
          </w:tcPr>
          <w:p>
            <w:pPr>
              <w:shd w:val="clear" w:color="auto" w:fill="auto"/>
              <w:adjustRightInd w:val="0"/>
              <w:snapToGrid w:val="0"/>
              <w:spacing w:line="360" w:lineRule="exact"/>
              <w:rPr>
                <w:rFonts w:hint="eastAsia" w:ascii="宋体" w:hAnsi="宋体"/>
                <w:sz w:val="21"/>
                <w:highlight w:val="none"/>
              </w:rPr>
            </w:pPr>
          </w:p>
        </w:tc>
      </w:tr>
    </w:tbl>
    <w:p>
      <w:pPr>
        <w:shd w:val="clear" w:color="auto" w:fill="auto"/>
        <w:adjustRightInd w:val="0"/>
        <w:snapToGrid w:val="0"/>
        <w:spacing w:line="360" w:lineRule="exact"/>
        <w:ind w:firstLine="420" w:firstLineChars="200"/>
        <w:rPr>
          <w:rFonts w:hint="eastAsia" w:ascii="宋体" w:hAnsi="宋体"/>
          <w:sz w:val="21"/>
          <w:highlight w:val="none"/>
        </w:rPr>
      </w:pP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6.3“一览表”和“明细表”仅作为投标方编制投标技术文件的一般格式。其中序号编写应当便于招标方了解分类或分项货物之间的所属关系，如1、1.1、1.2。</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6.4应当尽可能将设备的配置列全、列细，这将有助于投标方胜出。</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6.5单价与总价之间、总价与分类小计价之间、分类小计价与合计价之间数据应当齐全而且准确。</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6.6本条款表格中的制造商，应当为全称或公认的简称。</w:t>
      </w:r>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rPr>
        <w:t>二、技术文件中设备报价格式要求</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3、如果投标总报价与其它价格出现错误或不一致，将有可能导致废标。</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4、投标总报价为自合同签定生效至合同无异议执行完毕涉及的招标方需要支付的全部费用。如投标方认为本招标及投标设备涉及专门的设计，应当列明设计费。</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5、备品备件、易损件和专用耗材，招标方将可能与投标方按照投标价格另行签署供货合同。</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6、要求投标总报价、分项报价、明细报价之间应当具有相互间对应关系以及填报分项和明细报价，仅为便于评标而不妨碍投标人以最合适的形式签署合同。</w:t>
      </w:r>
    </w:p>
    <w:p>
      <w:pPr>
        <w:shd w:val="clear" w:color="auto" w:fill="auto"/>
        <w:adjustRightInd w:val="0"/>
        <w:snapToGrid w:val="0"/>
        <w:spacing w:line="460" w:lineRule="exact"/>
        <w:ind w:firstLine="420" w:firstLineChars="200"/>
        <w:rPr>
          <w:rFonts w:hint="eastAsia" w:ascii="黑体" w:hAnsi="宋体" w:eastAsia="黑体"/>
          <w:highlight w:val="none"/>
        </w:rPr>
      </w:pPr>
      <w:r>
        <w:rPr>
          <w:rFonts w:hint="eastAsia" w:ascii="黑体" w:hAnsi="宋体" w:eastAsia="黑体"/>
          <w:highlight w:val="none"/>
        </w:rPr>
        <w:t>三、验收标准及内容要求</w:t>
      </w:r>
    </w:p>
    <w:p>
      <w:pPr>
        <w:shd w:val="clear" w:color="auto" w:fill="auto"/>
        <w:adjustRightInd w:val="0"/>
        <w:snapToGrid w:val="0"/>
        <w:spacing w:line="460" w:lineRule="exact"/>
        <w:ind w:firstLine="420" w:firstLineChars="200"/>
        <w:rPr>
          <w:rFonts w:hint="eastAsia" w:ascii="宋体" w:hAnsi="宋体"/>
          <w:highlight w:val="none"/>
        </w:rPr>
      </w:pPr>
      <w:r>
        <w:rPr>
          <w:rFonts w:hint="eastAsia" w:ascii="宋体" w:hAnsi="宋体"/>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pPr>
        <w:pStyle w:val="2"/>
        <w:shd w:val="clear" w:color="auto" w:fill="auto"/>
        <w:spacing w:before="120" w:after="120" w:line="480" w:lineRule="exact"/>
        <w:jc w:val="center"/>
        <w:rPr>
          <w:rFonts w:hint="eastAsia" w:ascii="黑体" w:eastAsia="黑体"/>
          <w:b w:val="0"/>
          <w:sz w:val="24"/>
          <w:szCs w:val="24"/>
          <w:highlight w:val="none"/>
        </w:rPr>
      </w:pPr>
      <w:r>
        <w:rPr>
          <w:rFonts w:ascii="宋体" w:hAnsi="宋体"/>
          <w:highlight w:val="none"/>
        </w:rPr>
        <w:br w:type="page"/>
      </w:r>
      <w:bookmarkStart w:id="144" w:name="_Toc31849"/>
      <w:bookmarkStart w:id="145" w:name="_Toc5388"/>
      <w:bookmarkStart w:id="146" w:name="_Toc137705875"/>
      <w:bookmarkStart w:id="147" w:name="_Toc6037"/>
      <w:bookmarkStart w:id="148" w:name="_Toc15099"/>
      <w:r>
        <w:rPr>
          <w:rFonts w:hint="eastAsia" w:ascii="黑体" w:eastAsia="黑体"/>
          <w:b w:val="0"/>
          <w:sz w:val="24"/>
          <w:szCs w:val="24"/>
          <w:highlight w:val="none"/>
        </w:rPr>
        <w:t>第七章其它要求及说明</w:t>
      </w:r>
      <w:bookmarkEnd w:id="144"/>
      <w:bookmarkEnd w:id="145"/>
      <w:bookmarkEnd w:id="146"/>
      <w:bookmarkEnd w:id="147"/>
      <w:bookmarkEnd w:id="148"/>
    </w:p>
    <w:p>
      <w:pPr>
        <w:shd w:val="clear" w:color="auto" w:fill="auto"/>
        <w:spacing w:line="480" w:lineRule="exact"/>
        <w:ind w:firstLine="420" w:firstLineChars="200"/>
        <w:rPr>
          <w:rFonts w:hint="eastAsia" w:ascii="黑体" w:hAnsi="宋体" w:eastAsia="黑体"/>
          <w:highlight w:val="none"/>
        </w:rPr>
      </w:pPr>
      <w:r>
        <w:rPr>
          <w:rFonts w:hint="eastAsia" w:ascii="黑体" w:hAnsi="宋体" w:eastAsia="黑体"/>
          <w:highlight w:val="none"/>
        </w:rPr>
        <w:t>一、要求</w:t>
      </w:r>
    </w:p>
    <w:p>
      <w:pPr>
        <w:pStyle w:val="25"/>
        <w:shd w:val="clear" w:color="auto" w:fill="auto"/>
        <w:rPr>
          <w:rFonts w:hint="eastAsia"/>
          <w:highlight w:val="none"/>
        </w:rPr>
      </w:pPr>
      <w:r>
        <w:rPr>
          <w:rFonts w:hint="eastAsia"/>
          <w:highlight w:val="none"/>
        </w:rPr>
        <w:t>为保证本技术标书所列采购设备的质量以及先进性、可靠性、经济性和实用性，要求投标方在投标文件中，至少应具备以下资格证明文件或资料：</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1、投标方应是独立法人或得到法人授权的机构。应当在投标文件中提供法人营业执照（复印件）、税务登记证以及组织机构代码证（国外供应商参考该要求提供有效证明文件），并保证其真实性和有效性。</w:t>
      </w:r>
    </w:p>
    <w:p>
      <w:pPr>
        <w:shd w:val="clear" w:color="auto" w:fill="auto"/>
        <w:spacing w:line="520" w:lineRule="exact"/>
        <w:ind w:firstLine="417" w:firstLineChars="199"/>
        <w:rPr>
          <w:rFonts w:hint="eastAsia"/>
          <w:highlight w:val="none"/>
        </w:rPr>
      </w:pPr>
      <w:r>
        <w:rPr>
          <w:rFonts w:hint="eastAsia" w:ascii="宋体" w:hAnsi="宋体"/>
          <w:highlight w:val="none"/>
        </w:rPr>
        <w:t>2、投标方应当是通过有关资格认证的法人。应当在投标文件中提供有效期内的资格认证证</w:t>
      </w:r>
      <w:r>
        <w:rPr>
          <w:rFonts w:hint="eastAsia"/>
          <w:highlight w:val="none"/>
        </w:rPr>
        <w:t>书，如：ISO9001、VDA6.1、QS9000等。</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3、国产设备应附有采购设备涉及的由“中国质量认证中心”颁发的《中国国家强制性产品认证证书》（CCC证书）。</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4、应附有其它与投标单位、采购货物有关的荣誉证书或资料。</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5、必须附有投标货物涉及产品要求的、国家或行业管理规定要求的、或者投标方认为能够体现其投标货物合法性及先进性的最高级别的证明材料（投标货物不涉及的除外）：</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5.1国家相关机构颁发的有效期之内所必需的《生产许可证》。</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5.2产品（或技术）鉴定报告/证书、专利证书或专利许可证书、新技术成果证书等。</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5.3产品相关检验、试验报告，如：型式试验检验报告、安全试验检验报告、电弧效应试验报告、噪声检测报告等</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5.4其它能够证明所供设备的质量水平、技术水平、安全性水平、节能性水平、环保性水平等相关的其它证明文件或资料、报告等。</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5.5该类报告或证明材料对于投标方胜出乃至中标极为重要！</w:t>
      </w:r>
    </w:p>
    <w:p>
      <w:pPr>
        <w:shd w:val="clear" w:color="auto" w:fill="auto"/>
        <w:spacing w:line="520" w:lineRule="exact"/>
        <w:ind w:firstLine="417" w:firstLineChars="199"/>
        <w:rPr>
          <w:rFonts w:hint="eastAsia" w:ascii="宋体" w:hAnsi="宋体"/>
          <w:highlight w:val="none"/>
        </w:rPr>
      </w:pPr>
      <w:r>
        <w:rPr>
          <w:rFonts w:hint="eastAsia" w:ascii="宋体" w:hAnsi="宋体"/>
          <w:highlight w:val="none"/>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hd w:val="clear" w:color="auto" w:fill="auto"/>
        <w:spacing w:line="520" w:lineRule="exact"/>
        <w:ind w:firstLine="417" w:firstLineChars="199"/>
        <w:rPr>
          <w:rFonts w:hint="eastAsia" w:ascii="黑体" w:hAnsi="宋体" w:eastAsia="黑体"/>
          <w:highlight w:val="none"/>
        </w:rPr>
      </w:pPr>
      <w:r>
        <w:rPr>
          <w:rFonts w:hint="eastAsia" w:ascii="黑体" w:hAnsi="宋体" w:eastAsia="黑体"/>
          <w:highlight w:val="none"/>
        </w:rPr>
        <w:t>二、说明</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1、投标方可以根据自身的技术、经验等优势以及对招标文件和本技术标书的理解，写明对招标方所采购设备的优化方案或建议意见。投标方的这些努力，招标方表示感谢，并将有助于投标方优先胜出。</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2、即使有建议意见或建议方案，仍应依据招标文件和本技术标书要求，编写符合要求的投标文件。建议方案或建议意见，应以单独篇章或文件，予以说明。</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3、请投标方仔细阅读“采购货物概况”章节内说明，针对允许分投分中的设备，招标方有权利选择其中优秀设备或服务，作为投标方合同供货范围中的指定选用设备或服务（替代投标方分投而未中标部分）。</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4、招标文件、投标文件、答疑文件、技术交流文件、技术协议书等，在采购过程全部为有效文件，如有差异，以对招标方最有利的条款为准。</w:t>
      </w:r>
    </w:p>
    <w:p>
      <w:pPr>
        <w:shd w:val="clear" w:color="auto" w:fill="auto"/>
        <w:spacing w:line="480" w:lineRule="exact"/>
        <w:ind w:firstLine="420" w:firstLineChars="200"/>
        <w:rPr>
          <w:rFonts w:hint="eastAsia" w:ascii="宋体" w:hAnsi="宋体"/>
          <w:highlight w:val="none"/>
        </w:rPr>
      </w:pPr>
      <w:r>
        <w:rPr>
          <w:rFonts w:hint="eastAsia" w:ascii="宋体" w:hAnsi="宋体"/>
          <w:highlight w:val="none"/>
        </w:rPr>
        <w:t>5、为避免歧异，本技术标书涉及招投标环节的条款，均将潜在的卖方称为投标方、将</w:t>
      </w:r>
      <w:r>
        <w:rPr>
          <w:rFonts w:hint="eastAsia" w:ascii="宋体" w:hAnsi="宋体"/>
          <w:highlight w:val="none"/>
          <w:lang w:eastAsia="zh-CN"/>
        </w:rPr>
        <w:t>招标方</w:t>
      </w:r>
      <w:r>
        <w:rPr>
          <w:rFonts w:hint="eastAsia" w:ascii="宋体" w:hAnsi="宋体"/>
          <w:highlight w:val="none"/>
        </w:rPr>
        <w:t>称为招标方；定标后合同签署环节以及后续的合同执行环节条款，招标方称为</w:t>
      </w:r>
      <w:r>
        <w:rPr>
          <w:rFonts w:hint="eastAsia" w:ascii="宋体" w:hAnsi="宋体"/>
          <w:highlight w:val="none"/>
          <w:lang w:eastAsia="zh-CN"/>
        </w:rPr>
        <w:t>招标方</w:t>
      </w:r>
      <w:r>
        <w:rPr>
          <w:rFonts w:hint="eastAsia" w:ascii="宋体" w:hAnsi="宋体"/>
          <w:highlight w:val="none"/>
        </w:rPr>
        <w:t>、投标方中的中标方称为卖方。</w:t>
      </w:r>
    </w:p>
    <w:p>
      <w:pPr>
        <w:shd w:val="clear" w:color="auto" w:fill="auto"/>
        <w:spacing w:line="480" w:lineRule="exact"/>
        <w:rPr>
          <w:rFonts w:hint="eastAsia" w:ascii="宋体" w:hAnsi="宋体"/>
          <w:highlight w:val="none"/>
        </w:rPr>
      </w:pPr>
    </w:p>
    <w:p>
      <w:pPr>
        <w:shd w:val="clear" w:color="auto" w:fill="auto"/>
        <w:spacing w:line="480" w:lineRule="exact"/>
        <w:ind w:firstLine="420" w:firstLineChars="200"/>
        <w:rPr>
          <w:rFonts w:hint="eastAsia" w:ascii="宋体" w:hAnsi="宋体"/>
          <w:highlight w:val="none"/>
        </w:rPr>
      </w:pPr>
      <w:r>
        <w:rPr>
          <w:rFonts w:hint="eastAsia" w:ascii="宋体" w:hAnsi="宋体"/>
          <w:b/>
          <w:highlight w:val="none"/>
        </w:rPr>
        <w:t>技术部分答疑人：荣铭宇19953181741</w:t>
      </w:r>
    </w:p>
    <w:p>
      <w:pPr>
        <w:shd w:val="clear" w:color="auto" w:fill="auto"/>
        <w:rPr>
          <w:highlight w:val="none"/>
        </w:rPr>
      </w:pPr>
    </w:p>
    <w:p>
      <w:pPr>
        <w:pStyle w:val="22"/>
      </w:pPr>
    </w:p>
    <w:p>
      <w:r>
        <w:br w:type="page"/>
      </w:r>
    </w:p>
    <w:p>
      <w:pPr>
        <w:pStyle w:val="22"/>
      </w:pPr>
    </w:p>
    <w:p>
      <w:pPr>
        <w:spacing w:line="360" w:lineRule="auto"/>
        <w:jc w:val="center"/>
        <w:outlineLvl w:val="0"/>
        <w:rPr>
          <w:rFonts w:ascii="宋体" w:hAnsi="Calibri" w:eastAsia="宋体" w:cs="Times New Roman"/>
          <w:b/>
          <w:sz w:val="36"/>
          <w:szCs w:val="36"/>
        </w:rPr>
      </w:pPr>
      <w:bookmarkStart w:id="149"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49"/>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headerReference r:id="rId10" w:type="default"/>
          <w:footerReference r:id="rId11"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2" w:type="default"/>
          <w:footerReference r:id="rId13"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50" w:name="_Toc15851"/>
      <w:bookmarkStart w:id="151" w:name="_Toc8509"/>
      <w:bookmarkStart w:id="152"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50"/>
      <w:bookmarkEnd w:id="151"/>
      <w:bookmarkEnd w:id="152"/>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13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4195"/>
        <w:gridCol w:w="3015"/>
        <w:gridCol w:w="1563"/>
        <w:gridCol w:w="1034"/>
        <w:gridCol w:w="2178"/>
        <w:gridCol w:w="126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pageBreakBefore w:val="0"/>
              <w:widowControl w:val="0"/>
              <w:kinsoku/>
              <w:wordWrap/>
              <w:overflowPunct/>
              <w:topLinePunct w:val="0"/>
              <w:autoSpaceDE/>
              <w:autoSpaceDN/>
              <w:bidi w:val="0"/>
              <w:adjustRightInd/>
              <w:snapToGrid/>
              <w:spacing w:line="186"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4195"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3015"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034" w:type="dxa"/>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178" w:type="dxa"/>
            <w:tcBorders>
              <w:lef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6</w:t>
            </w:r>
          </w:p>
        </w:tc>
        <w:tc>
          <w:tcPr>
            <w:tcW w:w="1267"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firstLine="420" w:firstLineChars="200"/>
              <w:jc w:val="left"/>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序号</w:t>
            </w:r>
          </w:p>
        </w:tc>
        <w:tc>
          <w:tcPr>
            <w:tcW w:w="4195"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货物名称</w:t>
            </w:r>
          </w:p>
        </w:tc>
        <w:tc>
          <w:tcPr>
            <w:tcW w:w="3015"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563"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1034"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2178" w:type="dxa"/>
            <w:tcBorders>
              <w:left w:val="single" w:color="000000" w:sz="4" w:space="0"/>
            </w:tcBorders>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267"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一</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改造缸盖主螺栓拧紧机</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419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二</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新增3轴缸盖副螺栓拧紧机</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2.3</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2.4</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2.5</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三</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新增3轴飞轮拧紧机</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3.1</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3.2</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3.3</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3.4</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3.5</w:t>
            </w:r>
          </w:p>
        </w:tc>
        <w:tc>
          <w:tcPr>
            <w:tcW w:w="4195"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四</w:t>
            </w:r>
          </w:p>
        </w:tc>
        <w:tc>
          <w:tcPr>
            <w:tcW w:w="4195" w:type="dxa"/>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新增单轴飞轮壳拧紧机</w:t>
            </w:r>
          </w:p>
        </w:tc>
        <w:tc>
          <w:tcPr>
            <w:tcW w:w="3015" w:type="dxa"/>
            <w:vAlign w:val="center"/>
          </w:tcPr>
          <w:p>
            <w:pPr>
              <w:keepNext w:val="0"/>
              <w:keepLines w:val="0"/>
              <w:widowControl/>
              <w:suppressLineNumbers w:val="0"/>
              <w:jc w:val="center"/>
              <w:textAlignment w:val="center"/>
              <w:rPr>
                <w:rFonts w:hint="eastAsia" w:ascii="宋体" w:hAnsi="宋体" w:eastAsia="宋体" w:cs="宋体"/>
                <w:b/>
                <w:bCs/>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4.1</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4.2</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4.3</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4.4</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66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4.5</w:t>
            </w:r>
          </w:p>
        </w:tc>
        <w:tc>
          <w:tcPr>
            <w:tcW w:w="4195"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14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421"/>
        <w:gridCol w:w="2210"/>
        <w:gridCol w:w="790"/>
        <w:gridCol w:w="929"/>
        <w:gridCol w:w="1147"/>
        <w:gridCol w:w="1428"/>
        <w:gridCol w:w="1783"/>
        <w:gridCol w:w="119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2</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3</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4</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5</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6</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7</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8</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序号</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货物名称</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型号和规格</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spacing w:val="-2"/>
                <w:kern w:val="0"/>
                <w:sz w:val="20"/>
                <w:szCs w:val="20"/>
              </w:rPr>
            </w:pPr>
            <w:r>
              <w:rPr>
                <w:rFonts w:hint="eastAsia" w:ascii="宋体" w:hAnsi="宋体" w:eastAsia="宋体" w:cs="宋体"/>
                <w:b/>
                <w:bCs/>
                <w:i w:val="0"/>
                <w:iCs w:val="0"/>
                <w:color w:val="000000"/>
                <w:kern w:val="0"/>
                <w:sz w:val="20"/>
                <w:szCs w:val="20"/>
                <w:u w:val="none"/>
                <w:lang w:val="en-US" w:eastAsia="zh-CN" w:bidi="ar"/>
              </w:rPr>
              <w:t>单位</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数量</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原产地和制造商名称</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单价（不含税）</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总价[5×7]（不含税）</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bCs/>
                <w:i w:val="0"/>
                <w:iCs w:val="0"/>
                <w:color w:val="000000"/>
                <w:kern w:val="0"/>
                <w:sz w:val="20"/>
                <w:szCs w:val="20"/>
                <w:u w:val="none"/>
                <w:lang w:val="en-US" w:eastAsia="zh-CN" w:bidi="ar"/>
              </w:rPr>
              <w:t>一</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改造缸盖主螺栓拧紧机</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1.3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b/>
                <w:bCs/>
                <w:i w:val="0"/>
                <w:iCs w:val="0"/>
                <w:color w:val="000000"/>
                <w:kern w:val="0"/>
                <w:sz w:val="20"/>
                <w:szCs w:val="20"/>
                <w:u w:val="none"/>
                <w:lang w:val="en-US" w:eastAsia="zh-CN" w:bidi="ar"/>
              </w:rPr>
              <w:t>二</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新增3轴缸盖副螺栓拧紧机</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三</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新增3轴飞轮拧紧机</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四</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新增单轴飞轮壳拧紧机</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控制器</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气动升降及固定机构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数据采集</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color w:val="000000"/>
                <w:kern w:val="0"/>
                <w:sz w:val="20"/>
                <w:szCs w:val="20"/>
                <w:lang w:val="en-US" w:eastAsia="zh-CN" w:bidi="ar"/>
              </w:rPr>
            </w:pPr>
          </w:p>
        </w:tc>
        <w:tc>
          <w:tcPr>
            <w:tcW w:w="9497" w:type="dxa"/>
            <w:gridSpan w:val="5"/>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总</w:t>
            </w:r>
            <w:r>
              <w:rPr>
                <w:rStyle w:val="170"/>
                <w:rFonts w:hint="eastAsia" w:ascii="宋体" w:hAnsi="宋体" w:eastAsia="宋体" w:cs="宋体"/>
                <w:b/>
                <w:bCs/>
                <w:sz w:val="20"/>
                <w:szCs w:val="20"/>
                <w:lang w:val="en-US" w:eastAsia="zh-CN" w:bidi="ar"/>
              </w:rPr>
              <w:t xml:space="preserve">价合计列入价格汇总表 </w:t>
            </w:r>
            <w:r>
              <w:rPr>
                <w:rStyle w:val="168"/>
                <w:rFonts w:hint="eastAsia" w:ascii="宋体" w:hAnsi="宋体" w:eastAsia="宋体" w:cs="宋体"/>
                <w:b/>
                <w:bCs/>
                <w:sz w:val="20"/>
                <w:szCs w:val="20"/>
                <w:lang w:val="en-US" w:eastAsia="zh-CN" w:bidi="ar"/>
              </w:rPr>
              <w:t>9-5</w:t>
            </w:r>
          </w:p>
        </w:tc>
        <w:tc>
          <w:tcPr>
            <w:tcW w:w="4403" w:type="dxa"/>
            <w:gridSpan w:val="3"/>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sz w:val="20"/>
                <w:szCs w:val="20"/>
              </w:rPr>
            </w:pPr>
            <w:r>
              <w:rPr>
                <w:rFonts w:hint="eastAsia" w:ascii="宋体" w:hAnsi="宋体" w:eastAsia="宋体" w:cs="宋体"/>
                <w:b/>
                <w:bCs/>
                <w:i w:val="0"/>
                <w:iCs w:val="0"/>
                <w:color w:val="000000"/>
                <w:kern w:val="0"/>
                <w:sz w:val="20"/>
                <w:szCs w:val="20"/>
                <w:u w:val="none"/>
                <w:lang w:val="en-US" w:eastAsia="zh-CN" w:bidi="ar"/>
              </w:rPr>
              <w:t>总价合计（不含税）￥    元</w:t>
            </w: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4"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5"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6"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7"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28"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9"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1" w:type="first"/>
          <w:footerReference r:id="rId33" w:type="first"/>
          <w:headerReference r:id="rId30" w:type="default"/>
          <w:footerReference r:id="rId32" w:type="default"/>
          <w:pgSz w:w="11906" w:h="16838"/>
          <w:pgMar w:top="1588" w:right="1418" w:bottom="1134" w:left="1418"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附件14技术标评分标准</w:t>
      </w:r>
    </w:p>
    <w:p>
      <w:pPr>
        <w:outlineLvl w:val="2"/>
        <w:rPr>
          <w:rFonts w:hint="eastAsia" w:ascii="Times New Roman" w:hAnsi="Times New Roman" w:eastAsia="宋体" w:cs="Times New Roman"/>
          <w:b/>
          <w:bCs/>
          <w:color w:val="000000"/>
          <w:sz w:val="24"/>
          <w:szCs w:val="24"/>
          <w:highlight w:val="yellow"/>
          <w:lang w:val="en-US" w:eastAsia="zh-CN"/>
        </w:rPr>
      </w:pPr>
    </w:p>
    <w:p>
      <w:pPr>
        <w:outlineLvl w:val="2"/>
        <w:rPr>
          <w:rFonts w:hint="default" w:ascii="Times New Roman" w:hAnsi="Times New Roman" w:eastAsia="宋体" w:cs="Times New Roman"/>
          <w:b/>
          <w:bCs/>
          <w:color w:val="000000"/>
          <w:sz w:val="24"/>
          <w:szCs w:val="24"/>
          <w:highlight w:val="yellow"/>
          <w:lang w:val="en-US" w:eastAsia="zh-CN"/>
        </w:rPr>
      </w:pPr>
      <w:r>
        <w:rPr>
          <w:rFonts w:hint="eastAsia" w:ascii="Times New Roman" w:hAnsi="Times New Roman" w:eastAsia="宋体" w:cs="Times New Roman"/>
          <w:b/>
          <w:bCs/>
          <w:color w:val="000000"/>
          <w:sz w:val="24"/>
          <w:szCs w:val="24"/>
          <w:highlight w:val="yellow"/>
          <w:lang w:val="en-US" w:eastAsia="zh-CN"/>
        </w:rPr>
        <w:t>技术标入围后，合理最低价中标，对于技术入围与否根据专家组实际意见，无需向投标人解释。</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9"/>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0"/>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1"/>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2"/>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3"/>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4"/>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5"/>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6"/>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7"/>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8"/>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9"/>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0"/>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1"/>
                    <a:stretch>
                      <a:fillRect/>
                    </a:stretch>
                  </pic:blipFill>
                  <pic:spPr>
                    <a:xfrm>
                      <a:off x="0" y="0"/>
                      <a:ext cx="5760085" cy="1956600"/>
                    </a:xfrm>
                    <a:prstGeom prst="rect">
                      <a:avLst/>
                    </a:prstGeom>
                  </pic:spPr>
                </pic:pic>
              </a:graphicData>
            </a:graphic>
          </wp:inline>
        </w:drawing>
      </w:r>
    </w:p>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5" w:type="first"/>
      <w:footerReference r:id="rId37" w:type="first"/>
      <w:headerReference r:id="rId34" w:type="default"/>
      <w:footerReference r:id="rId3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 w:name="Microsoft JhengHei Light">
    <w:panose1 w:val="020B0304030504040204"/>
    <w:charset w:val="88"/>
    <w:family w:val="swiss"/>
    <w:pitch w:val="default"/>
    <w:sig w:usb0="800002A7" w:usb1="28CF4400" w:usb2="00000016" w:usb3="00000000" w:csb0="00100009"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5" r:id="rId1">
          <o:LockedField>false</o:LockedField>
        </o:OLEObject>
      </w:object>
    </w:r>
    <w:r>
      <w:rPr>
        <w:rFonts w:hint="eastAsia"/>
        <w:lang w:val="en-US" w:eastAsia="zh-CN"/>
      </w:rPr>
      <w:t xml:space="preserve">                                </w:t>
    </w:r>
    <w:r>
      <w:rPr>
        <w:rFonts w:hint="eastAsia" w:ascii="黑体" w:eastAsia="黑体"/>
        <w:sz w:val="24"/>
        <w:szCs w:val="24"/>
      </w:rPr>
      <w:t>发动机拧紧设备提升项目技术标书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891F9"/>
    <w:multiLevelType w:val="singleLevel"/>
    <w:tmpl w:val="938891F9"/>
    <w:lvl w:ilvl="0" w:tentative="0">
      <w:start w:val="1"/>
      <w:numFmt w:val="decimalEnclosedCircleChinese"/>
      <w:suff w:val="nothing"/>
      <w:lvlText w:val="%1　"/>
      <w:lvlJc w:val="left"/>
      <w:pPr>
        <w:ind w:left="0" w:firstLine="400"/>
      </w:pPr>
      <w:rPr>
        <w:rFonts w:hint="eastAsia"/>
      </w:rPr>
    </w:lvl>
  </w:abstractNum>
  <w:abstractNum w:abstractNumId="1">
    <w:nsid w:val="A3340496"/>
    <w:multiLevelType w:val="singleLevel"/>
    <w:tmpl w:val="A3340496"/>
    <w:lvl w:ilvl="0" w:tentative="0">
      <w:start w:val="1"/>
      <w:numFmt w:val="decimalEnclosedCircleChinese"/>
      <w:suff w:val="nothing"/>
      <w:lvlText w:val="%1　"/>
      <w:lvlJc w:val="left"/>
      <w:pPr>
        <w:ind w:left="420" w:firstLine="400"/>
      </w:pPr>
      <w:rPr>
        <w:rFonts w:hint="eastAsia"/>
      </w:rPr>
    </w:lvl>
  </w:abstractNum>
  <w:abstractNum w:abstractNumId="2">
    <w:nsid w:val="A3C8B292"/>
    <w:multiLevelType w:val="singleLevel"/>
    <w:tmpl w:val="A3C8B292"/>
    <w:lvl w:ilvl="0" w:tentative="0">
      <w:start w:val="1"/>
      <w:numFmt w:val="decimalEnclosedCircleChinese"/>
      <w:suff w:val="nothing"/>
      <w:lvlText w:val="%1　"/>
      <w:lvlJc w:val="left"/>
      <w:pPr>
        <w:ind w:left="0" w:firstLine="400"/>
      </w:pPr>
      <w:rPr>
        <w:rFonts w:hint="eastAsia"/>
      </w:rPr>
    </w:lvl>
  </w:abstractNum>
  <w:abstractNum w:abstractNumId="3">
    <w:nsid w:val="B8DFB3F8"/>
    <w:multiLevelType w:val="singleLevel"/>
    <w:tmpl w:val="B8DFB3F8"/>
    <w:lvl w:ilvl="0" w:tentative="0">
      <w:start w:val="1"/>
      <w:numFmt w:val="decimalEnclosedCircleChinese"/>
      <w:suff w:val="nothing"/>
      <w:lvlText w:val="%1　"/>
      <w:lvlJc w:val="left"/>
      <w:pPr>
        <w:ind w:left="0" w:firstLine="400"/>
      </w:pPr>
      <w:rPr>
        <w:rFonts w:hint="eastAsia"/>
      </w:rPr>
    </w:lvl>
  </w:abstractNum>
  <w:abstractNum w:abstractNumId="4">
    <w:nsid w:val="D1308275"/>
    <w:multiLevelType w:val="singleLevel"/>
    <w:tmpl w:val="D1308275"/>
    <w:lvl w:ilvl="0" w:tentative="0">
      <w:start w:val="1"/>
      <w:numFmt w:val="decimalEnclosedCircleChinese"/>
      <w:suff w:val="nothing"/>
      <w:lvlText w:val="%1　"/>
      <w:lvlJc w:val="left"/>
      <w:pPr>
        <w:ind w:left="0" w:firstLine="400"/>
      </w:pPr>
      <w:rPr>
        <w:rFonts w:hint="eastAsia"/>
      </w:rPr>
    </w:lvl>
  </w:abstractNum>
  <w:abstractNum w:abstractNumId="5">
    <w:nsid w:val="D146FCA9"/>
    <w:multiLevelType w:val="singleLevel"/>
    <w:tmpl w:val="D146FCA9"/>
    <w:lvl w:ilvl="0" w:tentative="0">
      <w:start w:val="4"/>
      <w:numFmt w:val="chineseCounting"/>
      <w:suff w:val="space"/>
      <w:lvlText w:val="第%1部分"/>
      <w:lvlJc w:val="left"/>
      <w:rPr>
        <w:rFonts w:hint="eastAsia"/>
      </w:rPr>
    </w:lvl>
  </w:abstractNum>
  <w:abstractNum w:abstractNumId="6">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7">
    <w:nsid w:val="D9C818F6"/>
    <w:multiLevelType w:val="singleLevel"/>
    <w:tmpl w:val="D9C818F6"/>
    <w:lvl w:ilvl="0" w:tentative="0">
      <w:start w:val="1"/>
      <w:numFmt w:val="decimalEnclosedCircleChinese"/>
      <w:suff w:val="nothing"/>
      <w:lvlText w:val="%1　"/>
      <w:lvlJc w:val="left"/>
      <w:pPr>
        <w:ind w:left="420" w:firstLine="400"/>
      </w:pPr>
      <w:rPr>
        <w:rFonts w:hint="eastAsia"/>
      </w:rPr>
    </w:lvl>
  </w:abstractNum>
  <w:abstractNum w:abstractNumId="8">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9">
    <w:nsid w:val="0C69513E"/>
    <w:multiLevelType w:val="multilevel"/>
    <w:tmpl w:val="0C69513E"/>
    <w:lvl w:ilvl="0" w:tentative="0">
      <w:start w:val="1"/>
      <w:numFmt w:val="bullet"/>
      <w:lvlText w:val=""/>
      <w:lvlJc w:val="left"/>
      <w:pPr>
        <w:tabs>
          <w:tab w:val="left" w:pos="720"/>
        </w:tabs>
        <w:ind w:left="720" w:hanging="360"/>
      </w:pPr>
      <w:rPr>
        <w:rFonts w:hint="default" w:ascii="Symbol" w:hAnsi="Symbol"/>
        <w:sz w:val="20"/>
      </w:rPr>
    </w:lvl>
    <w:lvl w:ilvl="1" w:tentative="0">
      <w:start w:val="1"/>
      <w:numFmt w:val="decimal"/>
      <w:lvlText w:val="%2."/>
      <w:lvlJc w:val="left"/>
      <w:pPr>
        <w:tabs>
          <w:tab w:val="left" w:pos="1440"/>
        </w:tabs>
        <w:ind w:left="1440" w:hanging="360"/>
      </w:p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decimalEnclosedCircle"/>
      <w:lvlText w:val="%5"/>
      <w:lvlJc w:val="left"/>
      <w:pPr>
        <w:ind w:left="3600" w:hanging="360"/>
      </w:pPr>
      <w:rPr>
        <w:rFonts w:hint="default"/>
        <w:b/>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0">
    <w:nsid w:val="1A0DE8C9"/>
    <w:multiLevelType w:val="singleLevel"/>
    <w:tmpl w:val="1A0DE8C9"/>
    <w:lvl w:ilvl="0" w:tentative="0">
      <w:start w:val="1"/>
      <w:numFmt w:val="decimalEnclosedCircleChinese"/>
      <w:suff w:val="nothing"/>
      <w:lvlText w:val="%1　"/>
      <w:lvlJc w:val="left"/>
      <w:pPr>
        <w:ind w:left="420" w:firstLine="400"/>
      </w:pPr>
      <w:rPr>
        <w:rFonts w:hint="eastAsia"/>
      </w:rPr>
    </w:lvl>
  </w:abstractNum>
  <w:abstractNum w:abstractNumId="11">
    <w:nsid w:val="1B662AE1"/>
    <w:multiLevelType w:val="singleLevel"/>
    <w:tmpl w:val="1B662AE1"/>
    <w:lvl w:ilvl="0" w:tentative="0">
      <w:start w:val="1"/>
      <w:numFmt w:val="decimalEnclosedCircleChinese"/>
      <w:suff w:val="nothing"/>
      <w:lvlText w:val="%1　"/>
      <w:lvlJc w:val="left"/>
      <w:pPr>
        <w:ind w:left="0" w:firstLine="400"/>
      </w:pPr>
      <w:rPr>
        <w:rFonts w:hint="eastAsia"/>
      </w:rPr>
    </w:lvl>
  </w:abstractNum>
  <w:abstractNum w:abstractNumId="12">
    <w:nsid w:val="20A6E5BA"/>
    <w:multiLevelType w:val="singleLevel"/>
    <w:tmpl w:val="20A6E5BA"/>
    <w:lvl w:ilvl="0" w:tentative="0">
      <w:start w:val="1"/>
      <w:numFmt w:val="decimalEnclosedCircleChinese"/>
      <w:suff w:val="nothing"/>
      <w:lvlText w:val="%1　"/>
      <w:lvlJc w:val="left"/>
      <w:pPr>
        <w:ind w:left="0" w:firstLine="400"/>
      </w:pPr>
      <w:rPr>
        <w:rFonts w:hint="eastAsia"/>
      </w:rPr>
    </w:lvl>
  </w:abstractNum>
  <w:abstractNum w:abstractNumId="1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5">
    <w:nsid w:val="40708F0C"/>
    <w:multiLevelType w:val="singleLevel"/>
    <w:tmpl w:val="40708F0C"/>
    <w:lvl w:ilvl="0" w:tentative="0">
      <w:start w:val="5"/>
      <w:numFmt w:val="decimal"/>
      <w:suff w:val="nothing"/>
      <w:lvlText w:val="（%1）"/>
      <w:lvlJc w:val="left"/>
    </w:lvl>
  </w:abstractNum>
  <w:abstractNum w:abstractNumId="16">
    <w:nsid w:val="40AC4FC6"/>
    <w:multiLevelType w:val="multilevel"/>
    <w:tmpl w:val="40AC4FC6"/>
    <w:lvl w:ilvl="0" w:tentative="0">
      <w:start w:val="1"/>
      <w:numFmt w:val="bullet"/>
      <w:lvlText w:val=""/>
      <w:lvlJc w:val="left"/>
      <w:pPr>
        <w:tabs>
          <w:tab w:val="left" w:pos="720"/>
        </w:tabs>
        <w:ind w:left="720" w:hanging="360"/>
      </w:pPr>
      <w:rPr>
        <w:rFonts w:hint="default" w:ascii="Symbol" w:hAnsi="Symbol"/>
        <w:sz w:val="20"/>
      </w:rPr>
    </w:lvl>
    <w:lvl w:ilvl="1" w:tentative="0">
      <w:start w:val="1"/>
      <w:numFmt w:val="decimal"/>
      <w:lvlText w:val="%2."/>
      <w:lvlJc w:val="left"/>
      <w:pPr>
        <w:tabs>
          <w:tab w:val="left" w:pos="1440"/>
        </w:tabs>
        <w:ind w:left="1440" w:hanging="360"/>
      </w:p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decimalEnclosedCircle"/>
      <w:lvlText w:val="%4"/>
      <w:lvlJc w:val="left"/>
      <w:pPr>
        <w:ind w:left="2880" w:hanging="360"/>
      </w:pPr>
      <w:rPr>
        <w:rFonts w:hint="default"/>
        <w:b/>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8">
    <w:nsid w:val="4E576016"/>
    <w:multiLevelType w:val="singleLevel"/>
    <w:tmpl w:val="4E576016"/>
    <w:lvl w:ilvl="0" w:tentative="0">
      <w:start w:val="1"/>
      <w:numFmt w:val="decimalEnclosedCircleChinese"/>
      <w:suff w:val="nothing"/>
      <w:lvlText w:val="%1　"/>
      <w:lvlJc w:val="left"/>
      <w:pPr>
        <w:ind w:left="0" w:firstLine="400"/>
      </w:pPr>
      <w:rPr>
        <w:rFonts w:hint="eastAsia"/>
      </w:rPr>
    </w:lvl>
  </w:abstractNum>
  <w:abstractNum w:abstractNumId="19">
    <w:nsid w:val="53399611"/>
    <w:multiLevelType w:val="singleLevel"/>
    <w:tmpl w:val="53399611"/>
    <w:lvl w:ilvl="0" w:tentative="0">
      <w:start w:val="1"/>
      <w:numFmt w:val="chineseCounting"/>
      <w:suff w:val="nothing"/>
      <w:lvlText w:val="%1、"/>
      <w:lvlJc w:val="left"/>
      <w:rPr>
        <w:rFonts w:hint="eastAsia"/>
      </w:rPr>
    </w:lvl>
  </w:abstractNum>
  <w:abstractNum w:abstractNumId="20">
    <w:nsid w:val="5A98635D"/>
    <w:multiLevelType w:val="singleLevel"/>
    <w:tmpl w:val="5A98635D"/>
    <w:lvl w:ilvl="0" w:tentative="0">
      <w:start w:val="1"/>
      <w:numFmt w:val="decimalEnclosedCircleChinese"/>
      <w:suff w:val="nothing"/>
      <w:lvlText w:val="%1　"/>
      <w:lvlJc w:val="left"/>
      <w:pPr>
        <w:ind w:left="0" w:firstLine="400"/>
      </w:pPr>
      <w:rPr>
        <w:rFonts w:hint="eastAsia"/>
      </w:rPr>
    </w:lvl>
  </w:abstractNum>
  <w:abstractNum w:abstractNumId="21">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2">
    <w:nsid w:val="6E8C6948"/>
    <w:multiLevelType w:val="singleLevel"/>
    <w:tmpl w:val="6E8C6948"/>
    <w:lvl w:ilvl="0" w:tentative="0">
      <w:start w:val="1"/>
      <w:numFmt w:val="chineseCounting"/>
      <w:suff w:val="space"/>
      <w:lvlText w:val="第%1部分"/>
      <w:lvlJc w:val="left"/>
      <w:rPr>
        <w:rFonts w:hint="eastAsia"/>
      </w:rPr>
    </w:lvl>
  </w:abstractNum>
  <w:abstractNum w:abstractNumId="23">
    <w:nsid w:val="703916AB"/>
    <w:multiLevelType w:val="multilevel"/>
    <w:tmpl w:val="703916AB"/>
    <w:lvl w:ilvl="0" w:tentative="0">
      <w:start w:val="1"/>
      <w:numFmt w:val="bullet"/>
      <w:lvlText w:val=""/>
      <w:lvlJc w:val="left"/>
      <w:pPr>
        <w:tabs>
          <w:tab w:val="left" w:pos="720"/>
        </w:tabs>
        <w:ind w:left="720" w:hanging="360"/>
      </w:pPr>
      <w:rPr>
        <w:rFonts w:hint="default" w:ascii="Symbol" w:hAnsi="Symbol"/>
        <w:sz w:val="20"/>
      </w:rPr>
    </w:lvl>
    <w:lvl w:ilvl="1" w:tentative="0">
      <w:start w:val="1"/>
      <w:numFmt w:val="decimal"/>
      <w:lvlText w:val="%2."/>
      <w:lvlJc w:val="left"/>
      <w:pPr>
        <w:tabs>
          <w:tab w:val="left" w:pos="1440"/>
        </w:tabs>
        <w:ind w:left="1440" w:hanging="360"/>
      </w:p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4">
    <w:nsid w:val="7A612DE2"/>
    <w:multiLevelType w:val="singleLevel"/>
    <w:tmpl w:val="7A612DE2"/>
    <w:lvl w:ilvl="0" w:tentative="0">
      <w:start w:val="2"/>
      <w:numFmt w:val="decimal"/>
      <w:lvlText w:val="%1."/>
      <w:lvlJc w:val="left"/>
      <w:pPr>
        <w:tabs>
          <w:tab w:val="left" w:pos="312"/>
        </w:tabs>
      </w:pPr>
    </w:lvl>
  </w:abstractNum>
  <w:abstractNum w:abstractNumId="25">
    <w:nsid w:val="7A92162A"/>
    <w:multiLevelType w:val="multilevel"/>
    <w:tmpl w:val="7A92162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decimal"/>
      <w:lvlText w:val="%2."/>
      <w:lvlJc w:val="left"/>
      <w:pPr>
        <w:tabs>
          <w:tab w:val="left" w:pos="1440"/>
        </w:tabs>
        <w:ind w:left="1440" w:hanging="360"/>
      </w:p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21"/>
  </w:num>
  <w:num w:numId="2">
    <w:abstractNumId w:val="22"/>
  </w:num>
  <w:num w:numId="3">
    <w:abstractNumId w:val="24"/>
  </w:num>
  <w:num w:numId="4">
    <w:abstractNumId w:val="13"/>
  </w:num>
  <w:num w:numId="5">
    <w:abstractNumId w:val="8"/>
  </w:num>
  <w:num w:numId="6">
    <w:abstractNumId w:val="17"/>
  </w:num>
  <w:num w:numId="7">
    <w:abstractNumId w:val="6"/>
  </w:num>
  <w:num w:numId="8">
    <w:abstractNumId w:val="14"/>
  </w:num>
  <w:num w:numId="9">
    <w:abstractNumId w:val="5"/>
  </w:num>
  <w:num w:numId="10">
    <w:abstractNumId w:val="1"/>
  </w:num>
  <w:num w:numId="11">
    <w:abstractNumId w:val="7"/>
  </w:num>
  <w:num w:numId="12">
    <w:abstractNumId w:val="10"/>
  </w:num>
  <w:num w:numId="13">
    <w:abstractNumId w:val="16"/>
  </w:num>
  <w:num w:numId="14">
    <w:abstractNumId w:val="4"/>
  </w:num>
  <w:num w:numId="15">
    <w:abstractNumId w:val="16"/>
    <w:lvlOverride w:ilvl="1">
      <w:lvl w:ilvl="1" w:tentative="1">
        <w:start w:val="0"/>
        <w:numFmt w:val="bullet"/>
        <w:lvlText w:val="o"/>
        <w:lvlJc w:val="left"/>
        <w:pPr>
          <w:tabs>
            <w:tab w:val="left" w:pos="1440"/>
          </w:tabs>
          <w:ind w:left="1440" w:hanging="360"/>
        </w:pPr>
        <w:rPr>
          <w:rFonts w:hint="default" w:ascii="Courier New" w:hAnsi="Courier New"/>
          <w:sz w:val="20"/>
        </w:rPr>
      </w:lvl>
    </w:lvlOverride>
  </w:num>
  <w:num w:numId="16">
    <w:abstractNumId w:val="20"/>
  </w:num>
  <w:num w:numId="17">
    <w:abstractNumId w:val="23"/>
  </w:num>
  <w:num w:numId="18">
    <w:abstractNumId w:val="11"/>
  </w:num>
  <w:num w:numId="19">
    <w:abstractNumId w:val="23"/>
    <w:lvlOverride w:ilvl="1">
      <w:lvl w:ilvl="1" w:tentative="1">
        <w:start w:val="0"/>
        <w:numFmt w:val="bullet"/>
        <w:lvlText w:val="o"/>
        <w:lvlJc w:val="left"/>
        <w:pPr>
          <w:tabs>
            <w:tab w:val="left" w:pos="1440"/>
          </w:tabs>
          <w:ind w:left="1440" w:hanging="360"/>
        </w:pPr>
        <w:rPr>
          <w:rFonts w:hint="default" w:ascii="Courier New" w:hAnsi="Courier New"/>
          <w:sz w:val="20"/>
        </w:rPr>
      </w:lvl>
    </w:lvlOverride>
  </w:num>
  <w:num w:numId="20">
    <w:abstractNumId w:val="12"/>
  </w:num>
  <w:num w:numId="21">
    <w:abstractNumId w:val="9"/>
  </w:num>
  <w:num w:numId="22">
    <w:abstractNumId w:val="3"/>
  </w:num>
  <w:num w:numId="23">
    <w:abstractNumId w:val="0"/>
  </w:num>
  <w:num w:numId="24">
    <w:abstractNumId w:val="9"/>
    <w:lvlOverride w:ilvl="1">
      <w:lvl w:ilvl="1" w:tentative="1">
        <w:start w:val="0"/>
        <w:numFmt w:val="bullet"/>
        <w:lvlText w:val="o"/>
        <w:lvlJc w:val="left"/>
        <w:pPr>
          <w:tabs>
            <w:tab w:val="left" w:pos="1440"/>
          </w:tabs>
          <w:ind w:left="1440" w:hanging="360"/>
        </w:pPr>
        <w:rPr>
          <w:rFonts w:hint="default" w:ascii="Courier New" w:hAnsi="Courier New"/>
          <w:sz w:val="20"/>
        </w:rPr>
      </w:lvl>
    </w:lvlOverride>
  </w:num>
  <w:num w:numId="25">
    <w:abstractNumId w:val="25"/>
  </w:num>
  <w:num w:numId="26">
    <w:abstractNumId w:val="2"/>
  </w:num>
  <w:num w:numId="27">
    <w:abstractNumId w:val="25"/>
    <w:lvlOverride w:ilvl="1">
      <w:lvl w:ilvl="1" w:tentative="1">
        <w:start w:val="0"/>
        <w:numFmt w:val="bullet"/>
        <w:lvlText w:val="o"/>
        <w:lvlJc w:val="left"/>
        <w:pPr>
          <w:tabs>
            <w:tab w:val="left" w:pos="1440"/>
          </w:tabs>
          <w:ind w:left="1440" w:hanging="360"/>
        </w:pPr>
        <w:rPr>
          <w:rFonts w:hint="default" w:ascii="Courier New" w:hAnsi="Courier New"/>
          <w:sz w:val="20"/>
        </w:rPr>
      </w:lvl>
    </w:lvlOverride>
  </w:num>
  <w:num w:numId="28">
    <w:abstractNumId w:val="18"/>
  </w:num>
  <w:num w:numId="29">
    <w:abstractNumId w:val="15"/>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35051"/>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B409FA"/>
    <w:rsid w:val="12DF667C"/>
    <w:rsid w:val="12E201DF"/>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3E5042"/>
    <w:rsid w:val="15433A9B"/>
    <w:rsid w:val="158C7EE5"/>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6F8717B"/>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AF20F4"/>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CC38A8"/>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D3F3E"/>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6B66E30"/>
    <w:rsid w:val="37085B1F"/>
    <w:rsid w:val="372E04CB"/>
    <w:rsid w:val="374440F3"/>
    <w:rsid w:val="3762046C"/>
    <w:rsid w:val="376A7E9C"/>
    <w:rsid w:val="376B5C1E"/>
    <w:rsid w:val="37742729"/>
    <w:rsid w:val="3790083E"/>
    <w:rsid w:val="37A92DDE"/>
    <w:rsid w:val="37C77814"/>
    <w:rsid w:val="37F5117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9B5B8A"/>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BA2A8C"/>
    <w:rsid w:val="53D004E8"/>
    <w:rsid w:val="542631B6"/>
    <w:rsid w:val="545F0C78"/>
    <w:rsid w:val="54647343"/>
    <w:rsid w:val="54A61722"/>
    <w:rsid w:val="54B31FAF"/>
    <w:rsid w:val="54FB4092"/>
    <w:rsid w:val="5520610B"/>
    <w:rsid w:val="5524472E"/>
    <w:rsid w:val="55326D63"/>
    <w:rsid w:val="55332A56"/>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761F7"/>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6A495D"/>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BF0D91"/>
    <w:rsid w:val="6AE73176"/>
    <w:rsid w:val="6B0A525B"/>
    <w:rsid w:val="6B17424A"/>
    <w:rsid w:val="6B2218FA"/>
    <w:rsid w:val="6B691672"/>
    <w:rsid w:val="6B755FDA"/>
    <w:rsid w:val="6B7D64E9"/>
    <w:rsid w:val="6BB640C5"/>
    <w:rsid w:val="6BCF0C2E"/>
    <w:rsid w:val="6BD06892"/>
    <w:rsid w:val="6BE33C8F"/>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DE05CD4"/>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AF76ED"/>
    <w:rsid w:val="74B25745"/>
    <w:rsid w:val="74B46F86"/>
    <w:rsid w:val="74F97739"/>
    <w:rsid w:val="74FB18F9"/>
    <w:rsid w:val="75465BBF"/>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1F58E4"/>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3"/>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4" Type="http://schemas.openxmlformats.org/officeDocument/2006/relationships/fontTable" Target="fontTable.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14.png"/><Relationship Id="rId50" Type="http://schemas.openxmlformats.org/officeDocument/2006/relationships/image" Target="media/image13.png"/><Relationship Id="rId5" Type="http://schemas.openxmlformats.org/officeDocument/2006/relationships/footer" Target="footer2.xml"/><Relationship Id="rId49" Type="http://schemas.openxmlformats.org/officeDocument/2006/relationships/image" Target="media/image12.png"/><Relationship Id="rId48" Type="http://schemas.openxmlformats.org/officeDocument/2006/relationships/image" Target="media/image11.png"/><Relationship Id="rId47" Type="http://schemas.openxmlformats.org/officeDocument/2006/relationships/image" Target="media/image10.png"/><Relationship Id="rId46" Type="http://schemas.openxmlformats.org/officeDocument/2006/relationships/image" Target="media/image9.png"/><Relationship Id="rId45" Type="http://schemas.openxmlformats.org/officeDocument/2006/relationships/image" Target="media/image8.png"/><Relationship Id="rId44" Type="http://schemas.openxmlformats.org/officeDocument/2006/relationships/image" Target="media/image7.png"/><Relationship Id="rId43" Type="http://schemas.openxmlformats.org/officeDocument/2006/relationships/image" Target="media/image6.png"/><Relationship Id="rId42" Type="http://schemas.openxmlformats.org/officeDocument/2006/relationships/image" Target="media/image5.png"/><Relationship Id="rId41" Type="http://schemas.openxmlformats.org/officeDocument/2006/relationships/image" Target="media/image4.png"/><Relationship Id="rId40" Type="http://schemas.openxmlformats.org/officeDocument/2006/relationships/image" Target="media/image3.png"/><Relationship Id="rId4" Type="http://schemas.openxmlformats.org/officeDocument/2006/relationships/footer" Target="footer1.xml"/><Relationship Id="rId39" Type="http://schemas.openxmlformats.org/officeDocument/2006/relationships/image" Target="media/image2.png"/><Relationship Id="rId38" Type="http://schemas.openxmlformats.org/officeDocument/2006/relationships/theme" Target="theme/theme1.xml"/><Relationship Id="rId37" Type="http://schemas.openxmlformats.org/officeDocument/2006/relationships/footer" Target="footer26.xml"/><Relationship Id="rId36" Type="http://schemas.openxmlformats.org/officeDocument/2006/relationships/footer" Target="footer25.xml"/><Relationship Id="rId35" Type="http://schemas.openxmlformats.org/officeDocument/2006/relationships/header" Target="header9.xml"/><Relationship Id="rId34" Type="http://schemas.openxmlformats.org/officeDocument/2006/relationships/header" Target="header8.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header" Target="header7.xml"/><Relationship Id="rId30" Type="http://schemas.openxmlformats.org/officeDocument/2006/relationships/header" Target="header6.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87</Pages>
  <Words>9726</Words>
  <Characters>10320</Characters>
  <Lines>371</Lines>
  <Paragraphs>104</Paragraphs>
  <TotalTime>2</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2025-11-04T01:45:01Z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