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23041EF5">
      <w:pPr>
        <w:ind w:right="280"/>
        <w:jc w:val="center"/>
        <w:rPr>
          <w:rFonts w:hint="eastAsia" w:ascii="楷体_GB2312" w:hAnsi="宋体" w:eastAsia="楷体_GB2312"/>
          <w:sz w:val="52"/>
          <w:szCs w:val="52"/>
          <w:highlight w:val="yellow"/>
        </w:rPr>
      </w:pPr>
      <w:r>
        <w:rPr>
          <w:rFonts w:hint="eastAsia" w:ascii="楷体_GB2312" w:hAnsi="宋体" w:eastAsia="楷体_GB2312"/>
          <w:sz w:val="52"/>
          <w:szCs w:val="52"/>
          <w:highlight w:val="yellow"/>
        </w:rPr>
        <w:t>济南卡车销售部第二会议室LED大屏采购</w:t>
      </w:r>
    </w:p>
    <w:p w14:paraId="009EA4D6">
      <w:pPr>
        <w:ind w:right="280"/>
        <w:jc w:val="center"/>
        <w:rPr>
          <w:rFonts w:ascii="楷体_GB2312" w:hAnsi="宋体" w:eastAsia="楷体_GB2312"/>
          <w:sz w:val="52"/>
          <w:szCs w:val="52"/>
        </w:rPr>
      </w:pPr>
      <w:r>
        <w:rPr>
          <w:rFonts w:hint="eastAsia" w:ascii="楷体_GB2312" w:hAnsi="宋体" w:eastAsia="楷体_GB2312"/>
          <w:sz w:val="52"/>
          <w:szCs w:val="52"/>
        </w:rPr>
        <w:t>招标项目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none"/>
        </w:rPr>
        <w:t>FSCZB2025100174</w:t>
      </w:r>
    </w:p>
    <w:p w14:paraId="10A10BCC">
      <w:pPr>
        <w:jc w:val="center"/>
        <w:rPr>
          <w:rFonts w:ascii="宋体" w:hAnsi="宋体"/>
          <w:sz w:val="48"/>
          <w:szCs w:val="48"/>
        </w:rPr>
      </w:pPr>
    </w:p>
    <w:p w14:paraId="0D4E54EC">
      <w:pPr>
        <w:jc w:val="center"/>
        <w:rPr>
          <w:rFonts w:ascii="宋体" w:hAnsi="宋体"/>
          <w:sz w:val="48"/>
          <w:szCs w:val="48"/>
        </w:rPr>
      </w:pPr>
    </w:p>
    <w:p w14:paraId="1CE80EBC">
      <w:pPr>
        <w:jc w:val="center"/>
        <w:rPr>
          <w:rFonts w:ascii="宋体" w:hAnsi="宋体"/>
          <w:sz w:val="28"/>
          <w:szCs w:val="28"/>
        </w:rPr>
      </w:pPr>
      <w:r>
        <w:rPr>
          <w:rFonts w:hint="eastAsia" w:ascii="宋体" w:hAnsi="宋体"/>
          <w:sz w:val="28"/>
          <w:szCs w:val="28"/>
        </w:rPr>
        <w:t>招 标 人：中国重汽集团济南卡车股份有限公司卡车销售部</w:t>
      </w:r>
    </w:p>
    <w:p w14:paraId="0D8A0D9A">
      <w:pPr>
        <w:jc w:val="center"/>
        <w:rPr>
          <w:rFonts w:ascii="宋体" w:hAnsi="宋体"/>
          <w:sz w:val="28"/>
          <w:szCs w:val="28"/>
        </w:rPr>
      </w:pPr>
    </w:p>
    <w:p w14:paraId="3BAF7542">
      <w:pPr>
        <w:jc w:val="center"/>
        <w:rPr>
          <w:rFonts w:ascii="宋体" w:hAnsi="宋体"/>
          <w:b/>
          <w:bCs/>
          <w:sz w:val="48"/>
          <w:szCs w:val="48"/>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11</w:t>
      </w:r>
      <w:bookmarkStart w:id="33" w:name="_GoBack"/>
      <w:bookmarkEnd w:id="33"/>
      <w:r>
        <w:rPr>
          <w:rFonts w:hint="eastAsia" w:ascii="宋体" w:hAnsi="宋体"/>
          <w:sz w:val="28"/>
          <w:szCs w:val="28"/>
          <w:u w:val="single"/>
        </w:rPr>
        <w:t>月</w:t>
      </w:r>
    </w:p>
    <w:p w14:paraId="2D72C72A">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招标公告（适用于公开招标）</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5F2F187C">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3B867C39">
      <w:pPr>
        <w:pStyle w:val="71"/>
        <w:jc w:val="both"/>
        <w:rPr>
          <w:rFonts w:hint="eastAsia"/>
        </w:rPr>
      </w:pPr>
    </w:p>
    <w:p w14:paraId="2A47C58A">
      <w:pPr>
        <w:pStyle w:val="72"/>
      </w:pPr>
      <w:bookmarkStart w:id="0" w:name="_Toc47976588"/>
      <w:r>
        <w:rPr>
          <w:rFonts w:hint="eastAsia"/>
        </w:rPr>
        <w:t>项目名称及项目编号</w:t>
      </w:r>
      <w:bookmarkEnd w:id="0"/>
    </w:p>
    <w:p w14:paraId="1E71F649">
      <w:pPr>
        <w:pStyle w:val="73"/>
      </w:pPr>
      <w:r>
        <w:rPr>
          <w:rFonts w:hint="eastAsia"/>
        </w:rPr>
        <w:t>项目名称：</w:t>
      </w:r>
      <w:r>
        <w:rPr>
          <w:rFonts w:hint="eastAsia"/>
          <w:highlight w:val="yellow"/>
        </w:rPr>
        <w:t>济南卡车销售部第二会议室LED大屏采购项目</w:t>
      </w:r>
    </w:p>
    <w:p w14:paraId="15020D03">
      <w:pPr>
        <w:pStyle w:val="73"/>
      </w:pPr>
      <w:r>
        <w:rPr>
          <w:rFonts w:hint="eastAsia"/>
        </w:rPr>
        <w:t>项目编号：FSCZB2025100173</w:t>
      </w:r>
    </w:p>
    <w:p w14:paraId="0AB9F24D">
      <w:pPr>
        <w:pStyle w:val="72"/>
      </w:pPr>
      <w:bookmarkStart w:id="1" w:name="_Toc47976589"/>
      <w:r>
        <w:rPr>
          <w:rFonts w:hint="eastAsia"/>
          <w:lang w:val="en-US" w:eastAsia="zh-CN"/>
        </w:rPr>
        <w:t>项目概况</w:t>
      </w:r>
      <w:r>
        <w:rPr>
          <w:rFonts w:hint="eastAsia"/>
        </w:rPr>
        <w:t>及招标形式</w:t>
      </w:r>
      <w:bookmarkEnd w:id="1"/>
    </w:p>
    <w:p w14:paraId="71042564">
      <w:pPr>
        <w:pStyle w:val="73"/>
        <w:numPr>
          <w:ilvl w:val="0"/>
          <w:numId w:val="0"/>
        </w:numPr>
        <w:ind w:left="710" w:leftChars="0"/>
        <w:rPr>
          <w:rFonts w:hint="default" w:eastAsia="宋体"/>
          <w:lang w:val="en-US" w:eastAsia="zh-CN"/>
        </w:rPr>
      </w:pPr>
      <w:r>
        <w:rPr>
          <w:rFonts w:hint="eastAsia"/>
        </w:rPr>
        <w:t>招标内容：</w:t>
      </w:r>
      <w:r>
        <w:rPr>
          <w:rFonts w:hint="eastAsia"/>
          <w:b w:val="0"/>
          <w:bCs/>
        </w:rPr>
        <w:t>随着集团公司信息化系统不断升级，视频会议增加。现有条件无法满足视频会议要求。(1、济南卡车销售部第二会议室无LED显示屏配备、2、满足视频会议及办公需要，提高工作效率、3、支持业务发展。）</w:t>
      </w:r>
      <w:r>
        <w:rPr>
          <w:rFonts w:hint="eastAsia"/>
          <w:b w:val="0"/>
          <w:bCs/>
          <w:lang w:eastAsia="zh-CN"/>
        </w:rPr>
        <w:t>；</w:t>
      </w:r>
      <w:r>
        <w:rPr>
          <w:rFonts w:hint="eastAsia"/>
          <w:b w:val="0"/>
          <w:bCs/>
          <w:lang w:val="en-US" w:eastAsia="zh-CN"/>
        </w:rPr>
        <w:t>屏幕约5.6平方。</w:t>
      </w:r>
    </w:p>
    <w:p w14:paraId="4EC58B63">
      <w:pPr>
        <w:pStyle w:val="73"/>
        <w:numPr>
          <w:ilvl w:val="0"/>
          <w:numId w:val="0"/>
        </w:numPr>
        <w:ind w:left="710" w:leftChars="0"/>
      </w:pPr>
      <w:r>
        <w:rPr>
          <w:rFonts w:hint="eastAsia"/>
        </w:rPr>
        <w:t>招标形式：</w:t>
      </w:r>
      <w:r>
        <w:rPr>
          <w:rFonts w:hint="eastAsia"/>
          <w:highlight w:val="none"/>
          <w:lang w:val="en-US" w:eastAsia="zh-CN"/>
        </w:rPr>
        <w:t>公开招标</w:t>
      </w:r>
    </w:p>
    <w:p w14:paraId="0B813421">
      <w:pPr>
        <w:pStyle w:val="72"/>
        <w:rPr>
          <w:highlight w:val="yellow"/>
        </w:rPr>
      </w:pPr>
      <w:bookmarkStart w:id="2" w:name="_Toc47976590"/>
      <w:r>
        <w:rPr>
          <w:rFonts w:hint="eastAsia"/>
          <w:highlight w:val="yellow"/>
        </w:rPr>
        <w:t>投标人资格要求</w:t>
      </w:r>
      <w:bookmarkEnd w:id="2"/>
    </w:p>
    <w:p w14:paraId="1400C24E">
      <w:pPr>
        <w:ind w:firstLine="540" w:firstLineChars="200"/>
        <w:rPr>
          <w:rFonts w:hint="eastAsia" w:ascii="仿宋_GB2312" w:hAnsi="仿宋_GB2312" w:eastAsia="仿宋_GB2312" w:cs="仿宋_GB2312"/>
          <w:sz w:val="32"/>
          <w:szCs w:val="32"/>
        </w:rPr>
      </w:pPr>
      <w:r>
        <w:rPr>
          <w:rFonts w:ascii="Segoe UI" w:hAnsi="Segoe UI" w:eastAsia="Segoe UI" w:cs="Segoe UI"/>
          <w:i w:val="0"/>
          <w:iCs w:val="0"/>
          <w:caps w:val="0"/>
          <w:color w:val="333333"/>
          <w:spacing w:val="0"/>
          <w:sz w:val="27"/>
          <w:szCs w:val="27"/>
          <w:shd w:val="clear" w:fill="FFFFFF"/>
        </w:rPr>
        <w:t>为确保项目顺利实施，投标方需满足以下基本资质要求：</w:t>
      </w:r>
    </w:p>
    <w:tbl>
      <w:tblPr>
        <w:tblStyle w:val="31"/>
        <w:tblW w:w="478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66"/>
        <w:gridCol w:w="5324"/>
        <w:gridCol w:w="1987"/>
      </w:tblGrid>
      <w:tr w14:paraId="385FB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jc w:val="center"/>
        </w:trPr>
        <w:tc>
          <w:tcPr>
            <w:tcW w:w="882" w:type="pct"/>
            <w:shd w:val="clear" w:color="auto" w:fill="2E75B5" w:themeFill="accent1" w:themeFillShade="BF"/>
            <w:vAlign w:val="center"/>
          </w:tcPr>
          <w:p w14:paraId="4604B9B4">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color w:val="FFFFFF" w:themeColor="background1"/>
                <w:sz w:val="28"/>
                <w:szCs w:val="28"/>
                <w:vertAlign w:val="baseline"/>
                <w14:textFill>
                  <w14:solidFill>
                    <w14:schemeClr w14:val="bg1"/>
                  </w14:solidFill>
                </w14:textFill>
              </w:rPr>
            </w:pPr>
            <w:r>
              <w:rPr>
                <w:rFonts w:hint="eastAsia" w:ascii="仿宋_GB2312" w:hAnsi="仿宋_GB2312" w:eastAsia="仿宋_GB2312" w:cs="仿宋_GB2312"/>
                <w:b/>
                <w:bCs/>
                <w:i w:val="0"/>
                <w:iCs w:val="0"/>
                <w:caps w:val="0"/>
                <w:color w:val="FFFFFF" w:themeColor="background1"/>
                <w:spacing w:val="0"/>
                <w:kern w:val="0"/>
                <w:sz w:val="28"/>
                <w:szCs w:val="28"/>
                <w:lang w:val="en-US" w:eastAsia="zh-CN" w:bidi="ar"/>
                <w14:textFill>
                  <w14:solidFill>
                    <w14:schemeClr w14:val="bg1"/>
                  </w14:solidFill>
                </w14:textFill>
              </w:rPr>
              <w:t>资质类别</w:t>
            </w:r>
          </w:p>
        </w:tc>
        <w:tc>
          <w:tcPr>
            <w:tcW w:w="2998" w:type="pct"/>
            <w:shd w:val="clear" w:color="auto" w:fill="2E75B5" w:themeFill="accent1" w:themeFillShade="BF"/>
            <w:vAlign w:val="center"/>
          </w:tcPr>
          <w:p w14:paraId="488C326B">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color w:val="FFFFFF" w:themeColor="background1"/>
                <w:sz w:val="28"/>
                <w:szCs w:val="28"/>
                <w:vertAlign w:val="baseline"/>
                <w14:textFill>
                  <w14:solidFill>
                    <w14:schemeClr w14:val="bg1"/>
                  </w14:solidFill>
                </w14:textFill>
              </w:rPr>
            </w:pPr>
            <w:r>
              <w:rPr>
                <w:rFonts w:hint="eastAsia" w:ascii="仿宋_GB2312" w:hAnsi="仿宋_GB2312" w:eastAsia="仿宋_GB2312" w:cs="仿宋_GB2312"/>
                <w:b/>
                <w:bCs/>
                <w:i w:val="0"/>
                <w:iCs w:val="0"/>
                <w:caps w:val="0"/>
                <w:color w:val="FFFFFF" w:themeColor="background1"/>
                <w:spacing w:val="0"/>
                <w:kern w:val="0"/>
                <w:sz w:val="28"/>
                <w:szCs w:val="28"/>
                <w:lang w:val="en-US" w:eastAsia="zh-CN" w:bidi="ar"/>
                <w14:textFill>
                  <w14:solidFill>
                    <w14:schemeClr w14:val="bg1"/>
                  </w14:solidFill>
                </w14:textFill>
              </w:rPr>
              <w:t>具体要求</w:t>
            </w:r>
          </w:p>
        </w:tc>
        <w:tc>
          <w:tcPr>
            <w:tcW w:w="1119" w:type="pct"/>
            <w:shd w:val="clear" w:color="auto" w:fill="2E75B5" w:themeFill="accent1" w:themeFillShade="BF"/>
            <w:vAlign w:val="center"/>
          </w:tcPr>
          <w:p w14:paraId="1531D28F">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color w:val="FFFFFF" w:themeColor="background1"/>
                <w:sz w:val="28"/>
                <w:szCs w:val="28"/>
                <w:vertAlign w:val="baseline"/>
                <w14:textFill>
                  <w14:solidFill>
                    <w14:schemeClr w14:val="bg1"/>
                  </w14:solidFill>
                </w14:textFill>
              </w:rPr>
            </w:pPr>
            <w:r>
              <w:rPr>
                <w:rFonts w:hint="eastAsia" w:ascii="仿宋_GB2312" w:hAnsi="仿宋_GB2312" w:eastAsia="仿宋_GB2312" w:cs="仿宋_GB2312"/>
                <w:b/>
                <w:bCs/>
                <w:i w:val="0"/>
                <w:iCs w:val="0"/>
                <w:caps w:val="0"/>
                <w:color w:val="FFFFFF" w:themeColor="background1"/>
                <w:spacing w:val="0"/>
                <w:kern w:val="0"/>
                <w:sz w:val="28"/>
                <w:szCs w:val="28"/>
                <w:lang w:val="en-US" w:eastAsia="zh-CN" w:bidi="ar"/>
                <w14:textFill>
                  <w14:solidFill>
                    <w14:schemeClr w14:val="bg1"/>
                  </w14:solidFill>
                </w14:textFill>
              </w:rPr>
              <w:t>审查方式</w:t>
            </w:r>
          </w:p>
        </w:tc>
      </w:tr>
      <w:tr w14:paraId="7BE6B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jc w:val="center"/>
        </w:trPr>
        <w:tc>
          <w:tcPr>
            <w:tcW w:w="882" w:type="pct"/>
            <w:vAlign w:val="center"/>
          </w:tcPr>
          <w:p w14:paraId="6AC038B7">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Style w:val="33"/>
                <w:rFonts w:hint="eastAsia" w:ascii="仿宋_GB2312" w:hAnsi="仿宋_GB2312" w:eastAsia="仿宋_GB2312" w:cs="仿宋_GB2312"/>
                <w:i w:val="0"/>
                <w:iCs w:val="0"/>
                <w:caps w:val="0"/>
                <w:color w:val="333333"/>
                <w:spacing w:val="0"/>
                <w:kern w:val="0"/>
                <w:sz w:val="28"/>
                <w:szCs w:val="28"/>
                <w:lang w:val="en-US" w:eastAsia="zh-CN" w:bidi="ar"/>
              </w:rPr>
              <w:t>企业合法性</w:t>
            </w:r>
          </w:p>
        </w:tc>
        <w:tc>
          <w:tcPr>
            <w:tcW w:w="2998" w:type="pct"/>
            <w:vAlign w:val="center"/>
          </w:tcPr>
          <w:p w14:paraId="4B117048">
            <w:pPr>
              <w:keepNext w:val="0"/>
              <w:keepLines w:val="0"/>
              <w:widowControl/>
              <w:suppressLineNumbers w:val="0"/>
              <w:spacing w:before="0" w:beforeAutospacing="0" w:after="0" w:afterAutospacing="0"/>
              <w:ind w:left="0" w:leftChars="0" w:right="0" w:rightChars="0"/>
              <w:jc w:val="left"/>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具备有效的营业执照，经营范围包含LED显示屏系统集成、销售或信息技术服务等相关业务</w:t>
            </w:r>
          </w:p>
        </w:tc>
        <w:tc>
          <w:tcPr>
            <w:tcW w:w="1119" w:type="pct"/>
            <w:vAlign w:val="center"/>
          </w:tcPr>
          <w:p w14:paraId="1B9BFDCA">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营业执照复印件（加盖公章）</w:t>
            </w:r>
          </w:p>
        </w:tc>
      </w:tr>
      <w:tr w14:paraId="60650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jc w:val="center"/>
        </w:trPr>
        <w:tc>
          <w:tcPr>
            <w:tcW w:w="882" w:type="pct"/>
            <w:vAlign w:val="center"/>
          </w:tcPr>
          <w:p w14:paraId="14C4A488">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Style w:val="33"/>
                <w:rFonts w:hint="eastAsia" w:ascii="仿宋_GB2312" w:hAnsi="仿宋_GB2312" w:eastAsia="仿宋_GB2312" w:cs="仿宋_GB2312"/>
                <w:i w:val="0"/>
                <w:iCs w:val="0"/>
                <w:caps w:val="0"/>
                <w:color w:val="333333"/>
                <w:spacing w:val="0"/>
                <w:kern w:val="0"/>
                <w:sz w:val="28"/>
                <w:szCs w:val="28"/>
                <w:lang w:val="en-US" w:eastAsia="zh-CN" w:bidi="ar"/>
              </w:rPr>
              <w:t>财务状况</w:t>
            </w:r>
          </w:p>
        </w:tc>
        <w:tc>
          <w:tcPr>
            <w:tcW w:w="2998" w:type="pct"/>
            <w:vAlign w:val="center"/>
          </w:tcPr>
          <w:p w14:paraId="2644EA56">
            <w:pPr>
              <w:keepNext w:val="0"/>
              <w:keepLines w:val="0"/>
              <w:widowControl/>
              <w:suppressLineNumbers w:val="0"/>
              <w:spacing w:before="0" w:beforeAutospacing="0" w:after="0" w:afterAutospacing="0"/>
              <w:ind w:left="0" w:leftChars="0" w:right="0" w:rightChars="0"/>
              <w:jc w:val="left"/>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提供近两年（2023-2024）财务报表，证明具备履行本项目（合同额约6万元）的财务能力</w:t>
            </w:r>
          </w:p>
        </w:tc>
        <w:tc>
          <w:tcPr>
            <w:tcW w:w="1119" w:type="pct"/>
            <w:vAlign w:val="center"/>
          </w:tcPr>
          <w:p w14:paraId="2CE568B3">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财务报表或资信证明</w:t>
            </w:r>
          </w:p>
        </w:tc>
      </w:tr>
      <w:tr w14:paraId="69930B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jc w:val="center"/>
        </w:trPr>
        <w:tc>
          <w:tcPr>
            <w:tcW w:w="882" w:type="pct"/>
            <w:vAlign w:val="center"/>
          </w:tcPr>
          <w:p w14:paraId="4D3FE255">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Style w:val="33"/>
                <w:rFonts w:hint="eastAsia" w:ascii="仿宋_GB2312" w:hAnsi="仿宋_GB2312" w:eastAsia="仿宋_GB2312" w:cs="仿宋_GB2312"/>
                <w:i w:val="0"/>
                <w:iCs w:val="0"/>
                <w:caps w:val="0"/>
                <w:color w:val="333333"/>
                <w:spacing w:val="0"/>
                <w:kern w:val="0"/>
                <w:sz w:val="28"/>
                <w:szCs w:val="28"/>
                <w:lang w:val="en-US" w:eastAsia="zh-CN" w:bidi="ar"/>
              </w:rPr>
              <w:t>企业信誉</w:t>
            </w:r>
          </w:p>
        </w:tc>
        <w:tc>
          <w:tcPr>
            <w:tcW w:w="2998" w:type="pct"/>
            <w:vAlign w:val="center"/>
          </w:tcPr>
          <w:p w14:paraId="29C5C583">
            <w:pPr>
              <w:keepNext w:val="0"/>
              <w:keepLines w:val="0"/>
              <w:widowControl/>
              <w:suppressLineNumbers w:val="0"/>
              <w:spacing w:before="0" w:beforeAutospacing="0" w:after="0" w:afterAutospacing="0"/>
              <w:ind w:left="0" w:leftChars="0" w:right="0" w:rightChars="0"/>
              <w:jc w:val="left"/>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无重大违法失信记录，无行贿犯罪记录</w:t>
            </w:r>
          </w:p>
        </w:tc>
        <w:tc>
          <w:tcPr>
            <w:tcW w:w="1119" w:type="pct"/>
            <w:vAlign w:val="center"/>
          </w:tcPr>
          <w:p w14:paraId="728E426C">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信用报告截图</w:t>
            </w:r>
          </w:p>
        </w:tc>
      </w:tr>
      <w:tr w14:paraId="5FDDAD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jc w:val="center"/>
        </w:trPr>
        <w:tc>
          <w:tcPr>
            <w:tcW w:w="882" w:type="pct"/>
            <w:vAlign w:val="center"/>
          </w:tcPr>
          <w:p w14:paraId="6C8BC2B6">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Style w:val="33"/>
                <w:rFonts w:hint="eastAsia" w:ascii="仿宋_GB2312" w:hAnsi="仿宋_GB2312" w:eastAsia="仿宋_GB2312" w:cs="仿宋_GB2312"/>
                <w:i w:val="0"/>
                <w:iCs w:val="0"/>
                <w:caps w:val="0"/>
                <w:color w:val="333333"/>
                <w:spacing w:val="0"/>
                <w:kern w:val="0"/>
                <w:sz w:val="28"/>
                <w:szCs w:val="28"/>
                <w:lang w:val="en-US" w:eastAsia="zh-CN" w:bidi="ar"/>
              </w:rPr>
              <w:t>项目经验</w:t>
            </w:r>
          </w:p>
        </w:tc>
        <w:tc>
          <w:tcPr>
            <w:tcW w:w="2998" w:type="pct"/>
            <w:vAlign w:val="center"/>
          </w:tcPr>
          <w:p w14:paraId="6912C67D">
            <w:pPr>
              <w:keepNext w:val="0"/>
              <w:keepLines w:val="0"/>
              <w:widowControl/>
              <w:suppressLineNumbers w:val="0"/>
              <w:spacing w:before="0" w:beforeAutospacing="0" w:after="0" w:afterAutospacing="0"/>
              <w:ind w:left="0" w:leftChars="0" w:right="0" w:rightChars="0"/>
              <w:jc w:val="left"/>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提供至少2个近三年内完成的、合同金额在5万元及以上的室内LED显示屏项目案例</w:t>
            </w:r>
          </w:p>
        </w:tc>
        <w:tc>
          <w:tcPr>
            <w:tcW w:w="1119" w:type="pct"/>
            <w:vAlign w:val="center"/>
          </w:tcPr>
          <w:p w14:paraId="63A2D0F0">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合同关键页及验收证明</w:t>
            </w:r>
          </w:p>
        </w:tc>
      </w:tr>
      <w:tr w14:paraId="130243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jc w:val="center"/>
        </w:trPr>
        <w:tc>
          <w:tcPr>
            <w:tcW w:w="882" w:type="pct"/>
            <w:vAlign w:val="center"/>
          </w:tcPr>
          <w:p w14:paraId="275D18A2">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Style w:val="33"/>
                <w:rFonts w:hint="eastAsia" w:ascii="仿宋_GB2312" w:hAnsi="仿宋_GB2312" w:eastAsia="仿宋_GB2312" w:cs="仿宋_GB2312"/>
                <w:i w:val="0"/>
                <w:iCs w:val="0"/>
                <w:caps w:val="0"/>
                <w:color w:val="333333"/>
                <w:spacing w:val="0"/>
                <w:kern w:val="0"/>
                <w:sz w:val="28"/>
                <w:szCs w:val="28"/>
                <w:lang w:val="en-US" w:eastAsia="zh-CN" w:bidi="ar"/>
              </w:rPr>
              <w:t>技术能力</w:t>
            </w:r>
          </w:p>
        </w:tc>
        <w:tc>
          <w:tcPr>
            <w:tcW w:w="2998" w:type="pct"/>
            <w:vAlign w:val="center"/>
          </w:tcPr>
          <w:p w14:paraId="3FA1E810">
            <w:pPr>
              <w:keepNext w:val="0"/>
              <w:keepLines w:val="0"/>
              <w:widowControl/>
              <w:suppressLineNumbers w:val="0"/>
              <w:spacing w:before="0" w:beforeAutospacing="0" w:after="0" w:afterAutospacing="0"/>
              <w:ind w:left="0" w:leftChars="0" w:right="0" w:rightChars="0"/>
              <w:jc w:val="left"/>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项目团队须配备至少1名具有3年以上LED显示屏项目实施经验的技术负责人</w:t>
            </w:r>
          </w:p>
        </w:tc>
        <w:tc>
          <w:tcPr>
            <w:tcW w:w="1119" w:type="pct"/>
            <w:vAlign w:val="center"/>
          </w:tcPr>
          <w:p w14:paraId="2B98D186">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技术人员简历及证明</w:t>
            </w:r>
          </w:p>
        </w:tc>
      </w:tr>
      <w:tr w14:paraId="0CF5E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jc w:val="center"/>
        </w:trPr>
        <w:tc>
          <w:tcPr>
            <w:tcW w:w="882" w:type="pct"/>
            <w:vAlign w:val="center"/>
          </w:tcPr>
          <w:p w14:paraId="54523818">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Style w:val="33"/>
                <w:rFonts w:hint="eastAsia" w:ascii="仿宋_GB2312" w:hAnsi="仿宋_GB2312" w:eastAsia="仿宋_GB2312" w:cs="仿宋_GB2312"/>
                <w:i w:val="0"/>
                <w:iCs w:val="0"/>
                <w:caps w:val="0"/>
                <w:color w:val="333333"/>
                <w:spacing w:val="0"/>
                <w:kern w:val="0"/>
                <w:sz w:val="28"/>
                <w:szCs w:val="28"/>
                <w:lang w:val="en-US" w:eastAsia="zh-CN" w:bidi="ar"/>
              </w:rPr>
              <w:t>质量认证</w:t>
            </w:r>
          </w:p>
        </w:tc>
        <w:tc>
          <w:tcPr>
            <w:tcW w:w="2998" w:type="pct"/>
            <w:vAlign w:val="center"/>
          </w:tcPr>
          <w:p w14:paraId="10E1931E">
            <w:pPr>
              <w:keepNext w:val="0"/>
              <w:keepLines w:val="0"/>
              <w:widowControl/>
              <w:suppressLineNumbers w:val="0"/>
              <w:spacing w:before="0" w:beforeAutospacing="0" w:after="0" w:afterAutospacing="0"/>
              <w:ind w:left="0" w:leftChars="0" w:right="0" w:rightChars="0"/>
              <w:jc w:val="left"/>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鼓励提供ISO9001质量管理体系认证证书</w:t>
            </w:r>
          </w:p>
        </w:tc>
        <w:tc>
          <w:tcPr>
            <w:tcW w:w="1119" w:type="pct"/>
            <w:vAlign w:val="center"/>
          </w:tcPr>
          <w:p w14:paraId="0327AE12">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认证证书复印件</w:t>
            </w:r>
          </w:p>
        </w:tc>
      </w:tr>
      <w:tr w14:paraId="0EC96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4" w:hRule="atLeast"/>
          <w:jc w:val="center"/>
        </w:trPr>
        <w:tc>
          <w:tcPr>
            <w:tcW w:w="882" w:type="pct"/>
            <w:vAlign w:val="center"/>
          </w:tcPr>
          <w:p w14:paraId="31AC67C1">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Style w:val="33"/>
                <w:rFonts w:hint="eastAsia" w:ascii="仿宋_GB2312" w:hAnsi="仿宋_GB2312" w:eastAsia="仿宋_GB2312" w:cs="仿宋_GB2312"/>
                <w:i w:val="0"/>
                <w:iCs w:val="0"/>
                <w:caps w:val="0"/>
                <w:color w:val="333333"/>
                <w:spacing w:val="0"/>
                <w:kern w:val="0"/>
                <w:sz w:val="28"/>
                <w:szCs w:val="28"/>
                <w:lang w:val="en-US" w:eastAsia="zh-CN" w:bidi="ar"/>
              </w:rPr>
              <w:t>售后服务</w:t>
            </w:r>
          </w:p>
        </w:tc>
        <w:tc>
          <w:tcPr>
            <w:tcW w:w="2998" w:type="pct"/>
            <w:vAlign w:val="center"/>
          </w:tcPr>
          <w:p w14:paraId="78D73100">
            <w:pPr>
              <w:keepNext w:val="0"/>
              <w:keepLines w:val="0"/>
              <w:widowControl/>
              <w:suppressLineNumbers w:val="0"/>
              <w:spacing w:before="0" w:beforeAutospacing="0" w:after="0" w:afterAutospacing="0"/>
              <w:ind w:left="0" w:leftChars="0" w:right="0" w:rightChars="0"/>
              <w:jc w:val="left"/>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承诺提供不低于3年的整机质保期，并在山东省或济南市设有固定的售后服务网点或技术支持人员</w:t>
            </w:r>
          </w:p>
        </w:tc>
        <w:tc>
          <w:tcPr>
            <w:tcW w:w="1119" w:type="pct"/>
            <w:vAlign w:val="center"/>
          </w:tcPr>
          <w:p w14:paraId="4A2C10AE">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售后服务承诺函</w:t>
            </w:r>
          </w:p>
        </w:tc>
      </w:tr>
    </w:tbl>
    <w:p w14:paraId="017F602C">
      <w:pPr>
        <w:numPr>
          <w:ilvl w:val="0"/>
          <w:numId w:val="9"/>
        </w:numPr>
        <w:rPr>
          <w:rStyle w:val="33"/>
          <w:rFonts w:hint="eastAsia" w:ascii="黑体" w:hAnsi="黑体" w:eastAsia="黑体" w:cs="黑体"/>
          <w:i w:val="0"/>
          <w:iCs w:val="0"/>
          <w:caps w:val="0"/>
          <w:color w:val="333333"/>
          <w:spacing w:val="0"/>
          <w:sz w:val="32"/>
          <w:szCs w:val="32"/>
          <w:shd w:val="clear" w:fill="FFFFFF"/>
        </w:rPr>
      </w:pPr>
      <w:r>
        <w:rPr>
          <w:rStyle w:val="33"/>
          <w:rFonts w:hint="eastAsia" w:ascii="黑体" w:hAnsi="黑体" w:eastAsia="黑体" w:cs="黑体"/>
          <w:i w:val="0"/>
          <w:iCs w:val="0"/>
          <w:caps w:val="0"/>
          <w:color w:val="333333"/>
          <w:spacing w:val="0"/>
          <w:sz w:val="32"/>
          <w:szCs w:val="32"/>
          <w:shd w:val="clear" w:fill="FFFFFF"/>
        </w:rPr>
        <w:t>资质审查要点</w:t>
      </w:r>
    </w:p>
    <w:p w14:paraId="13C2E96A">
      <w:pPr>
        <w:numPr>
          <w:ilvl w:val="0"/>
          <w:numId w:val="0"/>
        </w:numPr>
        <w:ind w:firstLine="540" w:firstLineChars="200"/>
        <w:rPr>
          <w:highlight w:val="yellow"/>
        </w:rPr>
      </w:pPr>
      <w:r>
        <w:rPr>
          <w:rFonts w:hint="default" w:ascii="Segoe UI" w:hAnsi="Segoe UI" w:eastAsia="Segoe UI" w:cs="Segoe UI"/>
          <w:i w:val="0"/>
          <w:iCs w:val="0"/>
          <w:caps w:val="0"/>
          <w:color w:val="333333"/>
          <w:spacing w:val="0"/>
          <w:sz w:val="27"/>
          <w:szCs w:val="27"/>
          <w:shd w:val="clear" w:fill="FFFFFF"/>
        </w:rPr>
        <w:t>根据项目特点，重点审查投标方的同类项目经验和技术团队实力，确保其具备实施P1.25小间距LED显示屏项目的能力。售后服务能力也是重要考量因素，直接关系到项目长期稳定运行。</w:t>
      </w:r>
    </w:p>
    <w:p w14:paraId="76B97D53">
      <w:pPr>
        <w:pStyle w:val="72"/>
        <w:rPr>
          <w:highlight w:val="none"/>
        </w:rPr>
      </w:pPr>
      <w:bookmarkStart w:id="3" w:name="_Toc47976591"/>
      <w:r>
        <w:rPr>
          <w:rFonts w:hint="eastAsia"/>
          <w:highlight w:val="none"/>
        </w:rPr>
        <w:t>报名及招标文件的获取</w:t>
      </w:r>
      <w:bookmarkEnd w:id="3"/>
    </w:p>
    <w:p w14:paraId="1BC9C1F2">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重汽e采通</w:t>
      </w:r>
    </w:p>
    <w:p w14:paraId="4509C0DA">
      <w:pPr>
        <w:pStyle w:val="72"/>
        <w:rPr>
          <w:highlight w:val="none"/>
        </w:rPr>
      </w:pPr>
      <w:bookmarkStart w:id="4" w:name="_Toc47976592"/>
      <w:r>
        <w:rPr>
          <w:rFonts w:hint="eastAsia"/>
          <w:highlight w:val="none"/>
        </w:rPr>
        <w:t>投标文件的递交</w:t>
      </w:r>
      <w:bookmarkEnd w:id="4"/>
    </w:p>
    <w:p w14:paraId="7C250437">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重汽e采通</w:t>
      </w:r>
    </w:p>
    <w:p w14:paraId="27B65ABD">
      <w:pPr>
        <w:pStyle w:val="72"/>
        <w:rPr>
          <w:highlight w:val="yellow"/>
        </w:rPr>
      </w:pPr>
      <w:r>
        <w:rPr>
          <w:rFonts w:hint="eastAsia"/>
          <w:highlight w:val="yellow"/>
          <w:lang w:val="en-US" w:eastAsia="zh-CN"/>
        </w:rPr>
        <w:t>开标时间和地点</w:t>
      </w:r>
    </w:p>
    <w:p w14:paraId="3E7E065B">
      <w:pPr>
        <w:pStyle w:val="72"/>
        <w:numPr>
          <w:ilvl w:val="0"/>
          <w:numId w:val="0"/>
        </w:numPr>
        <w:ind w:leftChars="0"/>
        <w:rPr>
          <w:rFonts w:hint="default" w:ascii="宋体" w:hAnsi="宋体" w:eastAsia="宋体" w:cs="宋体"/>
          <w:sz w:val="21"/>
          <w:szCs w:val="21"/>
          <w:highlight w:val="yellow"/>
          <w:lang w:val="en-US" w:eastAsia="zh-CN"/>
        </w:rPr>
      </w:pPr>
      <w:r>
        <w:rPr>
          <w:rFonts w:hint="eastAsia" w:ascii="宋体" w:hAnsi="宋体" w:eastAsia="宋体" w:cs="宋体"/>
          <w:sz w:val="21"/>
          <w:szCs w:val="21"/>
          <w:highlight w:val="yellow"/>
          <w:lang w:val="en-US" w:eastAsia="zh-CN"/>
        </w:rPr>
        <w:t>开标时间：2025年11月14日9点00分</w:t>
      </w:r>
    </w:p>
    <w:p w14:paraId="71523616">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地点：线上</w:t>
      </w:r>
    </w:p>
    <w:p w14:paraId="22385406">
      <w:pPr>
        <w:pStyle w:val="72"/>
      </w:pPr>
      <w:bookmarkStart w:id="5" w:name="_Toc47976593"/>
      <w:r>
        <w:rPr>
          <w:rFonts w:hint="eastAsia"/>
        </w:rPr>
        <w:t>招标公告发布媒介</w:t>
      </w:r>
      <w:bookmarkEnd w:id="5"/>
    </w:p>
    <w:p w14:paraId="15C59335">
      <w:pPr>
        <w:pStyle w:val="73"/>
        <w:numPr>
          <w:ilvl w:val="0"/>
          <w:numId w:val="0"/>
        </w:numPr>
        <w:ind w:left="1130" w:hanging="420"/>
        <w:rPr>
          <w:rFonts w:hint="eastAsia"/>
          <w:highlight w:val="none"/>
        </w:rPr>
      </w:pPr>
      <w:r>
        <w:rPr>
          <w:rFonts w:hint="eastAsia"/>
          <w:highlight w:val="none"/>
        </w:rPr>
        <w:t xml:space="preserve">本次招标公告同时在 </w:t>
      </w:r>
      <w:r>
        <w:rPr>
          <w:rFonts w:hint="eastAsia"/>
          <w:highlight w:val="none"/>
          <w:lang w:val="en-US" w:eastAsia="zh-CN"/>
        </w:rPr>
        <w:t>重汽e采通，重汽官网</w:t>
      </w:r>
      <w:r>
        <w:rPr>
          <w:rFonts w:hint="eastAsia"/>
          <w:highlight w:val="none"/>
        </w:rPr>
        <w:t>上发布。</w:t>
      </w:r>
    </w:p>
    <w:p w14:paraId="65FC2213">
      <w:pPr>
        <w:pStyle w:val="72"/>
        <w:rPr>
          <w:highlight w:val="yellow"/>
        </w:rPr>
      </w:pPr>
      <w:bookmarkStart w:id="6" w:name="_Toc47976594"/>
      <w:r>
        <w:rPr>
          <w:rFonts w:hint="eastAsia"/>
          <w:highlight w:val="yellow"/>
        </w:rPr>
        <w:t>联系方式</w:t>
      </w:r>
      <w:bookmarkEnd w:id="6"/>
      <w:r>
        <w:rPr>
          <w:rFonts w:hint="eastAsia"/>
          <w:highlight w:val="yellow"/>
          <w:lang w:eastAsia="zh-CN"/>
        </w:rPr>
        <w:t>：</w:t>
      </w:r>
      <w:r>
        <w:rPr>
          <w:rFonts w:hint="eastAsia" w:ascii="宋体" w:hAnsi="宋体" w:eastAsia="宋体" w:cs="宋体"/>
          <w:sz w:val="21"/>
          <w:szCs w:val="21"/>
          <w:highlight w:val="none"/>
          <w:lang w:val="en-US" w:eastAsia="zh-CN"/>
        </w:rPr>
        <w:t>商务联系人：李帅威-17860605079；技术联系人：卢鹏宇-18660812255</w:t>
      </w:r>
    </w:p>
    <w:p w14:paraId="5F538BD8">
      <w:pPr>
        <w:pStyle w:val="76"/>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04C96706">
      <w:pPr>
        <w:pStyle w:val="76"/>
      </w:pPr>
    </w:p>
    <w:p w14:paraId="3D820EEC">
      <w:pPr>
        <w:pStyle w:val="71"/>
      </w:pPr>
      <w:bookmarkStart w:id="7" w:name="_Toc7753"/>
      <w:bookmarkStart w:id="8" w:name="_Toc47976595"/>
      <w:r>
        <w:rPr>
          <w:rFonts w:hint="eastAsia"/>
        </w:rPr>
        <w:t>第一部分  投标人须知</w:t>
      </w:r>
      <w:bookmarkEnd w:id="7"/>
      <w:bookmarkEnd w:id="8"/>
    </w:p>
    <w:p w14:paraId="418340FC">
      <w:pPr>
        <w:pStyle w:val="72"/>
        <w:numPr>
          <w:ilvl w:val="0"/>
          <w:numId w:val="10"/>
        </w:numPr>
        <w:ind w:left="420"/>
        <w:jc w:val="left"/>
      </w:pPr>
      <w:bookmarkStart w:id="9" w:name="_Toc47976596"/>
      <w:r>
        <w:rPr>
          <w:rFonts w:hint="eastAsia"/>
        </w:rPr>
        <w:t>项目介绍</w:t>
      </w:r>
      <w:bookmarkEnd w:id="9"/>
    </w:p>
    <w:p w14:paraId="6360E7CD">
      <w:pPr>
        <w:pStyle w:val="76"/>
        <w:numPr>
          <w:ilvl w:val="0"/>
          <w:numId w:val="11"/>
        </w:numPr>
        <w:ind w:left="425" w:leftChars="0" w:hanging="425" w:firstLineChars="0"/>
      </w:pPr>
      <w:r>
        <w:rPr>
          <w:rFonts w:hint="eastAsia"/>
        </w:rPr>
        <w:t>项目名称：济南卡车销售部第二会议室LED大屏采购项目</w:t>
      </w:r>
    </w:p>
    <w:p w14:paraId="17A97EAA">
      <w:pPr>
        <w:pStyle w:val="76"/>
        <w:numPr>
          <w:ilvl w:val="0"/>
          <w:numId w:val="11"/>
        </w:numPr>
        <w:ind w:left="425" w:leftChars="0" w:hanging="425" w:firstLineChars="0"/>
      </w:pPr>
      <w:r>
        <w:rPr>
          <w:rFonts w:hint="eastAsia"/>
        </w:rPr>
        <w:t>项目编号：FSCZB2025100173</w:t>
      </w:r>
    </w:p>
    <w:p w14:paraId="151561C8">
      <w:pPr>
        <w:pStyle w:val="76"/>
        <w:numPr>
          <w:ilvl w:val="0"/>
          <w:numId w:val="11"/>
        </w:numPr>
        <w:ind w:left="425" w:leftChars="0" w:hanging="425" w:firstLineChars="0"/>
        <w:rPr>
          <w:rFonts w:hint="default" w:ascii="宋体" w:hAnsi="Courier New" w:eastAsia="宋体" w:cs="Times New Roman"/>
          <w:highlight w:val="none"/>
          <w:lang w:val="en-US" w:eastAsia="zh-CN"/>
        </w:rPr>
      </w:pPr>
      <w:bookmarkStart w:id="10" w:name="_Toc47112482"/>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w:t>
      </w:r>
      <w:r>
        <w:rPr>
          <w:rFonts w:hint="eastAsia" w:cs="Times New Roman"/>
          <w:highlight w:val="none"/>
          <w:lang w:val="en-US" w:eastAsia="zh-CN"/>
        </w:rPr>
        <w:t>及商务要求</w:t>
      </w:r>
    </w:p>
    <w:p w14:paraId="10BC6F77">
      <w:pPr>
        <w:pStyle w:val="76"/>
        <w:numPr>
          <w:ilvl w:val="0"/>
          <w:numId w:val="11"/>
        </w:numPr>
        <w:ind w:left="425" w:leftChars="0" w:hanging="425" w:firstLineChars="0"/>
        <w:rPr>
          <w:rFonts w:hint="default" w:cs="Times New Roman"/>
          <w:highlight w:val="yellow"/>
          <w:u w:val="none"/>
          <w:lang w:val="en-US" w:eastAsia="zh-CN"/>
        </w:rPr>
      </w:pPr>
      <w:r>
        <w:rPr>
          <w:rFonts w:hint="eastAsia"/>
          <w:highlight w:val="yellow"/>
          <w:lang w:val="en-US" w:eastAsia="zh-CN"/>
        </w:rPr>
        <w:t>报价上限：含税总价：6万元人民币；税率：13%</w:t>
      </w:r>
    </w:p>
    <w:p w14:paraId="174B9581">
      <w:pPr>
        <w:pStyle w:val="76"/>
        <w:numPr>
          <w:ilvl w:val="0"/>
          <w:numId w:val="0"/>
        </w:numPr>
        <w:ind w:leftChars="0"/>
        <w:jc w:val="both"/>
        <w:rPr>
          <w:rFonts w:hint="default" w:cs="Times New Roman"/>
          <w:highlight w:val="yellow"/>
          <w:u w:val="none"/>
          <w:lang w:val="en-US" w:eastAsia="zh-CN"/>
        </w:rPr>
      </w:pPr>
      <w:r>
        <w:rPr>
          <w:rFonts w:hint="eastAsia" w:cs="Times New Roman"/>
          <w:highlight w:val="yellow"/>
          <w:lang w:val="en-US" w:eastAsia="zh-CN"/>
        </w:rPr>
        <w:t>5.</w:t>
      </w:r>
      <w:r>
        <w:rPr>
          <w:rFonts w:hint="eastAsia" w:ascii="宋体" w:hAnsi="Courier New" w:eastAsia="宋体" w:cs="Times New Roman"/>
          <w:highlight w:val="yellow"/>
          <w:lang w:val="en-US" w:eastAsia="zh-CN"/>
        </w:rPr>
        <w:t>应标截止时间</w:t>
      </w:r>
      <w:r>
        <w:rPr>
          <w:rFonts w:hint="eastAsia" w:cs="Times New Roman"/>
          <w:highlight w:val="yellow"/>
          <w:lang w:val="en-US" w:eastAsia="zh-CN"/>
        </w:rPr>
        <w:t>：2025年11月9号17点00分</w:t>
      </w:r>
    </w:p>
    <w:bookmarkEnd w:id="10"/>
    <w:p w14:paraId="50DC6C75">
      <w:pPr>
        <w:pStyle w:val="72"/>
      </w:pPr>
      <w:bookmarkStart w:id="11" w:name="_Toc47976598"/>
      <w:r>
        <w:rPr>
          <w:rFonts w:hint="eastAsia"/>
        </w:rPr>
        <w:t>合格的投标人。</w:t>
      </w:r>
      <w:bookmarkEnd w:id="11"/>
    </w:p>
    <w:p w14:paraId="3C8DE851">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3A0297CA">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拟标投人必须是在中华人民共和国境内注册的独立法人机构，具有独立承担民事责任能力；注册资金不少于</w:t>
      </w:r>
      <w:r>
        <w:rPr>
          <w:rFonts w:hint="eastAsia" w:ascii="宋体" w:hAnsi="Courier New" w:eastAsia="宋体" w:cs="Times New Roman"/>
          <w:b w:val="0"/>
          <w:bCs/>
          <w:strike w:val="0"/>
          <w:dstrike w:val="0"/>
          <w:highlight w:val="none"/>
          <w:u w:val="single"/>
          <w:lang w:val="en-US" w:eastAsia="zh-CN"/>
        </w:rPr>
        <w:t xml:space="preserve">  </w:t>
      </w:r>
      <w:r>
        <w:rPr>
          <w:rFonts w:hint="eastAsia" w:cs="Times New Roman"/>
          <w:b w:val="0"/>
          <w:bCs/>
          <w:strike w:val="0"/>
          <w:dstrike w:val="0"/>
          <w:highlight w:val="none"/>
          <w:u w:val="single"/>
          <w:lang w:val="en-US" w:eastAsia="zh-CN"/>
        </w:rPr>
        <w:t>100</w:t>
      </w:r>
      <w:r>
        <w:rPr>
          <w:rFonts w:hint="eastAsia" w:ascii="宋体" w:hAnsi="Courier New" w:eastAsia="宋体" w:cs="Times New Roman"/>
          <w:b w:val="0"/>
          <w:bCs/>
          <w:strike w:val="0"/>
          <w:dstrike w:val="0"/>
          <w:highlight w:val="none"/>
          <w:u w:val="single"/>
          <w:lang w:val="en-US" w:eastAsia="zh-CN"/>
        </w:rPr>
        <w:t xml:space="preserve"> </w:t>
      </w:r>
      <w:r>
        <w:rPr>
          <w:rFonts w:hint="eastAsia" w:ascii="宋体" w:hAnsi="Courier New" w:eastAsia="宋体" w:cs="Times New Roman"/>
          <w:b w:val="0"/>
          <w:bCs/>
          <w:strike w:val="0"/>
          <w:dstrike w:val="0"/>
          <w:highlight w:val="none"/>
        </w:rPr>
        <w:t>万人民币（或等值其他货币）；公司成立</w:t>
      </w:r>
      <w:r>
        <w:rPr>
          <w:rFonts w:hint="eastAsia" w:ascii="宋体" w:hAnsi="Courier New" w:eastAsia="宋体" w:cs="Times New Roman"/>
          <w:b w:val="0"/>
          <w:bCs/>
          <w:strike w:val="0"/>
          <w:dstrike w:val="0"/>
          <w:highlight w:val="none"/>
          <w:u w:val="single"/>
          <w:lang w:val="en-US" w:eastAsia="zh-CN"/>
        </w:rPr>
        <w:t xml:space="preserve">  </w:t>
      </w:r>
      <w:r>
        <w:rPr>
          <w:rFonts w:hint="eastAsia" w:cs="Times New Roman"/>
          <w:b w:val="0"/>
          <w:bCs/>
          <w:strike w:val="0"/>
          <w:dstrike w:val="0"/>
          <w:highlight w:val="none"/>
          <w:u w:val="single"/>
          <w:lang w:val="en-US" w:eastAsia="zh-CN"/>
        </w:rPr>
        <w:t>3</w:t>
      </w:r>
      <w:r>
        <w:rPr>
          <w:rFonts w:hint="eastAsia" w:ascii="宋体" w:hAnsi="Courier New" w:eastAsia="宋体" w:cs="Times New Roman"/>
          <w:b w:val="0"/>
          <w:bCs/>
          <w:strike w:val="0"/>
          <w:dstrike w:val="0"/>
          <w:highlight w:val="none"/>
          <w:u w:val="single"/>
          <w:lang w:val="en-US" w:eastAsia="zh-CN"/>
        </w:rPr>
        <w:t xml:space="preserve">  </w:t>
      </w:r>
      <w:r>
        <w:rPr>
          <w:rFonts w:hint="eastAsia" w:ascii="宋体" w:hAnsi="Courier New" w:eastAsia="宋体" w:cs="Times New Roman"/>
          <w:b w:val="0"/>
          <w:bCs/>
          <w:strike w:val="0"/>
          <w:dstrike w:val="0"/>
          <w:highlight w:val="none"/>
        </w:rPr>
        <w:t>年以上（以营业执照成立日期到开标当日满</w:t>
      </w:r>
      <w:r>
        <w:rPr>
          <w:rFonts w:hint="eastAsia" w:ascii="宋体" w:hAnsi="Courier New" w:eastAsia="宋体" w:cs="Times New Roman"/>
          <w:b w:val="0"/>
          <w:bCs/>
          <w:strike w:val="0"/>
          <w:dstrike w:val="0"/>
          <w:highlight w:val="none"/>
          <w:u w:val="single"/>
          <w:lang w:val="en-US" w:eastAsia="zh-CN"/>
        </w:rPr>
        <w:t xml:space="preserve"> </w:t>
      </w:r>
      <w:r>
        <w:rPr>
          <w:rFonts w:hint="eastAsia" w:cs="Times New Roman"/>
          <w:b w:val="0"/>
          <w:bCs/>
          <w:strike w:val="0"/>
          <w:dstrike w:val="0"/>
          <w:highlight w:val="none"/>
          <w:u w:val="single"/>
          <w:lang w:val="en-US" w:eastAsia="zh-CN"/>
        </w:rPr>
        <w:t>3</w:t>
      </w:r>
      <w:r>
        <w:rPr>
          <w:rFonts w:hint="eastAsia" w:ascii="宋体" w:hAnsi="Courier New" w:eastAsia="宋体" w:cs="Times New Roman"/>
          <w:b w:val="0"/>
          <w:bCs/>
          <w:strike w:val="0"/>
          <w:dstrike w:val="0"/>
          <w:highlight w:val="none"/>
          <w:u w:val="single"/>
          <w:lang w:val="en-US" w:eastAsia="zh-CN"/>
        </w:rPr>
        <w:t xml:space="preserve"> </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14:paraId="2B164D82">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11A84527">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7850D9F4">
      <w:pPr>
        <w:pStyle w:val="73"/>
        <w:numPr>
          <w:ilvl w:val="0"/>
          <w:numId w:val="12"/>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24C8EA">
      <w:pPr>
        <w:pStyle w:val="73"/>
        <w:numPr>
          <w:ilvl w:val="0"/>
          <w:numId w:val="12"/>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7F71A33C">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5902C3C">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14:paraId="46FDC1F4">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10068469">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651270A8">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具有本次招标货物的供货、安装、售后服务等的相应资质；</w:t>
      </w:r>
    </w:p>
    <w:p w14:paraId="274E20B1">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7B48E8FC">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316F538A">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371EFEB6">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3339A7C9">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本次招标项目（</w:t>
      </w:r>
      <w:r>
        <w:rPr>
          <w:rFonts w:hint="eastAsia"/>
          <w:b w:val="0"/>
          <w:bCs/>
          <w:strike w:val="0"/>
          <w:dstrike w:val="0"/>
          <w:highlight w:val="none"/>
          <w:u w:val="none"/>
        </w:rPr>
        <w:t>不接受</w:t>
      </w:r>
      <w:r>
        <w:rPr>
          <w:rFonts w:hint="eastAsia"/>
          <w:b w:val="0"/>
          <w:bCs/>
          <w:strike w:val="0"/>
          <w:dstrike w:val="0"/>
          <w:highlight w:val="none"/>
        </w:rPr>
        <w:t>）联合体投标</w:t>
      </w:r>
      <w:r>
        <w:rPr>
          <w:rFonts w:hint="eastAsia"/>
          <w:b w:val="0"/>
          <w:bCs/>
          <w:strike w:val="0"/>
          <w:dstrike w:val="0"/>
          <w:highlight w:val="none"/>
          <w:lang w:val="en-US" w:eastAsia="zh-CN"/>
        </w:rPr>
        <w:t>及代理商投标</w:t>
      </w:r>
      <w:r>
        <w:rPr>
          <w:rFonts w:hint="eastAsia"/>
          <w:b w:val="0"/>
          <w:bCs/>
          <w:strike w:val="0"/>
          <w:dstrike w:val="0"/>
          <w:highlight w:val="none"/>
          <w:lang w:eastAsia="zh-CN"/>
        </w:rPr>
        <w:t>；</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09A92690">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cs="Times New Roman"/>
          <w:highlight w:val="none"/>
          <w:lang w:val="en-US" w:eastAsia="zh-CN"/>
        </w:rPr>
        <w:t>2025年10月28日</w:t>
      </w:r>
    </w:p>
    <w:p w14:paraId="62084E4B">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答疑时间：</w:t>
      </w:r>
      <w:r>
        <w:rPr>
          <w:rFonts w:hint="eastAsia" w:cs="Times New Roman"/>
          <w:highlight w:val="none"/>
          <w:lang w:val="en-US" w:eastAsia="zh-CN"/>
        </w:rPr>
        <w:t>2025年11月5日</w:t>
      </w:r>
    </w:p>
    <w:p w14:paraId="62CB87C4">
      <w:pPr>
        <w:pStyle w:val="76"/>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：建议电话联系（或将答疑问题以word文件格式发送至联系人邮件内，并电话联系工作人员查收，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7C0B551">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cs="Times New Roman"/>
          <w:highlight w:val="none"/>
          <w:lang w:val="en-US" w:eastAsia="zh-CN"/>
        </w:rPr>
        <w:t>2025年11月5日</w:t>
      </w:r>
    </w:p>
    <w:p w14:paraId="59AC1516">
      <w:pPr>
        <w:pStyle w:val="76"/>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7AB51490">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：重汽e采通</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投标人编写的投标文件由《投标文件（资质标）》、、《投标文件（商务标）》（开标一览表）文件组成，共计</w:t>
      </w:r>
      <w:r>
        <w:rPr>
          <w:rFonts w:hint="eastAsia" w:ascii="宋体" w:hAnsi="Courier New" w:eastAsia="宋体" w:cs="Times New Roman"/>
          <w:b w:val="0"/>
          <w:bCs/>
          <w:highlight w:val="none"/>
          <w:u w:val="single"/>
          <w:lang w:val="en-US" w:eastAsia="zh-CN"/>
        </w:rPr>
        <w:t xml:space="preserve"> </w:t>
      </w:r>
      <w:r>
        <w:rPr>
          <w:rFonts w:hint="eastAsia" w:cs="Times New Roman"/>
          <w:b w:val="0"/>
          <w:bCs/>
          <w:highlight w:val="none"/>
          <w:u w:val="single"/>
          <w:lang w:val="en-US" w:eastAsia="zh-CN"/>
        </w:rPr>
        <w:t>2</w:t>
      </w:r>
      <w:r>
        <w:rPr>
          <w:rFonts w:hint="eastAsia" w:ascii="宋体" w:hAnsi="Courier New" w:eastAsia="宋体" w:cs="Times New Roman"/>
          <w:b w:val="0"/>
          <w:bCs/>
          <w:highlight w:val="none"/>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5"/>
        </w:numPr>
        <w:ind w:left="425" w:leftChars="0" w:hanging="425" w:firstLineChars="0"/>
        <w:rPr>
          <w:b w:val="0"/>
          <w:bCs/>
          <w:highlight w:val="none"/>
        </w:rPr>
      </w:pPr>
      <w:r>
        <w:rPr>
          <w:rFonts w:hint="eastAsia"/>
          <w:b w:val="0"/>
          <w:bCs/>
          <w:highlight w:val="none"/>
        </w:rPr>
        <w:t>资质文件：</w:t>
      </w:r>
    </w:p>
    <w:tbl>
      <w:tblPr>
        <w:tblStyle w:val="31"/>
        <w:tblW w:w="478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66"/>
        <w:gridCol w:w="5324"/>
        <w:gridCol w:w="1987"/>
      </w:tblGrid>
      <w:tr w14:paraId="27E47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jc w:val="center"/>
        </w:trPr>
        <w:tc>
          <w:tcPr>
            <w:tcW w:w="882" w:type="pct"/>
            <w:shd w:val="clear" w:color="auto" w:fill="2E75B5" w:themeFill="accent1" w:themeFillShade="BF"/>
            <w:vAlign w:val="center"/>
          </w:tcPr>
          <w:p w14:paraId="7E7321D2">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color w:val="FFFFFF" w:themeColor="background1"/>
                <w:sz w:val="28"/>
                <w:szCs w:val="28"/>
                <w:vertAlign w:val="baseline"/>
                <w14:textFill>
                  <w14:solidFill>
                    <w14:schemeClr w14:val="bg1"/>
                  </w14:solidFill>
                </w14:textFill>
              </w:rPr>
            </w:pPr>
            <w:r>
              <w:rPr>
                <w:rFonts w:hint="eastAsia" w:ascii="仿宋_GB2312" w:hAnsi="仿宋_GB2312" w:eastAsia="仿宋_GB2312" w:cs="仿宋_GB2312"/>
                <w:b/>
                <w:bCs/>
                <w:i w:val="0"/>
                <w:iCs w:val="0"/>
                <w:caps w:val="0"/>
                <w:color w:val="FFFFFF" w:themeColor="background1"/>
                <w:spacing w:val="0"/>
                <w:kern w:val="0"/>
                <w:sz w:val="28"/>
                <w:szCs w:val="28"/>
                <w:lang w:val="en-US" w:eastAsia="zh-CN" w:bidi="ar"/>
                <w14:textFill>
                  <w14:solidFill>
                    <w14:schemeClr w14:val="bg1"/>
                  </w14:solidFill>
                </w14:textFill>
              </w:rPr>
              <w:t>资质类别</w:t>
            </w:r>
          </w:p>
        </w:tc>
        <w:tc>
          <w:tcPr>
            <w:tcW w:w="2998" w:type="pct"/>
            <w:shd w:val="clear" w:color="auto" w:fill="2E75B5" w:themeFill="accent1" w:themeFillShade="BF"/>
            <w:vAlign w:val="center"/>
          </w:tcPr>
          <w:p w14:paraId="1948A541">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color w:val="FFFFFF" w:themeColor="background1"/>
                <w:sz w:val="28"/>
                <w:szCs w:val="28"/>
                <w:vertAlign w:val="baseline"/>
                <w14:textFill>
                  <w14:solidFill>
                    <w14:schemeClr w14:val="bg1"/>
                  </w14:solidFill>
                </w14:textFill>
              </w:rPr>
            </w:pPr>
            <w:r>
              <w:rPr>
                <w:rFonts w:hint="eastAsia" w:ascii="仿宋_GB2312" w:hAnsi="仿宋_GB2312" w:eastAsia="仿宋_GB2312" w:cs="仿宋_GB2312"/>
                <w:b/>
                <w:bCs/>
                <w:i w:val="0"/>
                <w:iCs w:val="0"/>
                <w:caps w:val="0"/>
                <w:color w:val="FFFFFF" w:themeColor="background1"/>
                <w:spacing w:val="0"/>
                <w:kern w:val="0"/>
                <w:sz w:val="28"/>
                <w:szCs w:val="28"/>
                <w:lang w:val="en-US" w:eastAsia="zh-CN" w:bidi="ar"/>
                <w14:textFill>
                  <w14:solidFill>
                    <w14:schemeClr w14:val="bg1"/>
                  </w14:solidFill>
                </w14:textFill>
              </w:rPr>
              <w:t>具体要求</w:t>
            </w:r>
          </w:p>
        </w:tc>
        <w:tc>
          <w:tcPr>
            <w:tcW w:w="1119" w:type="pct"/>
            <w:shd w:val="clear" w:color="auto" w:fill="2E75B5" w:themeFill="accent1" w:themeFillShade="BF"/>
            <w:vAlign w:val="center"/>
          </w:tcPr>
          <w:p w14:paraId="2B576451">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color w:val="FFFFFF" w:themeColor="background1"/>
                <w:sz w:val="28"/>
                <w:szCs w:val="28"/>
                <w:vertAlign w:val="baseline"/>
                <w14:textFill>
                  <w14:solidFill>
                    <w14:schemeClr w14:val="bg1"/>
                  </w14:solidFill>
                </w14:textFill>
              </w:rPr>
            </w:pPr>
            <w:r>
              <w:rPr>
                <w:rFonts w:hint="eastAsia" w:ascii="仿宋_GB2312" w:hAnsi="仿宋_GB2312" w:eastAsia="仿宋_GB2312" w:cs="仿宋_GB2312"/>
                <w:b/>
                <w:bCs/>
                <w:i w:val="0"/>
                <w:iCs w:val="0"/>
                <w:caps w:val="0"/>
                <w:color w:val="FFFFFF" w:themeColor="background1"/>
                <w:spacing w:val="0"/>
                <w:kern w:val="0"/>
                <w:sz w:val="28"/>
                <w:szCs w:val="28"/>
                <w:lang w:val="en-US" w:eastAsia="zh-CN" w:bidi="ar"/>
                <w14:textFill>
                  <w14:solidFill>
                    <w14:schemeClr w14:val="bg1"/>
                  </w14:solidFill>
                </w14:textFill>
              </w:rPr>
              <w:t>审查方式</w:t>
            </w:r>
          </w:p>
        </w:tc>
      </w:tr>
      <w:tr w14:paraId="580B7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jc w:val="center"/>
        </w:trPr>
        <w:tc>
          <w:tcPr>
            <w:tcW w:w="882" w:type="pct"/>
            <w:vAlign w:val="center"/>
          </w:tcPr>
          <w:p w14:paraId="4EE5736C">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Style w:val="33"/>
                <w:rFonts w:hint="eastAsia" w:ascii="仿宋_GB2312" w:hAnsi="仿宋_GB2312" w:eastAsia="仿宋_GB2312" w:cs="仿宋_GB2312"/>
                <w:i w:val="0"/>
                <w:iCs w:val="0"/>
                <w:caps w:val="0"/>
                <w:color w:val="333333"/>
                <w:spacing w:val="0"/>
                <w:kern w:val="0"/>
                <w:sz w:val="28"/>
                <w:szCs w:val="28"/>
                <w:lang w:val="en-US" w:eastAsia="zh-CN" w:bidi="ar"/>
              </w:rPr>
              <w:t>企业合法性</w:t>
            </w:r>
          </w:p>
        </w:tc>
        <w:tc>
          <w:tcPr>
            <w:tcW w:w="2998" w:type="pct"/>
            <w:vAlign w:val="center"/>
          </w:tcPr>
          <w:p w14:paraId="78B8DE0E">
            <w:pPr>
              <w:keepNext w:val="0"/>
              <w:keepLines w:val="0"/>
              <w:widowControl/>
              <w:suppressLineNumbers w:val="0"/>
              <w:spacing w:before="0" w:beforeAutospacing="0" w:after="0" w:afterAutospacing="0"/>
              <w:ind w:left="0" w:leftChars="0" w:right="0" w:rightChars="0"/>
              <w:jc w:val="left"/>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具备有效的营业执照，经营范围包含LED显示屏系统集成、销售或信息技术服务等相关业务</w:t>
            </w:r>
          </w:p>
        </w:tc>
        <w:tc>
          <w:tcPr>
            <w:tcW w:w="1119" w:type="pct"/>
            <w:vAlign w:val="center"/>
          </w:tcPr>
          <w:p w14:paraId="5094299F">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营业执照复印件（加盖公章）</w:t>
            </w:r>
          </w:p>
        </w:tc>
      </w:tr>
      <w:tr w14:paraId="76245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jc w:val="center"/>
        </w:trPr>
        <w:tc>
          <w:tcPr>
            <w:tcW w:w="882" w:type="pct"/>
            <w:vAlign w:val="center"/>
          </w:tcPr>
          <w:p w14:paraId="7ADDCE47">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Style w:val="33"/>
                <w:rFonts w:hint="eastAsia" w:ascii="仿宋_GB2312" w:hAnsi="仿宋_GB2312" w:eastAsia="仿宋_GB2312" w:cs="仿宋_GB2312"/>
                <w:i w:val="0"/>
                <w:iCs w:val="0"/>
                <w:caps w:val="0"/>
                <w:color w:val="333333"/>
                <w:spacing w:val="0"/>
                <w:kern w:val="0"/>
                <w:sz w:val="28"/>
                <w:szCs w:val="28"/>
                <w:lang w:val="en-US" w:eastAsia="zh-CN" w:bidi="ar"/>
              </w:rPr>
              <w:t>财务状况</w:t>
            </w:r>
          </w:p>
        </w:tc>
        <w:tc>
          <w:tcPr>
            <w:tcW w:w="2998" w:type="pct"/>
            <w:vAlign w:val="center"/>
          </w:tcPr>
          <w:p w14:paraId="47EE9850">
            <w:pPr>
              <w:keepNext w:val="0"/>
              <w:keepLines w:val="0"/>
              <w:widowControl/>
              <w:suppressLineNumbers w:val="0"/>
              <w:spacing w:before="0" w:beforeAutospacing="0" w:after="0" w:afterAutospacing="0"/>
              <w:ind w:left="0" w:leftChars="0" w:right="0" w:rightChars="0"/>
              <w:jc w:val="left"/>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提供近两年（2023-2024）财务报表，证明具备履行本项目（合同额约6万元）的财务能力</w:t>
            </w:r>
          </w:p>
        </w:tc>
        <w:tc>
          <w:tcPr>
            <w:tcW w:w="1119" w:type="pct"/>
            <w:vAlign w:val="center"/>
          </w:tcPr>
          <w:p w14:paraId="2DB2513E">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财务报表或资信证明</w:t>
            </w:r>
          </w:p>
        </w:tc>
      </w:tr>
      <w:tr w14:paraId="7985B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jc w:val="center"/>
        </w:trPr>
        <w:tc>
          <w:tcPr>
            <w:tcW w:w="882" w:type="pct"/>
            <w:vAlign w:val="center"/>
          </w:tcPr>
          <w:p w14:paraId="5CEA9DA9">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Style w:val="33"/>
                <w:rFonts w:hint="eastAsia" w:ascii="仿宋_GB2312" w:hAnsi="仿宋_GB2312" w:eastAsia="仿宋_GB2312" w:cs="仿宋_GB2312"/>
                <w:i w:val="0"/>
                <w:iCs w:val="0"/>
                <w:caps w:val="0"/>
                <w:color w:val="333333"/>
                <w:spacing w:val="0"/>
                <w:kern w:val="0"/>
                <w:sz w:val="28"/>
                <w:szCs w:val="28"/>
                <w:lang w:val="en-US" w:eastAsia="zh-CN" w:bidi="ar"/>
              </w:rPr>
              <w:t>企业信誉</w:t>
            </w:r>
          </w:p>
        </w:tc>
        <w:tc>
          <w:tcPr>
            <w:tcW w:w="2998" w:type="pct"/>
            <w:vAlign w:val="center"/>
          </w:tcPr>
          <w:p w14:paraId="5B0A0903">
            <w:pPr>
              <w:keepNext w:val="0"/>
              <w:keepLines w:val="0"/>
              <w:widowControl/>
              <w:suppressLineNumbers w:val="0"/>
              <w:spacing w:before="0" w:beforeAutospacing="0" w:after="0" w:afterAutospacing="0"/>
              <w:ind w:left="0" w:leftChars="0" w:right="0" w:rightChars="0"/>
              <w:jc w:val="left"/>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无重大违法失信记录，无行贿犯罪记录</w:t>
            </w:r>
          </w:p>
        </w:tc>
        <w:tc>
          <w:tcPr>
            <w:tcW w:w="1119" w:type="pct"/>
            <w:vAlign w:val="center"/>
          </w:tcPr>
          <w:p w14:paraId="01E2FCBC">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信用报告截图</w:t>
            </w:r>
          </w:p>
        </w:tc>
      </w:tr>
      <w:tr w14:paraId="06C02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jc w:val="center"/>
        </w:trPr>
        <w:tc>
          <w:tcPr>
            <w:tcW w:w="882" w:type="pct"/>
            <w:vAlign w:val="center"/>
          </w:tcPr>
          <w:p w14:paraId="599F96AB">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Style w:val="33"/>
                <w:rFonts w:hint="eastAsia" w:ascii="仿宋_GB2312" w:hAnsi="仿宋_GB2312" w:eastAsia="仿宋_GB2312" w:cs="仿宋_GB2312"/>
                <w:i w:val="0"/>
                <w:iCs w:val="0"/>
                <w:caps w:val="0"/>
                <w:color w:val="333333"/>
                <w:spacing w:val="0"/>
                <w:kern w:val="0"/>
                <w:sz w:val="28"/>
                <w:szCs w:val="28"/>
                <w:lang w:val="en-US" w:eastAsia="zh-CN" w:bidi="ar"/>
              </w:rPr>
              <w:t>项目经验</w:t>
            </w:r>
          </w:p>
        </w:tc>
        <w:tc>
          <w:tcPr>
            <w:tcW w:w="2998" w:type="pct"/>
            <w:vAlign w:val="center"/>
          </w:tcPr>
          <w:p w14:paraId="03588F37">
            <w:pPr>
              <w:keepNext w:val="0"/>
              <w:keepLines w:val="0"/>
              <w:widowControl/>
              <w:suppressLineNumbers w:val="0"/>
              <w:spacing w:before="0" w:beforeAutospacing="0" w:after="0" w:afterAutospacing="0"/>
              <w:ind w:left="0" w:leftChars="0" w:right="0" w:rightChars="0"/>
              <w:jc w:val="left"/>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提供至少2个近三年内完成的、合同金额在5万元及以上的室内LED显示屏项目案例</w:t>
            </w:r>
          </w:p>
        </w:tc>
        <w:tc>
          <w:tcPr>
            <w:tcW w:w="1119" w:type="pct"/>
            <w:vAlign w:val="center"/>
          </w:tcPr>
          <w:p w14:paraId="0F6A0CAE">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合同关键页及验收证明</w:t>
            </w:r>
          </w:p>
        </w:tc>
      </w:tr>
      <w:tr w14:paraId="04E0A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jc w:val="center"/>
        </w:trPr>
        <w:tc>
          <w:tcPr>
            <w:tcW w:w="882" w:type="pct"/>
            <w:vAlign w:val="center"/>
          </w:tcPr>
          <w:p w14:paraId="40258759">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Style w:val="33"/>
                <w:rFonts w:hint="eastAsia" w:ascii="仿宋_GB2312" w:hAnsi="仿宋_GB2312" w:eastAsia="仿宋_GB2312" w:cs="仿宋_GB2312"/>
                <w:i w:val="0"/>
                <w:iCs w:val="0"/>
                <w:caps w:val="0"/>
                <w:color w:val="333333"/>
                <w:spacing w:val="0"/>
                <w:kern w:val="0"/>
                <w:sz w:val="28"/>
                <w:szCs w:val="28"/>
                <w:lang w:val="en-US" w:eastAsia="zh-CN" w:bidi="ar"/>
              </w:rPr>
              <w:t>技术能力</w:t>
            </w:r>
          </w:p>
        </w:tc>
        <w:tc>
          <w:tcPr>
            <w:tcW w:w="2998" w:type="pct"/>
            <w:vAlign w:val="center"/>
          </w:tcPr>
          <w:p w14:paraId="674E5ABD">
            <w:pPr>
              <w:keepNext w:val="0"/>
              <w:keepLines w:val="0"/>
              <w:widowControl/>
              <w:suppressLineNumbers w:val="0"/>
              <w:spacing w:before="0" w:beforeAutospacing="0" w:after="0" w:afterAutospacing="0"/>
              <w:ind w:left="0" w:leftChars="0" w:right="0" w:rightChars="0"/>
              <w:jc w:val="left"/>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项目团队须配备至少1名具有3年以上LED显示屏项目实施经验的技术负责人</w:t>
            </w:r>
          </w:p>
        </w:tc>
        <w:tc>
          <w:tcPr>
            <w:tcW w:w="1119" w:type="pct"/>
            <w:vAlign w:val="center"/>
          </w:tcPr>
          <w:p w14:paraId="20A3D0B6">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技术人员简历及证明</w:t>
            </w:r>
          </w:p>
        </w:tc>
      </w:tr>
      <w:tr w14:paraId="34D962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jc w:val="center"/>
        </w:trPr>
        <w:tc>
          <w:tcPr>
            <w:tcW w:w="882" w:type="pct"/>
            <w:vAlign w:val="center"/>
          </w:tcPr>
          <w:p w14:paraId="00F1DE87">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Style w:val="33"/>
                <w:rFonts w:hint="eastAsia" w:ascii="仿宋_GB2312" w:hAnsi="仿宋_GB2312" w:eastAsia="仿宋_GB2312" w:cs="仿宋_GB2312"/>
                <w:i w:val="0"/>
                <w:iCs w:val="0"/>
                <w:caps w:val="0"/>
                <w:color w:val="333333"/>
                <w:spacing w:val="0"/>
                <w:kern w:val="0"/>
                <w:sz w:val="28"/>
                <w:szCs w:val="28"/>
                <w:lang w:val="en-US" w:eastAsia="zh-CN" w:bidi="ar"/>
              </w:rPr>
              <w:t>质量认证</w:t>
            </w:r>
          </w:p>
        </w:tc>
        <w:tc>
          <w:tcPr>
            <w:tcW w:w="2998" w:type="pct"/>
            <w:vAlign w:val="center"/>
          </w:tcPr>
          <w:p w14:paraId="76868D61">
            <w:pPr>
              <w:keepNext w:val="0"/>
              <w:keepLines w:val="0"/>
              <w:widowControl/>
              <w:suppressLineNumbers w:val="0"/>
              <w:spacing w:before="0" w:beforeAutospacing="0" w:after="0" w:afterAutospacing="0"/>
              <w:ind w:left="0" w:leftChars="0" w:right="0" w:rightChars="0"/>
              <w:jc w:val="left"/>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鼓励提供ISO9001质量管理体系认证证书</w:t>
            </w:r>
          </w:p>
        </w:tc>
        <w:tc>
          <w:tcPr>
            <w:tcW w:w="1119" w:type="pct"/>
            <w:vAlign w:val="center"/>
          </w:tcPr>
          <w:p w14:paraId="3D3A40AD">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认证证书复印件</w:t>
            </w:r>
          </w:p>
        </w:tc>
      </w:tr>
      <w:tr w14:paraId="4B7C2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4" w:hRule="atLeast"/>
          <w:jc w:val="center"/>
        </w:trPr>
        <w:tc>
          <w:tcPr>
            <w:tcW w:w="882" w:type="pct"/>
            <w:vAlign w:val="center"/>
          </w:tcPr>
          <w:p w14:paraId="6B1E280E">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Style w:val="33"/>
                <w:rFonts w:hint="eastAsia" w:ascii="仿宋_GB2312" w:hAnsi="仿宋_GB2312" w:eastAsia="仿宋_GB2312" w:cs="仿宋_GB2312"/>
                <w:i w:val="0"/>
                <w:iCs w:val="0"/>
                <w:caps w:val="0"/>
                <w:color w:val="333333"/>
                <w:spacing w:val="0"/>
                <w:kern w:val="0"/>
                <w:sz w:val="28"/>
                <w:szCs w:val="28"/>
                <w:lang w:val="en-US" w:eastAsia="zh-CN" w:bidi="ar"/>
              </w:rPr>
              <w:t>售后服务</w:t>
            </w:r>
          </w:p>
        </w:tc>
        <w:tc>
          <w:tcPr>
            <w:tcW w:w="2998" w:type="pct"/>
            <w:vAlign w:val="center"/>
          </w:tcPr>
          <w:p w14:paraId="7C42B856">
            <w:pPr>
              <w:keepNext w:val="0"/>
              <w:keepLines w:val="0"/>
              <w:widowControl/>
              <w:suppressLineNumbers w:val="0"/>
              <w:spacing w:before="0" w:beforeAutospacing="0" w:after="0" w:afterAutospacing="0"/>
              <w:ind w:left="0" w:leftChars="0" w:right="0" w:rightChars="0"/>
              <w:jc w:val="left"/>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承诺提供不低于3年的整机质保期，并在山东省或济南市设有固定的售后服务网点或技术支持人员</w:t>
            </w:r>
          </w:p>
        </w:tc>
        <w:tc>
          <w:tcPr>
            <w:tcW w:w="1119" w:type="pct"/>
            <w:vAlign w:val="center"/>
          </w:tcPr>
          <w:p w14:paraId="0673B77C">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售后服务承诺函</w:t>
            </w:r>
          </w:p>
        </w:tc>
      </w:tr>
      <w:tr w14:paraId="0F444B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4" w:hRule="atLeast"/>
          <w:jc w:val="center"/>
        </w:trPr>
        <w:tc>
          <w:tcPr>
            <w:tcW w:w="882" w:type="pct"/>
            <w:vAlign w:val="center"/>
          </w:tcPr>
          <w:p w14:paraId="5CB47EF4">
            <w:pPr>
              <w:keepNext w:val="0"/>
              <w:keepLines w:val="0"/>
              <w:widowControl/>
              <w:suppressLineNumbers w:val="0"/>
              <w:spacing w:before="0" w:beforeAutospacing="0" w:after="0" w:afterAutospacing="0"/>
              <w:ind w:left="0" w:leftChars="0" w:right="0" w:rightChars="0"/>
              <w:jc w:val="center"/>
              <w:rPr>
                <w:rStyle w:val="33"/>
                <w:rFonts w:hint="default" w:ascii="仿宋_GB2312" w:hAnsi="仿宋_GB2312" w:eastAsia="仿宋_GB2312" w:cs="仿宋_GB2312"/>
                <w:i w:val="0"/>
                <w:iCs w:val="0"/>
                <w:caps w:val="0"/>
                <w:color w:val="333333"/>
                <w:spacing w:val="0"/>
                <w:kern w:val="0"/>
                <w:sz w:val="28"/>
                <w:szCs w:val="28"/>
                <w:lang w:val="en-US" w:eastAsia="zh-CN" w:bidi="ar"/>
              </w:rPr>
            </w:pPr>
            <w:r>
              <w:rPr>
                <w:rStyle w:val="33"/>
                <w:rFonts w:hint="eastAsia" w:ascii="仿宋_GB2312" w:hAnsi="仿宋_GB2312" w:eastAsia="仿宋_GB2312" w:cs="仿宋_GB2312"/>
                <w:i w:val="0"/>
                <w:iCs w:val="0"/>
                <w:caps w:val="0"/>
                <w:color w:val="333333"/>
                <w:spacing w:val="0"/>
                <w:kern w:val="0"/>
                <w:sz w:val="28"/>
                <w:szCs w:val="28"/>
                <w:lang w:val="en-US" w:eastAsia="zh-CN" w:bidi="ar"/>
              </w:rPr>
              <w:t>法人授权</w:t>
            </w:r>
          </w:p>
        </w:tc>
        <w:tc>
          <w:tcPr>
            <w:tcW w:w="2998" w:type="pct"/>
            <w:vAlign w:val="center"/>
          </w:tcPr>
          <w:p w14:paraId="43397D75">
            <w:pPr>
              <w:keepNext w:val="0"/>
              <w:keepLines w:val="0"/>
              <w:widowControl/>
              <w:suppressLineNumbers w:val="0"/>
              <w:spacing w:before="0" w:beforeAutospacing="0" w:after="0" w:afterAutospacing="0"/>
              <w:ind w:left="0" w:leftChars="0" w:right="0" w:rightChars="0"/>
              <w:jc w:val="left"/>
              <w:rPr>
                <w:rFonts w:hint="default" w:ascii="仿宋_GB2312" w:hAnsi="仿宋_GB2312" w:eastAsia="仿宋_GB2312" w:cs="仿宋_GB2312"/>
                <w:i w:val="0"/>
                <w:iCs w:val="0"/>
                <w:caps w:val="0"/>
                <w:color w:val="333333"/>
                <w:spacing w:val="0"/>
                <w:kern w:val="0"/>
                <w:sz w:val="28"/>
                <w:szCs w:val="28"/>
                <w:lang w:val="en-US" w:eastAsia="zh-CN" w:bidi="ar"/>
              </w:rPr>
            </w:pPr>
            <w:r>
              <w:rPr>
                <w:rFonts w:hint="eastAsia" w:ascii="仿宋_GB2312" w:hAnsi="仿宋_GB2312" w:eastAsia="仿宋_GB2312" w:cs="仿宋_GB2312"/>
                <w:i w:val="0"/>
                <w:iCs w:val="0"/>
                <w:caps w:val="0"/>
                <w:color w:val="333333"/>
                <w:spacing w:val="0"/>
                <w:kern w:val="0"/>
                <w:sz w:val="28"/>
                <w:szCs w:val="28"/>
                <w:lang w:val="en-US" w:eastAsia="zh-CN" w:bidi="ar"/>
              </w:rPr>
              <w:t>法人授权委托书需盖章</w:t>
            </w:r>
          </w:p>
        </w:tc>
        <w:tc>
          <w:tcPr>
            <w:tcW w:w="1119" w:type="pct"/>
            <w:vAlign w:val="center"/>
          </w:tcPr>
          <w:p w14:paraId="35F3B5D0">
            <w:pPr>
              <w:keepNext w:val="0"/>
              <w:keepLines w:val="0"/>
              <w:widowControl/>
              <w:suppressLineNumbers w:val="0"/>
              <w:spacing w:before="0" w:beforeAutospacing="0" w:after="0" w:afterAutospacing="0"/>
              <w:ind w:left="0" w:leftChars="0" w:right="0" w:rightChars="0"/>
              <w:jc w:val="center"/>
              <w:rPr>
                <w:rFonts w:hint="default" w:ascii="仿宋_GB2312" w:hAnsi="仿宋_GB2312" w:eastAsia="仿宋_GB2312" w:cs="仿宋_GB2312"/>
                <w:i w:val="0"/>
                <w:iCs w:val="0"/>
                <w:caps w:val="0"/>
                <w:color w:val="333333"/>
                <w:spacing w:val="0"/>
                <w:kern w:val="0"/>
                <w:sz w:val="28"/>
                <w:szCs w:val="28"/>
                <w:lang w:val="en-US" w:eastAsia="zh-CN" w:bidi="ar"/>
              </w:rPr>
            </w:pPr>
            <w:r>
              <w:rPr>
                <w:rFonts w:hint="eastAsia" w:ascii="仿宋_GB2312" w:hAnsi="仿宋_GB2312" w:eastAsia="仿宋_GB2312" w:cs="仿宋_GB2312"/>
                <w:i w:val="0"/>
                <w:iCs w:val="0"/>
                <w:caps w:val="0"/>
                <w:color w:val="333333"/>
                <w:spacing w:val="0"/>
                <w:kern w:val="0"/>
                <w:sz w:val="28"/>
                <w:szCs w:val="28"/>
                <w:lang w:val="en-US" w:eastAsia="zh-CN" w:bidi="ar"/>
              </w:rPr>
              <w:t>法人授权委托书</w:t>
            </w:r>
          </w:p>
        </w:tc>
      </w:tr>
    </w:tbl>
    <w:p w14:paraId="0FCAA68A">
      <w:pPr>
        <w:pStyle w:val="75"/>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47175D6D">
      <w:pPr>
        <w:pStyle w:val="74"/>
        <w:numPr>
          <w:ilvl w:val="0"/>
          <w:numId w:val="15"/>
        </w:numPr>
        <w:ind w:left="425" w:leftChars="0" w:hanging="425" w:firstLineChars="0"/>
        <w:rPr>
          <w:rFonts w:hint="eastAsia" w:cs="Times New Roman"/>
          <w:b w:val="0"/>
          <w:bCs/>
          <w:highlight w:val="none"/>
        </w:rPr>
      </w:pPr>
      <w:r>
        <w:rPr>
          <w:rFonts w:hint="eastAsia" w:cs="Times New Roman"/>
          <w:b w:val="0"/>
          <w:bCs/>
          <w:highlight w:val="none"/>
        </w:rPr>
        <w:t>商务标：</w:t>
      </w:r>
    </w:p>
    <w:p w14:paraId="1FEC8CF2">
      <w:pPr>
        <w:pStyle w:val="75"/>
        <w:keepNext w:val="0"/>
        <w:keepLines w:val="0"/>
        <w:pageBreakBefore w:val="0"/>
        <w:widowControl w:val="0"/>
        <w:numPr>
          <w:ilvl w:val="0"/>
          <w:numId w:val="17"/>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14:paraId="0DFA5CBE">
      <w:pPr>
        <w:pStyle w:val="75"/>
        <w:numPr>
          <w:ilvl w:val="0"/>
          <w:numId w:val="17"/>
        </w:numPr>
        <w:ind w:left="425" w:leftChars="0" w:hanging="425" w:firstLineChars="0"/>
        <w:rPr>
          <w:b w:val="0"/>
          <w:bCs/>
          <w:highlight w:val="yellow"/>
        </w:rPr>
      </w:pPr>
      <w:r>
        <w:rPr>
          <w:rFonts w:hint="eastAsia"/>
          <w:b w:val="0"/>
          <w:bCs/>
          <w:highlight w:val="yellow"/>
        </w:rPr>
        <w:t>投标函（格式见附件）;</w:t>
      </w:r>
    </w:p>
    <w:p w14:paraId="53DECED4">
      <w:pPr>
        <w:pStyle w:val="75"/>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6  </w:t>
      </w:r>
      <w:r>
        <w:rPr>
          <w:rFonts w:hint="eastAsia" w:cs="Times New Roman"/>
          <w:b w:val="0"/>
          <w:bCs/>
          <w:highlight w:val="none"/>
        </w:rPr>
        <w:t>万元（含</w:t>
      </w:r>
      <w:r>
        <w:rPr>
          <w:rFonts w:hint="eastAsia" w:cs="Times New Roman"/>
          <w:b w:val="0"/>
          <w:bCs/>
          <w:highlight w:val="yellow"/>
          <w:u w:val="single"/>
          <w:lang w:val="en-US" w:eastAsia="zh-CN"/>
        </w:rPr>
        <w:t xml:space="preserve"> 13  </w:t>
      </w:r>
      <w:r>
        <w:rPr>
          <w:rFonts w:hint="eastAsia" w:cs="Times New Roman"/>
          <w:b w:val="0"/>
          <w:bCs/>
          <w:highlight w:val="none"/>
        </w:rPr>
        <w:t>%增值税），超过投标限价无法投标。</w:t>
      </w:r>
    </w:p>
    <w:p w14:paraId="70E2A45F">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776A71A0">
      <w:pPr>
        <w:pStyle w:val="75"/>
        <w:numPr>
          <w:ilvl w:val="0"/>
          <w:numId w:val="18"/>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投标方式：</w:t>
      </w:r>
      <w:r>
        <w:rPr>
          <w:rFonts w:hint="eastAsia" w:cs="Times New Roman"/>
          <w:b w:val="0"/>
          <w:bCs/>
          <w:highlight w:val="none"/>
          <w:lang w:val="en-US" w:eastAsia="zh-CN"/>
        </w:rPr>
        <w:t>重汽e采通</w:t>
      </w:r>
    </w:p>
    <w:p w14:paraId="430BD106">
      <w:pPr>
        <w:pStyle w:val="75"/>
        <w:numPr>
          <w:ilvl w:val="0"/>
          <w:numId w:val="18"/>
        </w:numPr>
        <w:ind w:left="425" w:leftChars="0" w:hanging="425" w:firstLineChars="0"/>
        <w:rPr>
          <w:rFonts w:hint="eastAsia" w:ascii="宋体" w:hAnsi="Courier New" w:eastAsia="宋体" w:cs="Times New Roman"/>
          <w:b w:val="0"/>
          <w:bCs/>
          <w:highlight w:val="none"/>
        </w:rPr>
      </w:pPr>
      <w:r>
        <w:rPr>
          <w:rFonts w:hint="eastAsia" w:ascii="宋体" w:hAnsi="Courier New" w:eastAsia="宋体" w:cs="Times New Roman"/>
          <w:b w:val="0"/>
          <w:bCs/>
          <w:highlight w:val="none"/>
          <w:lang w:val="en-US" w:eastAsia="zh-CN"/>
        </w:rPr>
        <w:t>邮寄地址：</w:t>
      </w:r>
      <w:r>
        <w:rPr>
          <w:rFonts w:hint="eastAsia" w:cs="Times New Roman"/>
          <w:b w:val="0"/>
          <w:bCs/>
          <w:highlight w:val="none"/>
          <w:lang w:val="en-US" w:eastAsia="zh-CN"/>
        </w:rPr>
        <w:t>线上递交电子版</w:t>
      </w:r>
    </w:p>
    <w:p w14:paraId="4AAA3F9B">
      <w:pPr>
        <w:pStyle w:val="75"/>
        <w:numPr>
          <w:ilvl w:val="0"/>
          <w:numId w:val="18"/>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投标文件递交截止时间：</w:t>
      </w:r>
      <w:r>
        <w:rPr>
          <w:rFonts w:hint="eastAsia" w:cs="Times New Roman"/>
          <w:b w:val="0"/>
          <w:bCs/>
          <w:highlight w:val="none"/>
          <w:lang w:val="en-US" w:eastAsia="zh-CN"/>
        </w:rPr>
        <w:t>2025年11月14日9点00分</w:t>
      </w:r>
    </w:p>
    <w:p w14:paraId="25974AAC">
      <w:pPr>
        <w:pStyle w:val="72"/>
        <w:rPr>
          <w:rFonts w:hint="eastAsia" w:hAnsi="Courier New" w:cs="Times New Roman"/>
          <w:highlight w:val="none"/>
        </w:rPr>
      </w:pPr>
      <w:bookmarkStart w:id="12"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19"/>
        </w:numPr>
        <w:ind w:leftChars="0"/>
        <w:rPr>
          <w:rFonts w:hint="eastAsia"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yellow"/>
        </w:rPr>
        <w:t>投标保证金的缴纳</w:t>
      </w:r>
    </w:p>
    <w:p w14:paraId="021ADBC0">
      <w:pPr>
        <w:pStyle w:val="72"/>
        <w:numPr>
          <w:ilvl w:val="0"/>
          <w:numId w:val="20"/>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0"/>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5000    </w:t>
      </w:r>
      <w:r>
        <w:rPr>
          <w:rFonts w:hint="eastAsia" w:ascii="宋体" w:hAnsi="宋体" w:eastAsia="宋体" w:cs="宋体"/>
          <w:b w:val="0"/>
          <w:bCs w:val="0"/>
          <w:sz w:val="21"/>
          <w:szCs w:val="21"/>
          <w:highlight w:val="none"/>
        </w:rPr>
        <w:t>元</w:t>
      </w:r>
    </w:p>
    <w:p w14:paraId="1EE079CD">
      <w:pPr>
        <w:pStyle w:val="75"/>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ascii="宋体" w:hAnsi="宋体" w:eastAsia="宋体" w:cs="宋体"/>
          <w:sz w:val="24"/>
          <w:szCs w:val="24"/>
        </w:rPr>
        <w:t>保证金收款账号：</w:t>
      </w:r>
      <w:r>
        <w:rPr>
          <w:rFonts w:ascii="宋体" w:hAnsi="宋体" w:eastAsia="宋体" w:cs="宋体"/>
          <w:sz w:val="24"/>
          <w:szCs w:val="24"/>
        </w:rPr>
        <w:br w:type="textWrapping"/>
      </w:r>
      <w:r>
        <w:rPr>
          <w:rFonts w:ascii="宋体" w:hAnsi="宋体" w:eastAsia="宋体" w:cs="宋体"/>
          <w:sz w:val="24"/>
          <w:szCs w:val="24"/>
        </w:rPr>
        <w:t>单位名称：中国重汽集团济南动力有限公司</w:t>
      </w:r>
      <w:r>
        <w:rPr>
          <w:rFonts w:ascii="宋体" w:hAnsi="宋体" w:eastAsia="宋体" w:cs="宋体"/>
          <w:sz w:val="24"/>
          <w:szCs w:val="24"/>
        </w:rPr>
        <w:br w:type="textWrapping"/>
      </w:r>
      <w:r>
        <w:rPr>
          <w:rFonts w:ascii="宋体" w:hAnsi="宋体" w:eastAsia="宋体" w:cs="宋体"/>
          <w:sz w:val="24"/>
          <w:szCs w:val="24"/>
        </w:rPr>
        <w:t>收款账号：37001616508050150300</w:t>
      </w:r>
      <w:r>
        <w:rPr>
          <w:rFonts w:ascii="宋体" w:hAnsi="宋体" w:eastAsia="宋体" w:cs="宋体"/>
          <w:sz w:val="24"/>
          <w:szCs w:val="24"/>
        </w:rPr>
        <w:br w:type="textWrapping"/>
      </w:r>
      <w:r>
        <w:rPr>
          <w:rFonts w:ascii="宋体" w:hAnsi="宋体" w:eastAsia="宋体" w:cs="宋体"/>
          <w:sz w:val="24"/>
          <w:szCs w:val="24"/>
        </w:rPr>
        <w:t>开户行名称：中国建设银行股份有限公司济南天桥支行</w:t>
      </w:r>
      <w:r>
        <w:rPr>
          <w:rFonts w:ascii="宋体" w:hAnsi="宋体" w:eastAsia="宋体" w:cs="宋体"/>
          <w:sz w:val="24"/>
          <w:szCs w:val="24"/>
        </w:rPr>
        <w:br w:type="textWrapping"/>
      </w:r>
      <w:r>
        <w:rPr>
          <w:rFonts w:ascii="宋体" w:hAnsi="宋体" w:eastAsia="宋体" w:cs="宋体"/>
          <w:sz w:val="24"/>
          <w:szCs w:val="24"/>
        </w:rPr>
        <w:t>开户行行号：105451000362</w:t>
      </w:r>
    </w:p>
    <w:p w14:paraId="1591D62C">
      <w:pPr>
        <w:pStyle w:val="75"/>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pStyle w:val="72"/>
        <w:numPr>
          <w:ilvl w:val="0"/>
          <w:numId w:val="0"/>
        </w:numPr>
        <w:ind w:left="425" w:leftChars="0" w:hanging="425" w:firstLineChars="0"/>
        <w:rPr>
          <w:rFonts w:hint="default" w:ascii="宋体" w:hAnsi="宋体" w:eastAsia="宋体" w:cs="宋体"/>
          <w:b w:val="0"/>
          <w:bCs w:val="0"/>
          <w:sz w:val="21"/>
          <w:szCs w:val="21"/>
          <w:highlight w:val="none"/>
          <w:lang w:val="en-US" w:eastAsia="zh-CN"/>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保证金缴纳截止时间：202</w:t>
      </w:r>
      <w:r>
        <w:rPr>
          <w:rFonts w:hint="eastAsia" w:ascii="宋体" w:hAnsi="宋体" w:eastAsia="宋体" w:cs="宋体"/>
          <w:b w:val="0"/>
          <w:bCs w:val="0"/>
          <w:sz w:val="21"/>
          <w:szCs w:val="21"/>
          <w:highlight w:val="none"/>
          <w:lang w:val="en-US" w:eastAsia="zh-CN"/>
        </w:rPr>
        <w:t>5</w:t>
      </w:r>
      <w:r>
        <w:rPr>
          <w:rFonts w:hint="eastAsia" w:ascii="宋体" w:hAnsi="宋体" w:eastAsia="宋体" w:cs="宋体"/>
          <w:b w:val="0"/>
          <w:bCs w:val="0"/>
          <w:sz w:val="21"/>
          <w:szCs w:val="21"/>
          <w:highlight w:val="none"/>
        </w:rPr>
        <w:t>年</w:t>
      </w:r>
      <w:r>
        <w:rPr>
          <w:rFonts w:hint="eastAsia" w:ascii="宋体" w:hAnsi="宋体" w:eastAsia="宋体" w:cs="宋体"/>
          <w:b w:val="0"/>
          <w:bCs w:val="0"/>
          <w:sz w:val="21"/>
          <w:szCs w:val="21"/>
          <w:highlight w:val="none"/>
          <w:lang w:val="en-US" w:eastAsia="zh-CN"/>
        </w:rPr>
        <w:t>11</w:t>
      </w:r>
      <w:r>
        <w:rPr>
          <w:rFonts w:hint="eastAsia" w:ascii="宋体" w:hAnsi="宋体" w:eastAsia="宋体" w:cs="宋体"/>
          <w:b w:val="0"/>
          <w:bCs w:val="0"/>
          <w:sz w:val="21"/>
          <w:szCs w:val="21"/>
          <w:highlight w:val="none"/>
        </w:rPr>
        <w:t>月</w:t>
      </w:r>
      <w:r>
        <w:rPr>
          <w:rFonts w:hint="eastAsia" w:ascii="宋体" w:hAnsi="宋体" w:eastAsia="宋体" w:cs="宋体"/>
          <w:b w:val="0"/>
          <w:bCs w:val="0"/>
          <w:sz w:val="21"/>
          <w:szCs w:val="21"/>
          <w:highlight w:val="none"/>
          <w:lang w:val="en-US" w:eastAsia="zh-CN"/>
        </w:rPr>
        <w:t>10</w:t>
      </w:r>
      <w:r>
        <w:rPr>
          <w:rFonts w:hint="eastAsia" w:ascii="宋体" w:hAnsi="宋体" w:eastAsia="宋体" w:cs="宋体"/>
          <w:b w:val="0"/>
          <w:bCs w:val="0"/>
          <w:sz w:val="21"/>
          <w:szCs w:val="21"/>
          <w:highlight w:val="none"/>
        </w:rPr>
        <w:t>日</w:t>
      </w:r>
      <w:r>
        <w:rPr>
          <w:rFonts w:hint="eastAsia" w:ascii="宋体" w:hAnsi="宋体" w:eastAsia="宋体" w:cs="宋体"/>
          <w:b w:val="0"/>
          <w:bCs w:val="0"/>
          <w:sz w:val="21"/>
          <w:szCs w:val="21"/>
          <w:highlight w:val="none"/>
          <w:lang w:val="en-US" w:eastAsia="zh-CN"/>
        </w:rPr>
        <w:t>17点00分</w:t>
      </w:r>
    </w:p>
    <w:p w14:paraId="4C2C93DA">
      <w:pPr>
        <w:pStyle w:val="72"/>
        <w:keepNext w:val="0"/>
        <w:keepLines w:val="0"/>
        <w:pageBreakBefore w:val="0"/>
        <w:widowControl w:val="0"/>
        <w:numPr>
          <w:ilvl w:val="0"/>
          <w:numId w:val="19"/>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19"/>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lang w:val="en-US" w:eastAsia="zh-CN"/>
        </w:rPr>
        <w:t>个</w:t>
      </w:r>
      <w:r>
        <w:rPr>
          <w:rFonts w:hint="eastAsia" w:ascii="宋体" w:hAnsi="宋体" w:eastAsia="宋体" w:cs="宋体"/>
          <w:b w:val="0"/>
          <w:bCs w:val="0"/>
          <w:sz w:val="21"/>
          <w:szCs w:val="21"/>
          <w:highlight w:val="none"/>
        </w:rPr>
        <w:t>工作日内原路返还（无息）。</w:t>
      </w:r>
    </w:p>
    <w:p w14:paraId="271EC8CF">
      <w:pPr>
        <w:pStyle w:val="72"/>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2"/>
    <w:p w14:paraId="368B6990">
      <w:pPr>
        <w:pStyle w:val="72"/>
      </w:pPr>
      <w:r>
        <w:rPr>
          <w:rFonts w:hint="eastAsia"/>
          <w:lang w:val="en-US" w:eastAsia="zh-CN"/>
        </w:rPr>
        <w:t>开评标</w:t>
      </w:r>
    </w:p>
    <w:p w14:paraId="3EF8D0F8">
      <w:pPr>
        <w:pStyle w:val="72"/>
        <w:keepNext w:val="0"/>
        <w:keepLines w:val="0"/>
        <w:pageBreakBefore w:val="0"/>
        <w:widowControl w:val="0"/>
        <w:numPr>
          <w:ilvl w:val="0"/>
          <w:numId w:val="21"/>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49C28C4">
      <w:pPr>
        <w:pStyle w:val="75"/>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w:t>
      </w:r>
      <w:r>
        <w:rPr>
          <w:rFonts w:hint="eastAsia" w:cs="Times New Roman"/>
          <w:b w:val="0"/>
          <w:bCs/>
          <w:highlight w:val="yellow"/>
          <w:lang w:val="en-US" w:eastAsia="zh-CN"/>
        </w:rPr>
        <w:t>合理最低价中标）</w:t>
      </w:r>
    </w:p>
    <w:p w14:paraId="2509BD7C">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本次招标采用技术标入围后，原则上合理最低价中标。本着公平、公正、公开的原则，在通过技术标综合评审后入围的前提下，选择合理最低价确定中标人，对未中标单位不做任何解释。</w:t>
      </w:r>
    </w:p>
    <w:p w14:paraId="0B2A8F6D">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7E63C2E8">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14:paraId="17C23BBD">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75"/>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0662E4D4">
      <w:pPr>
        <w:pStyle w:val="72"/>
        <w:numPr>
          <w:ilvl w:val="0"/>
          <w:numId w:val="0"/>
        </w:numPr>
        <w:rPr>
          <w:rFonts w:hint="default" w:ascii="宋体" w:hAnsi="宋体" w:eastAsia="宋体" w:cs="宋体"/>
          <w:b w:val="0"/>
          <w:bCs w:val="0"/>
          <w:sz w:val="24"/>
          <w:szCs w:val="24"/>
          <w:highlight w:val="none"/>
          <w:lang w:val="en-US" w:eastAsia="zh-CN"/>
        </w:rPr>
      </w:pP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3" w:name="OLE_LINK26"/>
      <w:bookmarkStart w:id="14" w:name="OLE_LINK29"/>
      <w:bookmarkStart w:id="15" w:name="OLE_LINK27"/>
      <w:bookmarkStart w:id="16" w:name="OLE_LINK25"/>
      <w:bookmarkStart w:id="17" w:name="OLE_LINK28"/>
      <w:r>
        <w:rPr>
          <w:rFonts w:hint="eastAsia" w:ascii="宋体" w:hAnsi="宋体" w:eastAsia="宋体" w:cs="宋体"/>
          <w:bCs/>
          <w:sz w:val="21"/>
          <w:szCs w:val="21"/>
          <w:highlight w:val="none"/>
        </w:rPr>
        <w:t>；</w:t>
      </w:r>
      <w:bookmarkEnd w:id="13"/>
      <w:bookmarkEnd w:id="14"/>
      <w:bookmarkEnd w:id="15"/>
      <w:bookmarkEnd w:id="16"/>
      <w:bookmarkEnd w:id="17"/>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pPr>
      <w:r>
        <w:rPr>
          <w:rFonts w:hint="eastAsia"/>
          <w:lang w:val="en-US" w:eastAsia="zh-CN"/>
        </w:rPr>
        <w:t>交货及付款</w:t>
      </w:r>
    </w:p>
    <w:p w14:paraId="0DD46053">
      <w:pPr>
        <w:pStyle w:val="72"/>
        <w:numPr>
          <w:ilvl w:val="0"/>
          <w:numId w:val="25"/>
        </w:numPr>
        <w:ind w:left="425" w:leftChars="0" w:hanging="425" w:firstLineChars="0"/>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交货期：以合同为准</w:t>
      </w:r>
    </w:p>
    <w:p w14:paraId="6AAC4A46">
      <w:pPr>
        <w:pStyle w:val="72"/>
        <w:numPr>
          <w:ilvl w:val="0"/>
          <w:numId w:val="25"/>
        </w:numPr>
        <w:ind w:left="425" w:leftChars="0" w:hanging="425" w:firstLineChars="0"/>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交货地点：</w:t>
      </w:r>
      <w:r>
        <w:rPr>
          <w:rFonts w:hint="eastAsia" w:ascii="宋体" w:hAnsi="宋体" w:eastAsia="宋体" w:cs="宋体"/>
          <w:b w:val="0"/>
          <w:bCs w:val="0"/>
          <w:sz w:val="21"/>
          <w:szCs w:val="21"/>
          <w:highlight w:val="none"/>
        </w:rPr>
        <w:t>中国重汽集团济南卡车股份有限公司卡车销售部</w:t>
      </w:r>
    </w:p>
    <w:p w14:paraId="6C8560A2">
      <w:pPr>
        <w:pStyle w:val="72"/>
        <w:numPr>
          <w:ilvl w:val="0"/>
          <w:numId w:val="25"/>
        </w:numPr>
        <w:ind w:left="425" w:leftChars="0" w:hanging="425" w:firstLineChars="0"/>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交货方式：现场</w:t>
      </w:r>
    </w:p>
    <w:p w14:paraId="1494B402">
      <w:pPr>
        <w:pStyle w:val="72"/>
        <w:numPr>
          <w:ilvl w:val="0"/>
          <w:numId w:val="25"/>
        </w:numPr>
        <w:ind w:left="425" w:leftChars="0" w:hanging="425" w:firstLineChars="0"/>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yellow"/>
        </w:rPr>
        <w:t>付款方式</w:t>
      </w:r>
      <w:r>
        <w:rPr>
          <w:rFonts w:hint="eastAsia" w:ascii="宋体" w:hAnsi="宋体" w:eastAsia="宋体" w:cs="宋体"/>
          <w:b w:val="0"/>
          <w:bCs w:val="0"/>
          <w:sz w:val="21"/>
          <w:szCs w:val="21"/>
          <w:highlight w:val="yellow"/>
          <w:lang w:eastAsia="zh-CN"/>
        </w:rPr>
        <w:t>：</w:t>
      </w:r>
      <w:r>
        <w:rPr>
          <w:rFonts w:hint="eastAsia" w:ascii="宋体" w:hAnsi="宋体" w:eastAsia="宋体" w:cs="宋体"/>
          <w:b w:val="0"/>
          <w:bCs w:val="0"/>
          <w:sz w:val="21"/>
          <w:szCs w:val="21"/>
          <w:highlight w:val="yellow"/>
          <w:lang w:val="en-US" w:eastAsia="zh-CN"/>
        </w:rPr>
        <w:t>银行转账；</w:t>
      </w:r>
      <w:r>
        <w:rPr>
          <w:rFonts w:hint="eastAsia" w:ascii="宋体" w:hAnsi="宋体" w:eastAsia="宋体" w:cs="宋体"/>
          <w:b w:val="0"/>
          <w:bCs w:val="0"/>
          <w:sz w:val="21"/>
          <w:szCs w:val="21"/>
          <w:highlight w:val="none"/>
          <w:lang w:val="en-US" w:eastAsia="zh-CN"/>
        </w:rPr>
        <w:t>付款节点①100%：乙方完成甲方的需求，乙方开具合同价款100%的收据并增值税专用发票，经甲方核对无误后支付。</w:t>
      </w:r>
    </w:p>
    <w:p w14:paraId="237975FA">
      <w:pPr>
        <w:rPr>
          <w:rFonts w:hint="eastAsia" w:ascii="黑体" w:hAnsi="黑体" w:eastAsia="黑体" w:cs="黑体"/>
          <w:b/>
          <w:bCs/>
          <w:sz w:val="32"/>
          <w:szCs w:val="32"/>
        </w:rPr>
      </w:pPr>
      <w:r>
        <w:rPr>
          <w:rFonts w:hint="eastAsia" w:ascii="黑体" w:hAnsi="黑体" w:eastAsia="黑体" w:cs="黑体"/>
          <w:b/>
          <w:bCs/>
          <w:sz w:val="32"/>
          <w:szCs w:val="32"/>
        </w:rPr>
        <w:t>商务条款要求</w:t>
      </w:r>
    </w:p>
    <w:tbl>
      <w:tblPr>
        <w:tblStyle w:val="31"/>
        <w:tblW w:w="9720" w:type="dxa"/>
        <w:tblInd w:w="-50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95"/>
        <w:gridCol w:w="4665"/>
        <w:gridCol w:w="3360"/>
      </w:tblGrid>
      <w:tr w14:paraId="51C13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5" w:type="dxa"/>
            <w:shd w:val="clear" w:color="auto" w:fill="2E75B5" w:themeFill="accent1" w:themeFillShade="BF"/>
            <w:vAlign w:val="center"/>
          </w:tcPr>
          <w:p w14:paraId="42558310">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color w:val="FFFFFF" w:themeColor="background1"/>
                <w:sz w:val="28"/>
                <w:szCs w:val="28"/>
                <w:vertAlign w:val="baseline"/>
                <w14:textFill>
                  <w14:solidFill>
                    <w14:schemeClr w14:val="bg1"/>
                  </w14:solidFill>
                </w14:textFill>
              </w:rPr>
            </w:pPr>
            <w:r>
              <w:rPr>
                <w:rFonts w:hint="eastAsia" w:ascii="仿宋_GB2312" w:hAnsi="仿宋_GB2312" w:eastAsia="仿宋_GB2312" w:cs="仿宋_GB2312"/>
                <w:b/>
                <w:bCs/>
                <w:i w:val="0"/>
                <w:iCs w:val="0"/>
                <w:caps w:val="0"/>
                <w:color w:val="FFFFFF" w:themeColor="background1"/>
                <w:spacing w:val="0"/>
                <w:kern w:val="0"/>
                <w:sz w:val="28"/>
                <w:szCs w:val="28"/>
                <w:lang w:val="en-US" w:eastAsia="zh-CN" w:bidi="ar"/>
                <w14:textFill>
                  <w14:solidFill>
                    <w14:schemeClr w14:val="bg1"/>
                  </w14:solidFill>
                </w14:textFill>
              </w:rPr>
              <w:t>商务条款</w:t>
            </w:r>
          </w:p>
        </w:tc>
        <w:tc>
          <w:tcPr>
            <w:tcW w:w="4665" w:type="dxa"/>
            <w:shd w:val="clear" w:color="auto" w:fill="2E75B5" w:themeFill="accent1" w:themeFillShade="BF"/>
            <w:vAlign w:val="center"/>
          </w:tcPr>
          <w:p w14:paraId="236152B8">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color w:val="FFFFFF" w:themeColor="background1"/>
                <w:sz w:val="28"/>
                <w:szCs w:val="28"/>
                <w:vertAlign w:val="baseline"/>
                <w14:textFill>
                  <w14:solidFill>
                    <w14:schemeClr w14:val="bg1"/>
                  </w14:solidFill>
                </w14:textFill>
              </w:rPr>
            </w:pPr>
            <w:r>
              <w:rPr>
                <w:rFonts w:hint="eastAsia" w:ascii="仿宋_GB2312" w:hAnsi="仿宋_GB2312" w:eastAsia="仿宋_GB2312" w:cs="仿宋_GB2312"/>
                <w:b/>
                <w:bCs/>
                <w:i w:val="0"/>
                <w:iCs w:val="0"/>
                <w:caps w:val="0"/>
                <w:color w:val="FFFFFF" w:themeColor="background1"/>
                <w:spacing w:val="0"/>
                <w:kern w:val="0"/>
                <w:sz w:val="28"/>
                <w:szCs w:val="28"/>
                <w:lang w:val="en-US" w:eastAsia="zh-CN" w:bidi="ar"/>
                <w14:textFill>
                  <w14:solidFill>
                    <w14:schemeClr w14:val="bg1"/>
                  </w14:solidFill>
                </w14:textFill>
              </w:rPr>
              <w:t>具体要求</w:t>
            </w:r>
          </w:p>
        </w:tc>
        <w:tc>
          <w:tcPr>
            <w:tcW w:w="3360" w:type="dxa"/>
            <w:shd w:val="clear" w:color="auto" w:fill="2E75B5" w:themeFill="accent1" w:themeFillShade="BF"/>
            <w:vAlign w:val="center"/>
          </w:tcPr>
          <w:p w14:paraId="4C626F54">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color w:val="FFFFFF" w:themeColor="background1"/>
                <w:sz w:val="28"/>
                <w:szCs w:val="28"/>
                <w:vertAlign w:val="baseline"/>
                <w14:textFill>
                  <w14:solidFill>
                    <w14:schemeClr w14:val="bg1"/>
                  </w14:solidFill>
                </w14:textFill>
              </w:rPr>
            </w:pPr>
            <w:r>
              <w:rPr>
                <w:rFonts w:hint="eastAsia" w:ascii="仿宋_GB2312" w:hAnsi="仿宋_GB2312" w:eastAsia="仿宋_GB2312" w:cs="仿宋_GB2312"/>
                <w:b/>
                <w:bCs/>
                <w:i w:val="0"/>
                <w:iCs w:val="0"/>
                <w:caps w:val="0"/>
                <w:color w:val="FFFFFF" w:themeColor="background1"/>
                <w:spacing w:val="0"/>
                <w:kern w:val="0"/>
                <w:sz w:val="28"/>
                <w:szCs w:val="28"/>
                <w:lang w:val="en-US" w:eastAsia="zh-CN" w:bidi="ar"/>
                <w14:textFill>
                  <w14:solidFill>
                    <w14:schemeClr w14:val="bg1"/>
                  </w14:solidFill>
                </w14:textFill>
              </w:rPr>
              <w:t>依据/分析</w:t>
            </w:r>
          </w:p>
        </w:tc>
      </w:tr>
      <w:tr w14:paraId="21D47E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5" w:type="dxa"/>
            <w:vAlign w:val="center"/>
          </w:tcPr>
          <w:p w14:paraId="0228F403">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Style w:val="33"/>
                <w:rFonts w:hint="eastAsia" w:ascii="仿宋_GB2312" w:hAnsi="仿宋_GB2312" w:eastAsia="仿宋_GB2312" w:cs="仿宋_GB2312"/>
                <w:i w:val="0"/>
                <w:iCs w:val="0"/>
                <w:caps w:val="0"/>
                <w:color w:val="333333"/>
                <w:spacing w:val="0"/>
                <w:kern w:val="0"/>
                <w:sz w:val="28"/>
                <w:szCs w:val="28"/>
                <w:lang w:val="en-US" w:eastAsia="zh-CN" w:bidi="ar"/>
              </w:rPr>
              <w:t>报价要求</w:t>
            </w:r>
          </w:p>
        </w:tc>
        <w:tc>
          <w:tcPr>
            <w:tcW w:w="4665" w:type="dxa"/>
            <w:vAlign w:val="center"/>
          </w:tcPr>
          <w:p w14:paraId="6C1B7A4D">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必须基于《设备明细表》进行分项报价，总报价不得超过人民币60,000元</w:t>
            </w:r>
          </w:p>
        </w:tc>
        <w:tc>
          <w:tcPr>
            <w:tcW w:w="3360" w:type="dxa"/>
            <w:vAlign w:val="center"/>
          </w:tcPr>
          <w:p w14:paraId="39056803">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项目预算为60,000元，实际估算投资59,983元</w:t>
            </w:r>
          </w:p>
        </w:tc>
      </w:tr>
      <w:tr w14:paraId="7F0277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5" w:type="dxa"/>
            <w:vAlign w:val="center"/>
          </w:tcPr>
          <w:p w14:paraId="321D7D17">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Style w:val="33"/>
                <w:rFonts w:hint="eastAsia" w:ascii="仿宋_GB2312" w:hAnsi="仿宋_GB2312" w:eastAsia="仿宋_GB2312" w:cs="仿宋_GB2312"/>
                <w:i w:val="0"/>
                <w:iCs w:val="0"/>
                <w:caps w:val="0"/>
                <w:color w:val="333333"/>
                <w:spacing w:val="0"/>
                <w:kern w:val="0"/>
                <w:sz w:val="28"/>
                <w:szCs w:val="28"/>
                <w:lang w:val="en-US" w:eastAsia="zh-CN" w:bidi="ar"/>
              </w:rPr>
              <w:t>报价有效期</w:t>
            </w:r>
          </w:p>
        </w:tc>
        <w:tc>
          <w:tcPr>
            <w:tcW w:w="4665" w:type="dxa"/>
            <w:vAlign w:val="center"/>
          </w:tcPr>
          <w:p w14:paraId="332D5B22">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自投标截止日起90天内保持有效</w:t>
            </w:r>
          </w:p>
        </w:tc>
        <w:tc>
          <w:tcPr>
            <w:tcW w:w="3360" w:type="dxa"/>
            <w:vAlign w:val="center"/>
          </w:tcPr>
          <w:p w14:paraId="2EFF6B72">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确保评标及后续流程顺利进行</w:t>
            </w:r>
          </w:p>
        </w:tc>
      </w:tr>
      <w:tr w14:paraId="43AA8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5" w:type="dxa"/>
            <w:vAlign w:val="center"/>
          </w:tcPr>
          <w:p w14:paraId="104B0436">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Style w:val="33"/>
                <w:rFonts w:hint="eastAsia" w:ascii="仿宋_GB2312" w:hAnsi="仿宋_GB2312" w:eastAsia="仿宋_GB2312" w:cs="仿宋_GB2312"/>
                <w:i w:val="0"/>
                <w:iCs w:val="0"/>
                <w:caps w:val="0"/>
                <w:color w:val="333333"/>
                <w:spacing w:val="0"/>
                <w:kern w:val="0"/>
                <w:sz w:val="28"/>
                <w:szCs w:val="28"/>
                <w:lang w:val="en-US" w:eastAsia="zh-CN" w:bidi="ar"/>
              </w:rPr>
              <w:t>付款方式</w:t>
            </w:r>
          </w:p>
        </w:tc>
        <w:tc>
          <w:tcPr>
            <w:tcW w:w="4665" w:type="dxa"/>
            <w:vAlign w:val="center"/>
          </w:tcPr>
          <w:p w14:paraId="43690596">
            <w:pPr>
              <w:keepNext w:val="0"/>
              <w:keepLines w:val="0"/>
              <w:widowControl/>
              <w:suppressLineNumbers w:val="0"/>
              <w:spacing w:before="0" w:beforeAutospacing="0" w:after="0" w:afterAutospacing="0"/>
              <w:ind w:left="0" w:leftChars="0" w:right="0" w:rightChars="0"/>
              <w:jc w:val="center"/>
              <w:rPr>
                <w:rFonts w:hint="default" w:ascii="仿宋_GB2312" w:hAnsi="仿宋_GB2312" w:eastAsia="仿宋_GB2312" w:cs="仿宋_GB2312"/>
                <w:sz w:val="28"/>
                <w:szCs w:val="28"/>
                <w:vertAlign w:val="baseline"/>
                <w:lang w:val="en-US"/>
              </w:rPr>
            </w:pPr>
            <w:r>
              <w:rPr>
                <w:rFonts w:hint="eastAsia" w:ascii="仿宋_GB2312" w:hAnsi="仿宋_GB2312" w:eastAsia="仿宋_GB2312" w:cs="仿宋_GB2312"/>
                <w:i w:val="0"/>
                <w:iCs w:val="0"/>
                <w:caps w:val="0"/>
                <w:color w:val="333333"/>
                <w:spacing w:val="0"/>
                <w:kern w:val="0"/>
                <w:sz w:val="28"/>
                <w:szCs w:val="28"/>
                <w:lang w:val="en-US" w:eastAsia="zh-CN" w:bidi="ar"/>
              </w:rPr>
              <w:t>项目最终验收合格后支付款项</w:t>
            </w:r>
          </w:p>
        </w:tc>
        <w:tc>
          <w:tcPr>
            <w:tcW w:w="3360" w:type="dxa"/>
            <w:vAlign w:val="center"/>
          </w:tcPr>
          <w:p w14:paraId="015F191F">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风险可控，保障双方利益</w:t>
            </w:r>
          </w:p>
        </w:tc>
      </w:tr>
      <w:tr w14:paraId="63BCF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5" w:type="dxa"/>
            <w:vAlign w:val="center"/>
          </w:tcPr>
          <w:p w14:paraId="2236A8A9">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Style w:val="33"/>
                <w:rFonts w:hint="eastAsia" w:ascii="仿宋_GB2312" w:hAnsi="仿宋_GB2312" w:eastAsia="仿宋_GB2312" w:cs="仿宋_GB2312"/>
                <w:i w:val="0"/>
                <w:iCs w:val="0"/>
                <w:caps w:val="0"/>
                <w:color w:val="333333"/>
                <w:spacing w:val="0"/>
                <w:kern w:val="0"/>
                <w:sz w:val="28"/>
                <w:szCs w:val="28"/>
                <w:lang w:val="en-US" w:eastAsia="zh-CN" w:bidi="ar"/>
              </w:rPr>
              <w:t>交付周期</w:t>
            </w:r>
          </w:p>
        </w:tc>
        <w:tc>
          <w:tcPr>
            <w:tcW w:w="4665" w:type="dxa"/>
            <w:vAlign w:val="center"/>
          </w:tcPr>
          <w:p w14:paraId="622A359C">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合同签订后20天内设备运抵现场</w:t>
            </w:r>
            <w:r>
              <w:rPr>
                <w:rFonts w:hint="eastAsia" w:ascii="仿宋_GB2312" w:hAnsi="仿宋_GB2312" w:eastAsia="仿宋_GB2312" w:cs="仿宋_GB2312"/>
                <w:i w:val="0"/>
                <w:iCs w:val="0"/>
                <w:caps w:val="0"/>
                <w:color w:val="333333"/>
                <w:spacing w:val="0"/>
                <w:kern w:val="0"/>
                <w:sz w:val="28"/>
                <w:szCs w:val="28"/>
                <w:lang w:val="en-US" w:eastAsia="zh-CN" w:bidi="ar"/>
              </w:rPr>
              <w:br w:type="textWrapping"/>
            </w:r>
            <w:r>
              <w:rPr>
                <w:rFonts w:hint="eastAsia" w:ascii="仿宋_GB2312" w:hAnsi="仿宋_GB2312" w:eastAsia="仿宋_GB2312" w:cs="仿宋_GB2312"/>
                <w:i w:val="0"/>
                <w:iCs w:val="0"/>
                <w:caps w:val="0"/>
                <w:color w:val="333333"/>
                <w:spacing w:val="0"/>
                <w:kern w:val="0"/>
                <w:sz w:val="28"/>
                <w:szCs w:val="28"/>
                <w:lang w:val="en-US" w:eastAsia="zh-CN" w:bidi="ar"/>
              </w:rPr>
              <w:t>设备到场后15天内完成安装调试</w:t>
            </w:r>
            <w:r>
              <w:rPr>
                <w:rFonts w:hint="eastAsia" w:ascii="仿宋_GB2312" w:hAnsi="仿宋_GB2312" w:eastAsia="仿宋_GB2312" w:cs="仿宋_GB2312"/>
                <w:i w:val="0"/>
                <w:iCs w:val="0"/>
                <w:caps w:val="0"/>
                <w:color w:val="333333"/>
                <w:spacing w:val="0"/>
                <w:kern w:val="0"/>
                <w:sz w:val="28"/>
                <w:szCs w:val="28"/>
                <w:lang w:val="en-US" w:eastAsia="zh-CN" w:bidi="ar"/>
              </w:rPr>
              <w:br w:type="textWrapping"/>
            </w:r>
            <w:r>
              <w:rPr>
                <w:rFonts w:hint="eastAsia" w:ascii="仿宋_GB2312" w:hAnsi="仿宋_GB2312" w:eastAsia="仿宋_GB2312" w:cs="仿宋_GB2312"/>
                <w:i w:val="0"/>
                <w:iCs w:val="0"/>
                <w:caps w:val="0"/>
                <w:color w:val="333333"/>
                <w:spacing w:val="0"/>
                <w:kern w:val="0"/>
                <w:sz w:val="28"/>
                <w:szCs w:val="28"/>
                <w:lang w:val="en-US" w:eastAsia="zh-CN" w:bidi="ar"/>
              </w:rPr>
              <w:t>总工期不得超过40天</w:t>
            </w:r>
          </w:p>
        </w:tc>
        <w:tc>
          <w:tcPr>
            <w:tcW w:w="3360" w:type="dxa"/>
            <w:vAlign w:val="center"/>
          </w:tcPr>
          <w:p w14:paraId="7D720374">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项目计划总工期110天，此为关键实施阶段</w:t>
            </w:r>
          </w:p>
        </w:tc>
      </w:tr>
      <w:tr w14:paraId="50AC4E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5" w:type="dxa"/>
            <w:vAlign w:val="center"/>
          </w:tcPr>
          <w:p w14:paraId="365FD0CB">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Style w:val="33"/>
                <w:rFonts w:hint="eastAsia" w:ascii="仿宋_GB2312" w:hAnsi="仿宋_GB2312" w:eastAsia="仿宋_GB2312" w:cs="仿宋_GB2312"/>
                <w:i w:val="0"/>
                <w:iCs w:val="0"/>
                <w:caps w:val="0"/>
                <w:color w:val="333333"/>
                <w:spacing w:val="0"/>
                <w:kern w:val="0"/>
                <w:sz w:val="28"/>
                <w:szCs w:val="28"/>
                <w:lang w:val="en-US" w:eastAsia="zh-CN" w:bidi="ar"/>
              </w:rPr>
              <w:t>质保期</w:t>
            </w:r>
          </w:p>
        </w:tc>
        <w:tc>
          <w:tcPr>
            <w:tcW w:w="4665" w:type="dxa"/>
            <w:vAlign w:val="center"/>
          </w:tcPr>
          <w:p w14:paraId="49CB01F9">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3年整机质保，自最终验收合格之日起计算</w:t>
            </w:r>
          </w:p>
        </w:tc>
        <w:tc>
          <w:tcPr>
            <w:tcW w:w="3360" w:type="dxa"/>
            <w:vAlign w:val="center"/>
          </w:tcPr>
          <w:p w14:paraId="30E0CAA8">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与设备明细表中LED显示单元3年质保要求一致</w:t>
            </w:r>
          </w:p>
        </w:tc>
      </w:tr>
      <w:tr w14:paraId="22155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5" w:type="dxa"/>
            <w:vAlign w:val="center"/>
          </w:tcPr>
          <w:p w14:paraId="7A731787">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Style w:val="33"/>
                <w:rFonts w:hint="eastAsia" w:ascii="仿宋_GB2312" w:hAnsi="仿宋_GB2312" w:eastAsia="仿宋_GB2312" w:cs="仿宋_GB2312"/>
                <w:i w:val="0"/>
                <w:iCs w:val="0"/>
                <w:caps w:val="0"/>
                <w:color w:val="333333"/>
                <w:spacing w:val="0"/>
                <w:kern w:val="0"/>
                <w:sz w:val="28"/>
                <w:szCs w:val="28"/>
                <w:lang w:val="en-US" w:eastAsia="zh-CN" w:bidi="ar"/>
              </w:rPr>
              <w:t>服务响应</w:t>
            </w:r>
          </w:p>
        </w:tc>
        <w:tc>
          <w:tcPr>
            <w:tcW w:w="4665" w:type="dxa"/>
            <w:vAlign w:val="center"/>
          </w:tcPr>
          <w:p w14:paraId="2A949157">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2小时内响应，24小时内提出解决方案并到场维修</w:t>
            </w:r>
          </w:p>
        </w:tc>
        <w:tc>
          <w:tcPr>
            <w:tcW w:w="3360" w:type="dxa"/>
            <w:vAlign w:val="center"/>
          </w:tcPr>
          <w:p w14:paraId="56FC6ADF">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确保会议系统高可用性</w:t>
            </w:r>
          </w:p>
        </w:tc>
      </w:tr>
      <w:tr w14:paraId="59BB5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5" w:type="dxa"/>
            <w:vAlign w:val="center"/>
          </w:tcPr>
          <w:p w14:paraId="085716C7">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Style w:val="33"/>
                <w:rFonts w:hint="eastAsia" w:ascii="仿宋_GB2312" w:hAnsi="仿宋_GB2312" w:eastAsia="仿宋_GB2312" w:cs="仿宋_GB2312"/>
                <w:i w:val="0"/>
                <w:iCs w:val="0"/>
                <w:caps w:val="0"/>
                <w:color w:val="333333"/>
                <w:spacing w:val="0"/>
                <w:kern w:val="0"/>
                <w:sz w:val="28"/>
                <w:szCs w:val="28"/>
                <w:lang w:val="en-US" w:eastAsia="zh-CN" w:bidi="ar"/>
              </w:rPr>
              <w:t>培训要求</w:t>
            </w:r>
          </w:p>
        </w:tc>
        <w:tc>
          <w:tcPr>
            <w:tcW w:w="4665" w:type="dxa"/>
            <w:vAlign w:val="center"/>
          </w:tcPr>
          <w:p w14:paraId="3D22E541">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为甲方提供至少2名操作人员进行现场培训</w:t>
            </w:r>
          </w:p>
        </w:tc>
        <w:tc>
          <w:tcPr>
            <w:tcW w:w="3360" w:type="dxa"/>
            <w:vAlign w:val="center"/>
          </w:tcPr>
          <w:p w14:paraId="56BC9CDE">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确保甲方人员能够独立操作设备</w:t>
            </w:r>
          </w:p>
        </w:tc>
      </w:tr>
    </w:tbl>
    <w:p w14:paraId="47449803">
      <w:pPr>
        <w:numPr>
          <w:ilvl w:val="0"/>
          <w:numId w:val="0"/>
        </w:numPr>
        <w:rPr>
          <w:rFonts w:hint="eastAsia" w:ascii="仿宋_GB2312" w:hAnsi="仿宋_GB2312" w:eastAsia="仿宋_GB2312" w:cs="仿宋_GB2312"/>
          <w:sz w:val="32"/>
          <w:szCs w:val="32"/>
        </w:rPr>
      </w:pPr>
    </w:p>
    <w:p w14:paraId="02DF78CC">
      <w:pPr>
        <w:pStyle w:val="76"/>
      </w:pPr>
    </w:p>
    <w:p w14:paraId="07A4B493">
      <w:pPr>
        <w:pStyle w:val="71"/>
        <w:jc w:val="both"/>
        <w:rPr>
          <w:rFonts w:hint="eastAsia"/>
        </w:rPr>
      </w:pPr>
      <w:bookmarkStart w:id="18" w:name="_Toc47976607"/>
    </w:p>
    <w:p w14:paraId="243FF35F">
      <w:pPr>
        <w:pStyle w:val="71"/>
        <w:jc w:val="both"/>
        <w:rPr>
          <w:rFonts w:hint="eastAsia"/>
        </w:rPr>
      </w:pPr>
    </w:p>
    <w:bookmarkEnd w:id="18"/>
    <w:p w14:paraId="0F975F6D">
      <w:pPr>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济南卡车销售部第二会议室大屏幕项目</w:t>
      </w:r>
    </w:p>
    <w:p w14:paraId="20A4ED81">
      <w:pPr>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技术要求</w:t>
      </w:r>
    </w:p>
    <w:p w14:paraId="0018E7C0">
      <w:pPr>
        <w:numPr>
          <w:ilvl w:val="0"/>
          <w:numId w:val="0"/>
        </w:numPr>
        <w:rPr>
          <w:rStyle w:val="33"/>
          <w:rFonts w:hint="eastAsia" w:ascii="黑体" w:hAnsi="黑体" w:eastAsia="黑体" w:cs="黑体"/>
          <w:i w:val="0"/>
          <w:iCs w:val="0"/>
          <w:caps w:val="0"/>
          <w:color w:val="333333"/>
          <w:spacing w:val="0"/>
          <w:sz w:val="32"/>
          <w:szCs w:val="32"/>
          <w:shd w:val="clear" w:fill="FFFFFF"/>
          <w:lang w:val="en-US" w:eastAsia="zh-CN"/>
        </w:rPr>
      </w:pPr>
      <w:r>
        <w:rPr>
          <w:rStyle w:val="33"/>
          <w:rFonts w:hint="eastAsia" w:ascii="黑体" w:hAnsi="黑体" w:eastAsia="黑体" w:cs="黑体"/>
          <w:i w:val="0"/>
          <w:iCs w:val="0"/>
          <w:caps w:val="0"/>
          <w:color w:val="333333"/>
          <w:spacing w:val="0"/>
          <w:sz w:val="32"/>
          <w:szCs w:val="32"/>
          <w:shd w:val="clear" w:fill="FFFFFF"/>
          <w:lang w:val="en-US" w:eastAsia="zh-CN"/>
        </w:rPr>
        <w:t>一、系统总体技术要求</w:t>
      </w:r>
    </w:p>
    <w:p w14:paraId="6A779233">
      <w:pPr>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系统构成：必须完整包含LED显示单元、视频控制器、接收卡、电源、配电箱、框架结构及安装调试服务。</w:t>
      </w:r>
    </w:p>
    <w:p w14:paraId="33E1BD0B">
      <w:pPr>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核心目标：</w:t>
      </w:r>
      <w:r>
        <w:rPr>
          <w:rFonts w:hint="eastAsia" w:ascii="仿宋_GB2312" w:hAnsi="仿宋_GB2312" w:eastAsia="仿宋_GB2312" w:cs="仿宋_GB2312"/>
          <w:b w:val="0"/>
          <w:bCs w:val="0"/>
          <w:sz w:val="32"/>
          <w:szCs w:val="32"/>
          <w:lang w:val="en-US" w:eastAsia="zh-CN"/>
        </w:rPr>
        <w:t>设备安装完成后，</w:t>
      </w:r>
      <w:r>
        <w:rPr>
          <w:rFonts w:hint="eastAsia" w:ascii="仿宋_GB2312" w:hAnsi="仿宋_GB2312" w:eastAsia="仿宋_GB2312" w:cs="仿宋_GB2312"/>
          <w:b w:val="0"/>
          <w:bCs w:val="0"/>
          <w:sz w:val="32"/>
          <w:szCs w:val="32"/>
        </w:rPr>
        <w:t>确保视频会议画面清晰、色彩真实、运行稳定。</w:t>
      </w:r>
    </w:p>
    <w:p w14:paraId="29C456C4">
      <w:pPr>
        <w:rPr>
          <w:rFonts w:hint="eastAsia" w:ascii="仿宋_GB2312" w:hAnsi="仿宋_GB2312" w:eastAsia="仿宋_GB2312" w:cs="仿宋_GB2312"/>
          <w:b w:val="0"/>
          <w:bCs w:val="0"/>
          <w:sz w:val="32"/>
          <w:szCs w:val="32"/>
        </w:rPr>
      </w:pPr>
      <w:r>
        <w:rPr>
          <w:rStyle w:val="33"/>
          <w:rFonts w:hint="eastAsia" w:ascii="黑体" w:hAnsi="黑体" w:eastAsia="黑体" w:cs="黑体"/>
          <w:i w:val="0"/>
          <w:iCs w:val="0"/>
          <w:caps w:val="0"/>
          <w:color w:val="333333"/>
          <w:spacing w:val="0"/>
          <w:sz w:val="32"/>
          <w:szCs w:val="32"/>
          <w:shd w:val="clear" w:fill="FFFFFF"/>
          <w:lang w:val="en-US" w:eastAsia="zh-CN"/>
        </w:rPr>
        <w:t>二、主要设备技术参数要求</w:t>
      </w:r>
    </w:p>
    <w:p w14:paraId="2F9BE37C">
      <w:pPr>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投标方提供的产品必须满足以下技术要求，其中标注关键指标的参数为不可偏离的实质性要求。</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59"/>
        <w:gridCol w:w="2301"/>
        <w:gridCol w:w="2131"/>
        <w:gridCol w:w="2131"/>
      </w:tblGrid>
      <w:tr w14:paraId="796691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9" w:type="dxa"/>
            <w:shd w:val="clear" w:color="auto" w:fill="2E75B5" w:themeFill="accent1" w:themeFillShade="BF"/>
            <w:vAlign w:val="center"/>
          </w:tcPr>
          <w:p w14:paraId="70F4BFC7">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color w:val="FFFFFF" w:themeColor="background1"/>
                <w:sz w:val="28"/>
                <w:szCs w:val="28"/>
                <w:vertAlign w:val="baseline"/>
                <w14:textFill>
                  <w14:solidFill>
                    <w14:schemeClr w14:val="bg1"/>
                  </w14:solidFill>
                </w14:textFill>
              </w:rPr>
            </w:pPr>
            <w:r>
              <w:rPr>
                <w:rFonts w:hint="eastAsia" w:ascii="仿宋_GB2312" w:hAnsi="仿宋_GB2312" w:eastAsia="仿宋_GB2312" w:cs="仿宋_GB2312"/>
                <w:b/>
                <w:bCs/>
                <w:i w:val="0"/>
                <w:iCs w:val="0"/>
                <w:caps w:val="0"/>
                <w:color w:val="FFFFFF" w:themeColor="background1"/>
                <w:spacing w:val="0"/>
                <w:kern w:val="0"/>
                <w:sz w:val="28"/>
                <w:szCs w:val="28"/>
                <w:lang w:val="en-US" w:eastAsia="zh-CN" w:bidi="ar"/>
                <w14:textFill>
                  <w14:solidFill>
                    <w14:schemeClr w14:val="bg1"/>
                  </w14:solidFill>
                </w14:textFill>
              </w:rPr>
              <w:t>设备名称</w:t>
            </w:r>
          </w:p>
        </w:tc>
        <w:tc>
          <w:tcPr>
            <w:tcW w:w="2301" w:type="dxa"/>
            <w:shd w:val="clear" w:color="auto" w:fill="2E75B5" w:themeFill="accent1" w:themeFillShade="BF"/>
            <w:vAlign w:val="center"/>
          </w:tcPr>
          <w:p w14:paraId="457C73B3">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color w:val="FFFFFF" w:themeColor="background1"/>
                <w:sz w:val="28"/>
                <w:szCs w:val="28"/>
                <w:vertAlign w:val="baseline"/>
                <w14:textFill>
                  <w14:solidFill>
                    <w14:schemeClr w14:val="bg1"/>
                  </w14:solidFill>
                </w14:textFill>
              </w:rPr>
            </w:pPr>
            <w:r>
              <w:rPr>
                <w:rFonts w:hint="eastAsia" w:ascii="仿宋_GB2312" w:hAnsi="仿宋_GB2312" w:eastAsia="仿宋_GB2312" w:cs="仿宋_GB2312"/>
                <w:b/>
                <w:bCs/>
                <w:i w:val="0"/>
                <w:iCs w:val="0"/>
                <w:caps w:val="0"/>
                <w:color w:val="FFFFFF" w:themeColor="background1"/>
                <w:spacing w:val="0"/>
                <w:kern w:val="0"/>
                <w:sz w:val="28"/>
                <w:szCs w:val="28"/>
                <w:lang w:val="en-US" w:eastAsia="zh-CN" w:bidi="ar"/>
                <w14:textFill>
                  <w14:solidFill>
                    <w14:schemeClr w14:val="bg1"/>
                  </w14:solidFill>
                </w14:textFill>
              </w:rPr>
              <w:t>核心参数</w:t>
            </w:r>
          </w:p>
        </w:tc>
        <w:tc>
          <w:tcPr>
            <w:tcW w:w="2131" w:type="dxa"/>
            <w:shd w:val="clear" w:color="auto" w:fill="2E75B5" w:themeFill="accent1" w:themeFillShade="BF"/>
            <w:vAlign w:val="center"/>
          </w:tcPr>
          <w:p w14:paraId="461D3DE4">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color w:val="FFFFFF" w:themeColor="background1"/>
                <w:sz w:val="28"/>
                <w:szCs w:val="28"/>
                <w:vertAlign w:val="baseline"/>
                <w14:textFill>
                  <w14:solidFill>
                    <w14:schemeClr w14:val="bg1"/>
                  </w14:solidFill>
                </w14:textFill>
              </w:rPr>
            </w:pPr>
            <w:r>
              <w:rPr>
                <w:rFonts w:hint="eastAsia" w:ascii="仿宋_GB2312" w:hAnsi="仿宋_GB2312" w:eastAsia="仿宋_GB2312" w:cs="仿宋_GB2312"/>
                <w:b/>
                <w:bCs/>
                <w:i w:val="0"/>
                <w:iCs w:val="0"/>
                <w:caps w:val="0"/>
                <w:color w:val="FFFFFF" w:themeColor="background1"/>
                <w:spacing w:val="0"/>
                <w:kern w:val="0"/>
                <w:sz w:val="28"/>
                <w:szCs w:val="28"/>
                <w:lang w:val="en-US" w:eastAsia="zh-CN" w:bidi="ar"/>
                <w14:textFill>
                  <w14:solidFill>
                    <w14:schemeClr w14:val="bg1"/>
                  </w14:solidFill>
                </w14:textFill>
              </w:rPr>
              <w:t>要求</w:t>
            </w:r>
          </w:p>
        </w:tc>
        <w:tc>
          <w:tcPr>
            <w:tcW w:w="2131" w:type="dxa"/>
            <w:shd w:val="clear" w:color="auto" w:fill="2E75B5" w:themeFill="accent1" w:themeFillShade="BF"/>
            <w:vAlign w:val="center"/>
          </w:tcPr>
          <w:p w14:paraId="0E295EE8">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color w:val="FFFFFF" w:themeColor="background1"/>
                <w:sz w:val="28"/>
                <w:szCs w:val="28"/>
                <w:vertAlign w:val="baseline"/>
                <w14:textFill>
                  <w14:solidFill>
                    <w14:schemeClr w14:val="bg1"/>
                  </w14:solidFill>
                </w14:textFill>
              </w:rPr>
            </w:pPr>
            <w:r>
              <w:rPr>
                <w:rFonts w:hint="eastAsia" w:ascii="仿宋_GB2312" w:hAnsi="仿宋_GB2312" w:eastAsia="仿宋_GB2312" w:cs="仿宋_GB2312"/>
                <w:b/>
                <w:bCs/>
                <w:i w:val="0"/>
                <w:iCs w:val="0"/>
                <w:caps w:val="0"/>
                <w:color w:val="FFFFFF" w:themeColor="background1"/>
                <w:spacing w:val="0"/>
                <w:kern w:val="0"/>
                <w:sz w:val="28"/>
                <w:szCs w:val="28"/>
                <w:lang w:val="en-US" w:eastAsia="zh-CN" w:bidi="ar"/>
                <w14:textFill>
                  <w14:solidFill>
                    <w14:schemeClr w14:val="bg1"/>
                  </w14:solidFill>
                </w14:textFill>
              </w:rPr>
              <w:t>性质</w:t>
            </w:r>
          </w:p>
        </w:tc>
      </w:tr>
      <w:tr w14:paraId="0CFAE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9" w:type="dxa"/>
            <w:vMerge w:val="restart"/>
            <w:vAlign w:val="center"/>
          </w:tcPr>
          <w:p w14:paraId="7093C3F8">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Style w:val="33"/>
                <w:rFonts w:hint="eastAsia" w:ascii="仿宋_GB2312" w:hAnsi="仿宋_GB2312" w:eastAsia="仿宋_GB2312" w:cs="仿宋_GB2312"/>
                <w:i w:val="0"/>
                <w:iCs w:val="0"/>
                <w:caps w:val="0"/>
                <w:color w:val="333333"/>
                <w:spacing w:val="0"/>
                <w:kern w:val="0"/>
                <w:sz w:val="28"/>
                <w:szCs w:val="28"/>
                <w:lang w:val="en-US" w:eastAsia="zh-CN" w:bidi="ar"/>
              </w:rPr>
              <w:t>LED显示单元</w:t>
            </w:r>
          </w:p>
        </w:tc>
        <w:tc>
          <w:tcPr>
            <w:tcW w:w="2301" w:type="dxa"/>
            <w:vAlign w:val="center"/>
          </w:tcPr>
          <w:p w14:paraId="08EB08AD">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像素点间距</w:t>
            </w:r>
          </w:p>
        </w:tc>
        <w:tc>
          <w:tcPr>
            <w:tcW w:w="2131" w:type="dxa"/>
            <w:vAlign w:val="center"/>
          </w:tcPr>
          <w:p w14:paraId="000DA309">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≤1.25mm</w:t>
            </w:r>
          </w:p>
        </w:tc>
        <w:tc>
          <w:tcPr>
            <w:tcW w:w="2131" w:type="dxa"/>
            <w:vAlign w:val="center"/>
          </w:tcPr>
          <w:p w14:paraId="0B148B97">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b/>
                <w:bCs/>
                <w:i w:val="0"/>
                <w:iCs w:val="0"/>
                <w:caps w:val="0"/>
                <w:color w:val="333333"/>
                <w:spacing w:val="0"/>
                <w:kern w:val="0"/>
                <w:sz w:val="28"/>
                <w:szCs w:val="28"/>
                <w:lang w:val="en-US" w:eastAsia="zh-CN" w:bidi="ar"/>
              </w:rPr>
              <w:t>关键指标</w:t>
            </w:r>
          </w:p>
        </w:tc>
      </w:tr>
      <w:tr w14:paraId="1C764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9" w:type="dxa"/>
            <w:vMerge w:val="continue"/>
            <w:vAlign w:val="center"/>
          </w:tcPr>
          <w:p w14:paraId="5D0E75B4">
            <w:pPr>
              <w:jc w:val="center"/>
              <w:rPr>
                <w:rFonts w:hint="eastAsia" w:ascii="仿宋_GB2312" w:hAnsi="仿宋_GB2312" w:eastAsia="仿宋_GB2312" w:cs="仿宋_GB2312"/>
                <w:b w:val="0"/>
                <w:bCs w:val="0"/>
                <w:sz w:val="28"/>
                <w:szCs w:val="28"/>
                <w:vertAlign w:val="baseline"/>
              </w:rPr>
            </w:pPr>
          </w:p>
        </w:tc>
        <w:tc>
          <w:tcPr>
            <w:tcW w:w="2301" w:type="dxa"/>
            <w:vAlign w:val="center"/>
          </w:tcPr>
          <w:p w14:paraId="0E1F02F5">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平整度</w:t>
            </w:r>
          </w:p>
        </w:tc>
        <w:tc>
          <w:tcPr>
            <w:tcW w:w="2131" w:type="dxa"/>
            <w:vAlign w:val="center"/>
          </w:tcPr>
          <w:p w14:paraId="3FE34C6E">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≤0.05mm</w:t>
            </w:r>
          </w:p>
        </w:tc>
        <w:tc>
          <w:tcPr>
            <w:tcW w:w="2131" w:type="dxa"/>
            <w:vAlign w:val="center"/>
          </w:tcPr>
          <w:p w14:paraId="2762D4CF">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b/>
                <w:bCs/>
                <w:i w:val="0"/>
                <w:iCs w:val="0"/>
                <w:caps w:val="0"/>
                <w:color w:val="333333"/>
                <w:spacing w:val="0"/>
                <w:kern w:val="0"/>
                <w:sz w:val="28"/>
                <w:szCs w:val="28"/>
                <w:lang w:val="en-US" w:eastAsia="zh-CN" w:bidi="ar"/>
              </w:rPr>
              <w:t>关键指标</w:t>
            </w:r>
          </w:p>
        </w:tc>
      </w:tr>
      <w:tr w14:paraId="51AA2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9" w:type="dxa"/>
            <w:vMerge w:val="continue"/>
            <w:vAlign w:val="center"/>
          </w:tcPr>
          <w:p w14:paraId="235773DA">
            <w:pPr>
              <w:jc w:val="center"/>
              <w:rPr>
                <w:rFonts w:hint="eastAsia" w:ascii="仿宋_GB2312" w:hAnsi="仿宋_GB2312" w:eastAsia="仿宋_GB2312" w:cs="仿宋_GB2312"/>
                <w:b w:val="0"/>
                <w:bCs w:val="0"/>
                <w:sz w:val="28"/>
                <w:szCs w:val="28"/>
                <w:vertAlign w:val="baseline"/>
              </w:rPr>
            </w:pPr>
          </w:p>
        </w:tc>
        <w:tc>
          <w:tcPr>
            <w:tcW w:w="2301" w:type="dxa"/>
            <w:vAlign w:val="center"/>
          </w:tcPr>
          <w:p w14:paraId="117DF804">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刷新率</w:t>
            </w:r>
          </w:p>
        </w:tc>
        <w:tc>
          <w:tcPr>
            <w:tcW w:w="2131" w:type="dxa"/>
            <w:vAlign w:val="center"/>
          </w:tcPr>
          <w:p w14:paraId="717F5E57">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≥3840Hz</w:t>
            </w:r>
          </w:p>
        </w:tc>
        <w:tc>
          <w:tcPr>
            <w:tcW w:w="2131" w:type="dxa"/>
            <w:vAlign w:val="center"/>
          </w:tcPr>
          <w:p w14:paraId="2D0C86DC">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b/>
                <w:bCs/>
                <w:i w:val="0"/>
                <w:iCs w:val="0"/>
                <w:caps w:val="0"/>
                <w:color w:val="333333"/>
                <w:spacing w:val="0"/>
                <w:kern w:val="0"/>
                <w:sz w:val="28"/>
                <w:szCs w:val="28"/>
                <w:lang w:val="en-US" w:eastAsia="zh-CN" w:bidi="ar"/>
              </w:rPr>
              <w:t>关键指标</w:t>
            </w:r>
          </w:p>
        </w:tc>
      </w:tr>
      <w:tr w14:paraId="7F9DE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9" w:type="dxa"/>
            <w:vMerge w:val="continue"/>
            <w:vAlign w:val="center"/>
          </w:tcPr>
          <w:p w14:paraId="51288831">
            <w:pPr>
              <w:jc w:val="center"/>
              <w:rPr>
                <w:rFonts w:hint="eastAsia" w:ascii="仿宋_GB2312" w:hAnsi="仿宋_GB2312" w:eastAsia="仿宋_GB2312" w:cs="仿宋_GB2312"/>
                <w:b w:val="0"/>
                <w:bCs w:val="0"/>
                <w:sz w:val="28"/>
                <w:szCs w:val="28"/>
                <w:vertAlign w:val="baseline"/>
              </w:rPr>
            </w:pPr>
          </w:p>
        </w:tc>
        <w:tc>
          <w:tcPr>
            <w:tcW w:w="2301" w:type="dxa"/>
            <w:vAlign w:val="center"/>
          </w:tcPr>
          <w:p w14:paraId="314C801B">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亮度</w:t>
            </w:r>
          </w:p>
        </w:tc>
        <w:tc>
          <w:tcPr>
            <w:tcW w:w="2131" w:type="dxa"/>
            <w:vAlign w:val="center"/>
          </w:tcPr>
          <w:p w14:paraId="4A175B4D">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0-800cd/㎡可调</w:t>
            </w:r>
          </w:p>
        </w:tc>
        <w:tc>
          <w:tcPr>
            <w:tcW w:w="2131" w:type="dxa"/>
            <w:vAlign w:val="center"/>
          </w:tcPr>
          <w:p w14:paraId="72E81725">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重要指标</w:t>
            </w:r>
          </w:p>
        </w:tc>
      </w:tr>
      <w:tr w14:paraId="38FBC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9" w:type="dxa"/>
            <w:vMerge w:val="continue"/>
            <w:vAlign w:val="center"/>
          </w:tcPr>
          <w:p w14:paraId="46961FB1">
            <w:pPr>
              <w:jc w:val="center"/>
              <w:rPr>
                <w:rFonts w:hint="eastAsia" w:ascii="仿宋_GB2312" w:hAnsi="仿宋_GB2312" w:eastAsia="仿宋_GB2312" w:cs="仿宋_GB2312"/>
                <w:b w:val="0"/>
                <w:bCs w:val="0"/>
                <w:sz w:val="28"/>
                <w:szCs w:val="28"/>
                <w:vertAlign w:val="baseline"/>
              </w:rPr>
            </w:pPr>
          </w:p>
        </w:tc>
        <w:tc>
          <w:tcPr>
            <w:tcW w:w="2301" w:type="dxa"/>
            <w:vAlign w:val="center"/>
          </w:tcPr>
          <w:p w14:paraId="14B4F121">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对比度</w:t>
            </w:r>
          </w:p>
        </w:tc>
        <w:tc>
          <w:tcPr>
            <w:tcW w:w="2131" w:type="dxa"/>
            <w:vAlign w:val="center"/>
          </w:tcPr>
          <w:p w14:paraId="1AC1EEAF">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≥10000:1</w:t>
            </w:r>
          </w:p>
        </w:tc>
        <w:tc>
          <w:tcPr>
            <w:tcW w:w="2131" w:type="dxa"/>
            <w:vAlign w:val="center"/>
          </w:tcPr>
          <w:p w14:paraId="2F53E160">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重要指标</w:t>
            </w:r>
          </w:p>
        </w:tc>
      </w:tr>
      <w:tr w14:paraId="12FBE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9" w:type="dxa"/>
            <w:vMerge w:val="continue"/>
            <w:vAlign w:val="center"/>
          </w:tcPr>
          <w:p w14:paraId="39BEA358">
            <w:pPr>
              <w:jc w:val="center"/>
              <w:rPr>
                <w:rFonts w:hint="eastAsia" w:ascii="仿宋_GB2312" w:hAnsi="仿宋_GB2312" w:eastAsia="仿宋_GB2312" w:cs="仿宋_GB2312"/>
                <w:b w:val="0"/>
                <w:bCs w:val="0"/>
                <w:sz w:val="28"/>
                <w:szCs w:val="28"/>
                <w:vertAlign w:val="baseline"/>
              </w:rPr>
            </w:pPr>
          </w:p>
        </w:tc>
        <w:tc>
          <w:tcPr>
            <w:tcW w:w="2301" w:type="dxa"/>
            <w:vAlign w:val="center"/>
          </w:tcPr>
          <w:p w14:paraId="264AF66A">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像素失控率</w:t>
            </w:r>
          </w:p>
        </w:tc>
        <w:tc>
          <w:tcPr>
            <w:tcW w:w="2131" w:type="dxa"/>
            <w:vAlign w:val="center"/>
          </w:tcPr>
          <w:p w14:paraId="5737051F">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≤0.000001</w:t>
            </w:r>
          </w:p>
        </w:tc>
        <w:tc>
          <w:tcPr>
            <w:tcW w:w="2131" w:type="dxa"/>
            <w:vAlign w:val="center"/>
          </w:tcPr>
          <w:p w14:paraId="7AE215FA">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重要指标</w:t>
            </w:r>
          </w:p>
        </w:tc>
      </w:tr>
      <w:tr w14:paraId="2A210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9" w:type="dxa"/>
            <w:vMerge w:val="continue"/>
            <w:vAlign w:val="center"/>
          </w:tcPr>
          <w:p w14:paraId="74F801E3">
            <w:pPr>
              <w:jc w:val="center"/>
              <w:rPr>
                <w:rFonts w:hint="eastAsia" w:ascii="仿宋_GB2312" w:hAnsi="仿宋_GB2312" w:eastAsia="仿宋_GB2312" w:cs="仿宋_GB2312"/>
                <w:b w:val="0"/>
                <w:bCs w:val="0"/>
                <w:sz w:val="28"/>
                <w:szCs w:val="28"/>
                <w:vertAlign w:val="baseline"/>
              </w:rPr>
            </w:pPr>
          </w:p>
        </w:tc>
        <w:tc>
          <w:tcPr>
            <w:tcW w:w="2301" w:type="dxa"/>
            <w:vAlign w:val="center"/>
          </w:tcPr>
          <w:p w14:paraId="0F5596E2">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质保期</w:t>
            </w:r>
          </w:p>
        </w:tc>
        <w:tc>
          <w:tcPr>
            <w:tcW w:w="2131" w:type="dxa"/>
            <w:vAlign w:val="center"/>
          </w:tcPr>
          <w:p w14:paraId="52C2E6AA">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≥3年</w:t>
            </w:r>
          </w:p>
        </w:tc>
        <w:tc>
          <w:tcPr>
            <w:tcW w:w="2131" w:type="dxa"/>
            <w:vAlign w:val="center"/>
          </w:tcPr>
          <w:p w14:paraId="0F2AD4E0">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b/>
                <w:bCs/>
                <w:i w:val="0"/>
                <w:iCs w:val="0"/>
                <w:caps w:val="0"/>
                <w:color w:val="333333"/>
                <w:spacing w:val="0"/>
                <w:kern w:val="0"/>
                <w:sz w:val="28"/>
                <w:szCs w:val="28"/>
                <w:lang w:val="en-US" w:eastAsia="zh-CN" w:bidi="ar"/>
              </w:rPr>
              <w:t>关键指标</w:t>
            </w:r>
          </w:p>
        </w:tc>
      </w:tr>
      <w:tr w14:paraId="626D3C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9" w:type="dxa"/>
            <w:vMerge w:val="restart"/>
            <w:vAlign w:val="center"/>
          </w:tcPr>
          <w:p w14:paraId="10861763">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Style w:val="33"/>
                <w:rFonts w:hint="eastAsia" w:ascii="仿宋_GB2312" w:hAnsi="仿宋_GB2312" w:eastAsia="仿宋_GB2312" w:cs="仿宋_GB2312"/>
                <w:i w:val="0"/>
                <w:iCs w:val="0"/>
                <w:caps w:val="0"/>
                <w:color w:val="333333"/>
                <w:spacing w:val="0"/>
                <w:kern w:val="0"/>
                <w:sz w:val="28"/>
                <w:szCs w:val="28"/>
                <w:lang w:val="en-US" w:eastAsia="zh-CN" w:bidi="ar"/>
              </w:rPr>
              <w:t>视频控制器</w:t>
            </w:r>
          </w:p>
        </w:tc>
        <w:tc>
          <w:tcPr>
            <w:tcW w:w="2301" w:type="dxa"/>
            <w:vAlign w:val="center"/>
          </w:tcPr>
          <w:p w14:paraId="1DDB05B8">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输入接口</w:t>
            </w:r>
          </w:p>
        </w:tc>
        <w:tc>
          <w:tcPr>
            <w:tcW w:w="2131" w:type="dxa"/>
            <w:vAlign w:val="center"/>
          </w:tcPr>
          <w:p w14:paraId="0FF34DC5">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支持1路DVI+3路HDMI</w:t>
            </w:r>
          </w:p>
        </w:tc>
        <w:tc>
          <w:tcPr>
            <w:tcW w:w="2131" w:type="dxa"/>
            <w:vAlign w:val="center"/>
          </w:tcPr>
          <w:p w14:paraId="03268A8E">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重要指标</w:t>
            </w:r>
          </w:p>
        </w:tc>
      </w:tr>
      <w:tr w14:paraId="70743D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9" w:type="dxa"/>
            <w:vMerge w:val="continue"/>
            <w:vAlign w:val="center"/>
          </w:tcPr>
          <w:p w14:paraId="29A8A3CC">
            <w:pPr>
              <w:jc w:val="center"/>
              <w:rPr>
                <w:rFonts w:hint="eastAsia" w:ascii="仿宋_GB2312" w:hAnsi="仿宋_GB2312" w:eastAsia="仿宋_GB2312" w:cs="仿宋_GB2312"/>
                <w:b w:val="0"/>
                <w:bCs w:val="0"/>
                <w:sz w:val="28"/>
                <w:szCs w:val="28"/>
                <w:vertAlign w:val="baseline"/>
              </w:rPr>
            </w:pPr>
          </w:p>
        </w:tc>
        <w:tc>
          <w:tcPr>
            <w:tcW w:w="2301" w:type="dxa"/>
            <w:vAlign w:val="center"/>
          </w:tcPr>
          <w:p w14:paraId="70D0CFA6">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带载能力</w:t>
            </w:r>
          </w:p>
        </w:tc>
        <w:tc>
          <w:tcPr>
            <w:tcW w:w="2131" w:type="dxa"/>
            <w:vAlign w:val="center"/>
          </w:tcPr>
          <w:p w14:paraId="711D4CFA">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≥390万像素</w:t>
            </w:r>
          </w:p>
        </w:tc>
        <w:tc>
          <w:tcPr>
            <w:tcW w:w="2131" w:type="dxa"/>
            <w:vAlign w:val="center"/>
          </w:tcPr>
          <w:p w14:paraId="774E7A06">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重要指标</w:t>
            </w:r>
          </w:p>
        </w:tc>
      </w:tr>
      <w:tr w14:paraId="406AC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9" w:type="dxa"/>
            <w:vMerge w:val="continue"/>
            <w:vAlign w:val="center"/>
          </w:tcPr>
          <w:p w14:paraId="352F2D0D">
            <w:pPr>
              <w:jc w:val="center"/>
              <w:rPr>
                <w:rFonts w:hint="eastAsia" w:ascii="仿宋_GB2312" w:hAnsi="仿宋_GB2312" w:eastAsia="仿宋_GB2312" w:cs="仿宋_GB2312"/>
                <w:b w:val="0"/>
                <w:bCs w:val="0"/>
                <w:sz w:val="28"/>
                <w:szCs w:val="28"/>
                <w:vertAlign w:val="baseline"/>
              </w:rPr>
            </w:pPr>
          </w:p>
        </w:tc>
        <w:tc>
          <w:tcPr>
            <w:tcW w:w="2301" w:type="dxa"/>
            <w:vAlign w:val="center"/>
          </w:tcPr>
          <w:p w14:paraId="4D18DD76">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控制功能</w:t>
            </w:r>
          </w:p>
        </w:tc>
        <w:tc>
          <w:tcPr>
            <w:tcW w:w="2131" w:type="dxa"/>
            <w:vAlign w:val="center"/>
          </w:tcPr>
          <w:p w14:paraId="379E2598">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支持亮度、色温、对比度调节</w:t>
            </w:r>
          </w:p>
        </w:tc>
        <w:tc>
          <w:tcPr>
            <w:tcW w:w="2131" w:type="dxa"/>
            <w:vAlign w:val="center"/>
          </w:tcPr>
          <w:p w14:paraId="55BC6936">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重要指标</w:t>
            </w:r>
          </w:p>
        </w:tc>
      </w:tr>
      <w:tr w14:paraId="1B55E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9" w:type="dxa"/>
            <w:vAlign w:val="center"/>
          </w:tcPr>
          <w:p w14:paraId="1243C341">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Style w:val="33"/>
                <w:rFonts w:hint="eastAsia" w:ascii="仿宋_GB2312" w:hAnsi="仿宋_GB2312" w:eastAsia="仿宋_GB2312" w:cs="仿宋_GB2312"/>
                <w:i w:val="0"/>
                <w:iCs w:val="0"/>
                <w:caps w:val="0"/>
                <w:color w:val="333333"/>
                <w:spacing w:val="0"/>
                <w:kern w:val="0"/>
                <w:sz w:val="28"/>
                <w:szCs w:val="28"/>
                <w:lang w:val="en-US" w:eastAsia="zh-CN" w:bidi="ar"/>
              </w:rPr>
              <w:t>配电箱</w:t>
            </w:r>
          </w:p>
        </w:tc>
        <w:tc>
          <w:tcPr>
            <w:tcW w:w="2301" w:type="dxa"/>
            <w:vAlign w:val="center"/>
          </w:tcPr>
          <w:p w14:paraId="2D96F325">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控制方式</w:t>
            </w:r>
          </w:p>
        </w:tc>
        <w:tc>
          <w:tcPr>
            <w:tcW w:w="2131" w:type="dxa"/>
            <w:vAlign w:val="center"/>
          </w:tcPr>
          <w:p w14:paraId="1DFABB43">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遥控+时控+远程+中控</w:t>
            </w:r>
          </w:p>
        </w:tc>
        <w:tc>
          <w:tcPr>
            <w:tcW w:w="2131" w:type="dxa"/>
            <w:vAlign w:val="center"/>
          </w:tcPr>
          <w:p w14:paraId="065E2F3D">
            <w:pPr>
              <w:keepNext w:val="0"/>
              <w:keepLines w:val="0"/>
              <w:widowControl/>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sz w:val="28"/>
                <w:szCs w:val="28"/>
                <w:vertAlign w:val="baseline"/>
              </w:rPr>
            </w:pPr>
            <w:r>
              <w:rPr>
                <w:rFonts w:hint="eastAsia" w:ascii="仿宋_GB2312" w:hAnsi="仿宋_GB2312" w:eastAsia="仿宋_GB2312" w:cs="仿宋_GB2312"/>
                <w:i w:val="0"/>
                <w:iCs w:val="0"/>
                <w:caps w:val="0"/>
                <w:color w:val="333333"/>
                <w:spacing w:val="0"/>
                <w:kern w:val="0"/>
                <w:sz w:val="28"/>
                <w:szCs w:val="28"/>
                <w:lang w:val="en-US" w:eastAsia="zh-CN" w:bidi="ar"/>
              </w:rPr>
              <w:t>重要指标</w:t>
            </w:r>
          </w:p>
        </w:tc>
      </w:tr>
    </w:tbl>
    <w:p w14:paraId="3143AF42">
      <w:pPr>
        <w:rPr>
          <w:rStyle w:val="33"/>
          <w:rFonts w:hint="eastAsia" w:ascii="黑体" w:hAnsi="黑体" w:eastAsia="黑体" w:cs="黑体"/>
          <w:i w:val="0"/>
          <w:iCs w:val="0"/>
          <w:caps w:val="0"/>
          <w:color w:val="333333"/>
          <w:spacing w:val="0"/>
          <w:sz w:val="32"/>
          <w:szCs w:val="32"/>
          <w:shd w:val="clear" w:fill="FFFFFF"/>
        </w:rPr>
      </w:pPr>
      <w:r>
        <w:rPr>
          <w:rStyle w:val="33"/>
          <w:rFonts w:hint="eastAsia" w:ascii="黑体" w:hAnsi="黑体" w:eastAsia="黑体" w:cs="黑体"/>
          <w:i w:val="0"/>
          <w:iCs w:val="0"/>
          <w:caps w:val="0"/>
          <w:color w:val="333333"/>
          <w:spacing w:val="0"/>
          <w:sz w:val="32"/>
          <w:szCs w:val="32"/>
          <w:shd w:val="clear" w:fill="FFFFFF"/>
          <w:lang w:val="en-US" w:eastAsia="zh-CN"/>
        </w:rPr>
        <w:t>三、</w:t>
      </w:r>
      <w:r>
        <w:rPr>
          <w:rStyle w:val="33"/>
          <w:rFonts w:hint="eastAsia" w:ascii="黑体" w:hAnsi="黑体" w:eastAsia="黑体" w:cs="黑体"/>
          <w:i w:val="0"/>
          <w:iCs w:val="0"/>
          <w:caps w:val="0"/>
          <w:color w:val="333333"/>
          <w:spacing w:val="0"/>
          <w:sz w:val="32"/>
          <w:szCs w:val="32"/>
          <w:shd w:val="clear" w:fill="FFFFFF"/>
        </w:rPr>
        <w:t>技术符合性审查</w:t>
      </w:r>
    </w:p>
    <w:p w14:paraId="09935C5A">
      <w:pPr>
        <w:ind w:firstLine="640" w:firstLineChars="200"/>
        <w:rPr>
          <w:rFonts w:hint="eastAsia" w:ascii="仿宋_GB2312" w:hAnsi="仿宋_GB2312" w:eastAsia="仿宋_GB2312" w:cs="仿宋_GB2312"/>
          <w:i w:val="0"/>
          <w:iCs w:val="0"/>
          <w:caps w:val="0"/>
          <w:color w:val="333333"/>
          <w:spacing w:val="0"/>
          <w:sz w:val="32"/>
          <w:szCs w:val="32"/>
          <w:shd w:val="clear" w:fill="FFFFFF"/>
        </w:rPr>
      </w:pPr>
      <w:r>
        <w:rPr>
          <w:rFonts w:hint="eastAsia" w:ascii="仿宋_GB2312" w:hAnsi="仿宋_GB2312" w:eastAsia="仿宋_GB2312" w:cs="仿宋_GB2312"/>
          <w:i w:val="0"/>
          <w:iCs w:val="0"/>
          <w:caps w:val="0"/>
          <w:color w:val="333333"/>
          <w:spacing w:val="0"/>
          <w:sz w:val="32"/>
          <w:szCs w:val="32"/>
          <w:shd w:val="clear" w:fill="FFFFFF"/>
        </w:rPr>
        <w:t>供应商必须在技术标书中以"点对点"的形式逐条响应本技术要求，明确标注为"完全满足"、"满足（需说明）"或"不满足"。任何一条实质性要求的不满足都将导致其投标被拒绝。</w:t>
      </w:r>
    </w:p>
    <w:p w14:paraId="02D5E9A5">
      <w:pPr>
        <w:rPr>
          <w:rStyle w:val="33"/>
          <w:rFonts w:hint="eastAsia" w:ascii="黑体" w:hAnsi="黑体" w:eastAsia="黑体" w:cs="黑体"/>
          <w:i w:val="0"/>
          <w:iCs w:val="0"/>
          <w:caps w:val="0"/>
          <w:color w:val="333333"/>
          <w:spacing w:val="0"/>
          <w:sz w:val="32"/>
          <w:szCs w:val="32"/>
          <w:shd w:val="clear" w:fill="FFFFFF"/>
          <w:lang w:val="en-US" w:eastAsia="zh-CN"/>
        </w:rPr>
      </w:pPr>
      <w:r>
        <w:rPr>
          <w:rStyle w:val="33"/>
          <w:rFonts w:hint="eastAsia" w:ascii="黑体" w:hAnsi="黑体" w:eastAsia="黑体" w:cs="黑体"/>
          <w:i w:val="0"/>
          <w:iCs w:val="0"/>
          <w:caps w:val="0"/>
          <w:color w:val="333333"/>
          <w:spacing w:val="0"/>
          <w:sz w:val="32"/>
          <w:szCs w:val="32"/>
          <w:shd w:val="clear" w:fill="FFFFFF"/>
          <w:lang w:val="en-US" w:eastAsia="zh-CN"/>
        </w:rPr>
        <w:t>四、安装、调试与验收标准</w:t>
      </w:r>
    </w:p>
    <w:p w14:paraId="06CDE8BA">
      <w:pPr>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安装结构：框架必须牢固、安全，使用镀锌方钢等优质材料，保证屏体长期使用不变形。</w:t>
      </w:r>
    </w:p>
    <w:p w14:paraId="4F33B66A">
      <w:pPr>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调试要求：需进行逐点亮色度校正，确保整屏色彩、亮度均匀一致。</w:t>
      </w:r>
    </w:p>
    <w:p w14:paraId="0298512F">
      <w:pPr>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验收标准：所有设备型号、数量、参数与投标文件一致。整屏点亮无死灯、常亮点，马赛克现象。各功能（切换、调节、控制等）正常运行。</w:t>
      </w:r>
    </w:p>
    <w:p w14:paraId="0446CAEA">
      <w:pPr>
        <w:ind w:firstLine="640" w:firstLineChars="200"/>
        <w:rPr>
          <w:rFonts w:hint="eastAsia" w:ascii="仿宋_GB2312" w:hAnsi="仿宋_GB2312" w:eastAsia="仿宋_GB2312" w:cs="仿宋_GB2312"/>
          <w:i w:val="0"/>
          <w:iCs w:val="0"/>
          <w:caps w:val="0"/>
          <w:color w:val="333333"/>
          <w:spacing w:val="0"/>
          <w:sz w:val="32"/>
          <w:szCs w:val="32"/>
          <w:shd w:val="clear" w:fill="FFFFFF"/>
        </w:rPr>
      </w:pPr>
      <w:r>
        <w:rPr>
          <w:rFonts w:hint="eastAsia" w:ascii="仿宋_GB2312" w:hAnsi="仿宋_GB2312" w:eastAsia="仿宋_GB2312" w:cs="仿宋_GB2312"/>
          <w:b w:val="0"/>
          <w:bCs w:val="0"/>
          <w:sz w:val="32"/>
          <w:szCs w:val="32"/>
        </w:rPr>
        <w:t>培训完成后，甲方操作人员能独立完成日常开关机及信号切换。</w:t>
      </w:r>
    </w:p>
    <w:p w14:paraId="50AD6C3F">
      <w:pPr>
        <w:rPr>
          <w:rFonts w:hint="eastAsia"/>
        </w:rPr>
      </w:pPr>
    </w:p>
    <w:p w14:paraId="076289F3">
      <w:pPr>
        <w:pStyle w:val="76"/>
        <w:rPr>
          <w:b/>
          <w:bCs/>
        </w:rPr>
      </w:pPr>
    </w:p>
    <w:p w14:paraId="73224B7D">
      <w:pPr>
        <w:pStyle w:val="76"/>
        <w:rPr>
          <w:b/>
          <w:bCs/>
        </w:rPr>
      </w:pPr>
    </w:p>
    <w:p w14:paraId="26B88BE8">
      <w:pPr>
        <w:pStyle w:val="76"/>
        <w:rPr>
          <w:b/>
          <w:bCs/>
        </w:rPr>
      </w:pPr>
    </w:p>
    <w:p w14:paraId="2E5F29B2">
      <w:pPr>
        <w:pStyle w:val="76"/>
        <w:rPr>
          <w:b/>
          <w:bCs/>
        </w:rPr>
      </w:pPr>
    </w:p>
    <w:p w14:paraId="7A414112">
      <w:pPr>
        <w:pStyle w:val="76"/>
        <w:rPr>
          <w:b/>
          <w:bCs/>
        </w:rPr>
      </w:pPr>
    </w:p>
    <w:p w14:paraId="260F1792">
      <w:pPr>
        <w:pStyle w:val="76"/>
        <w:rPr>
          <w:b/>
          <w:bCs/>
        </w:rPr>
      </w:pPr>
    </w:p>
    <w:p w14:paraId="32F3FE28">
      <w:pPr>
        <w:pStyle w:val="76"/>
        <w:rPr>
          <w:b/>
          <w:bCs/>
        </w:rPr>
      </w:pPr>
    </w:p>
    <w:p w14:paraId="5D1D0C8F">
      <w:pPr>
        <w:pStyle w:val="76"/>
        <w:rPr>
          <w:b/>
          <w:bCs/>
        </w:rPr>
      </w:pPr>
    </w:p>
    <w:p w14:paraId="36BF179E">
      <w:pPr>
        <w:pStyle w:val="76"/>
        <w:rPr>
          <w:b/>
          <w:bCs/>
        </w:rPr>
      </w:pPr>
    </w:p>
    <w:p w14:paraId="725789CF">
      <w:pPr>
        <w:pStyle w:val="76"/>
        <w:rPr>
          <w:b/>
          <w:bCs/>
        </w:rPr>
      </w:pPr>
    </w:p>
    <w:p w14:paraId="0AD288A8">
      <w:pPr>
        <w:pStyle w:val="76"/>
        <w:rPr>
          <w:b/>
          <w:bCs/>
        </w:rPr>
      </w:pPr>
    </w:p>
    <w:p w14:paraId="2557272E">
      <w:pPr>
        <w:pStyle w:val="76"/>
        <w:rPr>
          <w:b/>
          <w:bCs/>
        </w:rPr>
      </w:pPr>
    </w:p>
    <w:p w14:paraId="044B4F52">
      <w:pPr>
        <w:pStyle w:val="76"/>
        <w:rPr>
          <w:b/>
          <w:bCs/>
        </w:rPr>
      </w:pPr>
    </w:p>
    <w:p w14:paraId="1D325E81">
      <w:pPr>
        <w:pStyle w:val="76"/>
        <w:rPr>
          <w:b/>
          <w:bCs/>
        </w:rPr>
      </w:pPr>
    </w:p>
    <w:p w14:paraId="478CBF63">
      <w:pPr>
        <w:pStyle w:val="76"/>
        <w:rPr>
          <w:b/>
          <w:bCs/>
        </w:rPr>
      </w:pPr>
    </w:p>
    <w:p w14:paraId="6B7E955A">
      <w:pPr>
        <w:pStyle w:val="76"/>
        <w:rPr>
          <w:b/>
          <w:bCs/>
        </w:rPr>
      </w:pPr>
    </w:p>
    <w:p w14:paraId="4B1D8B2F">
      <w:pPr>
        <w:pStyle w:val="76"/>
        <w:rPr>
          <w:b/>
          <w:bCs/>
        </w:rPr>
      </w:pPr>
    </w:p>
    <w:p w14:paraId="55E54AC2">
      <w:pPr>
        <w:pStyle w:val="76"/>
      </w:pPr>
    </w:p>
    <w:p w14:paraId="5871DF53">
      <w:pPr>
        <w:pStyle w:val="71"/>
      </w:pPr>
      <w:bookmarkStart w:id="19" w:name="_Toc47976609"/>
      <w:bookmarkStart w:id="20" w:name="_Toc20595"/>
      <w:r>
        <w:rPr>
          <w:rFonts w:hint="eastAsia"/>
        </w:rPr>
        <w:t>第三部分　合同主要条款</w:t>
      </w:r>
      <w:bookmarkEnd w:id="19"/>
      <w:bookmarkEnd w:id="20"/>
    </w:p>
    <w:p w14:paraId="23914DBE">
      <w:pPr>
        <w:pStyle w:val="72"/>
        <w:numPr>
          <w:ilvl w:val="0"/>
          <w:numId w:val="26"/>
        </w:numPr>
        <w:ind w:left="420"/>
      </w:pPr>
      <w:bookmarkStart w:id="21" w:name="_Toc47976610"/>
      <w:r>
        <w:rPr>
          <w:rFonts w:hint="eastAsia"/>
          <w:lang w:val="en-US" w:eastAsia="zh-CN"/>
        </w:rPr>
        <w:t>标的、数量、</w:t>
      </w:r>
      <w:r>
        <w:rPr>
          <w:rFonts w:hint="eastAsia"/>
        </w:rPr>
        <w:t>交货期</w:t>
      </w:r>
      <w:bookmarkEnd w:id="21"/>
    </w:p>
    <w:p w14:paraId="18603CA8">
      <w:pPr>
        <w:pStyle w:val="72"/>
      </w:pPr>
      <w:bookmarkStart w:id="22" w:name="_Toc47976611"/>
      <w:r>
        <w:rPr>
          <w:rFonts w:hint="eastAsia"/>
        </w:rPr>
        <w:t>交货地点</w:t>
      </w:r>
      <w:bookmarkEnd w:id="22"/>
    </w:p>
    <w:p w14:paraId="3F03A936">
      <w:pPr>
        <w:pStyle w:val="72"/>
      </w:pPr>
      <w:bookmarkStart w:id="23" w:name="_Toc47976612"/>
      <w:r>
        <w:rPr>
          <w:rFonts w:hint="eastAsia"/>
          <w:lang w:val="en-US" w:eastAsia="zh-CN"/>
        </w:rPr>
        <w:t>价款及</w:t>
      </w:r>
      <w:r>
        <w:rPr>
          <w:rFonts w:hint="eastAsia"/>
        </w:rPr>
        <w:t>付款方式</w:t>
      </w:r>
      <w:bookmarkEnd w:id="23"/>
    </w:p>
    <w:p w14:paraId="0A7F4E98">
      <w:pPr>
        <w:pStyle w:val="72"/>
      </w:pPr>
      <w:bookmarkStart w:id="24" w:name="_Toc47976613"/>
      <w:r>
        <w:rPr>
          <w:rFonts w:hint="eastAsia"/>
          <w:lang w:val="en-US" w:eastAsia="zh-CN"/>
        </w:rPr>
        <w:t>质量要求、</w:t>
      </w:r>
      <w:r>
        <w:rPr>
          <w:rFonts w:hint="eastAsia"/>
        </w:rPr>
        <w:t>保修期及售后服务</w:t>
      </w:r>
      <w:bookmarkEnd w:id="24"/>
    </w:p>
    <w:p w14:paraId="50F6C5C1">
      <w:pPr>
        <w:pStyle w:val="72"/>
      </w:pPr>
      <w:bookmarkStart w:id="25" w:name="_Toc47976614"/>
      <w:r>
        <w:rPr>
          <w:rFonts w:hint="eastAsia"/>
        </w:rPr>
        <w:t>安装、调试及验收要求</w:t>
      </w:r>
      <w:bookmarkEnd w:id="25"/>
    </w:p>
    <w:p w14:paraId="7FDA440C">
      <w:pPr>
        <w:pStyle w:val="72"/>
      </w:pPr>
      <w:r>
        <w:rPr>
          <w:rFonts w:hint="eastAsia"/>
          <w:lang w:val="en-US" w:eastAsia="zh-CN"/>
        </w:rPr>
        <w:t>违约责任</w:t>
      </w:r>
    </w:p>
    <w:p w14:paraId="7B4D50AD">
      <w:pPr>
        <w:pStyle w:val="72"/>
      </w:pPr>
      <w:r>
        <w:rPr>
          <w:rFonts w:hint="eastAsia"/>
          <w:lang w:val="en-US" w:eastAsia="zh-CN"/>
        </w:rPr>
        <w:t>争议解决方式</w:t>
      </w:r>
    </w:p>
    <w:p w14:paraId="260D6138">
      <w:pPr>
        <w:pStyle w:val="76"/>
      </w:pPr>
    </w:p>
    <w:p w14:paraId="6A576E98">
      <w:pPr>
        <w:pStyle w:val="76"/>
      </w:pPr>
    </w:p>
    <w:p w14:paraId="373AA179">
      <w:pPr>
        <w:pStyle w:val="76"/>
      </w:pPr>
    </w:p>
    <w:p w14:paraId="150257F3">
      <w:pPr>
        <w:pStyle w:val="76"/>
      </w:pPr>
    </w:p>
    <w:p w14:paraId="40953605">
      <w:pPr>
        <w:pStyle w:val="76"/>
      </w:pPr>
    </w:p>
    <w:p w14:paraId="7DF7CDCE">
      <w:pPr>
        <w:pStyle w:val="76"/>
      </w:pPr>
    </w:p>
    <w:p w14:paraId="2CD5A204">
      <w:pPr>
        <w:pStyle w:val="76"/>
      </w:pPr>
    </w:p>
    <w:p w14:paraId="3AECA4B5">
      <w:pPr>
        <w:pStyle w:val="76"/>
      </w:pPr>
    </w:p>
    <w:p w14:paraId="4AD354C0">
      <w:pPr>
        <w:pStyle w:val="76"/>
      </w:pPr>
    </w:p>
    <w:p w14:paraId="27E760CE">
      <w:pPr>
        <w:pStyle w:val="76"/>
      </w:pPr>
    </w:p>
    <w:p w14:paraId="09615663">
      <w:pPr>
        <w:pStyle w:val="76"/>
      </w:pPr>
    </w:p>
    <w:p w14:paraId="050FA5A8">
      <w:pPr>
        <w:pStyle w:val="76"/>
      </w:pPr>
    </w:p>
    <w:p w14:paraId="0370F036">
      <w:pPr>
        <w:pStyle w:val="76"/>
      </w:pPr>
    </w:p>
    <w:p w14:paraId="32A383C9">
      <w:pPr>
        <w:pStyle w:val="76"/>
      </w:pPr>
    </w:p>
    <w:p w14:paraId="1ED05CA3">
      <w:pPr>
        <w:pStyle w:val="76"/>
      </w:pPr>
    </w:p>
    <w:p w14:paraId="42B66EE1">
      <w:pPr>
        <w:pStyle w:val="76"/>
      </w:pPr>
    </w:p>
    <w:p w14:paraId="79A7EC9B">
      <w:pPr>
        <w:pStyle w:val="76"/>
      </w:pPr>
    </w:p>
    <w:p w14:paraId="0EB8BBEB">
      <w:pPr>
        <w:pStyle w:val="71"/>
        <w:rPr>
          <w:rFonts w:hint="default" w:eastAsia="黑体"/>
          <w:lang w:val="en-US" w:eastAsia="zh-CN"/>
        </w:rPr>
      </w:pPr>
      <w:bookmarkStart w:id="26" w:name="_Toc47976615"/>
      <w:bookmarkStart w:id="27" w:name="_Toc5925"/>
      <w:r>
        <w:rPr>
          <w:rFonts w:hint="eastAsia"/>
        </w:rPr>
        <w:t>第四部分　</w:t>
      </w:r>
      <w:bookmarkEnd w:id="26"/>
      <w:r>
        <w:rPr>
          <w:rFonts w:hint="eastAsia"/>
          <w:lang w:val="en-US" w:eastAsia="zh-CN"/>
        </w:rPr>
        <w:t>投标文件附件</w:t>
      </w:r>
      <w:bookmarkEnd w:id="27"/>
    </w:p>
    <w:p w14:paraId="600DE1DD">
      <w:pPr>
        <w:pStyle w:val="71"/>
        <w:jc w:val="left"/>
        <w:rPr>
          <w:rFonts w:hint="eastAsia" w:ascii="宋体" w:hAnsi="宋体" w:eastAsia="宋体" w:cs="宋体"/>
          <w:sz w:val="32"/>
          <w:szCs w:val="32"/>
          <w:highlight w:val="yellow"/>
          <w:lang w:eastAsia="zh-CN"/>
        </w:rPr>
      </w:pPr>
      <w:bookmarkStart w:id="28" w:name="_Toc47976616"/>
      <w:bookmarkStart w:id="29" w:name="_Toc4225"/>
      <w:r>
        <w:rPr>
          <w:rFonts w:hint="eastAsia" w:ascii="宋体" w:hAnsi="宋体" w:eastAsia="宋体" w:cs="宋体"/>
          <w:sz w:val="32"/>
          <w:szCs w:val="32"/>
          <w:highlight w:val="yellow"/>
        </w:rPr>
        <w:t>附件</w:t>
      </w:r>
      <w:bookmarkEnd w:id="28"/>
      <w:bookmarkEnd w:id="29"/>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30" w:name="_Toc47976618"/>
      <w:bookmarkStart w:id="31" w:name="_Toc29366865"/>
      <w:bookmarkStart w:id="32" w:name="_Toc29366869"/>
      <w:r>
        <w:rPr>
          <w:rFonts w:hint="eastAsia" w:ascii="宋体" w:hAnsi="宋体" w:eastAsia="宋体" w:cs="宋体"/>
          <w:sz w:val="32"/>
          <w:szCs w:val="32"/>
          <w:highlight w:val="yellow"/>
          <w:lang w:val="en-US" w:eastAsia="zh-CN"/>
        </w:rPr>
        <w:t>附件2</w:t>
      </w:r>
    </w:p>
    <w:bookmarkEnd w:id="30"/>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1E45F767">
      <w:pPr>
        <w:spacing w:line="360" w:lineRule="auto"/>
        <w:ind w:firstLine="4800" w:firstLineChars="2000"/>
        <w:rPr>
          <w:rFonts w:ascii="宋体" w:hAnsi="宋体" w:cs="宋体"/>
          <w:sz w:val="24"/>
          <w:szCs w:val="21"/>
        </w:rPr>
      </w:pPr>
    </w:p>
    <w:p w14:paraId="351456CF">
      <w:pPr>
        <w:spacing w:line="360" w:lineRule="auto"/>
        <w:ind w:firstLine="4800" w:firstLineChars="2000"/>
        <w:rPr>
          <w:rFonts w:ascii="宋体" w:hAnsi="宋体" w:cs="宋体"/>
          <w:sz w:val="24"/>
          <w:szCs w:val="21"/>
        </w:rPr>
      </w:pPr>
    </w:p>
    <w:p w14:paraId="69663AF6">
      <w:pPr>
        <w:pStyle w:val="14"/>
      </w:pPr>
    </w:p>
    <w:p w14:paraId="3A5DEF51">
      <w:pPr>
        <w:spacing w:line="360" w:lineRule="auto"/>
        <w:rPr>
          <w:rFonts w:ascii="宋体" w:hAnsi="宋体" w:cs="宋体"/>
          <w:sz w:val="24"/>
          <w:szCs w:val="21"/>
        </w:rPr>
      </w:pPr>
    </w:p>
    <w:bookmarkEnd w:id="31"/>
    <w:bookmarkEnd w:id="32"/>
    <w:p w14:paraId="53E6B306">
      <w:pPr>
        <w:pStyle w:val="72"/>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14:paraId="769BF465">
      <w:pPr>
        <w:pStyle w:val="72"/>
        <w:numPr>
          <w:ilvl w:val="0"/>
          <w:numId w:val="0"/>
        </w:numPr>
        <w:ind w:leftChars="0"/>
        <w:jc w:val="center"/>
        <w:rPr>
          <w:rFonts w:hint="eastAsia"/>
          <w:lang w:val="en-US" w:eastAsia="zh-CN"/>
        </w:rPr>
      </w:pPr>
      <w:r>
        <w:rPr>
          <w:rFonts w:hint="eastAsia"/>
          <w:lang w:val="en-US" w:eastAsia="zh-CN"/>
        </w:rPr>
        <w:t>开标一览表</w:t>
      </w:r>
    </w:p>
    <w:p w14:paraId="71C63D3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w:t>
      </w:r>
      <w:r>
        <w:rPr>
          <w:rFonts w:ascii="宋体" w:hAnsi="宋体" w:eastAsia="宋体" w:cs="Times New Roman"/>
          <w:color w:val="000000"/>
          <w:sz w:val="24"/>
          <w:szCs w:val="24"/>
        </w:rPr>
        <w:t xml:space="preserve">                                                        </w:t>
      </w:r>
    </w:p>
    <w:tbl>
      <w:tblPr>
        <w:tblStyle w:val="30"/>
        <w:tblW w:w="83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699"/>
      </w:tblGrid>
      <w:tr w14:paraId="07BA8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1B2BAAFF">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0CB9085E">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7FD1C6AE">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7E8CB28F">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14:paraId="43B51BBB">
            <w:pPr>
              <w:jc w:val="center"/>
              <w:rPr>
                <w:rFonts w:hint="default" w:ascii="Times New Roman" w:hAnsi="Times New Roman" w:eastAsia="宋体" w:cs="Times New Roman"/>
                <w:b/>
                <w:szCs w:val="20"/>
                <w:lang w:val="en-US" w:eastAsia="zh-CN"/>
              </w:rPr>
            </w:pPr>
            <w:r>
              <w:rPr>
                <w:rFonts w:hint="eastAsia" w:cs="Times New Roman"/>
                <w:b/>
                <w:szCs w:val="20"/>
                <w:lang w:val="en-US" w:eastAsia="zh-CN"/>
              </w:rPr>
              <w:t>付款方式及比例是否响应</w:t>
            </w:r>
          </w:p>
        </w:tc>
        <w:tc>
          <w:tcPr>
            <w:tcW w:w="1243" w:type="dxa"/>
            <w:vAlign w:val="center"/>
          </w:tcPr>
          <w:p w14:paraId="5BE19F44">
            <w:pPr>
              <w:jc w:val="center"/>
              <w:rPr>
                <w:rFonts w:hint="default" w:ascii="Times New Roman" w:hAnsi="Times New Roman" w:eastAsia="宋体" w:cs="Times New Roman"/>
                <w:b/>
                <w:szCs w:val="20"/>
                <w:lang w:val="en-US"/>
              </w:rPr>
            </w:pPr>
            <w:r>
              <w:rPr>
                <w:rFonts w:hint="eastAsia" w:cs="Times New Roman"/>
                <w:b/>
                <w:szCs w:val="20"/>
                <w:lang w:val="en-US" w:eastAsia="zh-CN"/>
              </w:rPr>
              <w:t>交货时间是否偏离</w:t>
            </w:r>
          </w:p>
        </w:tc>
        <w:tc>
          <w:tcPr>
            <w:tcW w:w="699" w:type="dxa"/>
            <w:vAlign w:val="center"/>
          </w:tcPr>
          <w:p w14:paraId="0DA60CF4">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035C9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6D0E9BE6">
            <w:pPr>
              <w:jc w:val="center"/>
              <w:rPr>
                <w:rFonts w:ascii="Times New Roman" w:hAnsi="Times New Roman" w:eastAsia="宋体" w:cs="Times New Roman"/>
                <w:b/>
                <w:szCs w:val="20"/>
              </w:rPr>
            </w:pPr>
          </w:p>
        </w:tc>
        <w:tc>
          <w:tcPr>
            <w:tcW w:w="1518" w:type="dxa"/>
            <w:vAlign w:val="center"/>
          </w:tcPr>
          <w:p w14:paraId="4CCA2A31">
            <w:pPr>
              <w:pStyle w:val="26"/>
              <w:keepNext w:val="0"/>
              <w:keepLines w:val="0"/>
              <w:widowControl/>
              <w:suppressLineNumbers w:val="0"/>
              <w:spacing w:before="0" w:beforeAutospacing="0" w:after="0" w:afterAutospacing="0"/>
              <w:ind w:left="0" w:right="0" w:firstLine="0"/>
            </w:pPr>
            <w:r>
              <w:t>济南卡车销售部第二会议室LED大屏采购项目招标公告</w:t>
            </w:r>
          </w:p>
          <w:p w14:paraId="01DDB5C4">
            <w:pPr>
              <w:jc w:val="center"/>
              <w:rPr>
                <w:rFonts w:hint="eastAsia" w:ascii="Times New Roman" w:hAnsi="Times New Roman" w:eastAsia="宋体" w:cs="Times New Roman"/>
                <w:b/>
                <w:szCs w:val="20"/>
                <w:lang w:eastAsia="zh-CN"/>
              </w:rPr>
            </w:pPr>
          </w:p>
        </w:tc>
        <w:tc>
          <w:tcPr>
            <w:tcW w:w="848" w:type="dxa"/>
            <w:vAlign w:val="center"/>
          </w:tcPr>
          <w:p w14:paraId="5754ED5A">
            <w:pPr>
              <w:jc w:val="center"/>
              <w:rPr>
                <w:rFonts w:hint="eastAsia" w:ascii="Times New Roman" w:hAnsi="Times New Roman" w:eastAsia="宋体" w:cs="Times New Roman"/>
                <w:b/>
                <w:szCs w:val="20"/>
                <w:lang w:val="en-US" w:eastAsia="zh-CN"/>
              </w:rPr>
            </w:pPr>
          </w:p>
        </w:tc>
        <w:tc>
          <w:tcPr>
            <w:tcW w:w="2270" w:type="dxa"/>
            <w:vAlign w:val="center"/>
          </w:tcPr>
          <w:p w14:paraId="63A1C48D">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6C6D0F49">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34B462C2">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14:paraId="1E0AF0C2">
            <w:pPr>
              <w:jc w:val="center"/>
              <w:rPr>
                <w:rFonts w:ascii="Times New Roman" w:hAnsi="Times New Roman" w:eastAsia="宋体" w:cs="Times New Roman"/>
                <w:b/>
                <w:szCs w:val="20"/>
              </w:rPr>
            </w:pPr>
          </w:p>
        </w:tc>
        <w:tc>
          <w:tcPr>
            <w:tcW w:w="1243" w:type="dxa"/>
            <w:vAlign w:val="center"/>
          </w:tcPr>
          <w:p w14:paraId="2E7E4711">
            <w:pPr>
              <w:jc w:val="center"/>
              <w:rPr>
                <w:rFonts w:ascii="Times New Roman" w:hAnsi="Times New Roman" w:eastAsia="宋体" w:cs="Times New Roman"/>
                <w:b/>
                <w:szCs w:val="20"/>
              </w:rPr>
            </w:pPr>
          </w:p>
        </w:tc>
        <w:tc>
          <w:tcPr>
            <w:tcW w:w="699" w:type="dxa"/>
            <w:vAlign w:val="center"/>
          </w:tcPr>
          <w:p w14:paraId="14D620AB">
            <w:pPr>
              <w:jc w:val="center"/>
              <w:rPr>
                <w:rFonts w:ascii="Times New Roman" w:hAnsi="Times New Roman" w:eastAsia="宋体" w:cs="Times New Roman"/>
                <w:b/>
                <w:szCs w:val="20"/>
              </w:rPr>
            </w:pPr>
          </w:p>
        </w:tc>
      </w:tr>
    </w:tbl>
    <w:p w14:paraId="2AC98F24">
      <w:pPr>
        <w:rPr>
          <w:rFonts w:ascii="宋体" w:hAnsi="Arial" w:eastAsia="宋体" w:cs="Times New Roman"/>
          <w:sz w:val="24"/>
          <w:szCs w:val="24"/>
        </w:rPr>
      </w:pPr>
    </w:p>
    <w:p w14:paraId="0B093042">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440943D3">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4A5EE63D">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716860CE">
      <w:pPr>
        <w:pStyle w:val="14"/>
        <w:rPr>
          <w:rFonts w:hint="eastAsia" w:hAnsi="宋体" w:eastAsia="宋体" w:cs="Times New Roman"/>
          <w:b/>
          <w:bCs/>
          <w:szCs w:val="21"/>
          <w:highlight w:val="none"/>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single"/>
          <w:lang w:val="en-US" w:eastAsia="zh-CN"/>
        </w:rPr>
        <w:t xml:space="preserve">                                             </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7CA9A866">
      <w:pPr>
        <w:pStyle w:val="14"/>
        <w:rPr>
          <w:rFonts w:hint="eastAsia" w:hAnsi="宋体" w:eastAsia="宋体" w:cs="Times New Roman"/>
          <w:b/>
          <w:bCs/>
          <w:szCs w:val="21"/>
          <w:highlight w:val="yellow"/>
        </w:rPr>
      </w:pPr>
    </w:p>
    <w:p w14:paraId="31061A95">
      <w:pPr>
        <w:pStyle w:val="14"/>
        <w:rPr>
          <w:rFonts w:hint="eastAsia" w:hAnsi="宋体" w:eastAsia="宋体" w:cs="Times New Roman"/>
          <w:b/>
          <w:bCs/>
          <w:szCs w:val="21"/>
          <w:highlight w:val="yellow"/>
        </w:rPr>
      </w:pPr>
    </w:p>
    <w:p w14:paraId="5A2F2EC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3B316BD5">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E5A5D5F">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0B2C361">
      <w:pPr>
        <w:pStyle w:val="72"/>
        <w:numPr>
          <w:ilvl w:val="0"/>
          <w:numId w:val="0"/>
        </w:numPr>
        <w:ind w:leftChars="0"/>
      </w:pPr>
      <w:r>
        <w:t xml:space="preserve"> </w:t>
      </w:r>
    </w:p>
    <w:p w14:paraId="36B9F02A">
      <w:pPr>
        <w:pStyle w:val="72"/>
        <w:numPr>
          <w:ilvl w:val="0"/>
          <w:numId w:val="0"/>
        </w:numPr>
        <w:ind w:leftChars="0"/>
      </w:pPr>
    </w:p>
    <w:p w14:paraId="6E7F97B7">
      <w:pPr>
        <w:pStyle w:val="72"/>
        <w:numPr>
          <w:ilvl w:val="0"/>
          <w:numId w:val="0"/>
        </w:numPr>
        <w:ind w:leftChars="0"/>
      </w:pPr>
    </w:p>
    <w:p w14:paraId="3F830A7C">
      <w:pPr>
        <w:pStyle w:val="72"/>
        <w:numPr>
          <w:ilvl w:val="0"/>
          <w:numId w:val="0"/>
        </w:numPr>
        <w:ind w:leftChars="0"/>
      </w:pPr>
    </w:p>
    <w:p w14:paraId="391DF144">
      <w:pPr>
        <w:pStyle w:val="72"/>
        <w:numPr>
          <w:ilvl w:val="0"/>
          <w:numId w:val="0"/>
        </w:numPr>
        <w:ind w:leftChars="0"/>
      </w:pPr>
    </w:p>
    <w:p w14:paraId="4E421771">
      <w:pPr>
        <w:pStyle w:val="72"/>
        <w:numPr>
          <w:ilvl w:val="0"/>
          <w:numId w:val="0"/>
        </w:numPr>
        <w:ind w:leftChars="0"/>
      </w:pPr>
    </w:p>
    <w:p w14:paraId="23E75332">
      <w:pPr>
        <w:pStyle w:val="76"/>
        <w:jc w:val="center"/>
        <w:rPr>
          <w:rFonts w:hint="eastAsia" w:hAnsi="宋体"/>
          <w:b/>
          <w:bCs/>
          <w:sz w:val="40"/>
          <w:szCs w:val="28"/>
          <w:lang w:val="en-US" w:eastAsia="zh-CN"/>
        </w:rPr>
      </w:pPr>
      <w:r>
        <w:rPr>
          <w:rFonts w:hint="eastAsia" w:hAnsi="宋体"/>
          <w:b/>
          <w:bCs/>
          <w:sz w:val="40"/>
          <w:szCs w:val="28"/>
          <w:lang w:val="en-US" w:eastAsia="zh-CN"/>
        </w:rPr>
        <w:t>售后服务承诺函</w:t>
      </w:r>
    </w:p>
    <w:p w14:paraId="4E919C05">
      <w:pPr>
        <w:bidi w:val="0"/>
        <w:rPr>
          <w:rFonts w:hint="default"/>
          <w:lang w:val="en-US" w:eastAsia="zh-CN"/>
        </w:rPr>
      </w:pPr>
    </w:p>
    <w:p w14:paraId="04F3CE96">
      <w:pPr>
        <w:bidi w:val="0"/>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售后服务承诺：</w:t>
      </w:r>
    </w:p>
    <w:p w14:paraId="629796DF">
      <w:pPr>
        <w:bidi w:val="0"/>
        <w:ind w:firstLine="840" w:firstLineChars="300"/>
        <w:jc w:val="left"/>
        <w:rPr>
          <w:rFonts w:hint="eastAsia" w:ascii="宋体" w:hAnsi="宋体" w:eastAsia="宋体" w:cs="宋体"/>
          <w:i w:val="0"/>
          <w:iCs w:val="0"/>
          <w:caps w:val="0"/>
          <w:color w:val="333333"/>
          <w:spacing w:val="0"/>
          <w:kern w:val="0"/>
          <w:sz w:val="28"/>
          <w:szCs w:val="28"/>
          <w:lang w:val="en-US" w:eastAsia="zh-CN" w:bidi="ar"/>
        </w:rPr>
      </w:pPr>
      <w:r>
        <w:rPr>
          <w:rFonts w:hint="eastAsia" w:ascii="宋体" w:hAnsi="宋体" w:eastAsia="宋体" w:cs="宋体"/>
          <w:i w:val="0"/>
          <w:iCs w:val="0"/>
          <w:caps w:val="0"/>
          <w:color w:val="333333"/>
          <w:spacing w:val="0"/>
          <w:kern w:val="0"/>
          <w:sz w:val="28"/>
          <w:szCs w:val="28"/>
          <w:lang w:val="en-US" w:eastAsia="zh-CN" w:bidi="ar"/>
        </w:rPr>
        <w:t>交付周期：合同签订后20天内设备运抵现场设备到场后15天内完成安装调试总工期不得超过40天。</w:t>
      </w:r>
    </w:p>
    <w:p w14:paraId="0B7377A0">
      <w:pPr>
        <w:bidi w:val="0"/>
        <w:ind w:firstLine="840" w:firstLineChars="300"/>
        <w:jc w:val="left"/>
        <w:rPr>
          <w:rFonts w:hint="eastAsia" w:ascii="宋体" w:hAnsi="宋体" w:eastAsia="宋体" w:cs="宋体"/>
          <w:i w:val="0"/>
          <w:iCs w:val="0"/>
          <w:caps w:val="0"/>
          <w:color w:val="333333"/>
          <w:spacing w:val="0"/>
          <w:kern w:val="0"/>
          <w:sz w:val="28"/>
          <w:szCs w:val="28"/>
          <w:lang w:val="en-US" w:eastAsia="zh-CN" w:bidi="ar"/>
        </w:rPr>
      </w:pPr>
      <w:r>
        <w:rPr>
          <w:rFonts w:hint="eastAsia" w:ascii="宋体" w:hAnsi="宋体" w:eastAsia="宋体" w:cs="宋体"/>
          <w:i w:val="0"/>
          <w:iCs w:val="0"/>
          <w:caps w:val="0"/>
          <w:color w:val="333333"/>
          <w:spacing w:val="0"/>
          <w:kern w:val="0"/>
          <w:sz w:val="28"/>
          <w:szCs w:val="28"/>
          <w:lang w:val="en-US" w:eastAsia="zh-CN" w:bidi="ar"/>
        </w:rPr>
        <w:t>质保期：3年整机质保，自最终验收合格之日起计算。</w:t>
      </w:r>
    </w:p>
    <w:p w14:paraId="2AEDE873">
      <w:pPr>
        <w:bidi w:val="0"/>
        <w:ind w:firstLine="840" w:firstLineChars="300"/>
        <w:jc w:val="left"/>
        <w:rPr>
          <w:rFonts w:hint="eastAsia" w:ascii="宋体" w:hAnsi="宋体" w:eastAsia="宋体" w:cs="宋体"/>
          <w:i w:val="0"/>
          <w:iCs w:val="0"/>
          <w:caps w:val="0"/>
          <w:color w:val="333333"/>
          <w:spacing w:val="0"/>
          <w:kern w:val="0"/>
          <w:sz w:val="28"/>
          <w:szCs w:val="28"/>
          <w:lang w:val="en-US" w:eastAsia="zh-CN" w:bidi="ar"/>
        </w:rPr>
      </w:pPr>
      <w:r>
        <w:rPr>
          <w:rFonts w:hint="eastAsia" w:ascii="宋体" w:hAnsi="宋体" w:eastAsia="宋体" w:cs="宋体"/>
          <w:i w:val="0"/>
          <w:iCs w:val="0"/>
          <w:caps w:val="0"/>
          <w:color w:val="333333"/>
          <w:spacing w:val="0"/>
          <w:kern w:val="0"/>
          <w:sz w:val="28"/>
          <w:szCs w:val="28"/>
          <w:lang w:val="en-US" w:eastAsia="zh-CN" w:bidi="ar"/>
        </w:rPr>
        <w:t>服务响应：2小时内响应，24小时内提出解决方案并到场维修。</w:t>
      </w:r>
    </w:p>
    <w:p w14:paraId="14E62C7C">
      <w:pPr>
        <w:bidi w:val="0"/>
        <w:ind w:firstLine="840" w:firstLineChars="300"/>
        <w:jc w:val="left"/>
        <w:rPr>
          <w:rFonts w:hint="eastAsia" w:ascii="宋体" w:hAnsi="宋体" w:eastAsia="宋体" w:cs="宋体"/>
          <w:i w:val="0"/>
          <w:iCs w:val="0"/>
          <w:caps w:val="0"/>
          <w:color w:val="333333"/>
          <w:spacing w:val="0"/>
          <w:kern w:val="0"/>
          <w:sz w:val="28"/>
          <w:szCs w:val="28"/>
          <w:lang w:val="en-US" w:eastAsia="zh-CN" w:bidi="ar"/>
        </w:rPr>
      </w:pPr>
      <w:r>
        <w:rPr>
          <w:rFonts w:hint="eastAsia" w:ascii="宋体" w:hAnsi="宋体" w:eastAsia="宋体" w:cs="宋体"/>
          <w:i w:val="0"/>
          <w:iCs w:val="0"/>
          <w:caps w:val="0"/>
          <w:color w:val="333333"/>
          <w:spacing w:val="0"/>
          <w:kern w:val="0"/>
          <w:sz w:val="28"/>
          <w:szCs w:val="28"/>
          <w:lang w:val="en-US" w:eastAsia="zh-CN" w:bidi="ar"/>
        </w:rPr>
        <w:t>培训要求：为甲方提供至少2名操作人员进行现场培训。</w:t>
      </w:r>
    </w:p>
    <w:p w14:paraId="5F08C2FA">
      <w:pPr>
        <w:bidi w:val="0"/>
        <w:ind w:firstLine="840" w:firstLineChars="300"/>
        <w:jc w:val="left"/>
        <w:rPr>
          <w:rFonts w:hint="eastAsia" w:ascii="仿宋_GB2312" w:hAnsi="仿宋_GB2312" w:eastAsia="仿宋_GB2312" w:cs="仿宋_GB2312"/>
          <w:i w:val="0"/>
          <w:iCs w:val="0"/>
          <w:caps w:val="0"/>
          <w:color w:val="333333"/>
          <w:spacing w:val="0"/>
          <w:kern w:val="0"/>
          <w:sz w:val="28"/>
          <w:szCs w:val="28"/>
          <w:lang w:val="en-US" w:eastAsia="zh-CN" w:bidi="ar"/>
        </w:rPr>
      </w:pPr>
    </w:p>
    <w:p w14:paraId="03096A60">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04AF62E1">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310E8F54">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6C7EB089">
      <w:pPr>
        <w:bidi w:val="0"/>
        <w:ind w:firstLine="840" w:firstLineChars="300"/>
        <w:jc w:val="left"/>
        <w:rPr>
          <w:rFonts w:hint="default" w:ascii="仿宋_GB2312" w:hAnsi="仿宋_GB2312" w:eastAsia="仿宋_GB2312" w:cs="仿宋_GB2312"/>
          <w:i w:val="0"/>
          <w:iCs w:val="0"/>
          <w:caps w:val="0"/>
          <w:color w:val="333333"/>
          <w:spacing w:val="0"/>
          <w:kern w:val="0"/>
          <w:sz w:val="28"/>
          <w:szCs w:val="28"/>
          <w:lang w:val="en-US" w:eastAsia="zh-CN" w:bidi="ar"/>
        </w:rPr>
      </w:pPr>
    </w:p>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93852671"/>
    <w:multiLevelType w:val="singleLevel"/>
    <w:tmpl w:val="93852671"/>
    <w:lvl w:ilvl="0" w:tentative="0">
      <w:start w:val="1"/>
      <w:numFmt w:val="decimal"/>
      <w:lvlText w:val="%1."/>
      <w:lvlJc w:val="left"/>
      <w:pPr>
        <w:ind w:left="425" w:hanging="425"/>
      </w:pPr>
      <w:rPr>
        <w:rFonts w:hint="default"/>
      </w:rPr>
    </w:lvl>
  </w:abstractNum>
  <w:abstractNum w:abstractNumId="3">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4">
    <w:nsid w:val="B12C4597"/>
    <w:multiLevelType w:val="singleLevel"/>
    <w:tmpl w:val="B12C4597"/>
    <w:lvl w:ilvl="0" w:tentative="0">
      <w:start w:val="1"/>
      <w:numFmt w:val="decimal"/>
      <w:lvlText w:val="%1."/>
      <w:lvlJc w:val="left"/>
      <w:pPr>
        <w:ind w:left="425" w:hanging="425"/>
      </w:pPr>
      <w:rPr>
        <w:rFonts w:hint="default"/>
      </w:rPr>
    </w:lvl>
  </w:abstractNum>
  <w:abstractNum w:abstractNumId="5">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6">
    <w:nsid w:val="BD4C6742"/>
    <w:multiLevelType w:val="singleLevel"/>
    <w:tmpl w:val="BD4C6742"/>
    <w:lvl w:ilvl="0" w:tentative="0">
      <w:start w:val="1"/>
      <w:numFmt w:val="decimal"/>
      <w:lvlText w:val="%1."/>
      <w:lvlJc w:val="left"/>
      <w:pPr>
        <w:ind w:left="425" w:hanging="425"/>
      </w:pPr>
      <w:rPr>
        <w:rFonts w:hint="default"/>
      </w:rPr>
    </w:lvl>
  </w:abstractNum>
  <w:abstractNum w:abstractNumId="7">
    <w:nsid w:val="CA70C5AE"/>
    <w:multiLevelType w:val="singleLevel"/>
    <w:tmpl w:val="CA70C5AE"/>
    <w:lvl w:ilvl="0" w:tentative="0">
      <w:start w:val="1"/>
      <w:numFmt w:val="decimal"/>
      <w:lvlText w:val="%1."/>
      <w:lvlJc w:val="left"/>
      <w:pPr>
        <w:ind w:left="425" w:hanging="425"/>
      </w:pPr>
      <w:rPr>
        <w:rFonts w:hint="default"/>
      </w:rPr>
    </w:lvl>
  </w:abstractNum>
  <w:abstractNum w:abstractNumId="8">
    <w:nsid w:val="D9A4530E"/>
    <w:multiLevelType w:val="singleLevel"/>
    <w:tmpl w:val="D9A4530E"/>
    <w:lvl w:ilvl="0" w:tentative="0">
      <w:start w:val="1"/>
      <w:numFmt w:val="decimal"/>
      <w:lvlText w:val="(%1)"/>
      <w:lvlJc w:val="left"/>
      <w:pPr>
        <w:ind w:left="425" w:hanging="425"/>
      </w:pPr>
      <w:rPr>
        <w:rFonts w:hint="default"/>
      </w:rPr>
    </w:lvl>
  </w:abstractNum>
  <w:abstractNum w:abstractNumId="9">
    <w:nsid w:val="DC3F8C8B"/>
    <w:multiLevelType w:val="singleLevel"/>
    <w:tmpl w:val="DC3F8C8B"/>
    <w:lvl w:ilvl="0" w:tentative="0">
      <w:start w:val="1"/>
      <w:numFmt w:val="decimal"/>
      <w:lvlText w:val="%1."/>
      <w:lvlJc w:val="left"/>
      <w:pPr>
        <w:ind w:left="425" w:hanging="425"/>
      </w:pPr>
      <w:rPr>
        <w:rFonts w:hint="default"/>
      </w:rPr>
    </w:lvl>
  </w:abstractNum>
  <w:abstractNum w:abstractNumId="10">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1">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2">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3">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4">
    <w:nsid w:val="21B88D32"/>
    <w:multiLevelType w:val="singleLevel"/>
    <w:tmpl w:val="21B88D32"/>
    <w:lvl w:ilvl="0" w:tentative="0">
      <w:start w:val="2"/>
      <w:numFmt w:val="chineseCounting"/>
      <w:suff w:val="nothing"/>
      <w:lvlText w:val="%1、"/>
      <w:lvlJc w:val="left"/>
      <w:rPr>
        <w:rFonts w:hint="eastAsia"/>
      </w:rPr>
    </w:lvl>
  </w:abstractNum>
  <w:abstractNum w:abstractNumId="15">
    <w:nsid w:val="3CF6EF77"/>
    <w:multiLevelType w:val="singleLevel"/>
    <w:tmpl w:val="3CF6EF77"/>
    <w:lvl w:ilvl="0" w:tentative="0">
      <w:start w:val="1"/>
      <w:numFmt w:val="decimal"/>
      <w:lvlText w:val="%1."/>
      <w:lvlJc w:val="left"/>
      <w:pPr>
        <w:ind w:left="425" w:hanging="425"/>
      </w:pPr>
      <w:rPr>
        <w:rFonts w:hint="default"/>
      </w:rPr>
    </w:lvl>
  </w:abstractNum>
  <w:abstractNum w:abstractNumId="16">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17">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8">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9">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0">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1">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2">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3">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18"/>
  </w:num>
  <w:num w:numId="2">
    <w:abstractNumId w:val="22"/>
  </w:num>
  <w:num w:numId="3">
    <w:abstractNumId w:val="21"/>
  </w:num>
  <w:num w:numId="4">
    <w:abstractNumId w:val="19"/>
  </w:num>
  <w:num w:numId="5">
    <w:abstractNumId w:val="11"/>
  </w:num>
  <w:num w:numId="6">
    <w:abstractNumId w:val="12"/>
  </w:num>
  <w:num w:numId="7">
    <w:abstractNumId w:val="13"/>
  </w:num>
  <w:num w:numId="8">
    <w:abstractNumId w:val="20"/>
  </w:num>
  <w:num w:numId="9">
    <w:abstractNumId w:val="14"/>
  </w:num>
  <w:num w:numId="1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num>
  <w:num w:numId="12">
    <w:abstractNumId w:val="16"/>
  </w:num>
  <w:num w:numId="13">
    <w:abstractNumId w:val="4"/>
  </w:num>
  <w:num w:numId="14">
    <w:abstractNumId w:val="0"/>
  </w:num>
  <w:num w:numId="15">
    <w:abstractNumId w:val="2"/>
  </w:num>
  <w:num w:numId="16">
    <w:abstractNumId w:val="23"/>
  </w:num>
  <w:num w:numId="17">
    <w:abstractNumId w:val="8"/>
  </w:num>
  <w:num w:numId="18">
    <w:abstractNumId w:val="7"/>
  </w:num>
  <w:num w:numId="19">
    <w:abstractNumId w:val="3"/>
  </w:num>
  <w:num w:numId="20">
    <w:abstractNumId w:val="1"/>
  </w:num>
  <w:num w:numId="21">
    <w:abstractNumId w:val="10"/>
  </w:num>
  <w:num w:numId="22">
    <w:abstractNumId w:val="5"/>
  </w:num>
  <w:num w:numId="23">
    <w:abstractNumId w:val="9"/>
  </w:num>
  <w:num w:numId="24">
    <w:abstractNumId w:val="17"/>
  </w:num>
  <w:num w:numId="25">
    <w:abstractNumId w:val="15"/>
  </w:num>
  <w:num w:numId="2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B51572"/>
    <w:rsid w:val="0E4D31E3"/>
    <w:rsid w:val="10DC2AA3"/>
    <w:rsid w:val="10FA7C8C"/>
    <w:rsid w:val="11602360"/>
    <w:rsid w:val="130B198F"/>
    <w:rsid w:val="16A918E4"/>
    <w:rsid w:val="17D966D6"/>
    <w:rsid w:val="1B0B4C84"/>
    <w:rsid w:val="1BC71D3B"/>
    <w:rsid w:val="1C59115B"/>
    <w:rsid w:val="1FB23E60"/>
    <w:rsid w:val="22C5630B"/>
    <w:rsid w:val="23EC0BA6"/>
    <w:rsid w:val="24701A48"/>
    <w:rsid w:val="26721761"/>
    <w:rsid w:val="268B0052"/>
    <w:rsid w:val="27743C90"/>
    <w:rsid w:val="29CA2459"/>
    <w:rsid w:val="2B271A58"/>
    <w:rsid w:val="2B6304A7"/>
    <w:rsid w:val="2CF6734C"/>
    <w:rsid w:val="2D663463"/>
    <w:rsid w:val="2EF96EE4"/>
    <w:rsid w:val="304159B4"/>
    <w:rsid w:val="36254FE4"/>
    <w:rsid w:val="372F61E0"/>
    <w:rsid w:val="39322FCA"/>
    <w:rsid w:val="3AB90991"/>
    <w:rsid w:val="3B706131"/>
    <w:rsid w:val="3E6F041E"/>
    <w:rsid w:val="4275481E"/>
    <w:rsid w:val="428B617A"/>
    <w:rsid w:val="433D7BDC"/>
    <w:rsid w:val="437E1813"/>
    <w:rsid w:val="45BD47FC"/>
    <w:rsid w:val="45CC5FB2"/>
    <w:rsid w:val="46B75BA8"/>
    <w:rsid w:val="48C97955"/>
    <w:rsid w:val="49880C8F"/>
    <w:rsid w:val="4A8835F7"/>
    <w:rsid w:val="4B592E71"/>
    <w:rsid w:val="4CEC60BF"/>
    <w:rsid w:val="52B9239A"/>
    <w:rsid w:val="54BD78FD"/>
    <w:rsid w:val="58A86DDE"/>
    <w:rsid w:val="59154AD7"/>
    <w:rsid w:val="5ADF548D"/>
    <w:rsid w:val="5D5C60B4"/>
    <w:rsid w:val="628C1A7E"/>
    <w:rsid w:val="63F04A69"/>
    <w:rsid w:val="66A50B1E"/>
    <w:rsid w:val="67B2063C"/>
    <w:rsid w:val="67C97AC3"/>
    <w:rsid w:val="67E30EC1"/>
    <w:rsid w:val="6A4E3B2B"/>
    <w:rsid w:val="6B481C3B"/>
    <w:rsid w:val="6C1331A3"/>
    <w:rsid w:val="6CA84BC1"/>
    <w:rsid w:val="6D3E4756"/>
    <w:rsid w:val="6FC523EB"/>
    <w:rsid w:val="72895F2E"/>
    <w:rsid w:val="72C02EBE"/>
    <w:rsid w:val="72C507AD"/>
    <w:rsid w:val="72D028D8"/>
    <w:rsid w:val="737F1BF3"/>
    <w:rsid w:val="745D47C3"/>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basedOn w:val="32"/>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Hewlett-Packard Company</Company>
  <Pages>19</Pages>
  <Words>3763</Words>
  <Characters>3983</Characters>
  <Lines>127</Lines>
  <Paragraphs>35</Paragraphs>
  <TotalTime>9</TotalTime>
  <ScaleCrop>false</ScaleCrop>
  <LinksUpToDate>false</LinksUpToDate>
  <CharactersWithSpaces>4052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0174L</cp:lastModifiedBy>
  <cp:lastPrinted>2020-06-28T02:28:00Z</cp:lastPrinted>
  <dcterms:modified xsi:type="dcterms:W3CDTF">2025-11-05T03:40:59Z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8FB4863A31664C09B2074E685F0988F5_13</vt:lpwstr>
  </property>
  <property fmtid="{D5CDD505-2E9C-101B-9397-08002B2CF9AE}" pid="4" name="KSOTemplateDocerSaveRecord">
    <vt:lpwstr>eyJoZGlkIjoiZDZiY2E3MTk3OWVkMDZmNDgwYmUwNDViMmIxMTA0OGYiLCJ1c2VySWQiOiIxMTQwNDY2NTAwIn0=</vt:lpwstr>
  </property>
</Properties>
</file>