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1"/>
      <w:bookmarkStart w:id="1" w:name="OLE_LINK30"/>
    </w:p>
    <w:p>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总镍在线监测设备维修保养服务</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pPr>
        <w:pStyle w:val="21"/>
      </w:pPr>
    </w:p>
    <w:p>
      <w:pPr>
        <w:pStyle w:val="21"/>
      </w:pPr>
    </w:p>
    <w:p>
      <w:pPr>
        <w:pStyle w:val="21"/>
      </w:pPr>
    </w:p>
    <w:p>
      <w:pPr>
        <w:pStyle w:val="21"/>
      </w:pPr>
    </w:p>
    <w:p>
      <w:pPr>
        <w:jc w:val="right"/>
        <w:rPr>
          <w:rFonts w:ascii="Calibri" w:hAnsi="Calibri" w:eastAsia="宋体" w:cs="Times New Roman"/>
          <w:color w:val="000000"/>
          <w:sz w:val="28"/>
          <w:szCs w:val="28"/>
        </w:rPr>
      </w:pP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hint="eastAsia" w:ascii="黑体" w:hAnsi="宋体" w:eastAsia="黑体" w:cs="Times New Roman"/>
          <w:color w:val="000000"/>
          <w:sz w:val="72"/>
          <w:szCs w:val="72"/>
        </w:rPr>
      </w:pP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hint="eastAsia"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21"/>
        <w:rPr>
          <w:b/>
          <w:bCs/>
        </w:rPr>
      </w:pPr>
    </w:p>
    <w:p>
      <w:pPr>
        <w:jc w:val="center"/>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人：中国重汽集团济宁商用车有限公司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11</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hint="eastAsia" w:cs="宋体"/>
              <w:b/>
              <w:bCs/>
              <w:sz w:val="48"/>
              <w:szCs w:val="48"/>
            </w:rPr>
          </w:pPr>
          <w:r>
            <w:rPr>
              <w:rFonts w:ascii="宋体" w:hAnsi="宋体" w:eastAsia="宋体" w:cs="宋体"/>
              <w:b/>
              <w:bCs/>
              <w:sz w:val="48"/>
              <w:szCs w:val="48"/>
            </w:rPr>
            <w:t>目录</w:t>
          </w:r>
        </w:p>
        <w:p>
          <w:pPr>
            <w:pStyle w:val="28"/>
            <w:tabs>
              <w:tab w:val="right" w:leader="dot" w:pos="9071"/>
            </w:tabs>
            <w:spacing w:line="480" w:lineRule="auto"/>
            <w:rPr>
              <w:rFonts w:hint="eastAsia"/>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pPr>
            <w:pStyle w:val="28"/>
            <w:tabs>
              <w:tab w:val="right" w:leader="dot" w:pos="9071"/>
            </w:tabs>
            <w:spacing w:line="480" w:lineRule="auto"/>
            <w:rPr>
              <w:rFonts w:hint="eastAsia"/>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pPr>
            <w:pStyle w:val="28"/>
            <w:tabs>
              <w:tab w:val="right" w:leader="dot" w:pos="9071"/>
            </w:tabs>
            <w:spacing w:line="480" w:lineRule="auto"/>
            <w:rPr>
              <w:rFonts w:hint="eastAsia"/>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pPr>
            <w:pStyle w:val="28"/>
            <w:tabs>
              <w:tab w:val="right" w:leader="dot" w:pos="9071"/>
            </w:tabs>
            <w:spacing w:line="480" w:lineRule="auto"/>
            <w:rPr>
              <w:rFonts w:hint="eastAsia"/>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pPr>
            <w:pStyle w:val="28"/>
            <w:tabs>
              <w:tab w:val="right" w:leader="dot" w:pos="9071"/>
            </w:tabs>
            <w:spacing w:line="480" w:lineRule="auto"/>
            <w:rPr>
              <w:rFonts w:hint="eastAsia"/>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65</w:t>
          </w:r>
        </w:p>
        <w:p>
          <w:pPr>
            <w:pStyle w:val="28"/>
            <w:tabs>
              <w:tab w:val="right" w:leader="dot" w:pos="9071"/>
            </w:tabs>
            <w:spacing w:line="480" w:lineRule="auto"/>
            <w:rPr>
              <w:rFonts w:hint="eastAsia"/>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83</w:t>
          </w:r>
        </w:p>
        <w:p>
          <w:pPr>
            <w:pStyle w:val="21"/>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21"/>
        <w:numPr>
          <w:ilvl w:val="0"/>
          <w:numId w:val="2"/>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21"/>
        <w:jc w:val="center"/>
        <w:rPr>
          <w:rFonts w:ascii="Calibri" w:hAnsi="Calibri" w:eastAsia="宋体" w:cs="Times New Roman"/>
          <w:b/>
          <w:bCs/>
          <w:kern w:val="44"/>
          <w:sz w:val="36"/>
          <w:szCs w:val="44"/>
        </w:rPr>
      </w:pP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2"/>
                <w:rFonts w:hint="eastAsia"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hint="eastAsia" w:ascii="宋体" w:hAnsi="宋体" w:eastAsia="宋体" w:cs="宋体"/>
                <w:b/>
                <w:bCs/>
                <w:sz w:val="28"/>
                <w:szCs w:val="28"/>
              </w:rPr>
            </w:pPr>
            <w:r>
              <w:rPr>
                <w:rStyle w:val="132"/>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u w:val="single"/>
              </w:rPr>
              <w:t>总镍在线监测设备维修保养服务项目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采购形式编号</w:t>
            </w:r>
            <w:r>
              <w:rPr>
                <w:rFonts w:hint="eastAsia" w:ascii="宋体" w:hAnsi="宋体" w:eastAsia="宋体" w:cs="宋体"/>
                <w:b/>
                <w:bCs/>
                <w:sz w:val="24"/>
                <w:szCs w:val="24"/>
                <w:highlight w:val="yellow"/>
              </w:rPr>
              <w:t>：</w:t>
            </w:r>
            <w:r>
              <w:rPr>
                <w:rFonts w:hint="eastAsia" w:ascii="宋体" w:hAnsi="宋体" w:eastAsia="宋体" w:cs="宋体"/>
                <w:b/>
                <w:bCs/>
                <w:sz w:val="24"/>
                <w:szCs w:val="24"/>
                <w:highlight w:val="yellow"/>
                <w:u w:val="single"/>
              </w:rPr>
              <w:t>FSCZB2025100272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Times New Roman"/>
                <w:color w:val="000000"/>
                <w:sz w:val="24"/>
                <w:szCs w:val="24"/>
                <w:highlight w:val="yellow"/>
              </w:rPr>
            </w:pPr>
            <w:r>
              <w:rPr>
                <w:rFonts w:hint="eastAsia" w:ascii="宋体" w:hAnsi="宋体" w:eastAsia="宋体" w:cs="宋体"/>
                <w:b/>
                <w:bCs/>
                <w:sz w:val="24"/>
                <w:szCs w:val="24"/>
              </w:rPr>
              <w:t>招标内容：</w:t>
            </w:r>
            <w:r>
              <w:rPr>
                <w:rFonts w:hint="eastAsia" w:ascii="宋体" w:hAnsi="宋体" w:eastAsia="宋体" w:cs="宋体"/>
                <w:b/>
                <w:bCs/>
                <w:sz w:val="24"/>
                <w:szCs w:val="24"/>
                <w:u w:val="single"/>
              </w:rPr>
              <w:t>总镍在线监测设备维修保养服务项目</w:t>
            </w:r>
          </w:p>
          <w:p>
            <w:pPr>
              <w:ind w:firstLine="482" w:firstLineChars="200"/>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rPr>
              <w:t>分投分中：</w:t>
            </w:r>
            <w:r>
              <w:rPr>
                <w:rFonts w:hint="eastAsia" w:ascii="宋体" w:hAnsi="宋体" w:eastAsia="宋体" w:cs="Times New Roman"/>
                <w:color w:val="000000"/>
                <w:sz w:val="24"/>
                <w:szCs w:val="24"/>
              </w:rPr>
              <w:t>不允许。</w:t>
            </w:r>
          </w:p>
          <w:p>
            <w:pPr>
              <w:ind w:firstLine="482" w:firstLineChars="200"/>
              <w:rPr>
                <w:rFonts w:hint="eastAsia" w:ascii="宋体" w:hAnsi="宋体" w:eastAsia="宋体" w:cs="宋体"/>
                <w:sz w:val="24"/>
                <w:szCs w:val="24"/>
              </w:rPr>
            </w:pPr>
            <w:r>
              <w:rPr>
                <w:rFonts w:hint="eastAsia" w:ascii="宋体" w:hAnsi="宋体" w:eastAsia="宋体" w:cs="Times New Roman"/>
                <w:b/>
                <w:bCs/>
                <w:color w:val="000000"/>
                <w:sz w:val="24"/>
                <w:szCs w:val="24"/>
              </w:rPr>
              <w:t>建设地点：</w:t>
            </w:r>
            <w:r>
              <w:rPr>
                <w:rFonts w:hint="eastAsia" w:ascii="宋体" w:hAnsi="宋体" w:eastAsia="宋体" w:cs="宋体"/>
                <w:color w:val="000000"/>
                <w:sz w:val="24"/>
                <w:szCs w:val="24"/>
                <w:highlight w:val="yellow"/>
                <w:u w:val="single"/>
              </w:rPr>
              <w:t>中国重汽集团济宁商用车有限公司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highlight w:val="yellow"/>
                <w:lang w:val="en-US" w:eastAsia="zh-CN"/>
              </w:rPr>
            </w:pPr>
            <w:r>
              <w:rPr>
                <w:rFonts w:hint="eastAsia" w:ascii="宋体" w:hAnsi="宋体" w:eastAsia="宋体" w:cs="宋体"/>
                <w:b/>
                <w:bCs/>
                <w:sz w:val="24"/>
                <w:szCs w:val="24"/>
                <w:highlight w:val="yellow"/>
              </w:rPr>
              <w:t>商务联系人：</w:t>
            </w:r>
            <w:r>
              <w:rPr>
                <w:rFonts w:hint="eastAsia" w:ascii="宋体" w:hAnsi="宋体" w:eastAsia="宋体" w:cs="宋体"/>
                <w:b/>
                <w:bCs/>
                <w:sz w:val="24"/>
                <w:szCs w:val="24"/>
                <w:highlight w:val="yellow"/>
                <w:lang w:val="en-US" w:eastAsia="zh-CN"/>
              </w:rPr>
              <w:t>赵力</w:t>
            </w:r>
          </w:p>
          <w:p>
            <w:pPr>
              <w:pStyle w:val="21"/>
              <w:ind w:firstLine="482" w:firstLineChars="200"/>
              <w:rPr>
                <w:rFonts w:hint="default" w:eastAsia="宋体"/>
                <w:highlight w:val="yellow"/>
                <w:lang w:val="en-US" w:eastAsia="zh-CN"/>
              </w:rPr>
            </w:pPr>
            <w:r>
              <w:rPr>
                <w:rFonts w:hint="eastAsia" w:ascii="宋体" w:hAnsi="宋体" w:eastAsia="宋体" w:cs="宋体"/>
                <w:b/>
                <w:snapToGrid w:val="0"/>
                <w:kern w:val="0"/>
                <w:sz w:val="24"/>
                <w:szCs w:val="24"/>
                <w:highlight w:val="yellow"/>
              </w:rPr>
              <w:t>电话：</w:t>
            </w:r>
            <w:r>
              <w:rPr>
                <w:rFonts w:hint="eastAsia" w:hAnsi="宋体" w:eastAsia="宋体" w:cs="宋体"/>
                <w:b/>
                <w:snapToGrid w:val="0"/>
                <w:kern w:val="0"/>
                <w:sz w:val="24"/>
                <w:szCs w:val="24"/>
                <w:highlight w:val="yellow"/>
                <w:lang w:val="en-US" w:eastAsia="zh-CN"/>
              </w:rPr>
              <w:t>17860606595</w:t>
            </w:r>
          </w:p>
          <w:p>
            <w:pPr>
              <w:ind w:firstLine="482" w:firstLineChars="200"/>
              <w:rPr>
                <w:rFonts w:hint="eastAsia" w:ascii="宋体" w:hAnsi="宋体" w:eastAsia="宋体" w:cs="宋体"/>
                <w:b/>
                <w:snapToGrid w:val="0"/>
                <w:kern w:val="0"/>
                <w:sz w:val="24"/>
                <w:szCs w:val="24"/>
                <w:highlight w:val="yellow"/>
              </w:rPr>
            </w:pPr>
            <w:r>
              <w:rPr>
                <w:rFonts w:hint="eastAsia" w:ascii="宋体" w:hAnsi="宋体" w:eastAsia="宋体" w:cs="宋体"/>
                <w:b/>
                <w:snapToGrid w:val="0"/>
                <w:kern w:val="0"/>
                <w:sz w:val="24"/>
                <w:szCs w:val="24"/>
                <w:highlight w:val="yellow"/>
                <w:lang w:val="en-US" w:eastAsia="zh-CN"/>
              </w:rPr>
              <w:t>邮箱</w:t>
            </w:r>
            <w:r>
              <w:rPr>
                <w:rFonts w:hint="eastAsia" w:ascii="宋体" w:hAnsi="宋体" w:eastAsia="宋体" w:cs="宋体"/>
                <w:b/>
                <w:snapToGrid w:val="0"/>
                <w:kern w:val="0"/>
                <w:sz w:val="24"/>
                <w:szCs w:val="24"/>
                <w:highlight w:val="yellow"/>
              </w:rPr>
              <w:t>：</w:t>
            </w:r>
            <w:r>
              <w:rPr>
                <w:rFonts w:hint="eastAsia" w:ascii="宋体" w:hAnsi="宋体" w:eastAsia="宋体" w:cs="宋体"/>
                <w:b/>
                <w:snapToGrid w:val="0"/>
                <w:kern w:val="0"/>
                <w:sz w:val="24"/>
                <w:szCs w:val="24"/>
                <w:highlight w:val="yellow"/>
              </w:rPr>
              <w:fldChar w:fldCharType="begin"/>
            </w:r>
            <w:r>
              <w:rPr>
                <w:rFonts w:hint="eastAsia" w:ascii="宋体" w:hAnsi="宋体" w:eastAsia="宋体" w:cs="宋体"/>
                <w:b/>
                <w:snapToGrid w:val="0"/>
                <w:kern w:val="0"/>
                <w:sz w:val="24"/>
                <w:szCs w:val="24"/>
                <w:highlight w:val="yellow"/>
              </w:rPr>
              <w:instrText xml:space="preserve"> HYPERLINK "mailto:zhaoli@sinotruk.com" </w:instrText>
            </w:r>
            <w:r>
              <w:rPr>
                <w:rFonts w:hint="eastAsia" w:ascii="宋体" w:hAnsi="宋体" w:eastAsia="宋体" w:cs="宋体"/>
                <w:b/>
                <w:snapToGrid w:val="0"/>
                <w:kern w:val="0"/>
                <w:sz w:val="24"/>
                <w:szCs w:val="24"/>
                <w:highlight w:val="yellow"/>
              </w:rPr>
              <w:fldChar w:fldCharType="separate"/>
            </w:r>
            <w:r>
              <w:rPr>
                <w:rStyle w:val="47"/>
                <w:rFonts w:hint="eastAsia" w:ascii="宋体" w:hAnsi="宋体" w:eastAsia="宋体" w:cs="宋体"/>
                <w:b/>
                <w:snapToGrid w:val="0"/>
                <w:kern w:val="0"/>
                <w:sz w:val="24"/>
                <w:szCs w:val="24"/>
                <w:highlight w:val="yellow"/>
              </w:rPr>
              <w:t>zhaoli@sinotruk.com</w:t>
            </w:r>
            <w:r>
              <w:rPr>
                <w:rFonts w:hint="eastAsia" w:ascii="宋体" w:hAnsi="宋体" w:eastAsia="宋体" w:cs="宋体"/>
                <w:b/>
                <w:snapToGrid w:val="0"/>
                <w:kern w:val="0"/>
                <w:sz w:val="24"/>
                <w:szCs w:val="24"/>
                <w:highlight w:val="yellow"/>
              </w:rPr>
              <w:fldChar w:fldCharType="end"/>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技术联系人：</w:t>
            </w:r>
            <w:r>
              <w:rPr>
                <w:rFonts w:hint="eastAsia" w:ascii="宋体" w:hAnsi="宋体" w:eastAsia="宋体" w:cs="宋体"/>
                <w:sz w:val="24"/>
                <w:szCs w:val="24"/>
                <w:highlight w:val="yellow"/>
              </w:rPr>
              <w:t>崔浩然</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电话：</w:t>
            </w:r>
            <w:r>
              <w:rPr>
                <w:rFonts w:hint="eastAsia" w:ascii="宋体" w:hAnsi="宋体" w:eastAsia="宋体" w:cs="宋体"/>
                <w:sz w:val="24"/>
                <w:szCs w:val="24"/>
              </w:rPr>
              <w:t>15053708302</w:t>
            </w:r>
          </w:p>
          <w:p>
            <w:pPr>
              <w:ind w:firstLine="482" w:firstLineChars="200"/>
              <w:rPr>
                <w:rFonts w:hint="eastAsia"/>
              </w:rPr>
            </w:pPr>
            <w:r>
              <w:rPr>
                <w:rFonts w:hint="eastAsia" w:ascii="宋体" w:hAnsi="宋体" w:eastAsia="宋体" w:cs="宋体"/>
                <w:b/>
                <w:bCs/>
                <w:sz w:val="24"/>
                <w:szCs w:val="24"/>
              </w:rPr>
              <w:t>邮箱：</w:t>
            </w:r>
            <w:r>
              <w:rPr>
                <w:rFonts w:hint="eastAsia" w:ascii="宋体" w:hAnsi="宋体" w:eastAsia="宋体" w:cs="宋体"/>
                <w:sz w:val="24"/>
                <w:szCs w:val="24"/>
              </w:rPr>
              <w:t>763323087@qq.com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pPr>
              <w:ind w:firstLine="482" w:firstLineChars="200"/>
              <w:rPr>
                <w:rFonts w:hint="eastAsia" w:ascii="宋体" w:hAnsi="宋体" w:eastAsia="宋体" w:cs="宋体"/>
                <w:sz w:val="24"/>
                <w:szCs w:val="24"/>
              </w:rPr>
            </w:pPr>
            <w:r>
              <w:rPr>
                <w:rFonts w:hint="eastAsia" w:hAnsi="宋体" w:eastAsia="宋体" w:cs="Times New Roman"/>
                <w:b/>
                <w:bCs/>
                <w:color w:val="000000"/>
                <w:sz w:val="24"/>
                <w:szCs w:val="24"/>
              </w:rPr>
              <w:t>投标限价：</w:t>
            </w:r>
            <w:r>
              <w:rPr>
                <w:rFonts w:hint="eastAsia" w:hAnsi="宋体" w:eastAsia="宋体" w:cs="Times New Roman"/>
                <w:b/>
                <w:bCs/>
                <w:color w:val="000000"/>
                <w:sz w:val="24"/>
                <w:szCs w:val="24"/>
                <w:highlight w:val="yellow"/>
              </w:rPr>
              <w:t>人民币5.8800万元（含税，税率13%），超过投标限价无法投标</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2" w:firstLineChars="200"/>
              <w:rPr>
                <w:rFonts w:hint="eastAsia" w:hAnsi="宋体" w:eastAsia="宋体" w:cs="宋体"/>
                <w:b/>
                <w:bCs/>
                <w:color w:val="FF0000"/>
                <w:sz w:val="24"/>
                <w:szCs w:val="24"/>
              </w:rPr>
            </w:pPr>
            <w:r>
              <w:rPr>
                <w:rFonts w:hint="eastAsia" w:hAnsi="宋体" w:eastAsia="宋体" w:cs="宋体"/>
                <w:b/>
                <w:bCs/>
                <w:color w:val="000000"/>
                <w:sz w:val="24"/>
                <w:szCs w:val="24"/>
              </w:rPr>
              <w:t>投标人条件：</w:t>
            </w:r>
          </w:p>
          <w:p>
            <w:pPr>
              <w:rPr>
                <w:rFonts w:hint="eastAsia"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（1）投标人必须是依法注册并有效存续的独立企业法人，具有独立承担民事责任能力；投标人须遵守《中华人民共和国招标投标法》、《中华人民共和国民法典》及其它有关的法律和法规；</w:t>
            </w:r>
          </w:p>
          <w:p>
            <w:pPr>
              <w:rPr>
                <w:rFonts w:hint="eastAsia"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（2）公司注册资金不少于</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500</w:t>
            </w:r>
            <w:r>
              <w:rPr>
                <w:rFonts w:hint="eastAsia" w:ascii="仿宋_GB2312" w:hAnsi="仿宋_GB2312" w:eastAsia="仿宋_GB2312" w:cs="仿宋_GB2312"/>
                <w:bCs/>
                <w:color w:val="000000" w:themeColor="text1"/>
                <w:sz w:val="28"/>
                <w:szCs w:val="28"/>
                <w14:textFill>
                  <w14:solidFill>
                    <w14:schemeClr w14:val="tx1"/>
                  </w14:solidFill>
                </w14:textFill>
              </w:rPr>
              <w:t>万元人民币、成立三年及以上；经营范围满足招标项目需求，并在人员、设备、资金等方面具有承担本项目的能力；提供统一社会信用代码的新版营业执照副本扫描件（加盖公章）；</w:t>
            </w:r>
          </w:p>
          <w:p>
            <w:pPr>
              <w:rPr>
                <w:rFonts w:hint="eastAsia"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（3）具有良好的商业信誉，在国家企业信用信息公示系统中无行政处罚、经营异常或失信信息或上述信息已被移除；</w:t>
            </w:r>
          </w:p>
          <w:p>
            <w:pPr>
              <w:rPr>
                <w:rFonts w:hint="eastAsia"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4）具有健全的财务会计制度，有依法缴纳税收和社会保障资金的良好记录，提供最近半年完税证明、信用证明材料（中国人民银行信用代码证+征信报告）；提供年度纳税信用评价信息（可从电子税务局查询截图， 需加盖公章）；提供企业对外担保说明（写明贵单位对外有无对外担保和质押业务，需加盖公章）；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rPr>
                <w:rFonts w:hint="eastAsia"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（5）近三年内未发生过安全生产事故；且在近三年内的经营活动中经营业绩良好并且没有违法违纪行为；</w:t>
            </w:r>
          </w:p>
          <w:p>
            <w:pPr>
              <w:rPr>
                <w:rFonts w:hint="eastAsia"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（6）投标人没有被列入招标人处《黑名单》（《黑名单》指投标人与招标人在以往或正在进行的合作中，存在招标人认为的违反合同约定或违反法律法规等的失信行为）的；</w:t>
            </w:r>
          </w:p>
          <w:p>
            <w:pPr>
              <w:rPr>
                <w:rFonts w:hint="default"/>
                <w:lang w:val="en-US" w:eastAsia="zh-CN"/>
              </w:rPr>
            </w:pPr>
            <w:r>
              <w:rPr>
                <w:rFonts w:hint="eastAsia" w:ascii="仿宋_GB2312" w:hAnsi="仿宋_GB2312" w:eastAsia="仿宋_GB2312" w:cs="仿宋_GB2312"/>
                <w:bCs/>
                <w:color w:val="000000" w:themeColor="text1"/>
                <w:sz w:val="28"/>
                <w:szCs w:val="28"/>
                <w14:textFill>
                  <w14:solidFill>
                    <w14:schemeClr w14:val="tx1"/>
                  </w14:solidFill>
                </w14:textFill>
              </w:rPr>
              <w:t>（</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7</w:t>
            </w:r>
            <w:r>
              <w:rPr>
                <w:rFonts w:hint="eastAsia" w:ascii="仿宋_GB2312" w:hAnsi="仿宋_GB2312" w:eastAsia="仿宋_GB2312" w:cs="仿宋_GB2312"/>
                <w:bCs/>
                <w:color w:val="000000" w:themeColor="text1"/>
                <w:sz w:val="28"/>
                <w:szCs w:val="28"/>
                <w14:textFill>
                  <w14:solidFill>
                    <w14:schemeClr w14:val="tx1"/>
                  </w14:solidFill>
                </w14:textFill>
              </w:rPr>
              <w:t>）</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具备哈希代理资质，且使用、更换的易损件、被配件均为哈希原厂</w:t>
            </w:r>
            <w:r>
              <w:rPr>
                <w:rFonts w:hint="eastAsia" w:ascii="仿宋_GB2312" w:hAnsi="仿宋_GB2312" w:eastAsia="仿宋_GB2312" w:cs="仿宋_GB2312"/>
                <w:bCs/>
                <w:color w:val="000000" w:themeColor="text1"/>
                <w:sz w:val="28"/>
                <w:szCs w:val="28"/>
                <w14:textFill>
                  <w14:solidFill>
                    <w14:schemeClr w14:val="tx1"/>
                  </w14:solidFill>
                </w14:textFill>
              </w:rPr>
              <w:t xml:space="preserve">； </w:t>
            </w:r>
          </w:p>
          <w:p>
            <w:pPr>
              <w:rPr>
                <w:rFonts w:hint="eastAsia"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8</w:t>
            </w:r>
            <w:r>
              <w:rPr>
                <w:rFonts w:hint="eastAsia" w:ascii="仿宋_GB2312" w:hAnsi="仿宋_GB2312" w:eastAsia="仿宋_GB2312" w:cs="仿宋_GB2312"/>
                <w:bCs/>
                <w:color w:val="000000" w:themeColor="text1"/>
                <w:sz w:val="28"/>
                <w:szCs w:val="28"/>
                <w14:textFill>
                  <w14:solidFill>
                    <w14:schemeClr w14:val="tx1"/>
                  </w14:solidFill>
                </w14:textFill>
              </w:rPr>
              <w:t xml:space="preserve">）投标人的直接或间接股东、法定代表人、董事、监事和高管均非中国重汽员工及其亲属； </w:t>
            </w:r>
          </w:p>
          <w:p>
            <w:pPr>
              <w:rPr>
                <w:rFonts w:hint="eastAsia"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9</w:t>
            </w:r>
            <w:r>
              <w:rPr>
                <w:rFonts w:hint="eastAsia" w:ascii="仿宋_GB2312" w:hAnsi="仿宋_GB2312" w:eastAsia="仿宋_GB2312" w:cs="仿宋_GB2312"/>
                <w:bCs/>
                <w:color w:val="000000" w:themeColor="text1"/>
                <w:sz w:val="28"/>
                <w:szCs w:val="28"/>
                <w14:textFill>
                  <w14:solidFill>
                    <w14:schemeClr w14:val="tx1"/>
                  </w14:solidFill>
                </w14:textFill>
              </w:rPr>
              <w:t>）投标人必须是最终投标、中标并签订合同的单位，不得以任何理由将已中标项目以任何形式转包、分包给其他单位；</w:t>
            </w:r>
          </w:p>
          <w:p>
            <w:pPr>
              <w:rPr>
                <w:rFonts w:hint="eastAsia"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0</w:t>
            </w:r>
            <w:r>
              <w:rPr>
                <w:rFonts w:hint="eastAsia" w:ascii="仿宋_GB2312" w:hAnsi="仿宋_GB2312" w:eastAsia="仿宋_GB2312" w:cs="仿宋_GB2312"/>
                <w:bCs/>
                <w:color w:val="000000" w:themeColor="text1"/>
                <w:sz w:val="28"/>
                <w:szCs w:val="28"/>
                <w14:textFill>
                  <w14:solidFill>
                    <w14:schemeClr w14:val="tx1"/>
                  </w14:solidFill>
                </w14:textFill>
              </w:rPr>
              <w:t>）本次招标项目不接受联合体投标；</w:t>
            </w:r>
          </w:p>
          <w:p>
            <w:pPr>
              <w:rPr>
                <w:rFonts w:hint="eastAsia"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1</w:t>
            </w:r>
            <w:r>
              <w:rPr>
                <w:rFonts w:hint="eastAsia" w:ascii="仿宋_GB2312" w:hAnsi="仿宋_GB2312" w:eastAsia="仿宋_GB2312" w:cs="仿宋_GB2312"/>
                <w:bCs/>
                <w:color w:val="000000" w:themeColor="text1"/>
                <w:sz w:val="28"/>
                <w:szCs w:val="28"/>
                <w14:textFill>
                  <w14:solidFill>
                    <w14:schemeClr w14:val="tx1"/>
                  </w14:solidFill>
                </w14:textFill>
              </w:rPr>
              <w:t>）投标人须认可招标人的工作指令，包括节假日、夜间能正常开展工作的要求；</w:t>
            </w:r>
          </w:p>
          <w:p>
            <w:pPr>
              <w:rPr>
                <w:rFonts w:hint="eastAsia"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2</w:t>
            </w:r>
            <w:r>
              <w:rPr>
                <w:rFonts w:hint="eastAsia" w:ascii="仿宋_GB2312" w:hAnsi="仿宋_GB2312" w:eastAsia="仿宋_GB2312" w:cs="仿宋_GB2312"/>
                <w:bCs/>
                <w:color w:val="000000" w:themeColor="text1"/>
                <w:sz w:val="28"/>
                <w:szCs w:val="28"/>
                <w14:textFill>
                  <w14:solidFill>
                    <w14:schemeClr w14:val="tx1"/>
                  </w14:solidFill>
                </w14:textFill>
              </w:rPr>
              <w:t>）中国重汽集团济宁商用车有限公司负责对招标文件进行说明，并解答投标人提出的问题。</w:t>
            </w:r>
          </w:p>
          <w:p>
            <w:pPr>
              <w:rPr>
                <w:rFonts w:hint="eastAsia"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3</w:t>
            </w:r>
            <w:r>
              <w:rPr>
                <w:rFonts w:hint="eastAsia" w:ascii="仿宋_GB2312" w:hAnsi="仿宋_GB2312" w:eastAsia="仿宋_GB2312" w:cs="仿宋_GB2312"/>
                <w:bCs/>
                <w:color w:val="000000" w:themeColor="text1"/>
                <w:sz w:val="28"/>
                <w:szCs w:val="28"/>
                <w14:textFill>
                  <w14:solidFill>
                    <w14:schemeClr w14:val="tx1"/>
                  </w14:solidFill>
                </w14:textFill>
              </w:rPr>
              <w:t>）招标文件的修改通知书构成招标文件的一部分，对投标人具有约束力。</w:t>
            </w:r>
          </w:p>
          <w:p>
            <w:pPr>
              <w:rPr>
                <w:rFonts w:hint="eastAsia"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4</w:t>
            </w:r>
            <w:r>
              <w:rPr>
                <w:rFonts w:hint="eastAsia" w:ascii="仿宋_GB2312" w:hAnsi="仿宋_GB2312" w:eastAsia="仿宋_GB2312" w:cs="仿宋_GB2312"/>
                <w:bCs/>
                <w:color w:val="000000" w:themeColor="text1"/>
                <w:sz w:val="28"/>
                <w:szCs w:val="28"/>
                <w14:textFill>
                  <w14:solidFill>
                    <w14:schemeClr w14:val="tx1"/>
                  </w14:solidFill>
                </w14:textFill>
              </w:rPr>
              <w:t>)投标人应认真审阅招标方编制的招标文件,与招标人指派的答疑人员充分沟通，理解认可并接受相关技术规范及服务要求。自投标人在e采通参与了该项目的投标，则视同投标方认可招标文本和由于招标人上级集团公司政策变化引起的合同签订前终止项目的相关要求。</w:t>
            </w:r>
          </w:p>
          <w:p>
            <w:r>
              <w:rPr>
                <w:rFonts w:hint="eastAsia" w:ascii="仿宋_GB2312" w:hAnsi="仿宋_GB2312" w:eastAsia="仿宋_GB2312" w:cs="仿宋_GB2312"/>
                <w:bCs/>
                <w:color w:val="000000" w:themeColor="text1"/>
                <w:sz w:val="28"/>
                <w:szCs w:val="28"/>
                <w14:textFill>
                  <w14:solidFill>
                    <w14:schemeClr w14:val="tx1"/>
                  </w14:solidFill>
                </w14:textFill>
              </w:rPr>
              <w:t>(1</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5</w:t>
            </w:r>
            <w:r>
              <w:rPr>
                <w:rFonts w:hint="eastAsia" w:ascii="仿宋_GB2312" w:hAnsi="仿宋_GB2312" w:eastAsia="仿宋_GB2312" w:cs="仿宋_GB2312"/>
                <w:bCs/>
                <w:color w:val="000000" w:themeColor="text1"/>
                <w:sz w:val="28"/>
                <w:szCs w:val="28"/>
                <w14:textFill>
                  <w14:solidFill>
                    <w14:schemeClr w14:val="tx1"/>
                  </w14:solidFill>
                </w14:textFill>
              </w:rPr>
              <w:t>)投标方对其自行提供的材料真实性负责，如因材料不实、未履行相应承诺等对招标方造成不利的，投标方将承担一切责任，招标方有权向投标方追偿甚至追究法律责任。</w:t>
            </w:r>
          </w:p>
          <w:p>
            <w:pPr>
              <w:adjustRightInd w:val="0"/>
              <w:snapToGrid w:val="0"/>
              <w:spacing w:line="360" w:lineRule="auto"/>
              <w:ind w:firstLine="573"/>
              <w:jc w:val="left"/>
              <w:rPr>
                <w:rFonts w:hint="eastAsia" w:ascii="宋体" w:hAnsi="宋体" w:eastAsia="宋体" w:cs="仿宋_GB2312"/>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lang w:val="en-US" w:eastAsia="zh-CN"/>
              </w:rPr>
              <w:t>11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lang w:val="en-US" w:eastAsia="zh-CN"/>
              </w:rPr>
              <w:t>11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10</w:t>
            </w:r>
            <w:r>
              <w:rPr>
                <w:rFonts w:hint="eastAsia" w:ascii="宋体" w:hAnsi="宋体" w:eastAsia="宋体" w:cs="宋体"/>
                <w:bCs/>
                <w:sz w:val="24"/>
                <w:szCs w:val="24"/>
                <w:highlight w:val="yellow"/>
              </w:rPr>
              <w:t>日</w:t>
            </w:r>
            <w:r>
              <w:rPr>
                <w:rFonts w:hint="eastAsia" w:ascii="宋体" w:hAnsi="宋体" w:eastAsia="宋体" w:cs="宋体"/>
                <w:sz w:val="24"/>
                <w:szCs w:val="24"/>
                <w:highlight w:val="yellow"/>
              </w:rPr>
              <w:t>17:00</w:t>
            </w:r>
            <w:r>
              <w:rPr>
                <w:rFonts w:hint="eastAsia" w:ascii="宋体" w:hAnsi="宋体" w:eastAsia="宋体" w:cs="宋体"/>
                <w:bCs/>
                <w:sz w:val="24"/>
                <w:szCs w:val="24"/>
                <w:highlight w:val="yellow"/>
              </w:rPr>
              <w:t>前；</w:t>
            </w:r>
          </w:p>
          <w:p>
            <w:pPr>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lang w:val="en-US" w:eastAsia="zh-CN"/>
              </w:rPr>
              <w:t>11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10</w:t>
            </w:r>
            <w:r>
              <w:rPr>
                <w:rFonts w:hint="eastAsia" w:ascii="宋体" w:hAnsi="宋体" w:eastAsia="宋体" w:cs="宋体"/>
                <w:bCs/>
                <w:sz w:val="24"/>
                <w:szCs w:val="24"/>
                <w:highlight w:val="yellow"/>
              </w:rPr>
              <w:t>日</w:t>
            </w:r>
            <w:r>
              <w:rPr>
                <w:rFonts w:hint="eastAsia" w:ascii="宋体" w:hAnsi="宋体" w:eastAsia="宋体" w:cs="宋体"/>
                <w:sz w:val="24"/>
                <w:szCs w:val="24"/>
                <w:highlight w:val="yellow"/>
              </w:rPr>
              <w:t>17:00</w:t>
            </w:r>
            <w:r>
              <w:rPr>
                <w:rFonts w:hint="eastAsia" w:ascii="宋体" w:hAnsi="宋体" w:eastAsia="宋体" w:cs="宋体"/>
                <w:sz w:val="24"/>
                <w:szCs w:val="24"/>
              </w:rPr>
              <w:t>前；</w:t>
            </w:r>
          </w:p>
          <w:p>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5"/>
              <w:spacing w:line="240" w:lineRule="auto"/>
              <w:ind w:firstLine="482"/>
              <w:rPr>
                <w:rFonts w:hint="eastAsia"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cs="宋体"/>
                <w:b/>
              </w:rPr>
              <w:t>“SRM系统供应商用户手册（附件16）”，</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w:t>
            </w:r>
            <w:r>
              <w:rPr>
                <w:rFonts w:hint="eastAsia" w:eastAsia="宋体" w:cs="Times New Roman"/>
                <w:highlight w:val="yellow"/>
              </w:rPr>
              <w:t>点击“</w:t>
            </w:r>
            <w:r>
              <w:rPr>
                <w:rFonts w:hint="eastAsia" w:eastAsia="宋体" w:cs="Times New Roman"/>
                <w:b/>
                <w:bCs/>
                <w:highlight w:val="yellow"/>
              </w:rPr>
              <w:t>应标</w:t>
            </w:r>
            <w:r>
              <w:rPr>
                <w:rFonts w:hint="eastAsia" w:eastAsia="宋体" w:cs="Times New Roman"/>
                <w:highlight w:val="yellow"/>
              </w:rPr>
              <w:t>”</w:t>
            </w:r>
            <w:r>
              <w:rPr>
                <w:rFonts w:hint="eastAsia" w:eastAsia="宋体" w:cs="Times New Roman"/>
                <w:b/>
                <w:bCs/>
                <w:highlight w:val="yellow"/>
              </w:rPr>
              <w:t>后按照招标文件第三部分投标文件组成资格证明文件中的1.1</w:t>
            </w:r>
            <w:r>
              <w:rPr>
                <w:rFonts w:eastAsia="宋体" w:cs="Times New Roman"/>
                <w:b/>
                <w:bCs/>
                <w:highlight w:val="yellow"/>
              </w:rPr>
              <w:t>-</w:t>
            </w:r>
            <w:r>
              <w:rPr>
                <w:rFonts w:hint="eastAsia" w:eastAsia="宋体" w:cs="Times New Roman"/>
                <w:b/>
                <w:bCs/>
                <w:highlight w:val="yellow"/>
              </w:rPr>
              <w:t>1.13准备资料并</w:t>
            </w:r>
            <w:r>
              <w:rPr>
                <w:rFonts w:hint="eastAsia" w:eastAsia="宋体" w:cs="Times New Roman"/>
                <w:highlight w:val="yellow"/>
              </w:rPr>
              <w:t>上传</w:t>
            </w:r>
            <w:r>
              <w:rPr>
                <w:rFonts w:hint="eastAsia" w:eastAsia="宋体" w:cs="Times New Roman"/>
              </w:rPr>
              <w:t>，资质审查通过即为报名成功</w:t>
            </w:r>
            <w:r>
              <w:rPr>
                <w:rFonts w:hint="eastAsia" w:hAnsi="Courier New" w:eastAsia="宋体" w:cs="Times New Roman"/>
              </w:rPr>
              <w:t>；公示期间请尽快报名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5"/>
              <w:spacing w:line="240" w:lineRule="auto"/>
              <w:ind w:firstLine="482"/>
              <w:rPr>
                <w:rFonts w:hint="eastAsia" w:eastAsia="宋体" w:cs="宋体"/>
                <w:highlight w:val="yellow"/>
              </w:rPr>
            </w:pPr>
            <w:r>
              <w:rPr>
                <w:rFonts w:hint="eastAsia" w:eastAsia="宋体" w:cs="宋体"/>
                <w:b/>
                <w:bCs/>
              </w:rPr>
              <w:t>应标截止时间：</w:t>
            </w:r>
            <w:r>
              <w:rPr>
                <w:rFonts w:hint="eastAsia" w:ascii="宋体" w:hAnsi="宋体" w:eastAsia="宋体" w:cs="宋体"/>
                <w:bCs/>
                <w:sz w:val="24"/>
                <w:szCs w:val="24"/>
                <w:highlight w:val="yellow"/>
              </w:rPr>
              <w:t>2025年</w:t>
            </w:r>
            <w:r>
              <w:rPr>
                <w:rFonts w:hint="eastAsia" w:eastAsia="宋体" w:cs="宋体"/>
                <w:bCs/>
                <w:sz w:val="24"/>
                <w:szCs w:val="24"/>
                <w:highlight w:val="yellow"/>
                <w:lang w:val="en-US" w:eastAsia="zh-CN"/>
              </w:rPr>
              <w:t>11</w:t>
            </w:r>
            <w:r>
              <w:rPr>
                <w:rFonts w:hint="eastAsia" w:ascii="宋体" w:hAnsi="宋体" w:eastAsia="宋体" w:cs="宋体"/>
                <w:bCs/>
                <w:sz w:val="24"/>
                <w:szCs w:val="24"/>
                <w:highlight w:val="yellow"/>
              </w:rPr>
              <w:t>月</w:t>
            </w:r>
            <w:r>
              <w:rPr>
                <w:rFonts w:hint="eastAsia" w:eastAsia="宋体" w:cs="宋体"/>
                <w:bCs/>
                <w:sz w:val="24"/>
                <w:szCs w:val="24"/>
                <w:highlight w:val="yellow"/>
                <w:lang w:val="en-US" w:eastAsia="zh-CN"/>
              </w:rPr>
              <w:t>10</w:t>
            </w:r>
            <w:r>
              <w:rPr>
                <w:rFonts w:hint="eastAsia" w:ascii="宋体" w:hAnsi="宋体" w:eastAsia="宋体" w:cs="宋体"/>
                <w:bCs/>
                <w:sz w:val="24"/>
                <w:szCs w:val="24"/>
                <w:highlight w:val="yellow"/>
              </w:rPr>
              <w:t>日</w:t>
            </w:r>
            <w:r>
              <w:rPr>
                <w:rFonts w:hint="eastAsia" w:ascii="宋体" w:hAnsi="宋体" w:eastAsia="宋体" w:cs="宋体"/>
                <w:sz w:val="24"/>
                <w:szCs w:val="24"/>
                <w:highlight w:val="yellow"/>
              </w:rPr>
              <w:t>17:00</w:t>
            </w:r>
          </w:p>
          <w:p>
            <w:pPr>
              <w:pStyle w:val="115"/>
              <w:spacing w:line="240" w:lineRule="auto"/>
              <w:ind w:firstLine="482"/>
              <w:rPr>
                <w:rFonts w:hint="eastAsia"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rPr>
                <w:rFonts w:hint="eastAsia" w:hAnsi="宋体" w:eastAsia="宋体" w:cs="Times New Roman"/>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2" w:firstLineChars="200"/>
              <w:rPr>
                <w:rFonts w:hint="eastAsia" w:hAnsi="宋体" w:eastAsia="宋体" w:cs="宋体"/>
                <w:b/>
                <w:bCs/>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rPr>
                <w:rFonts w:hint="eastAsia" w:eastAsia="宋体" w:cs="宋体" w:asciiTheme="minorHAnsi" w:hAnsiTheme="minorHAnsi"/>
                <w:b/>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2" w:firstLineChars="200"/>
              <w:rPr>
                <w:rFonts w:hint="eastAsia"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2025</w:t>
            </w:r>
            <w:r>
              <w:rPr>
                <w:rFonts w:hint="eastAsia" w:hAnsi="宋体" w:eastAsia="宋体" w:cs="宋体"/>
                <w:sz w:val="24"/>
                <w:szCs w:val="24"/>
                <w:highlight w:val="yellow"/>
              </w:rPr>
              <w:t>年</w:t>
            </w:r>
            <w:r>
              <w:rPr>
                <w:rFonts w:hint="eastAsia" w:hAnsi="宋体" w:eastAsia="宋体" w:cs="宋体"/>
                <w:sz w:val="24"/>
                <w:szCs w:val="24"/>
                <w:highlight w:val="yellow"/>
                <w:lang w:val="en-US" w:eastAsia="zh-CN"/>
              </w:rPr>
              <w:t>11</w:t>
            </w:r>
            <w:r>
              <w:rPr>
                <w:rFonts w:hint="eastAsia" w:hAnsi="宋体" w:eastAsia="宋体" w:cs="宋体"/>
                <w:sz w:val="24"/>
                <w:szCs w:val="24"/>
                <w:highlight w:val="yellow"/>
              </w:rPr>
              <w:t>月</w:t>
            </w:r>
            <w:r>
              <w:rPr>
                <w:rFonts w:hint="eastAsia" w:hAnsi="宋体" w:eastAsia="宋体" w:cs="宋体"/>
                <w:sz w:val="24"/>
                <w:szCs w:val="24"/>
                <w:highlight w:val="yellow"/>
                <w:lang w:val="en-US" w:eastAsia="zh-CN"/>
              </w:rPr>
              <w:t>15</w:t>
            </w:r>
            <w:r>
              <w:rPr>
                <w:rFonts w:hint="eastAsia" w:hAnsi="宋体" w:eastAsia="宋体" w:cs="宋体"/>
                <w:sz w:val="24"/>
                <w:szCs w:val="24"/>
                <w:highlight w:val="yellow"/>
              </w:rPr>
              <w:t>日</w:t>
            </w:r>
            <w:r>
              <w:rPr>
                <w:rFonts w:hint="eastAsia" w:hAnsi="宋体" w:eastAsia="宋体" w:cs="宋体"/>
                <w:sz w:val="24"/>
                <w:szCs w:val="24"/>
                <w:highlight w:val="yellow"/>
                <w:lang w:val="en-US" w:eastAsia="zh-CN"/>
              </w:rPr>
              <w:t>下</w:t>
            </w:r>
            <w:r>
              <w:rPr>
                <w:rFonts w:hint="eastAsia" w:hAnsi="宋体" w:eastAsia="宋体" w:cs="宋体"/>
                <w:kern w:val="0"/>
                <w:sz w:val="24"/>
                <w:szCs w:val="24"/>
                <w:highlight w:val="yellow"/>
              </w:rPr>
              <w:t>午</w:t>
            </w:r>
            <w:r>
              <w:rPr>
                <w:rFonts w:hint="eastAsia" w:hAnsi="宋体" w:eastAsia="宋体" w:cs="宋体"/>
                <w:kern w:val="0"/>
                <w:sz w:val="24"/>
                <w:szCs w:val="24"/>
                <w:highlight w:val="yellow"/>
                <w:lang w:val="en-US" w:eastAsia="zh-CN"/>
              </w:rPr>
              <w:t>17</w:t>
            </w:r>
            <w:r>
              <w:rPr>
                <w:rFonts w:hint="eastAsia" w:hAnsi="宋体" w:eastAsia="宋体" w:cs="宋体"/>
                <w:sz w:val="24"/>
                <w:szCs w:val="24"/>
                <w:highlight w:val="yellow"/>
              </w:rPr>
              <w:t>:00:00（北京时间）</w:t>
            </w:r>
          </w:p>
          <w:p>
            <w:pPr>
              <w:pStyle w:val="21"/>
              <w:ind w:firstLine="482" w:firstLineChars="200"/>
              <w:rPr>
                <w:rFonts w:hint="eastAsia"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000.00元</w:t>
            </w:r>
          </w:p>
          <w:p>
            <w:pPr>
              <w:tabs>
                <w:tab w:val="left" w:pos="932"/>
              </w:tabs>
              <w:ind w:firstLine="482"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宋体" w:hAnsi="宋体" w:eastAsia="宋体" w:cs="宋体"/>
                <w:b/>
                <w:bCs/>
                <w:color w:val="000000"/>
                <w:kern w:val="0"/>
                <w:sz w:val="24"/>
                <w:szCs w:val="24"/>
              </w:rPr>
              <w:t>开户名称：</w:t>
            </w:r>
            <w:r>
              <w:rPr>
                <w:rFonts w:hint="eastAsia" w:ascii="仿宋_GB2312" w:hAnsi="仿宋_GB2312" w:eastAsia="仿宋_GB2312" w:cs="仿宋_GB2312"/>
                <w:color w:val="000000" w:themeColor="text1"/>
                <w:sz w:val="28"/>
                <w:szCs w:val="28"/>
                <w14:textFill>
                  <w14:solidFill>
                    <w14:schemeClr w14:val="tx1"/>
                  </w14:solidFill>
                </w14:textFill>
              </w:rPr>
              <w:t>中国重汽集团济宁商用车有限公司</w:t>
            </w:r>
          </w:p>
          <w:p>
            <w:pPr>
              <w:tabs>
                <w:tab w:val="left" w:pos="932"/>
              </w:tabs>
              <w:ind w:firstLine="482"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宋体" w:hAnsi="宋体" w:eastAsia="宋体" w:cs="宋体"/>
                <w:b/>
                <w:bCs/>
                <w:color w:val="000000"/>
                <w:kern w:val="0"/>
                <w:sz w:val="24"/>
                <w:szCs w:val="24"/>
              </w:rPr>
              <w:t>开户银行：</w:t>
            </w:r>
            <w:r>
              <w:rPr>
                <w:rFonts w:hint="eastAsia" w:ascii="仿宋_GB2312" w:hAnsi="仿宋_GB2312" w:eastAsia="仿宋_GB2312" w:cs="仿宋_GB2312"/>
                <w:color w:val="000000" w:themeColor="text1"/>
                <w:sz w:val="28"/>
                <w:szCs w:val="28"/>
                <w14:textFill>
                  <w14:solidFill>
                    <w14:schemeClr w14:val="tx1"/>
                  </w14:solidFill>
                </w14:textFill>
              </w:rPr>
              <w:t>中行济宁分行</w:t>
            </w:r>
          </w:p>
          <w:p>
            <w:pPr>
              <w:tabs>
                <w:tab w:val="left" w:pos="932"/>
              </w:tabs>
              <w:ind w:firstLine="482" w:firstLineChars="200"/>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银行帐号：</w:t>
            </w:r>
            <w:r>
              <w:rPr>
                <w:rFonts w:hint="eastAsia" w:ascii="仿宋_GB2312" w:hAnsi="仿宋_GB2312" w:eastAsia="仿宋_GB2312" w:cs="仿宋_GB2312"/>
                <w:color w:val="000000" w:themeColor="text1"/>
                <w:sz w:val="28"/>
                <w:szCs w:val="28"/>
                <w14:textFill>
                  <w14:solidFill>
                    <w14:schemeClr w14:val="tx1"/>
                  </w14:solidFill>
                </w14:textFill>
              </w:rPr>
              <w:t>231202725157</w:t>
            </w:r>
          </w:p>
          <w:p>
            <w:pPr>
              <w:ind w:firstLine="560" w:firstLineChars="200"/>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纳税人识别号：91370800771000850L</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pPr>
              <w:ind w:firstLine="480" w:firstLineChars="200"/>
              <w:rPr>
                <w:rFonts w:hint="eastAsia" w:ascii="宋体" w:hAnsi="宋体" w:eastAsia="宋体" w:cs="宋体"/>
                <w:sz w:val="24"/>
                <w:szCs w:val="24"/>
                <w:highlight w:val="cyan"/>
              </w:rPr>
            </w:pPr>
            <w:r>
              <w:rPr>
                <w:rFonts w:hint="eastAsia" w:eastAsia="宋体" w:cs="Times New Roman"/>
                <w:sz w:val="24"/>
                <w:szCs w:val="28"/>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spacing w:after="0" w:line="240" w:lineRule="auto"/>
              <w:ind w:left="0" w:leftChars="0" w:firstLine="482"/>
              <w:rPr>
                <w:rFonts w:hint="eastAsia"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rPr>
              <w:t>5年</w:t>
            </w:r>
            <w:r>
              <w:rPr>
                <w:rFonts w:hint="eastAsia" w:ascii="宋体" w:hAnsi="宋体" w:cs="宋体"/>
                <w:sz w:val="24"/>
                <w:szCs w:val="24"/>
                <w:highlight w:val="yellow"/>
                <w:lang w:val="en-US" w:eastAsia="zh-CN"/>
              </w:rPr>
              <w:t>11</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15</w:t>
            </w:r>
            <w:bookmarkStart w:id="38" w:name="_GoBack"/>
            <w:bookmarkEnd w:id="38"/>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pPr>
              <w:pStyle w:val="2"/>
              <w:spacing w:after="0" w:line="240" w:lineRule="auto"/>
              <w:ind w:left="0" w:leftChars="0" w:firstLine="480"/>
              <w:rPr>
                <w:rFonts w:hint="eastAsia"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spacing w:after="0" w:line="240" w:lineRule="auto"/>
              <w:ind w:left="0" w:leftChars="0" w:firstLine="480"/>
              <w:rPr>
                <w:rFonts w:hint="eastAsia"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开标时间：</w:t>
            </w:r>
            <w:r>
              <w:rPr>
                <w:rFonts w:hint="eastAsia" w:hAnsi="宋体" w:eastAsia="宋体" w:cs="宋体"/>
                <w:sz w:val="24"/>
                <w:szCs w:val="24"/>
                <w:highlight w:val="yellow"/>
                <w:u w:val="single"/>
                <w:lang w:val="en-US" w:eastAsia="zh-CN"/>
              </w:rPr>
              <w:t>具体时间另行通知</w:t>
            </w:r>
            <w:r>
              <w:rPr>
                <w:rFonts w:hint="eastAsia" w:ascii="宋体" w:hAnsi="宋体" w:eastAsia="宋体" w:cs="宋体"/>
                <w:kern w:val="0"/>
                <w:sz w:val="24"/>
                <w:szCs w:val="24"/>
                <w:highlight w:val="yellow"/>
              </w:rPr>
              <w:t>。</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济南市历城区华奥路777号重汽科技大厦1311会议室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宋体" w:hAnsi="宋体" w:eastAsia="宋体" w:cs="宋体"/>
                <w:b/>
                <w:bCs/>
                <w:sz w:val="24"/>
                <w:szCs w:val="24"/>
              </w:rPr>
            </w:pPr>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pPr>
              <w:pStyle w:val="15"/>
              <w:ind w:firstLine="482" w:firstLineChars="200"/>
              <w:rPr>
                <w:rFonts w:hint="eastAsia" w:ascii="宋体" w:hAnsi="宋体" w:eastAsia="宋体" w:cs="宋体"/>
                <w:sz w:val="24"/>
                <w:szCs w:val="24"/>
              </w:rPr>
            </w:pPr>
            <w:r>
              <w:rPr>
                <w:rFonts w:hint="eastAsia" w:ascii="宋体" w:hAnsi="宋体" w:eastAsia="宋体" w:cs="宋体"/>
                <w:b/>
                <w:bCs/>
                <w:sz w:val="24"/>
                <w:szCs w:val="24"/>
              </w:rPr>
              <w:t>评标方法：资质标审核→唱标→技术标评审→商务标评审。综合评分最高</w:t>
            </w:r>
            <w:r>
              <w:rPr>
                <w:rFonts w:hint="eastAsia" w:ascii="宋体" w:hAnsi="宋体" w:eastAsia="宋体" w:cs="Times New Roman"/>
                <w:b/>
                <w:bCs/>
                <w:color w:val="000000"/>
                <w:sz w:val="24"/>
                <w:szCs w:val="24"/>
              </w:rPr>
              <w:t>中标</w:t>
            </w:r>
            <w:r>
              <w:rPr>
                <w:rFonts w:hint="eastAsia" w:ascii="宋体" w:hAnsi="宋体" w:eastAsia="宋体" w:cs="宋体"/>
                <w:sz w:val="24"/>
                <w:szCs w:val="24"/>
              </w:rPr>
              <w:t>。具体详见“第二部分投标须知第六条：评标原则”。</w:t>
            </w:r>
          </w:p>
        </w:tc>
      </w:tr>
      <w:bookmarkEnd w:id="3"/>
    </w:tbl>
    <w:p>
      <w:pPr>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br w:type="page"/>
      </w:r>
    </w:p>
    <w:p>
      <w:pPr>
        <w:pStyle w:val="21"/>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第二部分 投标须知</w:t>
      </w:r>
      <w:bookmarkEnd w:id="4"/>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pPr>
        <w:keepNext/>
        <w:keepLines/>
        <w:numPr>
          <w:ilvl w:val="0"/>
          <w:numId w:val="3"/>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招标内容及形式</w:t>
      </w:r>
    </w:p>
    <w:p>
      <w:pPr>
        <w:pStyle w:val="21"/>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见《投标须知前附表》。</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pPr>
        <w:keepNext/>
        <w:keepLines/>
        <w:numPr>
          <w:ilvl w:val="0"/>
          <w:numId w:val="3"/>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pPr>
        <w:pStyle w:val="21"/>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w:t>
      </w:r>
      <w:r>
        <w:rPr>
          <w:rFonts w:hint="eastAsia" w:ascii="宋体" w:hAnsi="宋体" w:eastAsia="宋体" w:cs="宋体"/>
          <w:color w:val="000000"/>
          <w:sz w:val="24"/>
          <w:szCs w:val="24"/>
          <w:highlight w:val="yellow"/>
        </w:rPr>
        <w:t>（附件15）</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（附件16）</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yellow"/>
        </w:rPr>
        <w:t>1.1-1.13</w:t>
      </w:r>
      <w:r>
        <w:rPr>
          <w:rFonts w:hint="eastAsia" w:ascii="宋体" w:hAnsi="宋体" w:eastAsia="宋体" w:cs="宋体"/>
          <w:color w:val="000000"/>
          <w:sz w:val="24"/>
          <w:szCs w:val="24"/>
        </w:rPr>
        <w:t>准备资料并上传，资质审查通过即为报名成功，公示期间请尽快报名。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21"/>
        <w:spacing w:line="360" w:lineRule="auto"/>
        <w:ind w:firstLine="480"/>
        <w:rPr>
          <w:rFonts w:hint="eastAsia" w:hAnsi="宋体" w:eastAsia="宋体" w:cs="宋体"/>
          <w:b/>
          <w:color w:val="000000"/>
          <w:sz w:val="24"/>
          <w:szCs w:val="24"/>
        </w:rPr>
      </w:pPr>
      <w:r>
        <w:rPr>
          <w:rFonts w:hint="eastAsia" w:hAnsi="宋体" w:eastAsia="宋体" w:cs="宋体"/>
          <w:b/>
          <w:bCs/>
          <w:color w:val="000000"/>
          <w:sz w:val="24"/>
          <w:szCs w:val="24"/>
        </w:rPr>
        <w:t>对于投标条件详见招标文件“第一部分投标须知前附表1.6”。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21"/>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4.投标报名</w:t>
      </w:r>
    </w:p>
    <w:p>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5"/>
        <w:ind w:firstLine="480"/>
        <w:rPr>
          <w:rFonts w:hint="eastAsia" w:eastAsia="宋体" w:cs="宋体"/>
        </w:rPr>
      </w:pPr>
      <w:r>
        <w:rPr>
          <w:rFonts w:hint="eastAsia" w:eastAsia="宋体" w:cs="宋体"/>
        </w:rPr>
        <w:t>4.2招标人银行账户信息如下：见《投标须知前附表》4.2。</w:t>
      </w:r>
    </w:p>
    <w:p>
      <w:pPr>
        <w:pStyle w:val="115"/>
        <w:ind w:firstLine="480"/>
        <w:rPr>
          <w:rFonts w:hint="eastAsia" w:eastAsia="宋体" w:cs="宋体"/>
        </w:rPr>
      </w:pPr>
      <w:r>
        <w:rPr>
          <w:rFonts w:hint="eastAsia" w:eastAsia="宋体" w:cs="宋体"/>
        </w:rPr>
        <w:t>转账附言：公司名称+项目名称+投标保证金；</w:t>
      </w:r>
    </w:p>
    <w:p>
      <w:pPr>
        <w:pStyle w:val="115"/>
        <w:ind w:firstLine="480"/>
        <w:rPr>
          <w:rFonts w:hint="eastAsia" w:eastAsia="宋体" w:cs="宋体"/>
        </w:rPr>
      </w:pPr>
      <w:r>
        <w:rPr>
          <w:rFonts w:hint="eastAsia" w:eastAsia="宋体" w:cs="宋体"/>
        </w:rPr>
        <w:t>对于没有中标的投标人，投标保证金将于招标人内部完成中标人评审并确认最终中标人后在45工作日内予以原路返还（无息）；对于中标方，投标保证金将在签订合同后45个工作日内原路返还（无息）；</w:t>
      </w:r>
    </w:p>
    <w:p>
      <w:pPr>
        <w:pStyle w:val="115"/>
        <w:ind w:firstLine="480"/>
        <w:rPr>
          <w:rFonts w:hint="eastAsia" w:eastAsia="宋体" w:cs="宋体"/>
        </w:rPr>
      </w:pPr>
      <w:r>
        <w:rPr>
          <w:rFonts w:hint="eastAsia" w:eastAsia="宋体" w:cs="宋体"/>
        </w:rPr>
        <w:t>4.3说明</w:t>
      </w:r>
    </w:p>
    <w:p>
      <w:pPr>
        <w:pStyle w:val="115"/>
        <w:ind w:firstLine="480"/>
        <w:rPr>
          <w:rFonts w:hint="eastAsia" w:eastAsia="宋体" w:cs="宋体"/>
        </w:rPr>
      </w:pPr>
      <w:r>
        <w:rPr>
          <w:rFonts w:hint="eastAsia" w:eastAsia="宋体" w:cs="宋体"/>
        </w:rPr>
        <w:t>4.3.1 投标人在向招标人出示《投标保证金缴纳凭证》后方可进行投标；</w:t>
      </w:r>
    </w:p>
    <w:p>
      <w:pPr>
        <w:pStyle w:val="115"/>
        <w:ind w:firstLine="480"/>
        <w:rPr>
          <w:rFonts w:hint="eastAsia" w:eastAsia="宋体" w:cs="宋体"/>
        </w:rPr>
      </w:pPr>
      <w:r>
        <w:rPr>
          <w:rFonts w:hint="eastAsia" w:eastAsia="宋体" w:cs="宋体"/>
        </w:rPr>
        <w:t>4.3.2 发生以下情况时，招标人有权没收保证金：</w:t>
      </w:r>
    </w:p>
    <w:p>
      <w:pPr>
        <w:pStyle w:val="115"/>
        <w:ind w:firstLine="480"/>
        <w:rPr>
          <w:rFonts w:hint="eastAsia" w:eastAsia="宋体" w:cs="宋体"/>
        </w:rPr>
      </w:pPr>
      <w:r>
        <w:rPr>
          <w:rFonts w:hint="eastAsia" w:eastAsia="宋体" w:cs="宋体"/>
        </w:rPr>
        <w:t>4.3.2.1 截至开标前3天，投标人无正当理由且未以书面形式递交说明而在投标截止日不来投标的；</w:t>
      </w:r>
    </w:p>
    <w:p>
      <w:pPr>
        <w:pStyle w:val="115"/>
        <w:ind w:firstLine="480"/>
        <w:rPr>
          <w:rFonts w:hint="eastAsia" w:eastAsia="宋体" w:cs="宋体"/>
        </w:rPr>
      </w:pPr>
      <w:r>
        <w:rPr>
          <w:rFonts w:hint="eastAsia" w:eastAsia="宋体" w:cs="宋体"/>
        </w:rPr>
        <w:t>4.3.2.2 投标人递送投标文件后，无正当理由放弃投标的；</w:t>
      </w:r>
    </w:p>
    <w:p>
      <w:pPr>
        <w:pStyle w:val="115"/>
        <w:ind w:firstLine="480"/>
        <w:rPr>
          <w:rFonts w:hint="eastAsia" w:eastAsia="宋体" w:cs="宋体"/>
        </w:rPr>
      </w:pPr>
      <w:r>
        <w:rPr>
          <w:rFonts w:hint="eastAsia" w:eastAsia="宋体" w:cs="宋体"/>
        </w:rPr>
        <w:t>4.3.2.3若为视频开标，招标过程中澄清函等资料原件未按要求提交的；</w:t>
      </w:r>
    </w:p>
    <w:p>
      <w:pPr>
        <w:pStyle w:val="115"/>
        <w:ind w:firstLine="480"/>
        <w:rPr>
          <w:rFonts w:hint="eastAsia" w:eastAsia="宋体" w:cs="宋体"/>
        </w:rPr>
      </w:pPr>
      <w:r>
        <w:rPr>
          <w:rFonts w:hint="eastAsia" w:eastAsia="宋体" w:cs="宋体"/>
        </w:rPr>
        <w:t>4.3.2.4自中标通知书发出之日起30日内，中标人无正当理由不签订合同的；</w:t>
      </w:r>
    </w:p>
    <w:p>
      <w:pPr>
        <w:pStyle w:val="115"/>
        <w:ind w:firstLine="480"/>
        <w:rPr>
          <w:rFonts w:hint="eastAsia" w:eastAsia="宋体" w:cs="宋体"/>
        </w:rPr>
      </w:pPr>
      <w:r>
        <w:rPr>
          <w:rFonts w:hint="eastAsia" w:eastAsia="宋体" w:cs="宋体"/>
        </w:rPr>
        <w:t>4.3.2.5供应商在响应文件中提供虚假材料的；</w:t>
      </w:r>
    </w:p>
    <w:p>
      <w:pPr>
        <w:pStyle w:val="115"/>
        <w:ind w:firstLine="480"/>
        <w:rPr>
          <w:rFonts w:hint="eastAsia" w:eastAsia="宋体" w:cs="宋体"/>
        </w:rPr>
      </w:pPr>
      <w:r>
        <w:rPr>
          <w:rFonts w:hint="eastAsia" w:eastAsia="宋体" w:cs="宋体"/>
        </w:rPr>
        <w:t>4.3.2.6投标人在投标过程中被查实有串标、围标、陪标等违规违纪行为的；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4.3.2.7投标人有违约违规行为或被投诉、举报的，在调查处理期间，保证金暂不退还，待调查处理结束后按有关规定处理。</w:t>
      </w:r>
    </w:p>
    <w:p>
      <w:pPr>
        <w:pStyle w:val="115"/>
        <w:ind w:firstLine="480"/>
        <w:rPr>
          <w:rFonts w:hint="eastAsia" w:eastAsia="宋体" w:cs="宋体"/>
        </w:rPr>
      </w:pPr>
      <w:r>
        <w:rPr>
          <w:rFonts w:hint="eastAsia" w:eastAsia="宋体" w:cs="宋体"/>
        </w:rPr>
        <w:t>4.4投标报名截止时间</w:t>
      </w:r>
    </w:p>
    <w:p>
      <w:pPr>
        <w:pStyle w:val="115"/>
        <w:ind w:firstLine="480"/>
        <w:rPr>
          <w:rFonts w:hint="eastAsia" w:eastAsia="宋体" w:cs="宋体"/>
        </w:rPr>
      </w:pPr>
      <w:r>
        <w:rPr>
          <w:rFonts w:hint="eastAsia" w:eastAsia="宋体" w:cs="宋体"/>
        </w:rPr>
        <w:t>报名方式：见《投标须知前附表》2.3。</w:t>
      </w:r>
    </w:p>
    <w:p>
      <w:pPr>
        <w:pStyle w:val="115"/>
        <w:ind w:firstLine="480"/>
        <w:rPr>
          <w:rFonts w:hint="eastAsia" w:eastAsia="宋体" w:cs="宋体"/>
        </w:rPr>
      </w:pPr>
      <w:r>
        <w:rPr>
          <w:rFonts w:hint="eastAsia" w:eastAsia="宋体" w:cs="宋体"/>
        </w:rPr>
        <w:t>报名提交资料：</w:t>
      </w:r>
      <w:r>
        <w:rPr>
          <w:rFonts w:hint="eastAsia" w:eastAsia="宋体" w:cs="宋体"/>
          <w:highlight w:val="yellow"/>
        </w:rPr>
        <w:t>均为盖章电子扫描版，用“公司名称+文件名称”命名</w:t>
      </w:r>
      <w:r>
        <w:rPr>
          <w:rFonts w:hint="eastAsia" w:eastAsia="宋体" w:cs="宋体"/>
        </w:rPr>
        <w:t>。</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5.开标时间</w:t>
      </w:r>
    </w:p>
    <w:p>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6.开标方式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r>
        <w:rPr>
          <w:rFonts w:hint="eastAsia" w:ascii="宋体" w:hAnsi="宋体" w:eastAsia="宋体" w:cs="宋体"/>
          <w:color w:val="000000"/>
          <w:sz w:val="24"/>
          <w:szCs w:val="24"/>
        </w:rPr>
        <w:t>。</w:t>
      </w:r>
    </w:p>
    <w:p>
      <w:pPr>
        <w:spacing w:line="360" w:lineRule="auto"/>
        <w:jc w:val="left"/>
        <w:outlineLvl w:val="1"/>
        <w:rPr>
          <w:rFonts w:hint="eastAsia" w:ascii="宋体" w:hAnsi="宋体" w:eastAsia="宋体" w:cs="宋体"/>
          <w:b/>
          <w:sz w:val="24"/>
          <w:szCs w:val="24"/>
        </w:rPr>
      </w:pPr>
      <w:bookmarkStart w:id="6" w:name="_Toc33285487"/>
      <w:bookmarkStart w:id="7" w:name="_Toc33266950"/>
      <w:bookmarkStart w:id="8" w:name="_Toc33266627"/>
      <w:bookmarkStart w:id="9" w:name="_Toc33265752"/>
      <w:bookmarkStart w:id="10" w:name="_Toc33265653"/>
      <w:bookmarkStart w:id="11" w:name="_Toc33266914"/>
      <w:bookmarkStart w:id="12" w:name="_Toc33267001"/>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pPr>
        <w:adjustRightInd w:val="0"/>
        <w:snapToGrid w:val="0"/>
        <w:spacing w:line="360" w:lineRule="auto"/>
        <w:ind w:firstLine="480" w:firstLineChars="200"/>
        <w:rPr>
          <w:rFonts w:hint="eastAsia" w:ascii="宋体" w:hAnsi="宋体" w:eastAsia="宋体" w:cs="宋体"/>
          <w:b/>
          <w:color w:val="000000"/>
          <w:sz w:val="24"/>
          <w:szCs w:val="24"/>
        </w:rPr>
      </w:pPr>
      <w:bookmarkStart w:id="14" w:name="_Toc33266628"/>
      <w:bookmarkStart w:id="15" w:name="_Toc33265654"/>
      <w:bookmarkStart w:id="16" w:name="_Toc33285489"/>
      <w:bookmarkStart w:id="17" w:name="_Toc33266915"/>
      <w:bookmarkStart w:id="18" w:name="_Toc33267002"/>
      <w:bookmarkStart w:id="19" w:name="_Toc33265753"/>
      <w:bookmarkStart w:id="20" w:name="_Toc395116634"/>
      <w:bookmarkStart w:id="21" w:name="_Toc33266951"/>
      <w:r>
        <w:rPr>
          <w:rFonts w:hint="eastAsia" w:ascii="宋体" w:hAnsi="宋体" w:eastAsia="宋体" w:cs="宋体"/>
          <w:sz w:val="24"/>
          <w:szCs w:val="24"/>
        </w:rPr>
        <w:t>本次招标采用</w:t>
      </w:r>
      <w:r>
        <w:rPr>
          <w:rFonts w:hint="eastAsia" w:ascii="宋体" w:hAnsi="宋体" w:eastAsia="宋体" w:cs="Times New Roman"/>
          <w:sz w:val="24"/>
          <w:szCs w:val="24"/>
        </w:rPr>
        <w:t>综合评价法</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本着公平、公正、公开的原则，在满足技术要求的前提下，</w:t>
      </w:r>
      <w:r>
        <w:rPr>
          <w:rFonts w:hint="eastAsia" w:ascii="宋体" w:hAnsi="宋体" w:eastAsia="宋体" w:cs="Times New Roman"/>
          <w:color w:val="000000"/>
          <w:sz w:val="24"/>
          <w:szCs w:val="24"/>
          <w:highlight w:val="yellow"/>
        </w:rPr>
        <w:t>对招标</w:t>
      </w:r>
      <w:r>
        <w:rPr>
          <w:rFonts w:hint="eastAsia" w:ascii="Calibri" w:hAnsi="Calibri" w:eastAsia="宋体" w:cs="Times New Roman"/>
          <w:color w:val="000000"/>
          <w:sz w:val="24"/>
          <w:szCs w:val="24"/>
          <w:highlight w:val="yellow"/>
        </w:rPr>
        <w:t>文件中规定的各项因素进行综合评审，</w:t>
      </w:r>
      <w:r>
        <w:rPr>
          <w:rFonts w:hint="eastAsia" w:ascii="Calibri" w:hAnsi="宋体" w:eastAsia="宋体" w:cs="Times New Roman"/>
          <w:color w:val="000000"/>
          <w:sz w:val="24"/>
          <w:szCs w:val="24"/>
          <w:highlight w:val="yellow"/>
        </w:rPr>
        <w:t>确定中标人</w:t>
      </w:r>
      <w:r>
        <w:rPr>
          <w:rFonts w:hint="eastAsia" w:ascii="Calibri" w:hAnsi="宋体" w:eastAsia="宋体" w:cs="Times New Roman"/>
          <w:b/>
          <w:color w:val="000000"/>
          <w:sz w:val="24"/>
          <w:szCs w:val="24"/>
          <w:highlight w:val="yellow"/>
        </w:rPr>
        <w:t>（不保证最低价格中标）</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21"/>
        <w:spacing w:line="360" w:lineRule="auto"/>
        <w:ind w:firstLine="482" w:firstLineChars="200"/>
        <w:rPr>
          <w:rFonts w:hint="eastAsia"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pPr>
        <w:numPr>
          <w:ilvl w:val="0"/>
          <w:numId w:val="6"/>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w:t>
      </w:r>
      <w:r>
        <w:rPr>
          <w:rFonts w:hint="eastAsia" w:ascii="宋体" w:hAnsi="宋体" w:eastAsia="宋体" w:cs="宋体"/>
          <w:b/>
          <w:bCs/>
          <w:color w:val="000000"/>
          <w:sz w:val="24"/>
          <w:szCs w:val="24"/>
          <w:highlight w:val="yellow"/>
        </w:rPr>
        <w:t>1.1-1.13</w:t>
      </w:r>
      <w:r>
        <w:rPr>
          <w:rFonts w:hint="eastAsia" w:ascii="宋体" w:hAnsi="宋体" w:eastAsia="宋体" w:cs="宋体"/>
          <w:b/>
          <w:bCs/>
          <w:color w:val="000000"/>
          <w:sz w:val="24"/>
          <w:szCs w:val="24"/>
        </w:rPr>
        <w:t>准备资料，上传完毕后，等待审核</w:t>
      </w:r>
      <w:r>
        <w:rPr>
          <w:rFonts w:hint="eastAsia" w:ascii="宋体" w:hAnsi="宋体" w:eastAsia="宋体" w:cs="宋体"/>
          <w:b/>
          <w:color w:val="000000"/>
          <w:sz w:val="24"/>
          <w:szCs w:val="24"/>
        </w:rPr>
        <w:t>；</w:t>
      </w:r>
    </w:p>
    <w:p>
      <w:pPr>
        <w:numPr>
          <w:ilvl w:val="0"/>
          <w:numId w:val="7"/>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pPr>
        <w:numPr>
          <w:ilvl w:val="0"/>
          <w:numId w:val="6"/>
        </w:numPr>
        <w:spacing w:line="360" w:lineRule="auto"/>
        <w:rPr>
          <w:rFonts w:hint="eastAsia"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pPr>
        <w:numPr>
          <w:ilvl w:val="0"/>
          <w:numId w:val="6"/>
        </w:numPr>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公开唱标：公示资质标入围单位的开标价格及商务条款响应情况；</w:t>
      </w:r>
    </w:p>
    <w:p>
      <w:pPr>
        <w:numPr>
          <w:ilvl w:val="0"/>
          <w:numId w:val="8"/>
        </w:numPr>
        <w:spacing w:line="360" w:lineRule="auto"/>
        <w:rPr>
          <w:rFonts w:hint="eastAsia" w:ascii="宋体" w:hAnsi="宋体" w:eastAsia="宋体" w:cs="宋体"/>
          <w:b/>
          <w:sz w:val="24"/>
          <w:szCs w:val="24"/>
        </w:rPr>
      </w:pPr>
      <w:r>
        <w:rPr>
          <w:rFonts w:hint="eastAsia" w:ascii="宋体" w:hAnsi="宋体" w:eastAsia="宋体" w:cs="宋体"/>
          <w:b/>
          <w:sz w:val="24"/>
          <w:szCs w:val="24"/>
          <w:highlight w:val="yellow"/>
          <w:lang w:val="en-US" w:eastAsia="zh-CN"/>
        </w:rPr>
        <w:t>评标模式</w:t>
      </w:r>
      <w:r>
        <w:rPr>
          <w:rFonts w:hint="eastAsia" w:ascii="宋体" w:hAnsi="宋体" w:eastAsia="宋体" w:cs="宋体"/>
          <w:b/>
          <w:sz w:val="24"/>
          <w:szCs w:val="24"/>
          <w:highlight w:val="yellow"/>
        </w:rPr>
        <w:t>：</w:t>
      </w:r>
      <w:r>
        <w:rPr>
          <w:rFonts w:hint="eastAsia" w:ascii="宋体" w:hAnsi="宋体" w:eastAsia="宋体" w:cs="宋体"/>
          <w:b/>
          <w:sz w:val="24"/>
          <w:szCs w:val="24"/>
          <w:highlight w:val="yellow"/>
          <w:lang w:val="en-US" w:eastAsia="zh-CN"/>
        </w:rPr>
        <w:t>合理最低价</w:t>
      </w:r>
      <w:r>
        <w:rPr>
          <w:rFonts w:hint="eastAsia" w:ascii="宋体" w:hAnsi="宋体" w:eastAsia="宋体" w:cs="宋体"/>
          <w:b/>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5.合同以双方最终签署的版本为准。</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21"/>
        <w:spacing w:line="360" w:lineRule="auto"/>
        <w:rPr>
          <w:rFonts w:hint="eastAsia"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21"/>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（12）不同投标人的投标文件异常一致；</w:t>
      </w:r>
    </w:p>
    <w:p>
      <w:pPr>
        <w:pStyle w:val="21"/>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（13）投标报价呈规律性差异的；</w:t>
      </w:r>
    </w:p>
    <w:p>
      <w:pPr>
        <w:pStyle w:val="21"/>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（14）投标人报价均超过投标限价的；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hAnsi="宋体" w:eastAsia="宋体" w:cs="宋体"/>
          <w:color w:val="000000"/>
          <w:sz w:val="24"/>
          <w:szCs w:val="24"/>
        </w:rPr>
        <w:t>5</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9"/>
      <w:bookmarkStart w:id="23" w:name="OLE_LINK26"/>
      <w:bookmarkStart w:id="24" w:name="OLE_LINK27"/>
      <w:bookmarkStart w:id="25" w:name="OLE_LINK28"/>
      <w:bookmarkStart w:id="26" w:name="OLE_LINK25"/>
      <w:r>
        <w:rPr>
          <w:rFonts w:hint="eastAsia" w:ascii="宋体" w:hAnsi="宋体" w:eastAsia="宋体" w:cs="宋体"/>
          <w:bCs/>
          <w:sz w:val="24"/>
          <w:szCs w:val="24"/>
        </w:rPr>
        <w:t>；</w:t>
      </w:r>
      <w:bookmarkEnd w:id="22"/>
      <w:bookmarkEnd w:id="23"/>
      <w:bookmarkEnd w:id="24"/>
      <w:bookmarkEnd w:id="25"/>
      <w:bookmarkEnd w:id="26"/>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21"/>
        <w:spacing w:line="360" w:lineRule="auto"/>
        <w:ind w:firstLine="480" w:firstLineChars="200"/>
        <w:rPr>
          <w:rFonts w:hint="eastAsia" w:hAnsi="宋体" w:eastAsia="宋体" w:cs="宋体"/>
          <w:bCs/>
          <w:sz w:val="24"/>
          <w:szCs w:val="24"/>
        </w:rPr>
      </w:pPr>
      <w:r>
        <w:rPr>
          <w:rFonts w:hint="eastAsia" w:hAnsi="宋体" w:eastAsia="宋体" w:cs="宋体"/>
          <w:bCs/>
          <w:sz w:val="24"/>
          <w:szCs w:val="24"/>
        </w:rPr>
        <w:t>（6）招标人认为其他应终止招标的情形。</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pPr>
        <w:pStyle w:val="21"/>
        <w:spacing w:line="360" w:lineRule="auto"/>
        <w:jc w:val="center"/>
        <w:rPr>
          <w:rFonts w:hint="eastAsia"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pPr>
        <w:pStyle w:val="21"/>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w:t>
      </w:r>
      <w:r>
        <w:rPr>
          <w:rFonts w:hint="eastAsia" w:ascii="宋体" w:hAnsi="宋体" w:eastAsia="宋体" w:cs="宋体"/>
          <w:bCs/>
          <w:sz w:val="24"/>
          <w:szCs w:val="24"/>
          <w:highlight w:val="yellow"/>
        </w:rPr>
        <w:t>电子版投标文件为纸质盖章版的扫描件</w:t>
      </w:r>
      <w:r>
        <w:rPr>
          <w:rFonts w:hint="eastAsia" w:eastAsia="宋体" w:cs="宋体"/>
          <w:bCs/>
          <w:sz w:val="24"/>
          <w:szCs w:val="24"/>
          <w:highlight w:val="yellow"/>
        </w:rPr>
        <w:t>或加盖电子章</w:t>
      </w:r>
      <w:r>
        <w:rPr>
          <w:rFonts w:hint="eastAsia" w:ascii="宋体" w:hAnsi="宋体" w:eastAsia="宋体" w:cs="宋体"/>
          <w:bCs/>
          <w:sz w:val="24"/>
          <w:szCs w:val="24"/>
          <w:highlight w:val="yellow"/>
        </w:rPr>
        <w:t>，不盖章无效</w:t>
      </w:r>
      <w:r>
        <w:rPr>
          <w:rFonts w:hint="eastAsia" w:ascii="宋体" w:hAnsi="宋体" w:eastAsia="宋体" w:cs="宋体"/>
          <w:bCs/>
          <w:sz w:val="24"/>
          <w:szCs w:val="24"/>
        </w:rPr>
        <w:t>），均由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pPr>
        <w:spacing w:line="360" w:lineRule="auto"/>
        <w:ind w:firstLine="482" w:firstLineChars="200"/>
        <w:rPr>
          <w:rFonts w:hint="eastAsia"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近6个月及以上在授权单位的社保缴纳证明</w:t>
      </w:r>
      <w:r>
        <w:rPr>
          <w:rFonts w:hint="eastAsia" w:ascii="宋体" w:hAnsi="宋体" w:eastAsia="宋体" w:cs="宋体"/>
          <w:b/>
          <w:color w:val="000000"/>
          <w:sz w:val="24"/>
          <w:szCs w:val="24"/>
        </w:rPr>
        <w:t>；</w:t>
      </w:r>
      <w:r>
        <w:rPr>
          <w:rFonts w:hint="eastAsia" w:ascii="宋体" w:hAnsi="宋体" w:eastAsia="宋体" w:cs="宋体"/>
          <w:color w:val="000000"/>
          <w:sz w:val="24"/>
          <w:szCs w:val="24"/>
          <w:highlight w:val="yellow"/>
        </w:rPr>
        <w:t>国内拟投标人具有依法缴纳社会保障资金的良好记录，社保缴纳人数需≥100人（提供2025年6月份社会保险的凭据证明材料复印件）；国外品牌具备良好的信用和业绩</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b/>
          <w:color w:val="000000"/>
          <w:sz w:val="24"/>
          <w:szCs w:val="24"/>
          <w:highlight w:val="yellow"/>
        </w:rPr>
      </w:pPr>
      <w:r>
        <w:rPr>
          <w:rFonts w:hint="eastAsia" w:ascii="宋体" w:hAnsi="宋体" w:eastAsia="宋体" w:cs="宋体"/>
          <w:color w:val="000000"/>
          <w:sz w:val="24"/>
          <w:szCs w:val="24"/>
        </w:rPr>
        <w:t>1.4近三年经第三方机构审计的财务报表（报告页、资产负债表、损益表、现金流量表）复印件（需加盖公章），必须连续，同时填写投标人基本情况表（附件3）</w:t>
      </w:r>
      <w:r>
        <w:rPr>
          <w:rFonts w:hint="eastAsia" w:hAnsi="宋体" w:eastAsia="宋体" w:cs="宋体"/>
          <w:color w:val="000000"/>
          <w:sz w:val="24"/>
          <w:szCs w:val="24"/>
          <w:highlight w:val="yellow"/>
        </w:rPr>
        <w:t>；</w:t>
      </w:r>
      <w:r>
        <w:rPr>
          <w:rFonts w:hint="eastAsia" w:ascii="宋体" w:hAnsi="宋体" w:eastAsia="宋体" w:cs="仿宋_GB2312"/>
          <w:sz w:val="24"/>
          <w:szCs w:val="24"/>
          <w:highlight w:val="yellow"/>
        </w:rPr>
        <w:t>拟投标人必须为国内外知名品牌；截至2025年8月，具有5年以上充放电设备完全自主设计及生产制造能力。本项目不接受代理商或贸易商参与投标，且必须通过ISO9001、ISO14001等质量体系认证，环境管理体系认证和高新技术企业证（提供复印件并加盖公章）</w:t>
      </w:r>
      <w:r>
        <w:rPr>
          <w:rFonts w:hint="eastAsia" w:ascii="宋体" w:hAnsi="宋体" w:eastAsia="宋体" w:cs="Times New Roman"/>
          <w:sz w:val="24"/>
          <w:szCs w:val="24"/>
          <w:highlight w:val="yellow"/>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w:t>
      </w:r>
      <w:r>
        <w:rPr>
          <w:rFonts w:hint="eastAsia" w:ascii="宋体" w:hAnsi="宋体" w:eastAsia="宋体" w:cs="Times New Roman"/>
          <w:sz w:val="24"/>
          <w:szCs w:val="24"/>
        </w:rPr>
        <w:t>投标方信用记录良好，无失信被执行人记录、无采购违法、受行政处罚等行为。（提供在信用中国官网、中国政府采购网、中国执行信息公开网、国家税务总局网站的信息查询结果截屏，并加盖单位公章，做入投标文件中</w:t>
      </w:r>
      <w:r>
        <w:rPr>
          <w:rFonts w:hint="eastAsia" w:ascii="宋体" w:hAnsi="宋体" w:eastAsia="宋体" w:cs="宋体"/>
          <w:color w:val="000000"/>
          <w:sz w:val="24"/>
          <w:szCs w:val="24"/>
        </w:rPr>
        <w:t>；</w:t>
      </w:r>
      <w:r>
        <w:rPr>
          <w:rFonts w:hint="eastAsia" w:ascii="宋体" w:hAnsi="宋体" w:eastAsia="宋体" w:cs="宋体"/>
          <w:color w:val="000000"/>
          <w:sz w:val="24"/>
          <w:szCs w:val="24"/>
          <w:highlight w:val="yellow"/>
        </w:rPr>
        <w:t>（附投标当日系统内相关截图）；</w:t>
      </w:r>
    </w:p>
    <w:p>
      <w:pPr>
        <w:spacing w:line="360" w:lineRule="auto"/>
        <w:ind w:firstLine="480" w:firstLineChars="200"/>
        <w:rPr>
          <w:rFonts w:hint="eastAsia"/>
        </w:rPr>
      </w:pPr>
      <w:r>
        <w:rPr>
          <w:rFonts w:hint="eastAsia" w:ascii="宋体" w:hAnsi="宋体" w:eastAsia="宋体" w:cs="宋体"/>
          <w:color w:val="000000"/>
          <w:sz w:val="24"/>
          <w:szCs w:val="24"/>
        </w:rPr>
        <w:t>1.7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1.8企业信用证明材料</w:t>
      </w:r>
      <w:r>
        <w:rPr>
          <w:rFonts w:hint="eastAsia" w:ascii="宋体" w:hAnsi="宋体" w:eastAsia="宋体" w:cs="宋体"/>
          <w:color w:val="000000"/>
          <w:sz w:val="24"/>
          <w:szCs w:val="24"/>
          <w:highlight w:val="yellow"/>
        </w:rPr>
        <w:t>（信用报告）</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1.9</w:t>
      </w:r>
      <w:r>
        <w:rPr>
          <w:rFonts w:hint="eastAsia" w:ascii="宋体" w:hAnsi="宋体" w:eastAsia="宋体" w:cs="宋体"/>
          <w:sz w:val="24"/>
          <w:szCs w:val="24"/>
        </w:rPr>
        <w:t>投标方在本项目所使用控制软件必须具备完全的自主知识产权，投标方需提供相关证明材料，包括软件的专利证书、著作权登记证明等，以证明其软件具备自主知识产权</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1.10企业最近半年的完税证明，并附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1.11保密承诺函（附件4）；</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highlight w:val="yellow"/>
        </w:rPr>
        <w:t>.12 2023年8月1日至今，企业同类项目业绩证明，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highlight w:val="yellow"/>
        </w:rPr>
        <w:t>；且</w:t>
      </w:r>
      <w:r>
        <w:rPr>
          <w:rFonts w:hint="eastAsia" w:ascii="宋体" w:hAnsi="宋体" w:eastAsia="宋体" w:cs="仿宋_GB2312"/>
          <w:sz w:val="24"/>
          <w:szCs w:val="24"/>
          <w:highlight w:val="yellow"/>
        </w:rPr>
        <w:t>拟投标人在国家级权威检测机构或整车企业至少有10份1MW测试设备业绩，其中至少1份业绩不低于400万元</w:t>
      </w:r>
      <w:r>
        <w:rPr>
          <w:rFonts w:hint="eastAsia" w:ascii="宋体" w:hAnsi="宋体" w:eastAsia="宋体" w:cs="宋体"/>
          <w:color w:val="FF0000"/>
          <w:sz w:val="24"/>
          <w:szCs w:val="24"/>
          <w:highlight w:val="yellow"/>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1.13投标保证金缴纳凭证，同时</w:t>
      </w:r>
      <w:r>
        <w:rPr>
          <w:rFonts w:hint="eastAsia" w:ascii="宋体" w:hAnsi="宋体" w:eastAsia="宋体" w:cs="宋体"/>
          <w:color w:val="000000"/>
          <w:sz w:val="24"/>
          <w:szCs w:val="24"/>
          <w:highlight w:val="yellow"/>
        </w:rPr>
        <w:t>正文描述付款账号、户名、开户行名称、开户行行号、保证金金额</w:t>
      </w:r>
      <w:r>
        <w:rPr>
          <w:rFonts w:hint="eastAsia" w:ascii="宋体" w:hAnsi="宋体" w:eastAsia="宋体" w:cs="宋体"/>
          <w:color w:val="000000"/>
          <w:sz w:val="24"/>
          <w:szCs w:val="24"/>
        </w:rPr>
        <w:t>。</w:t>
      </w:r>
    </w:p>
    <w:p>
      <w:pPr>
        <w:spacing w:line="360" w:lineRule="auto"/>
        <w:ind w:firstLine="482" w:firstLineChars="200"/>
        <w:rPr>
          <w:rFonts w:hint="eastAsia"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2.1技术规格偏离表（附件5-1），</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hAnsi="宋体" w:eastAsia="宋体" w:cs="宋体"/>
          <w:b/>
          <w:color w:val="000000"/>
          <w:sz w:val="24"/>
          <w:szCs w:val="24"/>
          <w:highlight w:val="yellow"/>
        </w:rPr>
      </w:pPr>
      <w:r>
        <w:rPr>
          <w:rFonts w:hint="eastAsia" w:ascii="宋体" w:hAnsi="宋体" w:eastAsia="宋体" w:cs="宋体"/>
          <w:bCs/>
          <w:color w:val="000000"/>
          <w:sz w:val="24"/>
          <w:szCs w:val="24"/>
        </w:rPr>
        <w:t>2.2</w:t>
      </w:r>
      <w:r>
        <w:rPr>
          <w:rFonts w:hint="eastAsia" w:hAnsi="宋体" w:eastAsia="宋体" w:cs="宋体"/>
          <w:color w:val="000000"/>
          <w:sz w:val="24"/>
          <w:szCs w:val="24"/>
          <w:highlight w:val="yellow"/>
        </w:rPr>
        <w:t>设备分项配置表（附件5-2），列明项目设备分项配置规格型号、品牌等信息（要求分项明细与附表9-1完全对应）</w:t>
      </w:r>
      <w:r>
        <w:rPr>
          <w:rFonts w:hint="eastAsia" w:hAnsi="宋体" w:eastAsia="宋体" w:cs="宋体"/>
          <w:b/>
          <w:color w:val="000000"/>
          <w:sz w:val="24"/>
          <w:szCs w:val="24"/>
          <w:highlight w:val="yellow"/>
        </w:rPr>
        <w:t>；</w:t>
      </w:r>
    </w:p>
    <w:p>
      <w:pPr>
        <w:spacing w:line="360" w:lineRule="auto"/>
        <w:ind w:firstLine="480" w:firstLineChars="200"/>
        <w:rPr>
          <w:rFonts w:hint="eastAsia" w:hAnsi="宋体" w:eastAsia="宋体" w:cs="宋体"/>
          <w:b/>
          <w:color w:val="000000"/>
          <w:sz w:val="24"/>
          <w:szCs w:val="24"/>
          <w:highlight w:val="yellow"/>
        </w:rPr>
      </w:pPr>
      <w:r>
        <w:rPr>
          <w:rFonts w:hint="eastAsia" w:ascii="宋体" w:hAnsi="宋体" w:eastAsia="宋体" w:cs="宋体"/>
          <w:bCs/>
          <w:color w:val="000000"/>
          <w:sz w:val="24"/>
          <w:szCs w:val="24"/>
        </w:rPr>
        <w:t>2.3</w:t>
      </w:r>
      <w:r>
        <w:rPr>
          <w:rFonts w:hint="eastAsia" w:ascii="宋体" w:hAnsi="宋体" w:eastAsia="宋体" w:cs="宋体"/>
          <w:b/>
          <w:bCs/>
          <w:kern w:val="0"/>
          <w:sz w:val="24"/>
          <w:szCs w:val="20"/>
        </w:rPr>
        <w:t>提供本项目生命周期内所涉及到所有备品备件、易损件和专用耗材明细表（附件5-3），用于质保期外，招标人能够根据清单快速找到同规格产品。</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2.4提供</w:t>
      </w:r>
      <w:r>
        <w:rPr>
          <w:rFonts w:hint="eastAsia" w:ascii="宋体" w:hAnsi="宋体" w:eastAsia="宋体" w:cs="宋体"/>
          <w:color w:val="000000"/>
          <w:sz w:val="24"/>
          <w:szCs w:val="24"/>
          <w:highlight w:val="yellow"/>
        </w:rPr>
        <w:t>2023年8月1日</w:t>
      </w:r>
      <w:r>
        <w:rPr>
          <w:rFonts w:hint="eastAsia" w:ascii="宋体" w:hAnsi="宋体" w:eastAsia="宋体" w:cs="宋体"/>
          <w:color w:val="000000"/>
          <w:sz w:val="24"/>
          <w:szCs w:val="24"/>
        </w:rPr>
        <w:t>以来同类产品的制造销售业绩（附件6，用户名单、联系方式），并附合同复印件。该同类项目业绩一览表必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2.6产品的技术服务和售后服务内容及措施；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2.7交货进度及计划；</w:t>
      </w:r>
    </w:p>
    <w:p>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2.8投标产品技术支持材料</w:t>
      </w:r>
      <w:bookmarkEnd w:id="29"/>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2.9设备质量承诺函（附件7）；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2.10投标人需提交的其它资料；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2.10投标人需提交的其它资料。</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pPr>
        <w:pStyle w:val="21"/>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pPr>
        <w:pStyle w:val="21"/>
      </w:pPr>
    </w:p>
    <w:p>
      <w:pPr>
        <w:rPr>
          <w:rFonts w:hint="eastAsia" w:asciiTheme="minorEastAsia" w:hAnsiTheme="minorEastAsia" w:cstheme="minorEastAsia"/>
          <w:sz w:val="20"/>
          <w:szCs w:val="20"/>
        </w:rPr>
      </w:pPr>
      <w:r>
        <w:rPr>
          <w:rFonts w:hint="eastAsia" w:ascii="仿宋_GB2312" w:hAnsi="仿宋_GB2312" w:eastAsia="仿宋_GB2312" w:cs="仿宋_GB2312"/>
          <w:b/>
          <w:color w:val="000000" w:themeColor="text1"/>
          <w:sz w:val="28"/>
          <w:szCs w:val="28"/>
          <w:lang w:val="en-US" w:eastAsia="zh-CN"/>
          <w14:textFill>
            <w14:solidFill>
              <w14:schemeClr w14:val="tx1"/>
            </w14:solidFill>
          </w14:textFill>
        </w:rPr>
        <w:t xml:space="preserve">                                                                                                                                                                                                                                                                                                                                                                                                                                                                                                                                                                                                                                                                                                                                                                                                                                                                                                                                                                                                                                                                                                                                                                                                                                                                                                                                                                                                                                                                                                                                                                                                                                                                                                                                                                                                                                                                                                                                                                                                                                                                                                                                                                                                                                                                                                                                                                                                                                                                                                                                                                                                                                                                                                                                                                                                                                                                                                                                                                                                                                                                                                                                                                                                                                                                                                                                                                                                                                                                                                                                                                                                                                                                                                                                                                                                                                                                                                                                                                                                                                                                                                                                                                                                                </w:t>
      </w:r>
      <w:r>
        <w:rPr>
          <w:rFonts w:hint="eastAsia" w:ascii="仿宋_GB2312" w:hAnsi="仿宋_GB2312" w:eastAsia="仿宋_GB2312" w:cs="仿宋_GB2312"/>
          <w:b/>
          <w:color w:val="000000" w:themeColor="text1"/>
          <w:sz w:val="28"/>
          <w:szCs w:val="28"/>
          <w:lang w:val="en-US" w:eastAsia="zh-CN"/>
          <w14:textFill>
            <w14:solidFill>
              <w14:schemeClr w14:val="tx1"/>
            </w14:solidFill>
          </w14:textFill>
        </w:rPr>
        <w:t xml:space="preserve">                                                                                                                                                                                                                                                                                                                                                                                                                                                                                                                                                                                                                                                                                                                                                                                                                                                                                                                                                                                                                                                                                                                                                                                                                                                                                                                                                                                                                                                                                                                                                                                                                                                                                                                                                                                                                                                                                                                                                                                                                                                                                                                                                                                                                                                                                                                                                                                                                                                                                                                                                                                                                                                                                                                                                                                                                                                                                                                                                                                                                                                                                                                                                                                                                                                                                                                                                                                                                                                                                                                                                                                                                                                                                                                                                                                                                                                                                                                                                                                                                                                                                                                                                                                                                </w:t>
      </w:r>
      <w:r>
        <w:rPr>
          <w:rFonts w:hint="eastAsia" w:ascii="仿宋_GB2312" w:hAnsi="仿宋_GB2312" w:eastAsia="仿宋_GB2312" w:cs="仿宋_GB2312"/>
          <w:b/>
          <w:color w:val="000000" w:themeColor="text1"/>
          <w:sz w:val="28"/>
          <w:szCs w:val="28"/>
          <w:lang w:val="en-US" w:eastAsia="zh-CN"/>
          <w14:textFill>
            <w14:solidFill>
              <w14:schemeClr w14:val="tx1"/>
            </w14:solidFill>
          </w14:textFill>
        </w:rPr>
        <w:t xml:space="preserve">                                                                                                                                                                                                                                                                                                                                                                                                                                                                                                                                                                                                                                                                                                                                                                                                                                                                                                                                                                                                                                                                                                                                                                                                                                                                                                                                                                                                                                                                                                                                                                                                                                                                                                                                                                                                                                                                                                                                                                                                                                                                                                                                                                                                                                                                                                                                                                                                                                                                                                                                                                                                                                                                                                                                                                                                                                                                                                                                                                                                                                                                                                                                                                                                                                                                                                                                                                                                                                                                                                                                                                                                                                                                                                                                                                                                                                                                                                                                                                                                                                                                                                                                                                                                                </w:t>
      </w:r>
      <w:r>
        <w:rPr>
          <w:rFonts w:hint="eastAsia" w:ascii="仿宋_GB2312" w:hAnsi="仿宋_GB2312" w:eastAsia="仿宋_GB2312" w:cs="仿宋_GB2312"/>
          <w:b/>
          <w:color w:val="000000" w:themeColor="text1"/>
          <w:sz w:val="28"/>
          <w:szCs w:val="28"/>
          <w:lang w:val="en-US" w:eastAsia="zh-CN"/>
          <w14:textFill>
            <w14:solidFill>
              <w14:schemeClr w14:val="tx1"/>
            </w14:solidFill>
          </w14:textFill>
        </w:rPr>
        <w:t xml:space="preserve">                                                                                                                                                                                                                                                                                                                                                                                                                                                                                                                                                                                                                                                                                                                                                                                                                                                                                                                                                                                                                                                                                                                                                                                                                                                                                                                                                                                                                                                                                                                                                                                                                                                                                                                                                                                                                                                                                                                                                                                                                                                                                                                                                                                                                                                                                                                           </w:t>
      </w:r>
      <w:bookmarkStart w:id="32" w:name="_Toc29691"/>
      <w:r>
        <w:rPr>
          <w:rFonts w:hint="eastAsia" w:asciiTheme="minorEastAsia" w:hAnsiTheme="minorEastAsia" w:cstheme="minorEastAsia"/>
          <w:sz w:val="20"/>
          <w:szCs w:val="20"/>
        </w:rPr>
        <w:t xml:space="preserve">                                      </w:t>
      </w:r>
    </w:p>
    <w:p>
      <w:pPr>
        <w:adjustRightInd w:val="0"/>
        <w:snapToGrid w:val="0"/>
        <w:spacing w:line="360" w:lineRule="auto"/>
        <w:jc w:val="center"/>
        <w:outlineLvl w:val="1"/>
        <w:rPr>
          <w:rFonts w:hint="default" w:ascii="仿宋_GB2312" w:hAnsi="仿宋_GB2312" w:eastAsia="仿宋_GB2312" w:cs="仿宋_GB2312"/>
          <w:b/>
          <w:color w:val="000000" w:themeColor="text1"/>
          <w:sz w:val="28"/>
          <w:szCs w:val="28"/>
          <w:lang w:val="en-US"/>
          <w14:textFill>
            <w14:solidFill>
              <w14:schemeClr w14:val="tx1"/>
            </w14:solidFill>
          </w14:textFill>
        </w:rPr>
      </w:pPr>
      <w:r>
        <w:rPr>
          <w:rFonts w:hint="eastAsia" w:ascii="仿宋_GB2312" w:hAnsi="仿宋_GB2312" w:eastAsia="仿宋_GB2312" w:cs="仿宋_GB2312"/>
          <w:b/>
          <w:color w:val="000000" w:themeColor="text1"/>
          <w:sz w:val="28"/>
          <w:szCs w:val="28"/>
          <w:lang w:val="en-US" w:eastAsia="zh-CN"/>
          <w14:textFill>
            <w14:solidFill>
              <w14:schemeClr w14:val="tx1"/>
            </w14:solidFill>
          </w14:textFill>
        </w:rPr>
        <w:t xml:space="preserve">                                                                                                                                                                                                                                                                                                                                                                                                                                                                                                                                                                                                                                                                                                                                                                                                                                                                                                                                                                                                                                                                                                                                                                                                                                                                                                                                                                                                                                                                                                                                                                                                                                                                                                                                                                                                                                                                                                                                                                                                                                                                                                                                                                                                                                                                                                                                                                                                                                                                                                                                                                                                                                                                                                                                                                                                                                                                                                                                                                                                                                                                                                                                                                                                                                                                                                                                                                                                                                                                                                                                                                                                                                                                                                                                                                                                                                                                                                                                                                                                                                                                                                                                                                                                                </w:t>
      </w:r>
      <w:r>
        <w:rPr>
          <w:rFonts w:hint="eastAsia" w:ascii="仿宋_GB2312" w:hAnsi="仿宋_GB2312" w:eastAsia="仿宋_GB2312" w:cs="仿宋_GB2312"/>
          <w:b/>
          <w:color w:val="000000" w:themeColor="text1"/>
          <w:sz w:val="28"/>
          <w:szCs w:val="28"/>
          <w:lang w:val="en-US" w:eastAsia="zh-CN"/>
          <w14:textFill>
            <w14:solidFill>
              <w14:schemeClr w14:val="tx1"/>
            </w14:solidFill>
          </w14:textFill>
        </w:rPr>
        <w:t xml:space="preserve">                                                                                                                                                                                                                                                                                                                                                                                                                                                                                                                                                                                                                                                                                                                                                                                                                                                                                                                                                                                                                                                                                                                                                                                                                                                                                                                                                                                                                                                                                                                                                                                                                                                                                                                                                                                                                                                                                                                                                                                                                                                                                                                                                                                                                                                                                                                                                                                                                                                                                                                                                                                                                                                                                                                                                                                                                                                                                                                                                                                                                                                                                                                                                                                                                                                                                                                                                                                                                                                                                                                                                                                                                                                                                                                                                                                                                                                                                                                                                                                                                                                                                                                                                                                                                </w:t>
      </w:r>
      <w:r>
        <w:rPr>
          <w:rFonts w:hint="eastAsia" w:ascii="仿宋_GB2312" w:hAnsi="仿宋_GB2312" w:eastAsia="仿宋_GB2312" w:cs="仿宋_GB2312"/>
          <w:b/>
          <w:color w:val="000000" w:themeColor="text1"/>
          <w:sz w:val="28"/>
          <w:szCs w:val="28"/>
          <w:lang w:val="en-US" w:eastAsia="zh-CN"/>
          <w14:textFill>
            <w14:solidFill>
              <w14:schemeClr w14:val="tx1"/>
            </w14:solidFill>
          </w14:textFill>
        </w:rPr>
        <w:t xml:space="preserve">                                                                                                                                                                                                                                                                                                                                                                                                                                                                                                                                                                                                                                                                                                                                                                                                                                                                                                                                                                                                                                                                                                                                                                                                                                                                                                                                                                                                                                                                                                                                                                                                                                                                                                                                                                                                                                                                                                                                                                                                                                                                                                                                                                                                                                                                                                                                                                                                                                                                                                                                                                                                                                                                                                                                                                                                                                                                                                                                                                                                                                                                                                                                                                                                                                                                                                                                                                                                                                                                                                                                                                                                                                                                                                                                                                                                                                                                                                                                                                                                                                                                                                                                                                                                                </w:t>
      </w:r>
      <w:r>
        <w:rPr>
          <w:rFonts w:hint="eastAsia" w:ascii="仿宋_GB2312" w:hAnsi="仿宋_GB2312" w:eastAsia="仿宋_GB2312" w:cs="仿宋_GB2312"/>
          <w:b/>
          <w:color w:val="000000" w:themeColor="text1"/>
          <w:sz w:val="28"/>
          <w:szCs w:val="28"/>
          <w:lang w:val="en-US" w:eastAsia="zh-CN"/>
          <w14:textFill>
            <w14:solidFill>
              <w14:schemeClr w14:val="tx1"/>
            </w14:solidFill>
          </w14:textFill>
        </w:rPr>
        <w:t xml:space="preserve">                                                                                                                                                                                                                                                                                                                                                                                                                                                                                                                                                                                                                                                                                                                                                                                                                                                                                                                                                                                                                                                                                                                                                                                                                                                                                                                                                                                                                                                                                                                                                                                                                                                                                                                                                                                                                                                                                                                                                                                                                                                                                                                                                                                                                                                                                                                           技术方案及要求</w:t>
      </w:r>
    </w:p>
    <w:p>
      <w:pPr>
        <w:rPr>
          <w:rFonts w:hint="eastAsia"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（1）</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招标人共有两台总镍在线设备设备，投标人应所更换的备配件均应为总镍在线设备（哈希HACH）品牌</w:t>
      </w:r>
      <w:r>
        <w:rPr>
          <w:rFonts w:hint="eastAsia" w:ascii="仿宋_GB2312" w:hAnsi="仿宋_GB2312" w:eastAsia="仿宋_GB2312" w:cs="仿宋_GB2312"/>
          <w:bCs/>
          <w:color w:val="000000" w:themeColor="text1"/>
          <w:sz w:val="28"/>
          <w:szCs w:val="28"/>
          <w14:textFill>
            <w14:solidFill>
              <w14:schemeClr w14:val="tx1"/>
            </w14:solidFill>
          </w14:textFill>
        </w:rPr>
        <w:t>；</w:t>
      </w:r>
    </w:p>
    <w:p>
      <w:pPr>
        <w:rPr>
          <w:rFonts w:hint="eastAsia"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（2）</w:t>
      </w: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投标人向对应的仪器提供延长质保服务。在本协议期内，招标人仪器主机故障需要更换备件时，投标人免费对备件进行更换。</w:t>
      </w:r>
    </w:p>
    <w:p>
      <w:pPr>
        <w:pStyle w:val="17"/>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3）预防性维护保养：投标人定期提供主动性的仪器预防性维护和保养服务，包括全面的仪器功能测试及检查，耗材和试剂的更换（所需耗材试剂由招标人另行购买），潜在问题或故障的排除，仪器校验或校准等。</w:t>
      </w:r>
    </w:p>
    <w:p>
      <w:pPr>
        <w:pStyle w:val="17"/>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（4）优先服务响应：投标人接到招标人的服务请求后，优先安排服务工程师及备件库存供应进行最快速度的响应，并对服务过程进行跟踪和优化处理，及时向招标人报告服务进展情况。</w:t>
      </w:r>
    </w:p>
    <w:p>
      <w:pPr>
        <w:pStyle w:val="17"/>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Cs/>
          <w:color w:val="000000" w:themeColor="text1"/>
          <w:sz w:val="28"/>
          <w:szCs w:val="28"/>
          <w:lang w:val="en-US" w:eastAsia="zh-CN"/>
          <w14:textFill>
            <w14:solidFill>
              <w14:schemeClr w14:val="tx1"/>
            </w14:solidFill>
          </w14:textFill>
        </w:rPr>
        <w:t>（5）应急维修：投标人提供仪器的免费应急维修服务。投标人被告知仪器发生故障后，4 小时内提供电话技术支持响应；如需现场维修，投标人将在 72 小时内到达现场提供维修服务（偏远地区除外，节假日顺延）。</w:t>
      </w:r>
    </w:p>
    <w:p>
      <w:pPr>
        <w:ind w:right="480"/>
        <w:jc w:val="both"/>
        <w:outlineLvl w:val="0"/>
        <w:rPr>
          <w:rFonts w:ascii="Calibri" w:hAnsi="Calibri" w:eastAsia="宋体" w:cs="Times New Roman"/>
          <w:b/>
          <w:bCs/>
          <w:kern w:val="44"/>
          <w:sz w:val="36"/>
          <w:szCs w:val="44"/>
        </w:rPr>
      </w:pPr>
      <w:bookmarkStart w:id="33" w:name="_Toc14341849"/>
      <w:r>
        <w:rPr>
          <w:rFonts w:hint="eastAsia" w:ascii="楷体_GB2312" w:hAnsi="宋体" w:eastAsia="楷体_GB2312"/>
          <w:sz w:val="24"/>
        </w:rPr>
        <w:t xml:space="preserve">  </w:t>
      </w:r>
      <w:bookmarkEnd w:id="33"/>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五</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32"/>
    </w:p>
    <w:p>
      <w:pPr>
        <w:keepNext/>
        <w:keepLines/>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1"/>
        <w:rPr>
          <w:rFonts w:ascii="Times New Roman" w:hAnsi="Times New Roman" w:eastAsia="宋体" w:cs="Times New Roman"/>
          <w:b/>
          <w:bCs/>
          <w:color w:val="000000"/>
          <w:sz w:val="24"/>
          <w:szCs w:val="24"/>
        </w:rPr>
        <w:sectPr>
          <w:footerReference r:id="rId11" w:type="first"/>
          <w:headerReference r:id="rId9" w:type="default"/>
          <w:footerReference r:id="rId1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34" w:name="_Toc639004"/>
      <w:bookmarkStart w:id="35" w:name="_Toc353881012"/>
      <w:bookmarkStart w:id="36" w:name="_Toc25811"/>
      <w:bookmarkStart w:id="37"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34"/>
      <w:bookmarkEnd w:id="35"/>
      <w:bookmarkEnd w:id="36"/>
      <w:bookmarkEnd w:id="37"/>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b/>
          <w:bCs/>
          <w:sz w:val="24"/>
          <w:szCs w:val="24"/>
          <w:u w:val="single"/>
        </w:rPr>
        <w:t>总镍在线监测设备维修保养服务项目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提交纸质投标文件：资质证明文件、商务文件和技术文件正本一份；电子版投标文件一份。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电话（请填写手机号码）：</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 xml:space="preserve"> 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hint="eastAsia"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1"/>
        <w:rPr>
          <w:rFonts w:ascii="黑体" w:hAnsi="Calibri" w:eastAsia="黑体" w:cs="Times New Roman"/>
          <w:color w:val="000000"/>
          <w:sz w:val="24"/>
          <w:szCs w:val="24"/>
        </w:rPr>
      </w:pPr>
    </w:p>
    <w:p>
      <w:pPr>
        <w:pStyle w:val="21"/>
        <w:rPr>
          <w:rFonts w:ascii="黑体" w:hAnsi="Calibri" w:eastAsia="黑体" w:cs="Times New Roman"/>
          <w:color w:val="000000"/>
          <w:sz w:val="24"/>
          <w:szCs w:val="24"/>
        </w:rPr>
      </w:pPr>
    </w:p>
    <w:p>
      <w:pPr>
        <w:pStyle w:val="21"/>
        <w:rPr>
          <w:rFonts w:ascii="黑体" w:hAnsi="Calibri" w:eastAsia="黑体" w:cs="Times New Roman"/>
          <w:color w:val="000000"/>
          <w:sz w:val="24"/>
          <w:szCs w:val="24"/>
        </w:rPr>
      </w:pPr>
    </w:p>
    <w:p>
      <w:pPr>
        <w:pStyle w:val="21"/>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b/>
          <w:bCs/>
          <w:sz w:val="24"/>
          <w:szCs w:val="24"/>
          <w:highlight w:val="yellow"/>
          <w:u w:val="single"/>
        </w:rPr>
        <w:t>总镍在线监测设备维修保养服务项目</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1"/>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Times New Roman" w:hAnsi="Times New Roman" w:eastAsia="宋体" w:cs="Times New Roman"/>
          <w:b/>
          <w:bCs/>
          <w:color w:val="000000"/>
          <w:sz w:val="24"/>
          <w:szCs w:val="24"/>
        </w:rPr>
        <w:t>附件3 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3"/>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3"/>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3"/>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3"/>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3"/>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3"/>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3"/>
              <w:spacing w:before="111"/>
              <w:ind w:left="509"/>
              <w:rPr>
                <w:rFonts w:hint="eastAsia"/>
                <w:highlight w:val="yellow"/>
              </w:rPr>
            </w:pPr>
            <w:r>
              <w:t xml:space="preserve">企业法人代表  </w:t>
            </w:r>
          </w:p>
        </w:tc>
        <w:tc>
          <w:tcPr>
            <w:tcW w:w="4680" w:type="dxa"/>
            <w:gridSpan w:val="4"/>
          </w:tcPr>
          <w:p>
            <w:pPr>
              <w:pStyle w:val="6"/>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3"/>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3"/>
              <w:spacing w:before="114"/>
              <w:ind w:left="720"/>
              <w:rPr>
                <w:rFonts w:hint="eastAsia"/>
              </w:rPr>
            </w:pPr>
            <w:r>
              <w:t xml:space="preserve">品牌区分 </w:t>
            </w:r>
          </w:p>
        </w:tc>
        <w:tc>
          <w:tcPr>
            <w:tcW w:w="7500" w:type="dxa"/>
            <w:gridSpan w:val="6"/>
          </w:tcPr>
          <w:p>
            <w:pPr>
              <w:pStyle w:val="133"/>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3"/>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3"/>
              <w:spacing w:before="15"/>
              <w:ind w:left="279"/>
              <w:rPr>
                <w:rFonts w:hint="eastAsia"/>
              </w:rPr>
            </w:pPr>
            <w:r>
              <w:rPr>
                <w:spacing w:val="-2"/>
              </w:rPr>
              <w:t>质量</w:t>
            </w:r>
            <w:r>
              <w:t xml:space="preserve"> </w:t>
            </w:r>
          </w:p>
          <w:p>
            <w:pPr>
              <w:pStyle w:val="133"/>
              <w:spacing w:before="30" w:line="277" w:lineRule="exact"/>
              <w:ind w:left="279"/>
              <w:rPr>
                <w:rFonts w:hint="eastAsia"/>
              </w:rPr>
            </w:pPr>
            <w:r>
              <w:rPr>
                <w:rFonts w:hint="eastAsia"/>
              </w:rPr>
              <w:t>体系</w:t>
            </w:r>
          </w:p>
        </w:tc>
        <w:tc>
          <w:tcPr>
            <w:tcW w:w="2820" w:type="dxa"/>
            <w:gridSpan w:val="2"/>
          </w:tcPr>
          <w:p>
            <w:pPr>
              <w:pStyle w:val="133"/>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3"/>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1"/>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sectPr>
          <w:footerReference r:id="rId13" w:type="first"/>
          <w:footerReference r:id="rId12" w:type="default"/>
          <w:pgSz w:w="11906" w:h="16838"/>
          <w:pgMar w:top="1588" w:right="1418" w:bottom="1134" w:left="1418" w:header="851" w:footer="992" w:gutter="0"/>
          <w:cols w:space="720" w:num="1"/>
          <w:titlePg/>
          <w:docGrid w:type="lines" w:linePitch="312" w:charSpace="0"/>
        </w:sectPr>
      </w:pPr>
    </w:p>
    <w:p>
      <w:pPr>
        <w:pStyle w:val="21"/>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u w:val="single"/>
        </w:rPr>
        <w:t>总镍在线监测设备维修保养服务项目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u w:val="single"/>
        </w:rPr>
        <w:t>总镍在线监测设备维修保养服务项目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14:textOutline w14:w="5791" w14:cap="flat" w14:cmpd="sng" w14:algn="ctr">
            <w14:solidFill>
              <w14:srgbClr w14:val="000000"/>
            </w14:solidFill>
            <w14:prstDash w14:val="solid"/>
            <w14:miter w14:val="0"/>
          </w14:textOutline>
        </w:rPr>
        <w:t>配置</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p>
    <w:tbl>
      <w:tblPr>
        <w:tblStyle w:val="131"/>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472"/>
        <w:gridCol w:w="1474"/>
        <w:gridCol w:w="2014"/>
        <w:gridCol w:w="2608"/>
        <w:gridCol w:w="14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pPr>
              <w:spacing w:before="97" w:line="186" w:lineRule="auto"/>
              <w:ind w:left="304"/>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471" w:type="dxa"/>
          </w:tcPr>
          <w:p>
            <w:pPr>
              <w:spacing w:before="98" w:line="185" w:lineRule="auto"/>
              <w:ind w:left="10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472" w:type="dxa"/>
          </w:tcPr>
          <w:p>
            <w:pPr>
              <w:spacing w:before="99" w:line="183"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474" w:type="dxa"/>
          </w:tcPr>
          <w:p>
            <w:pPr>
              <w:spacing w:before="98" w:line="185" w:lineRule="auto"/>
              <w:ind w:left="51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014" w:type="dxa"/>
          </w:tcPr>
          <w:p>
            <w:pPr>
              <w:spacing w:before="100" w:line="182" w:lineRule="auto"/>
              <w:ind w:left="798"/>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608" w:type="dxa"/>
            <w:tcBorders>
              <w:left w:val="single" w:color="000000" w:sz="4" w:space="0"/>
            </w:tcBorders>
          </w:tcPr>
          <w:p>
            <w:pPr>
              <w:spacing w:before="100" w:line="182" w:lineRule="auto"/>
              <w:ind w:left="1007"/>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496" w:type="dxa"/>
          </w:tcPr>
          <w:p>
            <w:pPr>
              <w:spacing w:before="99" w:line="183"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71"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47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47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01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608" w:type="dxa"/>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49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tcPr>
          <w:p>
            <w:pPr>
              <w:pStyle w:val="128"/>
              <w:spacing w:before="60" w:after="60" w:line="240" w:lineRule="auto"/>
              <w:jc w:val="center"/>
              <w:rPr>
                <w:rFonts w:hint="eastAsia" w:ascii="宋体" w:hAnsi="宋体" w:eastAsia="宋体" w:cs="宋体"/>
                <w:b/>
                <w:bCs/>
                <w:sz w:val="24"/>
              </w:rPr>
            </w:pPr>
            <w:r>
              <w:rPr>
                <w:rFonts w:hint="eastAsia" w:ascii="宋体" w:hAnsi="宋体" w:eastAsia="宋体"/>
                <w:b/>
                <w:bCs/>
                <w:sz w:val="24"/>
              </w:rPr>
              <w:t>一</w:t>
            </w:r>
          </w:p>
        </w:tc>
        <w:tc>
          <w:tcPr>
            <w:tcW w:w="2471" w:type="dxa"/>
          </w:tcPr>
          <w:p>
            <w:pPr>
              <w:widowControl/>
              <w:jc w:val="center"/>
              <w:textAlignment w:val="center"/>
              <w:rPr>
                <w:rFonts w:hint="eastAsia" w:ascii="宋体" w:hAnsi="宋体" w:eastAsia="宋体" w:cs="宋体"/>
                <w:b/>
                <w:bCs/>
                <w:sz w:val="24"/>
                <w:szCs w:val="24"/>
              </w:rPr>
            </w:pPr>
            <w:r>
              <w:rPr>
                <w:rFonts w:hint="eastAsia" w:ascii="宋体" w:hAnsi="宋体" w:eastAsia="宋体"/>
                <w:b/>
                <w:bCs/>
                <w:sz w:val="24"/>
                <w:szCs w:val="24"/>
              </w:rPr>
              <w:t>总镍在线监测设备维修保养服务项目</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p>
        </w:tc>
        <w:tc>
          <w:tcPr>
            <w:tcW w:w="2471" w:type="dxa"/>
            <w:vAlign w:val="center"/>
          </w:tcPr>
          <w:p>
            <w:pPr>
              <w:widowControl/>
              <w:jc w:val="center"/>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p>
        </w:tc>
        <w:tc>
          <w:tcPr>
            <w:tcW w:w="2471" w:type="dxa"/>
            <w:vAlign w:val="center"/>
          </w:tcPr>
          <w:p>
            <w:pPr>
              <w:widowControl/>
              <w:jc w:val="center"/>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w:t>
            </w:r>
          </w:p>
        </w:tc>
        <w:tc>
          <w:tcPr>
            <w:tcW w:w="2471" w:type="dxa"/>
            <w:vAlign w:val="center"/>
          </w:tcPr>
          <w:p>
            <w:pPr>
              <w:widowControl/>
              <w:jc w:val="left"/>
              <w:textAlignment w:val="center"/>
              <w:rPr>
                <w:rFonts w:hint="eastAsia" w:ascii="宋体" w:hAnsi="宋体" w:eastAsia="宋体" w:cs="宋体"/>
                <w:sz w:val="24"/>
                <w:szCs w:val="24"/>
              </w:rPr>
            </w:pPr>
            <w:r>
              <w:rPr>
                <w:rFonts w:ascii="宋体" w:hAnsi="宋体" w:eastAsia="宋体" w:cs="宋体"/>
                <w:sz w:val="24"/>
                <w:szCs w:val="24"/>
              </w:rPr>
              <w:t>如有其他，可根据技术方案特点自行添加</w:t>
            </w:r>
          </w:p>
        </w:tc>
        <w:tc>
          <w:tcPr>
            <w:tcW w:w="2472" w:type="dxa"/>
          </w:tcPr>
          <w:p>
            <w:pPr>
              <w:rPr>
                <w:rFonts w:hint="eastAsia" w:ascii="Arial"/>
              </w:rPr>
            </w:pPr>
          </w:p>
        </w:tc>
        <w:tc>
          <w:tcPr>
            <w:tcW w:w="1474" w:type="dxa"/>
          </w:tcPr>
          <w:p>
            <w:pPr>
              <w:rPr>
                <w:rFonts w:hint="eastAsia" w:ascii="Arial"/>
              </w:rPr>
            </w:pPr>
          </w:p>
        </w:tc>
        <w:tc>
          <w:tcPr>
            <w:tcW w:w="2014" w:type="dxa"/>
          </w:tcPr>
          <w:p>
            <w:pPr>
              <w:rPr>
                <w:rFonts w:hint="eastAsia" w:ascii="Arial"/>
              </w:rPr>
            </w:pPr>
          </w:p>
        </w:tc>
        <w:tc>
          <w:tcPr>
            <w:tcW w:w="2608" w:type="dxa"/>
            <w:tcBorders>
              <w:left w:val="single" w:color="000000" w:sz="4" w:space="0"/>
            </w:tcBorders>
          </w:tcPr>
          <w:p>
            <w:pPr>
              <w:rPr>
                <w:rFonts w:hint="eastAsia" w:ascii="Arial"/>
              </w:rPr>
            </w:pPr>
          </w:p>
        </w:tc>
        <w:tc>
          <w:tcPr>
            <w:tcW w:w="1496"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hint="eastAsia" w:ascii="宋体" w:hAnsi="宋体" w:eastAsia="宋体" w:cs="宋体"/>
          <w:spacing w:val="-6"/>
          <w:szCs w:val="21"/>
        </w:rPr>
      </w:pPr>
    </w:p>
    <w:p>
      <w:pPr>
        <w:spacing w:line="105" w:lineRule="exact"/>
        <w:rPr>
          <w:rFonts w:hint="eastAsia"/>
        </w:rPr>
      </w:pPr>
    </w:p>
    <w:p>
      <w:pPr>
        <w:rPr>
          <w:rFonts w:hint="eastAsia" w:eastAsia="宋体"/>
        </w:rPr>
        <w:sectPr>
          <w:footerReference r:id="rId18"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4"/>
          <w:sz w:val="24"/>
          <w:szCs w:val="24"/>
        </w:rPr>
        <w:t xml:space="preserve">投标人(章)：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附件5-3</w:t>
      </w:r>
      <w:r>
        <w:rPr>
          <w:rFonts w:ascii="Times New Roman" w:hAnsi="Times New Roman" w:eastAsia="宋体" w:cs="宋体"/>
          <w:b/>
          <w:bCs/>
          <w:color w:val="000000"/>
          <w:sz w:val="24"/>
          <w:szCs w:val="24"/>
        </w:rPr>
        <w:t xml:space="preserve"> </w:t>
      </w:r>
      <w:r>
        <w:rPr>
          <w:rFonts w:hint="eastAsia" w:ascii="Times New Roman" w:hAnsi="Times New Roman" w:eastAsia="宋体" w:cs="宋体"/>
          <w:b/>
          <w:bCs/>
          <w:color w:val="000000"/>
          <w:sz w:val="24"/>
          <w:szCs w:val="24"/>
        </w:rPr>
        <w:t>本项目全生命周期内备品备件、易损件和专用耗材明细表</w:t>
      </w:r>
    </w:p>
    <w:p>
      <w:pPr>
        <w:adjustRightInd w:val="0"/>
        <w:snapToGrid w:val="0"/>
        <w:spacing w:line="360" w:lineRule="auto"/>
        <w:rPr>
          <w:rFonts w:hint="eastAsia" w:ascii="宋体" w:hAnsi="宋体" w:eastAsia="宋体" w:cs="宋体"/>
          <w:b/>
          <w:bCs/>
          <w:sz w:val="24"/>
          <w:szCs w:val="24"/>
          <w:highlight w:val="yellow"/>
        </w:rPr>
      </w:pPr>
    </w:p>
    <w:p>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39"/>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518"/>
        <w:gridCol w:w="899"/>
        <w:gridCol w:w="1387"/>
        <w:gridCol w:w="706"/>
        <w:gridCol w:w="847"/>
        <w:gridCol w:w="1646"/>
        <w:gridCol w:w="1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99"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518"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899"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品牌</w:t>
            </w:r>
          </w:p>
        </w:tc>
        <w:tc>
          <w:tcPr>
            <w:tcW w:w="1387"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0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847"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市场价</w:t>
            </w:r>
          </w:p>
        </w:tc>
        <w:tc>
          <w:tcPr>
            <w:tcW w:w="164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重汽折扣价</w:t>
            </w:r>
          </w:p>
        </w:tc>
        <w:tc>
          <w:tcPr>
            <w:tcW w:w="1978"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更换周期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bl>
    <w:p>
      <w:pPr>
        <w:spacing w:before="78" w:line="219" w:lineRule="auto"/>
        <w:ind w:left="431"/>
        <w:rPr>
          <w:rFonts w:hint="eastAsia" w:ascii="宋体" w:hAnsi="宋体" w:eastAsia="宋体" w:cs="宋体"/>
          <w:spacing w:val="-6"/>
          <w:szCs w:val="21"/>
        </w:rPr>
      </w:pPr>
    </w:p>
    <w:p>
      <w:pPr>
        <w:spacing w:line="240" w:lineRule="atLeast"/>
        <w:rPr>
          <w:rFonts w:hint="eastAsia" w:ascii="宋体" w:hAnsi="宋体" w:eastAsia="宋体" w:cs="宋体"/>
          <w:kern w:val="0"/>
          <w:sz w:val="24"/>
          <w:szCs w:val="20"/>
        </w:rPr>
      </w:pPr>
      <w:r>
        <w:rPr>
          <w:rFonts w:hint="eastAsia" w:ascii="宋体" w:hAnsi="宋体" w:eastAsia="宋体" w:cs="宋体"/>
          <w:kern w:val="0"/>
          <w:sz w:val="24"/>
          <w:szCs w:val="20"/>
        </w:rPr>
        <w:t>注：必须提供本项目生命周期内所涉及到所有备品备件、易损件和专用耗材明细表，以便于质保期外，招标人能够根据清单快速找到同规格产品。</w:t>
      </w:r>
    </w:p>
    <w:p>
      <w:pPr>
        <w:spacing w:line="660" w:lineRule="exact"/>
        <w:rPr>
          <w:rFonts w:hint="eastAsia" w:ascii="宋体" w:hAnsi="宋体" w:eastAsia="宋体" w:cs="Times New Roman"/>
          <w:sz w:val="24"/>
          <w:szCs w:val="20"/>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pPr>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2023年8月1日至今同类项目业绩一览表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u w:val="single"/>
        </w:rPr>
        <w:t>总镍在线监测设备维修保养服务项目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jc w:val="center"/>
              <w:rPr>
                <w:rFonts w:hint="eastAsia" w:ascii="宋体" w:hAnsi="宋体" w:eastAsia="宋体" w:cs="宋体"/>
                <w:spacing w:val="-1"/>
                <w:sz w:val="24"/>
                <w:szCs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28"/>
              <w:spacing w:beforeLines="0" w:afterLines="0" w:line="240" w:lineRule="auto"/>
              <w:jc w:val="center"/>
              <w:rPr>
                <w:rFonts w:hint="eastAsia" w:ascii="宋体" w:hAnsi="宋体" w:eastAsia="宋体" w:cs="宋体"/>
                <w:spacing w:val="-1"/>
                <w:sz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28"/>
              <w:spacing w:beforeLines="0" w:afterLines="0" w:line="240" w:lineRule="auto"/>
              <w:jc w:val="center"/>
              <w:rPr>
                <w:rFonts w:hint="eastAsia" w:ascii="宋体" w:hAnsi="宋体" w:eastAsia="宋体" w:cs="宋体"/>
                <w:bCs/>
                <w:sz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28"/>
              <w:spacing w:beforeLines="0" w:afterLines="0" w:line="240" w:lineRule="auto"/>
              <w:jc w:val="center"/>
              <w:rPr>
                <w:rFonts w:hint="eastAsia" w:ascii="宋体" w:hAnsi="宋体" w:eastAsia="宋体" w:cs="宋体"/>
                <w:spacing w:val="-1"/>
                <w:sz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28"/>
              <w:spacing w:beforeLines="0" w:afterLines="0" w:line="240" w:lineRule="auto"/>
              <w:jc w:val="center"/>
              <w:rPr>
                <w:rFonts w:hint="eastAsia" w:ascii="宋体" w:hAnsi="宋体" w:eastAsia="宋体" w:cs="宋体"/>
                <w:sz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28"/>
              <w:spacing w:beforeLines="0" w:afterLines="0" w:line="240" w:lineRule="auto"/>
              <w:jc w:val="center"/>
              <w:rPr>
                <w:rFonts w:hint="eastAsia" w:ascii="宋体" w:hAnsi="宋体" w:eastAsia="宋体" w:cs="宋体"/>
                <w:sz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rPr>
              <w:t>23</w:t>
            </w:r>
            <w:r>
              <w:rPr>
                <w:rFonts w:ascii="宋体" w:hAnsi="宋体" w:eastAsia="宋体" w:cs="宋体"/>
                <w:sz w:val="24"/>
                <w:szCs w:val="24"/>
                <w:highlight w:val="yellow"/>
              </w:rPr>
              <w:t>年</w:t>
            </w:r>
            <w:r>
              <w:rPr>
                <w:rFonts w:hint="eastAsia" w:ascii="宋体" w:hAnsi="宋体" w:eastAsia="宋体" w:cs="宋体"/>
                <w:sz w:val="24"/>
                <w:szCs w:val="24"/>
                <w:highlight w:val="yellow"/>
              </w:rPr>
              <w:t>8</w:t>
            </w:r>
            <w:r>
              <w:rPr>
                <w:rFonts w:ascii="宋体" w:hAnsi="宋体" w:eastAsia="宋体" w:cs="宋体"/>
                <w:sz w:val="24"/>
                <w:szCs w:val="24"/>
                <w:highlight w:val="yellow"/>
              </w:rPr>
              <w:t>月1日至今所有业绩合同总额汇总（必填</w:t>
            </w:r>
            <w:r>
              <w:rPr>
                <w:rFonts w:hint="eastAsia" w:ascii="宋体" w:hAnsi="宋体" w:eastAsia="宋体" w:cs="宋体"/>
                <w:sz w:val="24"/>
                <w:szCs w:val="24"/>
                <w:highlight w:val="yellow"/>
              </w:rPr>
              <w:t>）</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提供2023年8月1日以来同类产品的制造销售业绩（用户名单、联系方式）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tabs>
          <w:tab w:val="left" w:pos="1578"/>
          <w:tab w:val="left" w:pos="10083"/>
        </w:tabs>
        <w:spacing w:line="500" w:lineRule="exact"/>
        <w:rPr>
          <w:rFonts w:ascii="宋体" w:hAnsi="Calibri" w:eastAsia="宋体" w:cs="Times New Roman"/>
          <w:sz w:val="24"/>
          <w:szCs w:val="20"/>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b/>
          <w:bCs/>
          <w:sz w:val="24"/>
          <w:szCs w:val="24"/>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b/>
          <w:bCs/>
          <w:sz w:val="24"/>
          <w:szCs w:val="24"/>
          <w:u w:val="single"/>
        </w:rPr>
        <w:t>总镍在线监测设备维修保养服务项目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u w:val="single"/>
        </w:rPr>
        <w:t>总镍在线监测设备维修保养服务项目</w:t>
      </w:r>
      <w:r>
        <w:rPr>
          <w:rFonts w:ascii="宋体" w:hAnsi="宋体" w:eastAsia="宋体" w:cs="Times New Roman"/>
          <w:color w:val="000000"/>
          <w:sz w:val="24"/>
          <w:szCs w:val="24"/>
        </w:rPr>
        <w:t xml:space="preserve">                                                        </w:t>
      </w:r>
    </w:p>
    <w:tbl>
      <w:tblPr>
        <w:tblStyle w:val="3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7"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w:t>
            </w:r>
          </w:p>
        </w:tc>
        <w:tc>
          <w:tcPr>
            <w:tcW w:w="1518" w:type="dxa"/>
            <w:vAlign w:val="center"/>
          </w:tcPr>
          <w:p>
            <w:pPr>
              <w:jc w:val="center"/>
              <w:rPr>
                <w:rFonts w:ascii="Times New Roman" w:hAnsi="Times New Roman" w:eastAsia="宋体" w:cs="Times New Roman"/>
                <w:b/>
                <w:szCs w:val="20"/>
              </w:rPr>
            </w:pPr>
            <w:r>
              <w:rPr>
                <w:rFonts w:hint="eastAsia" w:ascii="宋体" w:hAnsi="宋体" w:eastAsia="宋体" w:cs="宋体"/>
                <w:b/>
                <w:bCs/>
                <w:sz w:val="24"/>
                <w:szCs w:val="24"/>
                <w:u w:val="single"/>
              </w:rPr>
              <w:t>总镍在线监测设备维修保养服务项目</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不含税价：</w:t>
            </w:r>
          </w:p>
          <w:p>
            <w:pPr>
              <w:jc w:val="center"/>
              <w:rPr>
                <w:rFonts w:hint="eastAsia"/>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21"/>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1"/>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6"/>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7"/>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120"/>
        <w:gridCol w:w="1682"/>
        <w:gridCol w:w="2519"/>
        <w:gridCol w:w="2435"/>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pPr>
              <w:spacing w:before="98" w:line="185" w:lineRule="auto"/>
              <w:ind w:left="10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pPr>
              <w:spacing w:before="99" w:line="183"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pPr>
              <w:spacing w:before="98" w:line="185" w:lineRule="auto"/>
              <w:ind w:left="511"/>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519" w:type="dxa"/>
            <w:tcBorders>
              <w:right w:val="single" w:color="000000" w:sz="4" w:space="0"/>
            </w:tcBorders>
          </w:tcPr>
          <w:p>
            <w:pPr>
              <w:spacing w:before="98" w:line="185"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2435" w:type="dxa"/>
            <w:tcBorders>
              <w:left w:val="single" w:color="000000" w:sz="4" w:space="0"/>
            </w:tcBorders>
          </w:tcPr>
          <w:p>
            <w:pPr>
              <w:spacing w:before="100" w:line="182"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1069" w:type="dxa"/>
          </w:tcPr>
          <w:p>
            <w:pPr>
              <w:spacing w:before="99" w:line="183" w:lineRule="auto"/>
              <w:ind w:firstLine="422" w:firstLineChars="200"/>
              <w:rPr>
                <w:rFonts w:hint="eastAsia" w:ascii="宋体" w:hAnsi="宋体" w:eastAsia="宋体" w:cs="宋体"/>
                <w:szCs w:val="21"/>
              </w:rPr>
            </w:pPr>
            <w:r>
              <w:rPr>
                <w:rFonts w:hint="eastAsia" w:ascii="宋体" w:hAnsi="宋体" w:eastAsia="宋体" w:cs="宋体"/>
                <w:b/>
                <w:bCs/>
                <w:szCs w:val="21"/>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单位</w:t>
            </w:r>
          </w:p>
        </w:tc>
        <w:tc>
          <w:tcPr>
            <w:tcW w:w="112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总价[5×8]（不含税）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p>
        </w:tc>
        <w:tc>
          <w:tcPr>
            <w:tcW w:w="2238" w:type="dxa"/>
            <w:vAlign w:val="center"/>
          </w:tcPr>
          <w:p>
            <w:pPr>
              <w:widowControl/>
              <w:jc w:val="center"/>
              <w:textAlignment w:val="center"/>
              <w:rPr>
                <w:rFonts w:hint="eastAsia" w:ascii="宋体" w:hAnsi="宋体" w:eastAsia="宋体" w:cs="宋体"/>
                <w:sz w:val="24"/>
                <w:szCs w:val="24"/>
              </w:rPr>
            </w:pPr>
          </w:p>
        </w:tc>
        <w:tc>
          <w:tcPr>
            <w:tcW w:w="2239" w:type="dxa"/>
          </w:tcPr>
          <w:p>
            <w:pPr>
              <w:rPr>
                <w:rFonts w:hint="eastAsia" w:ascii="宋体" w:hAnsi="宋体" w:eastAsia="宋体" w:cs="宋体"/>
              </w:rPr>
            </w:pPr>
          </w:p>
        </w:tc>
        <w:tc>
          <w:tcPr>
            <w:tcW w:w="1120" w:type="dxa"/>
          </w:tcPr>
          <w:p>
            <w:pPr>
              <w:rPr>
                <w:rFonts w:hint="eastAsia" w:ascii="宋体" w:hAnsi="宋体" w:eastAsia="宋体" w:cs="宋体"/>
              </w:rPr>
            </w:pPr>
          </w:p>
        </w:tc>
        <w:tc>
          <w:tcPr>
            <w:tcW w:w="1120" w:type="dxa"/>
          </w:tcPr>
          <w:p>
            <w:pPr>
              <w:rPr>
                <w:rFonts w:hint="eastAsia" w:ascii="宋体" w:hAnsi="宋体" w:eastAsia="宋体" w:cs="宋体"/>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p>
        </w:tc>
        <w:tc>
          <w:tcPr>
            <w:tcW w:w="2238" w:type="dxa"/>
            <w:vAlign w:val="center"/>
          </w:tcPr>
          <w:p>
            <w:pPr>
              <w:widowControl/>
              <w:jc w:val="center"/>
              <w:textAlignment w:val="center"/>
              <w:rPr>
                <w:rFonts w:hint="eastAsia" w:ascii="宋体" w:hAnsi="宋体" w:eastAsia="宋体" w:cs="宋体"/>
                <w:sz w:val="24"/>
                <w:szCs w:val="24"/>
              </w:rPr>
            </w:pPr>
          </w:p>
        </w:tc>
        <w:tc>
          <w:tcPr>
            <w:tcW w:w="2239" w:type="dxa"/>
          </w:tcPr>
          <w:p>
            <w:pPr>
              <w:rPr>
                <w:rFonts w:hint="eastAsia" w:ascii="宋体" w:hAnsi="宋体" w:eastAsia="宋体" w:cs="宋体"/>
              </w:rPr>
            </w:pPr>
          </w:p>
        </w:tc>
        <w:tc>
          <w:tcPr>
            <w:tcW w:w="1120" w:type="dxa"/>
          </w:tcPr>
          <w:p>
            <w:pPr>
              <w:rPr>
                <w:rFonts w:hint="eastAsia" w:ascii="宋体" w:hAnsi="宋体" w:eastAsia="宋体" w:cs="宋体"/>
              </w:rPr>
            </w:pPr>
          </w:p>
        </w:tc>
        <w:tc>
          <w:tcPr>
            <w:tcW w:w="1120" w:type="dxa"/>
          </w:tcPr>
          <w:p>
            <w:pPr>
              <w:rPr>
                <w:rFonts w:hint="eastAsia" w:ascii="宋体" w:hAnsi="宋体" w:eastAsia="宋体" w:cs="宋体"/>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w:t>
            </w:r>
          </w:p>
        </w:tc>
        <w:tc>
          <w:tcPr>
            <w:tcW w:w="2238" w:type="dxa"/>
            <w:vAlign w:val="center"/>
          </w:tcPr>
          <w:p>
            <w:pPr>
              <w:widowControl/>
              <w:jc w:val="left"/>
              <w:textAlignment w:val="center"/>
              <w:rPr>
                <w:rFonts w:hint="eastAsia" w:ascii="宋体" w:hAnsi="宋体" w:eastAsia="宋体" w:cs="宋体"/>
                <w:sz w:val="24"/>
                <w:szCs w:val="24"/>
              </w:rPr>
            </w:pPr>
            <w:r>
              <w:rPr>
                <w:rFonts w:ascii="宋体" w:hAnsi="宋体" w:eastAsia="宋体" w:cs="宋体"/>
                <w:sz w:val="24"/>
                <w:szCs w:val="24"/>
              </w:rPr>
              <w:t>如有其他，可根据技术方案特点自行添加</w:t>
            </w:r>
          </w:p>
        </w:tc>
        <w:tc>
          <w:tcPr>
            <w:tcW w:w="2239" w:type="dxa"/>
          </w:tcPr>
          <w:p>
            <w:pPr>
              <w:rPr>
                <w:rFonts w:hint="eastAsia" w:ascii="宋体" w:hAnsi="宋体" w:eastAsia="宋体" w:cs="宋体"/>
              </w:rPr>
            </w:pPr>
          </w:p>
        </w:tc>
        <w:tc>
          <w:tcPr>
            <w:tcW w:w="1120" w:type="dxa"/>
          </w:tcPr>
          <w:p>
            <w:pPr>
              <w:rPr>
                <w:rFonts w:hint="eastAsia" w:ascii="宋体" w:hAnsi="宋体" w:eastAsia="宋体" w:cs="宋体"/>
              </w:rPr>
            </w:pPr>
          </w:p>
        </w:tc>
        <w:tc>
          <w:tcPr>
            <w:tcW w:w="1120" w:type="dxa"/>
          </w:tcPr>
          <w:p>
            <w:pPr>
              <w:rPr>
                <w:rFonts w:hint="eastAsia" w:ascii="宋体" w:hAnsi="宋体" w:eastAsia="宋体" w:cs="宋体"/>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590" w:type="dxa"/>
            <w:gridSpan w:val="7"/>
            <w:tcBorders>
              <w:right w:val="single" w:color="000000" w:sz="4" w:space="0"/>
            </w:tcBorders>
          </w:tcPr>
          <w:p>
            <w:pPr>
              <w:jc w:val="center"/>
              <w:rPr>
                <w:rFonts w:hint="eastAsia"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pPr>
              <w:rPr>
                <w:rFonts w:hint="eastAsia" w:ascii="Arial"/>
              </w:rPr>
            </w:pPr>
          </w:p>
        </w:tc>
        <w:tc>
          <w:tcPr>
            <w:tcW w:w="1069" w:type="dxa"/>
          </w:tcPr>
          <w:p>
            <w:pPr>
              <w:rPr>
                <w:rFonts w:hint="eastAsia" w:ascii="Arial"/>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rPr>
          <w:rFonts w:hint="eastAsia"/>
        </w:rPr>
      </w:pPr>
    </w:p>
    <w:p>
      <w:pPr>
        <w:rPr>
          <w:rFonts w:hint="eastAsia"/>
        </w:rPr>
        <w:sectPr>
          <w:footerReference r:id="rId21" w:type="default"/>
          <w:pgSz w:w="16841" w:h="11907" w:orient="landscape"/>
          <w:pgMar w:top="400" w:right="1387" w:bottom="1168" w:left="1473" w:header="0" w:footer="990" w:gutter="0"/>
          <w:cols w:equalWidth="0" w:num="1">
            <w:col w:w="13980"/>
          </w:cols>
        </w:sectPr>
      </w:pP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7"/>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2" w:type="default"/>
          <w:pgSz w:w="16841" w:h="11907"/>
          <w:pgMar w:top="400" w:right="1699" w:bottom="1184" w:left="1481" w:header="0" w:footer="1022" w:gutter="0"/>
          <w:cols w:space="720" w:num="1"/>
        </w:sectPr>
      </w:pPr>
    </w:p>
    <w:p>
      <w:pPr>
        <w:pStyle w:val="7"/>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31"/>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0" w:line="186" w:lineRule="auto"/>
              <w:jc w:val="center"/>
              <w:rPr>
                <w:rFonts w:hint="eastAsia" w:ascii="宋体" w:hAnsi="宋体" w:eastAsia="宋体" w:cs="宋体"/>
                <w:szCs w:val="21"/>
              </w:rPr>
            </w:pPr>
            <w:r>
              <w:rPr>
                <w:rFonts w:ascii="宋体" w:hAnsi="宋体" w:eastAsia="宋体" w:cs="宋体"/>
                <w:szCs w:val="21"/>
              </w:rPr>
              <w:t>1</w:t>
            </w:r>
          </w:p>
        </w:tc>
        <w:tc>
          <w:tcPr>
            <w:tcW w:w="3625" w:type="dxa"/>
          </w:tcPr>
          <w:p>
            <w:pPr>
              <w:spacing w:before="266" w:line="221" w:lineRule="auto"/>
              <w:jc w:val="center"/>
              <w:rPr>
                <w:rFonts w:hint="eastAsia" w:ascii="宋体" w:hAnsi="宋体" w:eastAsia="宋体" w:cs="宋体"/>
                <w:szCs w:val="21"/>
                <w:highlight w:val="yellow"/>
              </w:rPr>
            </w:pPr>
            <w:r>
              <w:rPr>
                <w:rFonts w:hint="eastAsia" w:ascii="宋体" w:hAnsi="宋体" w:eastAsia="宋体" w:cs="宋体"/>
                <w:sz w:val="24"/>
                <w:szCs w:val="24"/>
              </w:rPr>
              <w:t>加工、组装</w:t>
            </w:r>
          </w:p>
        </w:tc>
        <w:tc>
          <w:tcPr>
            <w:tcW w:w="1126" w:type="dxa"/>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宋体" w:hAnsi="宋体" w:eastAsia="宋体" w:cs="宋体"/>
                <w:szCs w:val="21"/>
              </w:rPr>
            </w:pPr>
            <w:r>
              <w:rPr>
                <w:rFonts w:hint="eastAsia" w:ascii="宋体" w:hAnsi="宋体" w:eastAsia="宋体" w:cs="宋体"/>
                <w:szCs w:val="21"/>
              </w:rPr>
              <w:t>2</w:t>
            </w:r>
          </w:p>
        </w:tc>
        <w:tc>
          <w:tcPr>
            <w:tcW w:w="3625" w:type="dxa"/>
          </w:tcPr>
          <w:p>
            <w:pPr>
              <w:spacing w:before="266" w:line="221" w:lineRule="auto"/>
              <w:jc w:val="center"/>
              <w:rPr>
                <w:rFonts w:hint="eastAsia" w:ascii="宋体" w:hAnsi="宋体" w:eastAsia="宋体" w:cs="宋体"/>
                <w:szCs w:val="21"/>
                <w:highlight w:val="yellow"/>
              </w:rPr>
            </w:pPr>
            <w:r>
              <w:rPr>
                <w:rFonts w:hint="eastAsia" w:ascii="宋体" w:hAnsi="宋体" w:eastAsia="宋体" w:cs="宋体"/>
                <w:spacing w:val="-1"/>
                <w:szCs w:val="21"/>
                <w:highlight w:val="yellow"/>
              </w:rPr>
              <w:t>现场安装调试、验收</w:t>
            </w:r>
          </w:p>
        </w:tc>
        <w:tc>
          <w:tcPr>
            <w:tcW w:w="1126" w:type="dxa"/>
          </w:tcPr>
          <w:p>
            <w:pPr>
              <w:spacing w:before="266" w:line="221" w:lineRule="auto"/>
              <w:jc w:val="center"/>
              <w:rPr>
                <w:rFonts w:hint="eastAsia" w:ascii="宋体" w:hAnsi="宋体" w:eastAsia="宋体" w:cs="宋体"/>
                <w:spacing w:val="-2"/>
                <w:szCs w:val="21"/>
              </w:rPr>
            </w:pPr>
            <w:r>
              <w:rPr>
                <w:rFonts w:hint="eastAsia" w:ascii="宋体" w:hAnsi="宋体" w:eastAsia="宋体" w:cs="宋体"/>
                <w:spacing w:val="-1"/>
                <w:szCs w:val="21"/>
              </w:rPr>
              <w:t>套</w:t>
            </w: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宋体" w:hAnsi="宋体" w:eastAsia="宋体" w:cs="宋体"/>
                <w:szCs w:val="21"/>
              </w:rPr>
            </w:pPr>
            <w:r>
              <w:rPr>
                <w:rFonts w:hint="eastAsia" w:ascii="宋体" w:hAnsi="宋体" w:eastAsia="宋体" w:cs="宋体"/>
                <w:szCs w:val="21"/>
              </w:rPr>
              <w:t>3</w:t>
            </w:r>
          </w:p>
        </w:tc>
        <w:tc>
          <w:tcPr>
            <w:tcW w:w="3625" w:type="dxa"/>
          </w:tcPr>
          <w:p>
            <w:pPr>
              <w:spacing w:before="266" w:line="221" w:lineRule="auto"/>
              <w:jc w:val="center"/>
              <w:rPr>
                <w:rFonts w:hint="eastAsia" w:ascii="宋体" w:hAnsi="宋体" w:eastAsia="宋体" w:cs="宋体"/>
                <w:szCs w:val="21"/>
                <w:highlight w:val="yellow"/>
              </w:rPr>
            </w:pPr>
            <w:r>
              <w:rPr>
                <w:rFonts w:hint="eastAsia" w:ascii="宋体" w:hAnsi="宋体" w:eastAsia="宋体" w:cs="宋体"/>
                <w:spacing w:val="-2"/>
                <w:szCs w:val="21"/>
                <w:highlight w:val="yellow"/>
              </w:rPr>
              <w:t>技术培训材料</w:t>
            </w:r>
          </w:p>
        </w:tc>
        <w:tc>
          <w:tcPr>
            <w:tcW w:w="1126" w:type="dxa"/>
          </w:tcPr>
          <w:p>
            <w:pPr>
              <w:spacing w:before="266" w:line="221" w:lineRule="auto"/>
              <w:jc w:val="center"/>
              <w:rPr>
                <w:rFonts w:hint="eastAsia" w:ascii="宋体" w:hAnsi="宋体" w:eastAsia="宋体" w:cs="宋体"/>
                <w:spacing w:val="-1"/>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宋体" w:hAnsi="宋体" w:eastAsia="宋体" w:cs="宋体"/>
                <w:szCs w:val="21"/>
              </w:rPr>
            </w:pPr>
            <w:r>
              <w:rPr>
                <w:rFonts w:hint="eastAsia" w:ascii="宋体" w:hAnsi="宋体" w:eastAsia="宋体" w:cs="宋体"/>
                <w:szCs w:val="21"/>
              </w:rPr>
              <w:t>4</w:t>
            </w:r>
          </w:p>
        </w:tc>
        <w:tc>
          <w:tcPr>
            <w:tcW w:w="3625" w:type="dxa"/>
          </w:tcPr>
          <w:p>
            <w:pPr>
              <w:spacing w:before="266" w:line="221" w:lineRule="auto"/>
              <w:jc w:val="center"/>
              <w:rPr>
                <w:rFonts w:hint="eastAsia" w:ascii="宋体" w:hAnsi="宋体" w:eastAsia="宋体" w:cs="宋体"/>
                <w:sz w:val="24"/>
                <w:szCs w:val="24"/>
              </w:rPr>
            </w:pPr>
            <w:r>
              <w:rPr>
                <w:rFonts w:hint="eastAsia" w:ascii="宋体" w:hAnsi="宋体" w:eastAsia="宋体" w:cs="宋体"/>
                <w:sz w:val="24"/>
                <w:szCs w:val="24"/>
              </w:rPr>
              <w:t>管理费用</w:t>
            </w:r>
          </w:p>
        </w:tc>
        <w:tc>
          <w:tcPr>
            <w:tcW w:w="1126" w:type="dxa"/>
          </w:tcPr>
          <w:p>
            <w:pPr>
              <w:spacing w:before="266" w:line="221" w:lineRule="auto"/>
              <w:jc w:val="center"/>
              <w:rPr>
                <w:rFonts w:hint="eastAsia" w:ascii="宋体" w:hAnsi="宋体" w:eastAsia="宋体" w:cs="宋体"/>
                <w:spacing w:val="-1"/>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宋体" w:hAnsi="宋体" w:eastAsia="宋体" w:cs="宋体"/>
                <w:szCs w:val="21"/>
              </w:rPr>
            </w:pPr>
            <w:r>
              <w:rPr>
                <w:rFonts w:hint="eastAsia" w:ascii="宋体" w:hAnsi="宋体" w:eastAsia="宋体" w:cs="宋体"/>
                <w:szCs w:val="21"/>
              </w:rPr>
              <w:t>5</w:t>
            </w:r>
          </w:p>
        </w:tc>
        <w:tc>
          <w:tcPr>
            <w:tcW w:w="3625" w:type="dxa"/>
          </w:tcPr>
          <w:p>
            <w:pPr>
              <w:spacing w:before="266" w:line="221" w:lineRule="auto"/>
              <w:jc w:val="center"/>
              <w:rPr>
                <w:rFonts w:hint="eastAsia" w:ascii="宋体" w:hAnsi="宋体" w:eastAsia="宋体" w:cs="宋体"/>
                <w:sz w:val="24"/>
                <w:szCs w:val="24"/>
              </w:rPr>
            </w:pPr>
            <w:r>
              <w:rPr>
                <w:rFonts w:hint="eastAsia" w:ascii="宋体" w:hAnsi="宋体" w:eastAsia="宋体" w:cs="宋体"/>
                <w:sz w:val="24"/>
                <w:szCs w:val="24"/>
              </w:rPr>
              <w:t>利润、税费、杂费</w:t>
            </w:r>
          </w:p>
        </w:tc>
        <w:tc>
          <w:tcPr>
            <w:tcW w:w="1126" w:type="dxa"/>
          </w:tcPr>
          <w:p>
            <w:pPr>
              <w:spacing w:before="266" w:line="221" w:lineRule="auto"/>
              <w:jc w:val="center"/>
              <w:rPr>
                <w:rFonts w:hint="eastAsia" w:ascii="宋体" w:hAnsi="宋体" w:eastAsia="宋体" w:cs="宋体"/>
                <w:spacing w:val="-1"/>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宋体" w:hAnsi="宋体" w:eastAsia="宋体" w:cs="宋体"/>
                <w:szCs w:val="21"/>
              </w:rPr>
            </w:pPr>
            <w:r>
              <w:rPr>
                <w:rFonts w:hint="eastAsia" w:ascii="宋体" w:hAnsi="宋体" w:eastAsia="宋体" w:cs="宋体"/>
                <w:szCs w:val="21"/>
              </w:rPr>
              <w:t>6</w:t>
            </w:r>
          </w:p>
        </w:tc>
        <w:tc>
          <w:tcPr>
            <w:tcW w:w="3625" w:type="dxa"/>
          </w:tcPr>
          <w:p>
            <w:pPr>
              <w:spacing w:before="266" w:line="221" w:lineRule="auto"/>
              <w:jc w:val="center"/>
              <w:rPr>
                <w:rFonts w:hint="eastAsia" w:ascii="宋体" w:hAnsi="宋体" w:eastAsia="宋体" w:cs="宋体"/>
                <w:spacing w:val="-2"/>
                <w:szCs w:val="21"/>
                <w:highlight w:val="yellow"/>
              </w:rPr>
            </w:pPr>
            <w:r>
              <w:rPr>
                <w:rFonts w:hint="eastAsia" w:ascii="宋体" w:hAnsi="宋体" w:eastAsia="宋体" w:cs="宋体"/>
                <w:sz w:val="24"/>
                <w:szCs w:val="24"/>
              </w:rPr>
              <w:t>设备图纸及说明书</w:t>
            </w:r>
          </w:p>
        </w:tc>
        <w:tc>
          <w:tcPr>
            <w:tcW w:w="1126" w:type="dxa"/>
          </w:tcPr>
          <w:p>
            <w:pPr>
              <w:spacing w:before="266" w:line="221" w:lineRule="auto"/>
              <w:jc w:val="center"/>
              <w:rPr>
                <w:rFonts w:hint="eastAsia" w:ascii="宋体" w:hAnsi="宋体" w:eastAsia="宋体" w:cs="宋体"/>
                <w:spacing w:val="-1"/>
                <w:szCs w:val="21"/>
              </w:rPr>
            </w:pPr>
            <w:r>
              <w:rPr>
                <w:rFonts w:hint="eastAsia" w:ascii="宋体" w:hAnsi="宋体" w:eastAsia="宋体" w:cs="宋体"/>
                <w:spacing w:val="-1"/>
                <w:szCs w:val="21"/>
              </w:rPr>
              <w:t>套</w:t>
            </w: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21"/>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23" w:type="default"/>
          <w:pgSz w:w="16841" w:h="11907"/>
          <w:pgMar w:top="400" w:right="1699" w:bottom="1184" w:left="1481" w:header="0" w:footer="1022" w:gutter="0"/>
          <w:cols w:space="720" w:num="1"/>
        </w:sectPr>
      </w:pPr>
    </w:p>
    <w:p>
      <w:pPr>
        <w:pStyle w:val="7"/>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1"/>
        <w:tblW w:w="1467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840" w:type="dxa"/>
          </w:tcPr>
          <w:p>
            <w:pPr>
              <w:spacing w:before="101" w:line="185" w:lineRule="auto"/>
              <w:ind w:left="371"/>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5</w:t>
            </w:r>
          </w:p>
        </w:tc>
        <w:tc>
          <w:tcPr>
            <w:tcW w:w="2239" w:type="dxa"/>
          </w:tcPr>
          <w:p>
            <w:pPr>
              <w:spacing w:before="103" w:line="182" w:lineRule="auto"/>
              <w:ind w:left="1075"/>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6</w:t>
            </w:r>
          </w:p>
        </w:tc>
        <w:tc>
          <w:tcPr>
            <w:tcW w:w="1498" w:type="dxa"/>
          </w:tcPr>
          <w:p>
            <w:pPr>
              <w:spacing w:before="102" w:line="183" w:lineRule="auto"/>
              <w:ind w:left="585"/>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1861" w:type="dxa"/>
          </w:tcPr>
          <w:p>
            <w:pPr>
              <w:spacing w:before="103" w:line="182" w:lineRule="auto"/>
              <w:ind w:left="1010"/>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1120" w:type="dxa"/>
          </w:tcPr>
          <w:p>
            <w:pPr>
              <w:spacing w:before="102" w:line="183" w:lineRule="auto"/>
              <w:ind w:left="516"/>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9</w:t>
            </w:r>
          </w:p>
        </w:tc>
        <w:tc>
          <w:tcPr>
            <w:tcW w:w="1125" w:type="dxa"/>
          </w:tcPr>
          <w:p>
            <w:pPr>
              <w:spacing w:before="102" w:line="183" w:lineRule="auto"/>
              <w:ind w:left="515"/>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84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5×7]（不含税）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hint="eastAsia" w:ascii="宋体" w:hAnsi="宋体" w:eastAsia="宋体" w:cs="宋体"/>
                <w:szCs w:val="21"/>
              </w:rPr>
            </w:pPr>
            <w:r>
              <w:rPr>
                <w:rFonts w:ascii="宋体" w:hAnsi="宋体" w:eastAsia="宋体" w:cs="宋体"/>
                <w:szCs w:val="21"/>
              </w:rPr>
              <w:t>1</w:t>
            </w: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hint="eastAsia" w:ascii="宋体" w:hAnsi="宋体" w:eastAsia="宋体" w:cs="宋体"/>
                <w:szCs w:val="21"/>
              </w:rPr>
            </w:pPr>
            <w:r>
              <w:rPr>
                <w:rFonts w:ascii="宋体" w:hAnsi="宋体" w:eastAsia="宋体" w:cs="宋体"/>
                <w:szCs w:val="21"/>
              </w:rPr>
              <w:t>2</w:t>
            </w: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569" w:type="dxa"/>
            <w:gridSpan w:val="7"/>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253" w:line="224" w:lineRule="auto"/>
        <w:ind w:left="6488"/>
        <w:rPr>
          <w:rFonts w:hint="eastAsia" w:ascii="宋体" w:hAnsi="宋体" w:eastAsia="宋体" w:cs="宋体"/>
          <w:spacing w:val="9"/>
          <w:sz w:val="24"/>
          <w:szCs w:val="24"/>
          <w14:textOutline w14:w="5791" w14:cap="flat" w14:cmpd="sng" w14:algn="ctr">
            <w14:solidFill>
              <w14:srgbClr w14:val="000000"/>
            </w14:solidFill>
            <w14:prstDash w14:val="solid"/>
            <w14:miter w14:val="0"/>
          </w14:textOutline>
        </w:rPr>
      </w:pPr>
    </w:p>
    <w:p>
      <w:pPr>
        <w:pStyle w:val="7"/>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pPr>
              <w:jc w:val="center"/>
              <w:rPr>
                <w:rFonts w:hint="eastAsia" w:ascii="宋体" w:hAnsi="宋体" w:eastAsia="宋体" w:cs="宋体"/>
                <w:spacing w:val="-4"/>
                <w:szCs w:val="21"/>
              </w:rPr>
            </w:pPr>
            <w:r>
              <w:rPr>
                <w:rFonts w:hint="eastAsia" w:ascii="宋体" w:hAnsi="宋体" w:eastAsia="宋体" w:cs="宋体"/>
                <w:spacing w:val="-4"/>
                <w:szCs w:val="21"/>
              </w:rPr>
              <w:t>1</w:t>
            </w:r>
          </w:p>
        </w:tc>
        <w:tc>
          <w:tcPr>
            <w:tcW w:w="5765" w:type="dxa"/>
          </w:tcPr>
          <w:p>
            <w:pPr>
              <w:jc w:val="center"/>
              <w:rPr>
                <w:rFonts w:hint="eastAsia" w:ascii="宋体" w:hAnsi="宋体" w:eastAsia="宋体" w:cs="宋体"/>
                <w:spacing w:val="-4"/>
                <w:szCs w:val="21"/>
              </w:rPr>
            </w:pPr>
            <w:r>
              <w:rPr>
                <w:rFonts w:hint="eastAsia" w:ascii="宋体" w:hAnsi="宋体" w:eastAsia="宋体" w:cs="宋体"/>
                <w:spacing w:val="-4"/>
                <w:szCs w:val="21"/>
              </w:rPr>
              <w:t>表 9-1 总计</w:t>
            </w:r>
          </w:p>
        </w:tc>
        <w:tc>
          <w:tcPr>
            <w:tcW w:w="3354" w:type="dxa"/>
          </w:tcPr>
          <w:p>
            <w:pPr>
              <w:jc w:val="center"/>
              <w:rPr>
                <w:rFonts w:hint="eastAsia" w:ascii="宋体" w:hAnsi="宋体" w:eastAsia="宋体" w:cs="宋体"/>
                <w:spacing w:val="-4"/>
                <w:szCs w:val="21"/>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080" w:type="dxa"/>
          </w:tcPr>
          <w:p>
            <w:pPr>
              <w:jc w:val="center"/>
              <w:rPr>
                <w:rFonts w:hint="eastAsia" w:ascii="宋体" w:hAnsi="宋体" w:eastAsia="宋体" w:cs="宋体"/>
                <w:spacing w:val="-4"/>
                <w:szCs w:val="21"/>
              </w:rPr>
            </w:pPr>
            <w:r>
              <w:rPr>
                <w:rFonts w:hint="eastAsia" w:ascii="宋体" w:hAnsi="宋体" w:eastAsia="宋体" w:cs="宋体"/>
                <w:spacing w:val="-4"/>
                <w:szCs w:val="21"/>
              </w:rPr>
              <w:t>2</w:t>
            </w:r>
          </w:p>
        </w:tc>
        <w:tc>
          <w:tcPr>
            <w:tcW w:w="5765" w:type="dxa"/>
          </w:tcPr>
          <w:p>
            <w:pPr>
              <w:jc w:val="center"/>
              <w:rPr>
                <w:rFonts w:hint="eastAsia" w:ascii="宋体" w:hAnsi="宋体" w:eastAsia="宋体" w:cs="宋体"/>
                <w:spacing w:val="-4"/>
                <w:szCs w:val="21"/>
              </w:rPr>
            </w:pPr>
            <w:r>
              <w:rPr>
                <w:rFonts w:hint="eastAsia" w:ascii="宋体" w:hAnsi="宋体" w:eastAsia="宋体" w:cs="宋体"/>
                <w:spacing w:val="-4"/>
                <w:szCs w:val="21"/>
              </w:rPr>
              <w:t>表 9-2 总计</w:t>
            </w:r>
          </w:p>
        </w:tc>
        <w:tc>
          <w:tcPr>
            <w:tcW w:w="3354" w:type="dxa"/>
          </w:tcPr>
          <w:p>
            <w:pPr>
              <w:jc w:val="center"/>
              <w:rPr>
                <w:rFonts w:hint="eastAsia" w:ascii="宋体" w:hAnsi="宋体" w:eastAsia="宋体" w:cs="宋体"/>
                <w:spacing w:val="-4"/>
                <w:szCs w:val="21"/>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80" w:type="dxa"/>
          </w:tcPr>
          <w:p>
            <w:pPr>
              <w:jc w:val="center"/>
              <w:rPr>
                <w:rFonts w:hint="eastAsia" w:ascii="宋体" w:hAnsi="宋体" w:eastAsia="宋体" w:cs="宋体"/>
                <w:spacing w:val="-4"/>
                <w:szCs w:val="21"/>
              </w:rPr>
            </w:pPr>
            <w:r>
              <w:rPr>
                <w:rFonts w:hint="eastAsia" w:ascii="宋体" w:hAnsi="宋体" w:eastAsia="宋体" w:cs="宋体"/>
                <w:spacing w:val="-4"/>
                <w:szCs w:val="21"/>
              </w:rPr>
              <w:t>3</w:t>
            </w:r>
          </w:p>
        </w:tc>
        <w:tc>
          <w:tcPr>
            <w:tcW w:w="5765" w:type="dxa"/>
          </w:tcPr>
          <w:p>
            <w:pPr>
              <w:jc w:val="center"/>
              <w:rPr>
                <w:rFonts w:hint="eastAsia" w:ascii="宋体" w:hAnsi="宋体" w:eastAsia="宋体" w:cs="宋体"/>
                <w:spacing w:val="-4"/>
                <w:szCs w:val="21"/>
              </w:rPr>
            </w:pPr>
            <w:r>
              <w:rPr>
                <w:rFonts w:hint="eastAsia" w:ascii="宋体" w:hAnsi="宋体" w:eastAsia="宋体" w:cs="宋体"/>
                <w:spacing w:val="-4"/>
                <w:szCs w:val="21"/>
              </w:rPr>
              <w:t>表 9-3 总计</w:t>
            </w:r>
          </w:p>
        </w:tc>
        <w:tc>
          <w:tcPr>
            <w:tcW w:w="3354" w:type="dxa"/>
          </w:tcPr>
          <w:p>
            <w:pPr>
              <w:jc w:val="center"/>
              <w:rPr>
                <w:rFonts w:hint="eastAsia" w:ascii="宋体" w:hAnsi="宋体" w:eastAsia="宋体" w:cs="宋体"/>
                <w:spacing w:val="-4"/>
                <w:szCs w:val="21"/>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080" w:type="dxa"/>
          </w:tcPr>
          <w:p>
            <w:pPr>
              <w:jc w:val="center"/>
              <w:rPr>
                <w:rFonts w:hint="eastAsia" w:ascii="宋体" w:hAnsi="宋体" w:eastAsia="宋体" w:cs="宋体"/>
                <w:spacing w:val="-4"/>
                <w:szCs w:val="21"/>
              </w:rPr>
            </w:pPr>
            <w:r>
              <w:rPr>
                <w:rFonts w:hint="eastAsia" w:ascii="宋体" w:hAnsi="宋体" w:eastAsia="宋体" w:cs="宋体"/>
                <w:spacing w:val="-4"/>
                <w:szCs w:val="21"/>
              </w:rPr>
              <w:t>4</w:t>
            </w:r>
          </w:p>
        </w:tc>
        <w:tc>
          <w:tcPr>
            <w:tcW w:w="5765" w:type="dxa"/>
          </w:tcPr>
          <w:p>
            <w:pPr>
              <w:jc w:val="center"/>
              <w:rPr>
                <w:rFonts w:hint="eastAsia" w:ascii="宋体" w:hAnsi="宋体" w:eastAsia="宋体" w:cs="宋体"/>
                <w:spacing w:val="-4"/>
                <w:szCs w:val="21"/>
              </w:rPr>
            </w:pPr>
            <w:r>
              <w:rPr>
                <w:rFonts w:hint="eastAsia" w:ascii="宋体" w:hAnsi="宋体" w:eastAsia="宋体" w:cs="宋体"/>
                <w:spacing w:val="-4"/>
                <w:szCs w:val="21"/>
              </w:rPr>
              <w:t>表 9-4 总计</w:t>
            </w:r>
          </w:p>
        </w:tc>
        <w:tc>
          <w:tcPr>
            <w:tcW w:w="3354" w:type="dxa"/>
          </w:tcPr>
          <w:p>
            <w:pPr>
              <w:jc w:val="center"/>
              <w:rPr>
                <w:rFonts w:hint="eastAsia" w:ascii="宋体" w:hAnsi="宋体" w:eastAsia="宋体" w:cs="宋体"/>
                <w:spacing w:val="-4"/>
                <w:szCs w:val="21"/>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pPr>
              <w:jc w:val="center"/>
              <w:rPr>
                <w:rFonts w:hint="eastAsia" w:ascii="宋体" w:hAnsi="宋体" w:eastAsia="宋体" w:cs="宋体"/>
                <w:spacing w:val="-4"/>
                <w:szCs w:val="21"/>
              </w:rPr>
            </w:pPr>
            <w:r>
              <w:rPr>
                <w:rFonts w:hint="eastAsia" w:ascii="宋体" w:hAnsi="宋体" w:eastAsia="宋体" w:cs="宋体"/>
                <w:spacing w:val="-4"/>
                <w:szCs w:val="21"/>
              </w:rPr>
              <w:t>5</w:t>
            </w:r>
          </w:p>
        </w:tc>
        <w:tc>
          <w:tcPr>
            <w:tcW w:w="5765" w:type="dxa"/>
          </w:tcPr>
          <w:p>
            <w:pPr>
              <w:jc w:val="center"/>
              <w:rPr>
                <w:rFonts w:hint="eastAsia" w:ascii="宋体" w:hAnsi="宋体" w:eastAsia="宋体" w:cs="宋体"/>
                <w:spacing w:val="-4"/>
                <w:szCs w:val="21"/>
              </w:rPr>
            </w:pPr>
            <w:r>
              <w:rPr>
                <w:rFonts w:hint="eastAsia" w:ascii="宋体" w:hAnsi="宋体" w:eastAsia="宋体" w:cs="宋体"/>
                <w:spacing w:val="-4"/>
                <w:szCs w:val="21"/>
              </w:rPr>
              <w:t>总计</w:t>
            </w:r>
          </w:p>
        </w:tc>
        <w:tc>
          <w:tcPr>
            <w:tcW w:w="3354" w:type="dxa"/>
          </w:tcPr>
          <w:p>
            <w:pPr>
              <w:jc w:val="center"/>
              <w:rPr>
                <w:rFonts w:hint="eastAsia" w:ascii="宋体" w:hAnsi="宋体" w:eastAsia="宋体" w:cs="宋体"/>
                <w:spacing w:val="-4"/>
                <w:szCs w:val="21"/>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1"/>
      </w:pPr>
    </w:p>
    <w:p>
      <w:pPr>
        <w:pStyle w:val="21"/>
      </w:pPr>
    </w:p>
    <w:p>
      <w:pPr>
        <w:spacing w:before="140" w:line="220" w:lineRule="auto"/>
        <w:ind w:left="2" w:firstLine="464" w:firstLineChars="200"/>
        <w:rPr>
          <w:rFonts w:hint="eastAsia" w:ascii="宋体" w:hAnsi="宋体" w:eastAsia="宋体" w:cs="宋体"/>
          <w:spacing w:val="-2"/>
          <w:szCs w:val="21"/>
        </w:rPr>
        <w:sectPr>
          <w:footerReference r:id="rId24"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bCs/>
                <w:sz w:val="24"/>
                <w:szCs w:val="24"/>
                <w:u w:val="single"/>
              </w:rPr>
              <w:t>总镍在线监测设备维修保养服务项目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eastAsia" w:ascii="宋体" w:hAnsi="宋体" w:eastAsia="宋体" w:cs="宋体"/>
          <w:b/>
          <w:bCs/>
          <w:sz w:val="24"/>
          <w:szCs w:val="24"/>
          <w:u w:val="single"/>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b/>
          <w:bCs/>
          <w:sz w:val="24"/>
          <w:szCs w:val="24"/>
          <w:u w:val="single"/>
        </w:rPr>
        <w:t>总镍在线监测设备维修保养服务项目</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rPr>
          <w:rFonts w:hint="eastAsia"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pStyle w:val="21"/>
        <w:rPr>
          <w:rFonts w:hint="eastAsia" w:hAnsi="宋体" w:eastAsia="宋体" w:cs="宋体"/>
          <w:sz w:val="24"/>
          <w:szCs w:val="24"/>
        </w:rPr>
      </w:pPr>
    </w:p>
    <w:p>
      <w:pPr>
        <w:pStyle w:val="21"/>
        <w:rPr>
          <w:rFonts w:hint="eastAsia" w:hAnsi="宋体" w:eastAsia="宋体" w:cs="宋体"/>
          <w:sz w:val="24"/>
          <w:szCs w:val="24"/>
        </w:rPr>
      </w:pPr>
    </w:p>
    <w:p>
      <w:pPr>
        <w:spacing w:line="360" w:lineRule="auto"/>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pStyle w:val="21"/>
        <w:rPr>
          <w:rFonts w:hint="eastAsia" w:hAnsi="宋体" w:eastAsia="宋体" w:cs="宋体"/>
          <w:sz w:val="24"/>
          <w:szCs w:val="24"/>
        </w:rPr>
        <w:sectPr>
          <w:footerReference r:id="rId25" w:type="default"/>
          <w:pgSz w:w="11906" w:h="16839"/>
          <w:pgMar w:top="1431" w:right="1417" w:bottom="1179" w:left="1304" w:header="850" w:footer="992" w:gutter="0"/>
          <w:cols w:space="720" w:num="1"/>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u w:val="single"/>
        </w:rPr>
        <w:t>总镍在线监测设备维修保养服务项目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1"/>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eastAsia" w:ascii="宋体" w:hAnsi="宋体" w:eastAsia="宋体" w:cs="宋体"/>
                <w:b/>
                <w:bCs/>
                <w:sz w:val="24"/>
                <w:szCs w:val="24"/>
                <w:u w:val="single"/>
              </w:rPr>
            </w:pPr>
            <w:r>
              <w:rPr>
                <w:rFonts w:hint="eastAsia" w:ascii="宋体" w:hAnsi="宋体" w:eastAsia="宋体" w:cs="宋体"/>
                <w:b/>
                <w:szCs w:val="20"/>
              </w:rPr>
              <w:t>项目名称：</w:t>
            </w:r>
            <w:r>
              <w:rPr>
                <w:rFonts w:hint="eastAsia" w:ascii="宋体" w:hAnsi="宋体" w:eastAsia="宋体" w:cs="宋体"/>
                <w:b/>
                <w:bCs/>
                <w:sz w:val="24"/>
                <w:szCs w:val="24"/>
                <w:u w:val="single"/>
              </w:rPr>
              <w:t>总镍在线监测设备维修保养服务项目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1"/>
      </w:pPr>
    </w:p>
    <w:p>
      <w:pPr>
        <w:jc w:val="right"/>
        <w:rPr>
          <w:rFonts w:hint="eastAsia" w:asciiTheme="minorEastAsia" w:hAnsiTheme="minorEastAsia" w:cstheme="minorEastAsia"/>
          <w:sz w:val="20"/>
          <w:szCs w:val="20"/>
        </w:rPr>
        <w:sectPr>
          <w:pgSz w:w="11906" w:h="16838"/>
          <w:pgMar w:top="1588" w:right="1418" w:bottom="1134" w:left="1418" w:header="851" w:footer="992" w:gutter="0"/>
          <w:cols w:space="720" w:num="1"/>
          <w:titlePg/>
          <w:docGrid w:type="lines" w:linePitch="312" w:charSpace="0"/>
        </w:sectPr>
      </w:pPr>
    </w:p>
    <w:p>
      <w:pPr>
        <w:pStyle w:val="21"/>
        <w:outlineLvl w:val="2"/>
        <w:rPr>
          <w:rFonts w:hint="eastAsia"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2"/>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3"/>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4"/>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35"/>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spacing w:line="360" w:lineRule="auto"/>
        <w:rPr>
          <w:rFonts w:hint="eastAsia" w:ascii="宋体" w:hAnsi="宋体" w:eastAsia="宋体" w:cs="宋体"/>
          <w:color w:val="000000"/>
          <w:sz w:val="24"/>
          <w:szCs w:val="28"/>
        </w:rPr>
      </w:pPr>
      <w:r>
        <w:rPr>
          <w:rFonts w:hint="eastAsia" w:ascii="宋体" w:hAnsi="宋体" w:eastAsia="宋体" w:cs="宋体"/>
          <w:color w:val="000000"/>
          <w:sz w:val="24"/>
          <w:szCs w:val="28"/>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详见手机短信</w:t>
      </w:r>
    </w:p>
    <w:p>
      <w:pPr>
        <w:rPr>
          <w:rFonts w:hint="eastAsia" w:ascii="宋体" w:hAnsi="宋体" w:eastAsia="宋体" w:cs="宋体"/>
          <w:color w:val="000000"/>
        </w:rPr>
      </w:pPr>
    </w:p>
    <w:p>
      <w:pPr>
        <w:rPr>
          <w:rFonts w:hint="eastAsia"/>
        </w:rPr>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36"/>
                    <a:stretch>
                      <a:fillRect/>
                    </a:stretch>
                  </pic:blipFill>
                  <pic:spPr>
                    <a:xfrm>
                      <a:off x="0" y="0"/>
                      <a:ext cx="5760085" cy="2810122"/>
                    </a:xfrm>
                    <a:prstGeom prst="rect">
                      <a:avLst/>
                    </a:prstGeom>
                  </pic:spPr>
                </pic:pic>
              </a:graphicData>
            </a:graphic>
          </wp:inline>
        </w:drawing>
      </w:r>
    </w:p>
    <w:p>
      <w:pPr>
        <w:pStyle w:val="21"/>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37"/>
                    <a:stretch>
                      <a:fillRect/>
                    </a:stretch>
                  </pic:blipFill>
                  <pic:spPr>
                    <a:xfrm>
                      <a:off x="0" y="0"/>
                      <a:ext cx="5760085" cy="2820042"/>
                    </a:xfrm>
                    <a:prstGeom prst="rect">
                      <a:avLst/>
                    </a:prstGeom>
                  </pic:spPr>
                </pic:pic>
              </a:graphicData>
            </a:graphic>
          </wp:inline>
        </w:drawing>
      </w:r>
    </w:p>
    <w:p>
      <w:pPr>
        <w:pStyle w:val="21"/>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1"/>
      </w:pPr>
      <w:r>
        <w:rPr>
          <w:rFonts w:hint="eastAsia" w:hAnsi="宋体" w:eastAsia="宋体" w:cs="宋体"/>
          <w:b/>
          <w:bCs/>
          <w:color w:val="000000"/>
          <w:sz w:val="24"/>
          <w:szCs w:val="28"/>
          <w:highlight w:val="yellow"/>
        </w:rPr>
        <w:t>2.配套能力“供货类别”选“非生产招标→研发试验设备→产品试验检测中心”，业务主管部门为“产品试验检测中心”。</w:t>
      </w:r>
    </w:p>
    <w:p>
      <w:pPr>
        <w:pStyle w:val="21"/>
        <w:sectPr>
          <w:footerReference r:id="rId26" w:type="default"/>
          <w:pgSz w:w="11906" w:h="16838"/>
          <w:pgMar w:top="1588" w:right="1418" w:bottom="1134" w:left="1418" w:header="851" w:footer="992" w:gutter="0"/>
          <w:cols w:space="720" w:num="1"/>
          <w:titlePg/>
          <w:docGrid w:type="lines" w:linePitch="312" w:charSpace="0"/>
        </w:sectPr>
      </w:pPr>
    </w:p>
    <w:p>
      <w:pPr>
        <w:pStyle w:val="21"/>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Style w:val="47"/>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7"/>
          <w:rFonts w:hint="eastAsia" w:ascii="宋体" w:hAnsi="宋体" w:eastAsia="宋体" w:cs="宋体"/>
          <w:sz w:val="24"/>
          <w:szCs w:val="24"/>
        </w:rPr>
        <w:t>https://ecaitong.sinotruk.com:8012/</w:t>
      </w:r>
      <w:r>
        <w:rPr>
          <w:rStyle w:val="47"/>
          <w:rFonts w:hint="eastAsia" w:ascii="宋体" w:hAnsi="宋体" w:eastAsia="宋体" w:cs="宋体"/>
          <w:sz w:val="24"/>
          <w:szCs w:val="24"/>
        </w:rPr>
        <w:fldChar w:fldCharType="end"/>
      </w:r>
      <w:r>
        <w:rPr>
          <w:rStyle w:val="47"/>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rPr>
      </w:pPr>
      <w:r>
        <mc:AlternateContent>
          <mc:Choice Requires="wps">
            <w:drawing>
              <wp:anchor distT="0" distB="0" distL="114300" distR="114300" simplePos="0" relativeHeight="251677696"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7696;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38"/>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39"/>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0"/>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21"/>
      </w:pPr>
      <w:r>
        <w:rPr>
          <w:rFonts w:hint="eastAsia" w:hAnsi="宋体" w:eastAsia="宋体" w:cs="宋体"/>
          <w:b/>
          <w:bCs/>
          <w:color w:val="000000"/>
          <w:sz w:val="24"/>
          <w:szCs w:val="28"/>
          <w:highlight w:val="yellow"/>
        </w:rPr>
        <w:t>注意：系统内的投标报价单位为“万元”，如开标现场发现填错报价，即直接淘汰。</w:t>
      </w:r>
    </w:p>
    <w:p>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1"/>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2"/>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w:t>
      </w:r>
      <w:r>
        <w:rPr>
          <w:rFonts w:hint="eastAsia" w:ascii="宋体" w:hAnsi="宋体" w:eastAsia="宋体" w:cs="宋体"/>
          <w:color w:val="000000"/>
          <w:sz w:val="24"/>
          <w:szCs w:val="24"/>
        </w:rPr>
        <w:t>并填写商务澄清内容（最后填写授权代表姓名、电话）</w:t>
      </w:r>
      <w:r>
        <w:rPr>
          <w:rFonts w:ascii="宋体" w:hAnsi="宋体" w:eastAsia="宋体" w:cs="宋体"/>
          <w:color w:val="000000"/>
          <w:sz w:val="24"/>
          <w:szCs w:val="24"/>
        </w:rPr>
        <w:t>，之后点击提交。</w:t>
      </w:r>
    </w:p>
    <w:p>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3"/>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4"/>
                    <a:stretch>
                      <a:fillRect/>
                    </a:stretch>
                  </pic:blipFill>
                  <pic:spPr>
                    <a:xfrm>
                      <a:off x="0" y="0"/>
                      <a:ext cx="5760085" cy="1956600"/>
                    </a:xfrm>
                    <a:prstGeom prst="rect">
                      <a:avLst/>
                    </a:prstGeom>
                  </pic:spPr>
                </pic:pic>
              </a:graphicData>
            </a:graphic>
          </wp:inline>
        </w:drawing>
      </w:r>
    </w:p>
    <w:p>
      <w:pPr>
        <w:rPr>
          <w:rFonts w:hint="eastAsia"/>
        </w:rPr>
      </w:pPr>
    </w:p>
    <w:p>
      <w:pPr>
        <w:rPr>
          <w:rFonts w:hint="eastAsia"/>
        </w:rPr>
      </w:pPr>
    </w:p>
    <w:p>
      <w:pPr>
        <w:rPr>
          <w:rFonts w:hint="eastAsia"/>
        </w:rPr>
      </w:pPr>
    </w:p>
    <w:sectPr>
      <w:headerReference r:id="rId28" w:type="first"/>
      <w:footerReference r:id="rId30" w:type="first"/>
      <w:headerReference r:id="rId27" w:type="default"/>
      <w:footerReference r:id="rId29"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rPr>
                              <w:rFonts w:hint="eastAsia"/>
                            </w:rPr>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6"/>
                      <w:rPr>
                        <w:rFonts w:hint="eastAsia"/>
                      </w:rPr>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hint="eastAsia"/>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rPr>
                              <w:rFonts w:hint="eastAsia"/>
                            </w:rPr>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6"/>
                      <w:rPr>
                        <w:rFonts w:hint="eastAsia"/>
                      </w:rPr>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tabs>
        <w:tab w:val="clear" w:pos="4153"/>
      </w:tabs>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6"/>
                      <w:rPr>
                        <w:rFonts w:hint="eastAsia"/>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1"/>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p>
  <w:p>
    <w:pPr>
      <w:pStyle w:val="27"/>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3">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646260FA"/>
    <w:multiLevelType w:val="multilevel"/>
    <w:tmpl w:val="646260FA"/>
    <w:lvl w:ilvl="0" w:tentative="0">
      <w:start w:val="1"/>
      <w:numFmt w:val="decimal"/>
      <w:pStyle w:val="138"/>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E8C6948"/>
    <w:multiLevelType w:val="singleLevel"/>
    <w:tmpl w:val="6E8C6948"/>
    <w:lvl w:ilvl="0" w:tentative="0">
      <w:start w:val="1"/>
      <w:numFmt w:val="chineseCounting"/>
      <w:suff w:val="space"/>
      <w:lvlText w:val="第%1部分"/>
      <w:lvlJc w:val="left"/>
      <w:rPr>
        <w:rFonts w:hint="eastAsia"/>
      </w:rPr>
    </w:lvl>
  </w:abstractNum>
  <w:abstractNum w:abstractNumId="7">
    <w:nsid w:val="7A612DE2"/>
    <w:multiLevelType w:val="singleLevel"/>
    <w:tmpl w:val="7A612DE2"/>
    <w:lvl w:ilvl="0" w:tentative="0">
      <w:start w:val="2"/>
      <w:numFmt w:val="decimal"/>
      <w:lvlText w:val="%1."/>
      <w:lvlJc w:val="left"/>
      <w:pPr>
        <w:tabs>
          <w:tab w:val="left" w:pos="312"/>
        </w:tabs>
      </w:pPr>
    </w:lvl>
  </w:abstractNum>
  <w:num w:numId="1">
    <w:abstractNumId w:val="5"/>
  </w:num>
  <w:num w:numId="2">
    <w:abstractNumId w:val="6"/>
  </w:num>
  <w:num w:numId="3">
    <w:abstractNumId w:val="0"/>
  </w:num>
  <w:num w:numId="4">
    <w:abstractNumId w:val="7"/>
  </w:num>
  <w:num w:numId="5">
    <w:abstractNumId w:val="3"/>
  </w:num>
  <w:num w:numId="6">
    <w:abstractNumId w:val="1"/>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5D1"/>
    <w:rsid w:val="00022B06"/>
    <w:rsid w:val="00036836"/>
    <w:rsid w:val="0005777A"/>
    <w:rsid w:val="00065382"/>
    <w:rsid w:val="00080223"/>
    <w:rsid w:val="000A5309"/>
    <w:rsid w:val="000D6A51"/>
    <w:rsid w:val="000F45A3"/>
    <w:rsid w:val="001076E5"/>
    <w:rsid w:val="001C1EE3"/>
    <w:rsid w:val="001C713C"/>
    <w:rsid w:val="001D75B9"/>
    <w:rsid w:val="00200F05"/>
    <w:rsid w:val="00220056"/>
    <w:rsid w:val="002626ED"/>
    <w:rsid w:val="00265A40"/>
    <w:rsid w:val="00282FDE"/>
    <w:rsid w:val="0028615B"/>
    <w:rsid w:val="0029130A"/>
    <w:rsid w:val="002F49D4"/>
    <w:rsid w:val="00304629"/>
    <w:rsid w:val="00306AB3"/>
    <w:rsid w:val="003A4540"/>
    <w:rsid w:val="003B4D7D"/>
    <w:rsid w:val="003E0AB3"/>
    <w:rsid w:val="00401C42"/>
    <w:rsid w:val="004076DE"/>
    <w:rsid w:val="00460AFB"/>
    <w:rsid w:val="00470130"/>
    <w:rsid w:val="00483B0A"/>
    <w:rsid w:val="0048779A"/>
    <w:rsid w:val="00495476"/>
    <w:rsid w:val="004B5126"/>
    <w:rsid w:val="004D0330"/>
    <w:rsid w:val="004D0838"/>
    <w:rsid w:val="004F7838"/>
    <w:rsid w:val="004F7F0F"/>
    <w:rsid w:val="00503391"/>
    <w:rsid w:val="00552960"/>
    <w:rsid w:val="00553B27"/>
    <w:rsid w:val="0056018A"/>
    <w:rsid w:val="00567344"/>
    <w:rsid w:val="005829DC"/>
    <w:rsid w:val="005B1856"/>
    <w:rsid w:val="005C0B4E"/>
    <w:rsid w:val="005C421F"/>
    <w:rsid w:val="005D3BBC"/>
    <w:rsid w:val="005F16F0"/>
    <w:rsid w:val="006505D3"/>
    <w:rsid w:val="0065185D"/>
    <w:rsid w:val="00680629"/>
    <w:rsid w:val="00686C52"/>
    <w:rsid w:val="006D6075"/>
    <w:rsid w:val="006F1414"/>
    <w:rsid w:val="006F15E0"/>
    <w:rsid w:val="007432BF"/>
    <w:rsid w:val="007525BF"/>
    <w:rsid w:val="0077033B"/>
    <w:rsid w:val="007800DC"/>
    <w:rsid w:val="007838AA"/>
    <w:rsid w:val="00783D5E"/>
    <w:rsid w:val="00785FD6"/>
    <w:rsid w:val="007B212D"/>
    <w:rsid w:val="007F4254"/>
    <w:rsid w:val="00806A61"/>
    <w:rsid w:val="008153DE"/>
    <w:rsid w:val="00824BFD"/>
    <w:rsid w:val="008453B3"/>
    <w:rsid w:val="00866678"/>
    <w:rsid w:val="008D3B56"/>
    <w:rsid w:val="008D5CEF"/>
    <w:rsid w:val="008F16FB"/>
    <w:rsid w:val="00927F74"/>
    <w:rsid w:val="009360F9"/>
    <w:rsid w:val="00964F00"/>
    <w:rsid w:val="0097676D"/>
    <w:rsid w:val="009B511E"/>
    <w:rsid w:val="009E0F5E"/>
    <w:rsid w:val="009E321E"/>
    <w:rsid w:val="00A03FB0"/>
    <w:rsid w:val="00A21EB2"/>
    <w:rsid w:val="00A31561"/>
    <w:rsid w:val="00A54E95"/>
    <w:rsid w:val="00A80564"/>
    <w:rsid w:val="00A960B2"/>
    <w:rsid w:val="00AE6633"/>
    <w:rsid w:val="00B01FF1"/>
    <w:rsid w:val="00B12C29"/>
    <w:rsid w:val="00B4611C"/>
    <w:rsid w:val="00B72516"/>
    <w:rsid w:val="00B92C97"/>
    <w:rsid w:val="00BA3C70"/>
    <w:rsid w:val="00BB4E42"/>
    <w:rsid w:val="00C01073"/>
    <w:rsid w:val="00C32A8D"/>
    <w:rsid w:val="00C855F6"/>
    <w:rsid w:val="00C92F53"/>
    <w:rsid w:val="00CD5223"/>
    <w:rsid w:val="00CE5010"/>
    <w:rsid w:val="00CE6E17"/>
    <w:rsid w:val="00D0528A"/>
    <w:rsid w:val="00D11B37"/>
    <w:rsid w:val="00D408EF"/>
    <w:rsid w:val="00D5145C"/>
    <w:rsid w:val="00D535A8"/>
    <w:rsid w:val="00D53EB2"/>
    <w:rsid w:val="00D64DAE"/>
    <w:rsid w:val="00D729A1"/>
    <w:rsid w:val="00DB5225"/>
    <w:rsid w:val="00DD1E5E"/>
    <w:rsid w:val="00DE6417"/>
    <w:rsid w:val="00E1627A"/>
    <w:rsid w:val="00E34C35"/>
    <w:rsid w:val="00E650A8"/>
    <w:rsid w:val="00E878B4"/>
    <w:rsid w:val="00EB3D00"/>
    <w:rsid w:val="00F71720"/>
    <w:rsid w:val="00FE040F"/>
    <w:rsid w:val="00FE42B3"/>
    <w:rsid w:val="0133784E"/>
    <w:rsid w:val="014832F2"/>
    <w:rsid w:val="014D51C1"/>
    <w:rsid w:val="01714809"/>
    <w:rsid w:val="01C52478"/>
    <w:rsid w:val="02184C85"/>
    <w:rsid w:val="027408EE"/>
    <w:rsid w:val="02963F39"/>
    <w:rsid w:val="02BA7274"/>
    <w:rsid w:val="03251978"/>
    <w:rsid w:val="0325718A"/>
    <w:rsid w:val="039E25ED"/>
    <w:rsid w:val="03A10C87"/>
    <w:rsid w:val="042921B6"/>
    <w:rsid w:val="04AD02B8"/>
    <w:rsid w:val="04DF17D4"/>
    <w:rsid w:val="05151950"/>
    <w:rsid w:val="05412745"/>
    <w:rsid w:val="05491761"/>
    <w:rsid w:val="05A351AD"/>
    <w:rsid w:val="05C234EE"/>
    <w:rsid w:val="05D95918"/>
    <w:rsid w:val="05DF009E"/>
    <w:rsid w:val="05F9748A"/>
    <w:rsid w:val="06032214"/>
    <w:rsid w:val="060B4B7B"/>
    <w:rsid w:val="06132F28"/>
    <w:rsid w:val="06160D68"/>
    <w:rsid w:val="06266F78"/>
    <w:rsid w:val="063E7B7A"/>
    <w:rsid w:val="06582413"/>
    <w:rsid w:val="067E33B8"/>
    <w:rsid w:val="069C2954"/>
    <w:rsid w:val="06C11211"/>
    <w:rsid w:val="06E82FCB"/>
    <w:rsid w:val="06F34B95"/>
    <w:rsid w:val="06F7064A"/>
    <w:rsid w:val="07571DAC"/>
    <w:rsid w:val="078A0D17"/>
    <w:rsid w:val="08000695"/>
    <w:rsid w:val="08332819"/>
    <w:rsid w:val="08E64121"/>
    <w:rsid w:val="090D5816"/>
    <w:rsid w:val="0942017F"/>
    <w:rsid w:val="09BA1FBB"/>
    <w:rsid w:val="09CB139F"/>
    <w:rsid w:val="09D73678"/>
    <w:rsid w:val="0A0106F5"/>
    <w:rsid w:val="0A112AB7"/>
    <w:rsid w:val="0A447F32"/>
    <w:rsid w:val="0AD71BC7"/>
    <w:rsid w:val="0ADB7197"/>
    <w:rsid w:val="0AF420EB"/>
    <w:rsid w:val="0B2B2BF5"/>
    <w:rsid w:val="0B2F3908"/>
    <w:rsid w:val="0B3F6206"/>
    <w:rsid w:val="0BDB06E0"/>
    <w:rsid w:val="0BE12DB6"/>
    <w:rsid w:val="0C345AD1"/>
    <w:rsid w:val="0C626CE4"/>
    <w:rsid w:val="0D0C2B7B"/>
    <w:rsid w:val="0D9308F8"/>
    <w:rsid w:val="0E1A1D85"/>
    <w:rsid w:val="0E2350DD"/>
    <w:rsid w:val="0E696120"/>
    <w:rsid w:val="0E750568"/>
    <w:rsid w:val="0EB93A32"/>
    <w:rsid w:val="0F2D7A80"/>
    <w:rsid w:val="0F4277E5"/>
    <w:rsid w:val="0F6B7381"/>
    <w:rsid w:val="0FA75561"/>
    <w:rsid w:val="0FB83603"/>
    <w:rsid w:val="0FCA77F1"/>
    <w:rsid w:val="0FCD5DCC"/>
    <w:rsid w:val="10270545"/>
    <w:rsid w:val="108A1D4B"/>
    <w:rsid w:val="10A10111"/>
    <w:rsid w:val="10BE093E"/>
    <w:rsid w:val="110F6D60"/>
    <w:rsid w:val="111B0FE9"/>
    <w:rsid w:val="115F67A8"/>
    <w:rsid w:val="119A7465"/>
    <w:rsid w:val="11C07DA5"/>
    <w:rsid w:val="12491386"/>
    <w:rsid w:val="12746E74"/>
    <w:rsid w:val="12E60579"/>
    <w:rsid w:val="13695B36"/>
    <w:rsid w:val="1372609F"/>
    <w:rsid w:val="13CE1569"/>
    <w:rsid w:val="13DF3855"/>
    <w:rsid w:val="14092DB2"/>
    <w:rsid w:val="145A6A37"/>
    <w:rsid w:val="1467440F"/>
    <w:rsid w:val="148D59E6"/>
    <w:rsid w:val="14F73019"/>
    <w:rsid w:val="15433A9B"/>
    <w:rsid w:val="15D13671"/>
    <w:rsid w:val="15FC2F04"/>
    <w:rsid w:val="15FD3709"/>
    <w:rsid w:val="16181FAC"/>
    <w:rsid w:val="166050EB"/>
    <w:rsid w:val="168756A0"/>
    <w:rsid w:val="16F94849"/>
    <w:rsid w:val="17001571"/>
    <w:rsid w:val="17045E51"/>
    <w:rsid w:val="172011D4"/>
    <w:rsid w:val="17252C3B"/>
    <w:rsid w:val="173F0A2E"/>
    <w:rsid w:val="17770BC2"/>
    <w:rsid w:val="17860E2F"/>
    <w:rsid w:val="17A119AA"/>
    <w:rsid w:val="17AF1095"/>
    <w:rsid w:val="17C55E7C"/>
    <w:rsid w:val="18586F2B"/>
    <w:rsid w:val="192F3CC4"/>
    <w:rsid w:val="1935690C"/>
    <w:rsid w:val="19516138"/>
    <w:rsid w:val="19A766B9"/>
    <w:rsid w:val="19BE4F9F"/>
    <w:rsid w:val="19CE76BA"/>
    <w:rsid w:val="19F26070"/>
    <w:rsid w:val="19F97C8B"/>
    <w:rsid w:val="1A1523CE"/>
    <w:rsid w:val="1A21343D"/>
    <w:rsid w:val="1AA730BD"/>
    <w:rsid w:val="1ABD4410"/>
    <w:rsid w:val="1B333D5D"/>
    <w:rsid w:val="1B587618"/>
    <w:rsid w:val="1B5F19C7"/>
    <w:rsid w:val="1C1C709B"/>
    <w:rsid w:val="1C9F6814"/>
    <w:rsid w:val="1D5C514E"/>
    <w:rsid w:val="1D834723"/>
    <w:rsid w:val="1D85395E"/>
    <w:rsid w:val="1D865D14"/>
    <w:rsid w:val="1D8705EC"/>
    <w:rsid w:val="1E43150B"/>
    <w:rsid w:val="1EA93E80"/>
    <w:rsid w:val="1EC024D4"/>
    <w:rsid w:val="1ED33FB6"/>
    <w:rsid w:val="1EE81332"/>
    <w:rsid w:val="1EED2D98"/>
    <w:rsid w:val="1F32415A"/>
    <w:rsid w:val="1F5A4199"/>
    <w:rsid w:val="1F7E2174"/>
    <w:rsid w:val="1FC32513"/>
    <w:rsid w:val="20107567"/>
    <w:rsid w:val="207870A4"/>
    <w:rsid w:val="208717DB"/>
    <w:rsid w:val="20AB56C6"/>
    <w:rsid w:val="217640E4"/>
    <w:rsid w:val="2176507C"/>
    <w:rsid w:val="21BA10C4"/>
    <w:rsid w:val="21BE35AF"/>
    <w:rsid w:val="21C11174"/>
    <w:rsid w:val="22244B28"/>
    <w:rsid w:val="22467FD4"/>
    <w:rsid w:val="22784511"/>
    <w:rsid w:val="229451FD"/>
    <w:rsid w:val="22A12DB6"/>
    <w:rsid w:val="22AE028B"/>
    <w:rsid w:val="234E7F91"/>
    <w:rsid w:val="236356D1"/>
    <w:rsid w:val="23A91C83"/>
    <w:rsid w:val="23C962E8"/>
    <w:rsid w:val="247E4FED"/>
    <w:rsid w:val="24B30BE8"/>
    <w:rsid w:val="24C6643F"/>
    <w:rsid w:val="24E34060"/>
    <w:rsid w:val="24EF2718"/>
    <w:rsid w:val="253A0491"/>
    <w:rsid w:val="253D4C0F"/>
    <w:rsid w:val="25CF2B74"/>
    <w:rsid w:val="25E036B2"/>
    <w:rsid w:val="25E9082A"/>
    <w:rsid w:val="25F42473"/>
    <w:rsid w:val="26AF2D79"/>
    <w:rsid w:val="26B34B91"/>
    <w:rsid w:val="270D66E8"/>
    <w:rsid w:val="27514612"/>
    <w:rsid w:val="27597388"/>
    <w:rsid w:val="278B0DAB"/>
    <w:rsid w:val="279C6B0E"/>
    <w:rsid w:val="27A64735"/>
    <w:rsid w:val="27CC4DF2"/>
    <w:rsid w:val="281864F2"/>
    <w:rsid w:val="28290B8D"/>
    <w:rsid w:val="28316337"/>
    <w:rsid w:val="286903EF"/>
    <w:rsid w:val="287F5DD3"/>
    <w:rsid w:val="288047CB"/>
    <w:rsid w:val="289E62FA"/>
    <w:rsid w:val="291E2CA6"/>
    <w:rsid w:val="29331862"/>
    <w:rsid w:val="299E147F"/>
    <w:rsid w:val="29C32A87"/>
    <w:rsid w:val="29CF26DC"/>
    <w:rsid w:val="2A0A1B37"/>
    <w:rsid w:val="2A1C5DA0"/>
    <w:rsid w:val="2A200D39"/>
    <w:rsid w:val="2A507EFF"/>
    <w:rsid w:val="2ADC05A4"/>
    <w:rsid w:val="2B0423C1"/>
    <w:rsid w:val="2B6F0D7F"/>
    <w:rsid w:val="2B797443"/>
    <w:rsid w:val="2B8716BD"/>
    <w:rsid w:val="2B8B76FF"/>
    <w:rsid w:val="2BC22DD1"/>
    <w:rsid w:val="2BD5034F"/>
    <w:rsid w:val="2C0B6845"/>
    <w:rsid w:val="2C9E432B"/>
    <w:rsid w:val="2CAC08A7"/>
    <w:rsid w:val="2D025012"/>
    <w:rsid w:val="2D4178F0"/>
    <w:rsid w:val="2DA535EC"/>
    <w:rsid w:val="2DAE631A"/>
    <w:rsid w:val="2DD877E0"/>
    <w:rsid w:val="2DE616C9"/>
    <w:rsid w:val="2DFC2451"/>
    <w:rsid w:val="2E296762"/>
    <w:rsid w:val="2E3422F8"/>
    <w:rsid w:val="2E392F37"/>
    <w:rsid w:val="2E6D31FB"/>
    <w:rsid w:val="2E6E566D"/>
    <w:rsid w:val="2E7F188E"/>
    <w:rsid w:val="2EBC0905"/>
    <w:rsid w:val="2EC73739"/>
    <w:rsid w:val="2EFB1B0E"/>
    <w:rsid w:val="2F5C684F"/>
    <w:rsid w:val="303A20E7"/>
    <w:rsid w:val="307776D1"/>
    <w:rsid w:val="30862574"/>
    <w:rsid w:val="30B631E1"/>
    <w:rsid w:val="311933AA"/>
    <w:rsid w:val="317D15BB"/>
    <w:rsid w:val="31A67308"/>
    <w:rsid w:val="31D07E6C"/>
    <w:rsid w:val="323F65DA"/>
    <w:rsid w:val="32412074"/>
    <w:rsid w:val="325B63D6"/>
    <w:rsid w:val="32A0644D"/>
    <w:rsid w:val="32DE0199"/>
    <w:rsid w:val="32E26B1D"/>
    <w:rsid w:val="335B2774"/>
    <w:rsid w:val="33A4642E"/>
    <w:rsid w:val="33A877AB"/>
    <w:rsid w:val="33D4039C"/>
    <w:rsid w:val="33D47E05"/>
    <w:rsid w:val="340017FF"/>
    <w:rsid w:val="3413677D"/>
    <w:rsid w:val="342B544B"/>
    <w:rsid w:val="343839A4"/>
    <w:rsid w:val="345E036E"/>
    <w:rsid w:val="34DE1E4F"/>
    <w:rsid w:val="34F07DB1"/>
    <w:rsid w:val="358D07D1"/>
    <w:rsid w:val="35B0692A"/>
    <w:rsid w:val="35D354B8"/>
    <w:rsid w:val="35D4025C"/>
    <w:rsid w:val="35F516ED"/>
    <w:rsid w:val="35FC2392"/>
    <w:rsid w:val="362666BC"/>
    <w:rsid w:val="363E0457"/>
    <w:rsid w:val="368A6B11"/>
    <w:rsid w:val="36A77DAA"/>
    <w:rsid w:val="37085B1F"/>
    <w:rsid w:val="372E04CB"/>
    <w:rsid w:val="37742729"/>
    <w:rsid w:val="37C85FF9"/>
    <w:rsid w:val="383557ED"/>
    <w:rsid w:val="38D55634"/>
    <w:rsid w:val="38E070F2"/>
    <w:rsid w:val="390B0AC4"/>
    <w:rsid w:val="390D33AB"/>
    <w:rsid w:val="391E6D06"/>
    <w:rsid w:val="396D6DE6"/>
    <w:rsid w:val="39CE5179"/>
    <w:rsid w:val="3A074847"/>
    <w:rsid w:val="3AA90FE6"/>
    <w:rsid w:val="3AA9318F"/>
    <w:rsid w:val="3AB62DA0"/>
    <w:rsid w:val="3AC61BD3"/>
    <w:rsid w:val="3B273268"/>
    <w:rsid w:val="3B7D3FD5"/>
    <w:rsid w:val="3B823DDF"/>
    <w:rsid w:val="3BE4369A"/>
    <w:rsid w:val="3C084B3D"/>
    <w:rsid w:val="3C237ED3"/>
    <w:rsid w:val="3C91192E"/>
    <w:rsid w:val="3CAA596A"/>
    <w:rsid w:val="3CB1587B"/>
    <w:rsid w:val="3CB735F2"/>
    <w:rsid w:val="3D186684"/>
    <w:rsid w:val="3D363C36"/>
    <w:rsid w:val="3D4C7C96"/>
    <w:rsid w:val="3D8B2178"/>
    <w:rsid w:val="3DB34909"/>
    <w:rsid w:val="3DD115F5"/>
    <w:rsid w:val="3DE435F0"/>
    <w:rsid w:val="3DE5122C"/>
    <w:rsid w:val="3DF37E53"/>
    <w:rsid w:val="3E3761F9"/>
    <w:rsid w:val="3E3A1504"/>
    <w:rsid w:val="3E401B6A"/>
    <w:rsid w:val="3ED26DE9"/>
    <w:rsid w:val="3EED17D0"/>
    <w:rsid w:val="3F0C0304"/>
    <w:rsid w:val="3FE25AA0"/>
    <w:rsid w:val="3FEC147E"/>
    <w:rsid w:val="4024153A"/>
    <w:rsid w:val="403703F1"/>
    <w:rsid w:val="40376375"/>
    <w:rsid w:val="40EF47EC"/>
    <w:rsid w:val="412732B7"/>
    <w:rsid w:val="4127791F"/>
    <w:rsid w:val="41281794"/>
    <w:rsid w:val="413C1FDF"/>
    <w:rsid w:val="41806A69"/>
    <w:rsid w:val="41B0259C"/>
    <w:rsid w:val="41BC6F1C"/>
    <w:rsid w:val="41EF2363"/>
    <w:rsid w:val="41F77860"/>
    <w:rsid w:val="424A4B98"/>
    <w:rsid w:val="42581D3A"/>
    <w:rsid w:val="4262787F"/>
    <w:rsid w:val="42B90260"/>
    <w:rsid w:val="42FE0080"/>
    <w:rsid w:val="43315D2E"/>
    <w:rsid w:val="43824A1C"/>
    <w:rsid w:val="4390486D"/>
    <w:rsid w:val="43D110E1"/>
    <w:rsid w:val="43E873C9"/>
    <w:rsid w:val="441540A8"/>
    <w:rsid w:val="44250817"/>
    <w:rsid w:val="445E7E37"/>
    <w:rsid w:val="44905B1F"/>
    <w:rsid w:val="45007767"/>
    <w:rsid w:val="45316885"/>
    <w:rsid w:val="4567010B"/>
    <w:rsid w:val="4577147D"/>
    <w:rsid w:val="45A95EE9"/>
    <w:rsid w:val="45FB0F21"/>
    <w:rsid w:val="46167166"/>
    <w:rsid w:val="461A2194"/>
    <w:rsid w:val="465E515F"/>
    <w:rsid w:val="46AE7548"/>
    <w:rsid w:val="47200EE3"/>
    <w:rsid w:val="47435AC2"/>
    <w:rsid w:val="47544B78"/>
    <w:rsid w:val="47587AF7"/>
    <w:rsid w:val="47745A86"/>
    <w:rsid w:val="47E239AC"/>
    <w:rsid w:val="480C3F11"/>
    <w:rsid w:val="480F4B73"/>
    <w:rsid w:val="48334AEC"/>
    <w:rsid w:val="48380650"/>
    <w:rsid w:val="48422874"/>
    <w:rsid w:val="48DB38E3"/>
    <w:rsid w:val="49001B5E"/>
    <w:rsid w:val="490552B7"/>
    <w:rsid w:val="49376DB0"/>
    <w:rsid w:val="49804BB7"/>
    <w:rsid w:val="49826DCB"/>
    <w:rsid w:val="499013E7"/>
    <w:rsid w:val="49C8088A"/>
    <w:rsid w:val="49CB3D06"/>
    <w:rsid w:val="4A301C93"/>
    <w:rsid w:val="4A3302AB"/>
    <w:rsid w:val="4A7F3A12"/>
    <w:rsid w:val="4AC85D49"/>
    <w:rsid w:val="4AE308A9"/>
    <w:rsid w:val="4B294DDA"/>
    <w:rsid w:val="4B9A1456"/>
    <w:rsid w:val="4BA32C82"/>
    <w:rsid w:val="4BB072A9"/>
    <w:rsid w:val="4BC62B76"/>
    <w:rsid w:val="4BD73978"/>
    <w:rsid w:val="4BE70627"/>
    <w:rsid w:val="4BED4059"/>
    <w:rsid w:val="4C0A5AE1"/>
    <w:rsid w:val="4C130AB8"/>
    <w:rsid w:val="4C391ADB"/>
    <w:rsid w:val="4C5A284D"/>
    <w:rsid w:val="4C63431C"/>
    <w:rsid w:val="4CB96B43"/>
    <w:rsid w:val="4CC75FCC"/>
    <w:rsid w:val="4CD63947"/>
    <w:rsid w:val="4CFC49F4"/>
    <w:rsid w:val="4D073D73"/>
    <w:rsid w:val="4D1E27BA"/>
    <w:rsid w:val="4D23574A"/>
    <w:rsid w:val="4D4C4DB0"/>
    <w:rsid w:val="4D6238ED"/>
    <w:rsid w:val="4D7322D5"/>
    <w:rsid w:val="4DD7034C"/>
    <w:rsid w:val="4DE312CB"/>
    <w:rsid w:val="4DF5318E"/>
    <w:rsid w:val="4E1F4862"/>
    <w:rsid w:val="4E2E4393"/>
    <w:rsid w:val="4E535EF2"/>
    <w:rsid w:val="4EF11A75"/>
    <w:rsid w:val="4F08773C"/>
    <w:rsid w:val="4F31409F"/>
    <w:rsid w:val="4F5E670E"/>
    <w:rsid w:val="4F846A83"/>
    <w:rsid w:val="50070E2C"/>
    <w:rsid w:val="504B57F2"/>
    <w:rsid w:val="508229B7"/>
    <w:rsid w:val="509A4341"/>
    <w:rsid w:val="50C62BC7"/>
    <w:rsid w:val="50F72A66"/>
    <w:rsid w:val="5123368C"/>
    <w:rsid w:val="5130747C"/>
    <w:rsid w:val="515C765A"/>
    <w:rsid w:val="516610D8"/>
    <w:rsid w:val="518A1B56"/>
    <w:rsid w:val="51905BB3"/>
    <w:rsid w:val="51946FCB"/>
    <w:rsid w:val="51DD796B"/>
    <w:rsid w:val="51DF373B"/>
    <w:rsid w:val="52EF4CB5"/>
    <w:rsid w:val="52F959F0"/>
    <w:rsid w:val="5302488E"/>
    <w:rsid w:val="53136173"/>
    <w:rsid w:val="539A4AC7"/>
    <w:rsid w:val="53A454FB"/>
    <w:rsid w:val="53D004E8"/>
    <w:rsid w:val="542631B6"/>
    <w:rsid w:val="545F0C78"/>
    <w:rsid w:val="54647343"/>
    <w:rsid w:val="54A61722"/>
    <w:rsid w:val="54B31FAF"/>
    <w:rsid w:val="54E26C0B"/>
    <w:rsid w:val="54FB4092"/>
    <w:rsid w:val="55326D63"/>
    <w:rsid w:val="555D1A10"/>
    <w:rsid w:val="55AF4990"/>
    <w:rsid w:val="55CE2B4A"/>
    <w:rsid w:val="56AC4A78"/>
    <w:rsid w:val="56DB16B9"/>
    <w:rsid w:val="574436DA"/>
    <w:rsid w:val="57772F69"/>
    <w:rsid w:val="577A3463"/>
    <w:rsid w:val="57F967AD"/>
    <w:rsid w:val="58052975"/>
    <w:rsid w:val="5895693C"/>
    <w:rsid w:val="58AC510A"/>
    <w:rsid w:val="58BC4D39"/>
    <w:rsid w:val="58E525CA"/>
    <w:rsid w:val="58FD43FD"/>
    <w:rsid w:val="59080439"/>
    <w:rsid w:val="593D045A"/>
    <w:rsid w:val="5960739E"/>
    <w:rsid w:val="59896D0A"/>
    <w:rsid w:val="59B72684"/>
    <w:rsid w:val="59CC6E29"/>
    <w:rsid w:val="59CE7D0B"/>
    <w:rsid w:val="5A082249"/>
    <w:rsid w:val="5A8613E6"/>
    <w:rsid w:val="5A9579AE"/>
    <w:rsid w:val="5AC468CD"/>
    <w:rsid w:val="5AD813C2"/>
    <w:rsid w:val="5AEE6358"/>
    <w:rsid w:val="5B342B9A"/>
    <w:rsid w:val="5B5953B0"/>
    <w:rsid w:val="5B5B1AB4"/>
    <w:rsid w:val="5B630802"/>
    <w:rsid w:val="5B807F68"/>
    <w:rsid w:val="5B9F5D96"/>
    <w:rsid w:val="5BFB631F"/>
    <w:rsid w:val="5C034D53"/>
    <w:rsid w:val="5C903B7A"/>
    <w:rsid w:val="5E1D6F56"/>
    <w:rsid w:val="5E52187F"/>
    <w:rsid w:val="5E6A13CD"/>
    <w:rsid w:val="5E705D15"/>
    <w:rsid w:val="5E92274E"/>
    <w:rsid w:val="5E93326C"/>
    <w:rsid w:val="5E9F1A7A"/>
    <w:rsid w:val="5EAA6F51"/>
    <w:rsid w:val="5EFB4BA4"/>
    <w:rsid w:val="5F5F46B5"/>
    <w:rsid w:val="5F895CFD"/>
    <w:rsid w:val="5FB25360"/>
    <w:rsid w:val="5FBA3CC0"/>
    <w:rsid w:val="5FD90D61"/>
    <w:rsid w:val="60177697"/>
    <w:rsid w:val="602329DB"/>
    <w:rsid w:val="602C13CC"/>
    <w:rsid w:val="607777D6"/>
    <w:rsid w:val="60911000"/>
    <w:rsid w:val="60BC76A1"/>
    <w:rsid w:val="610B7637"/>
    <w:rsid w:val="615F5624"/>
    <w:rsid w:val="61847970"/>
    <w:rsid w:val="61BE4076"/>
    <w:rsid w:val="61D215CF"/>
    <w:rsid w:val="622C5484"/>
    <w:rsid w:val="625C563D"/>
    <w:rsid w:val="626A1704"/>
    <w:rsid w:val="62AD7E76"/>
    <w:rsid w:val="62B362C8"/>
    <w:rsid w:val="62C1330E"/>
    <w:rsid w:val="630C5A29"/>
    <w:rsid w:val="6342085E"/>
    <w:rsid w:val="636F415C"/>
    <w:rsid w:val="64785A9C"/>
    <w:rsid w:val="64917820"/>
    <w:rsid w:val="64AA1CC5"/>
    <w:rsid w:val="651D5BE5"/>
    <w:rsid w:val="655F1E1A"/>
    <w:rsid w:val="656B2909"/>
    <w:rsid w:val="65914A0B"/>
    <w:rsid w:val="65A3045D"/>
    <w:rsid w:val="65D97752"/>
    <w:rsid w:val="65E25E59"/>
    <w:rsid w:val="661047DD"/>
    <w:rsid w:val="66307F76"/>
    <w:rsid w:val="66580EAF"/>
    <w:rsid w:val="66694D0D"/>
    <w:rsid w:val="667700C4"/>
    <w:rsid w:val="667B4472"/>
    <w:rsid w:val="66F041A8"/>
    <w:rsid w:val="67056EA1"/>
    <w:rsid w:val="671109C3"/>
    <w:rsid w:val="6721178A"/>
    <w:rsid w:val="6739399A"/>
    <w:rsid w:val="673F39DE"/>
    <w:rsid w:val="674C5D22"/>
    <w:rsid w:val="67663AF8"/>
    <w:rsid w:val="67762CFD"/>
    <w:rsid w:val="6777598C"/>
    <w:rsid w:val="677A678D"/>
    <w:rsid w:val="67936CBD"/>
    <w:rsid w:val="68011379"/>
    <w:rsid w:val="68252C37"/>
    <w:rsid w:val="68817BAC"/>
    <w:rsid w:val="689A5E59"/>
    <w:rsid w:val="68E91861"/>
    <w:rsid w:val="68EE72DF"/>
    <w:rsid w:val="690F0B4D"/>
    <w:rsid w:val="692E2EB0"/>
    <w:rsid w:val="69485FEA"/>
    <w:rsid w:val="694C7BCA"/>
    <w:rsid w:val="69677DC0"/>
    <w:rsid w:val="69937EC7"/>
    <w:rsid w:val="69D64558"/>
    <w:rsid w:val="6A042548"/>
    <w:rsid w:val="6A471EFD"/>
    <w:rsid w:val="6A7F64C7"/>
    <w:rsid w:val="6A90616B"/>
    <w:rsid w:val="6AB51A05"/>
    <w:rsid w:val="6AB57116"/>
    <w:rsid w:val="6AE73176"/>
    <w:rsid w:val="6B17424A"/>
    <w:rsid w:val="6B2218FA"/>
    <w:rsid w:val="6B691672"/>
    <w:rsid w:val="6BC8641A"/>
    <w:rsid w:val="6BE97F42"/>
    <w:rsid w:val="6BEF3E88"/>
    <w:rsid w:val="6C296590"/>
    <w:rsid w:val="6C58423F"/>
    <w:rsid w:val="6C5E6A51"/>
    <w:rsid w:val="6C65048B"/>
    <w:rsid w:val="6C6513C3"/>
    <w:rsid w:val="6C744268"/>
    <w:rsid w:val="6CD62D03"/>
    <w:rsid w:val="6CD97FB6"/>
    <w:rsid w:val="6D4B22B8"/>
    <w:rsid w:val="6D4F2026"/>
    <w:rsid w:val="6D930013"/>
    <w:rsid w:val="6DDA16D9"/>
    <w:rsid w:val="6E1A1656"/>
    <w:rsid w:val="6E231DD6"/>
    <w:rsid w:val="6E5A5288"/>
    <w:rsid w:val="6E5D2F46"/>
    <w:rsid w:val="6EE013EE"/>
    <w:rsid w:val="6EE079F1"/>
    <w:rsid w:val="6EE42C42"/>
    <w:rsid w:val="6F7F7CB0"/>
    <w:rsid w:val="6FE0165C"/>
    <w:rsid w:val="6FE6309C"/>
    <w:rsid w:val="6FF0551E"/>
    <w:rsid w:val="70222744"/>
    <w:rsid w:val="706D2B21"/>
    <w:rsid w:val="707B1384"/>
    <w:rsid w:val="70857A34"/>
    <w:rsid w:val="70985D3C"/>
    <w:rsid w:val="70F40FA1"/>
    <w:rsid w:val="71047C73"/>
    <w:rsid w:val="7109004F"/>
    <w:rsid w:val="71103167"/>
    <w:rsid w:val="712E56F7"/>
    <w:rsid w:val="71642194"/>
    <w:rsid w:val="71691ABB"/>
    <w:rsid w:val="7169386A"/>
    <w:rsid w:val="71AE1AEA"/>
    <w:rsid w:val="71CF3B6C"/>
    <w:rsid w:val="71F80F33"/>
    <w:rsid w:val="722013F6"/>
    <w:rsid w:val="722922C6"/>
    <w:rsid w:val="722A49B5"/>
    <w:rsid w:val="728121EC"/>
    <w:rsid w:val="732D4B5D"/>
    <w:rsid w:val="73393C88"/>
    <w:rsid w:val="7362513F"/>
    <w:rsid w:val="7372081D"/>
    <w:rsid w:val="73740A39"/>
    <w:rsid w:val="73771D49"/>
    <w:rsid w:val="73A1354E"/>
    <w:rsid w:val="74A11E7D"/>
    <w:rsid w:val="74B25745"/>
    <w:rsid w:val="74C12F49"/>
    <w:rsid w:val="74F97739"/>
    <w:rsid w:val="750E2D70"/>
    <w:rsid w:val="75590B0A"/>
    <w:rsid w:val="7582279F"/>
    <w:rsid w:val="75843EB5"/>
    <w:rsid w:val="75BB71AF"/>
    <w:rsid w:val="75F01962"/>
    <w:rsid w:val="75F86E00"/>
    <w:rsid w:val="75FC2261"/>
    <w:rsid w:val="76037E52"/>
    <w:rsid w:val="760E19DF"/>
    <w:rsid w:val="761B75CE"/>
    <w:rsid w:val="76676A53"/>
    <w:rsid w:val="76B620A1"/>
    <w:rsid w:val="76F20814"/>
    <w:rsid w:val="77462524"/>
    <w:rsid w:val="7754544E"/>
    <w:rsid w:val="77A21064"/>
    <w:rsid w:val="77E34EB2"/>
    <w:rsid w:val="781564B8"/>
    <w:rsid w:val="78224ACF"/>
    <w:rsid w:val="783D4D66"/>
    <w:rsid w:val="788A2AAC"/>
    <w:rsid w:val="789645EE"/>
    <w:rsid w:val="78CD6DCC"/>
    <w:rsid w:val="78D07CAF"/>
    <w:rsid w:val="78DE12D7"/>
    <w:rsid w:val="78FC2038"/>
    <w:rsid w:val="78FC33D7"/>
    <w:rsid w:val="79210683"/>
    <w:rsid w:val="792417A2"/>
    <w:rsid w:val="798810B6"/>
    <w:rsid w:val="799C3465"/>
    <w:rsid w:val="79B14EC4"/>
    <w:rsid w:val="79BE1ECC"/>
    <w:rsid w:val="79C95345"/>
    <w:rsid w:val="7A2A6B4A"/>
    <w:rsid w:val="7A681070"/>
    <w:rsid w:val="7A860C7C"/>
    <w:rsid w:val="7AAD79E7"/>
    <w:rsid w:val="7AB879FE"/>
    <w:rsid w:val="7B3264DD"/>
    <w:rsid w:val="7B7374F2"/>
    <w:rsid w:val="7B81188A"/>
    <w:rsid w:val="7B9E2902"/>
    <w:rsid w:val="7BA434D7"/>
    <w:rsid w:val="7BC854E2"/>
    <w:rsid w:val="7C0562EC"/>
    <w:rsid w:val="7C27683F"/>
    <w:rsid w:val="7C8B6DF3"/>
    <w:rsid w:val="7CB14B4D"/>
    <w:rsid w:val="7CF26969"/>
    <w:rsid w:val="7D25523C"/>
    <w:rsid w:val="7DB23041"/>
    <w:rsid w:val="7DFE3170"/>
    <w:rsid w:val="7E5F7809"/>
    <w:rsid w:val="7EB22415"/>
    <w:rsid w:val="7ED56C53"/>
    <w:rsid w:val="7EEA1BAF"/>
    <w:rsid w:val="7F5460D4"/>
    <w:rsid w:val="7F552892"/>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49"/>
    <w:qFormat/>
    <w:uiPriority w:val="0"/>
    <w:pPr>
      <w:keepNext/>
      <w:keepLines/>
      <w:jc w:val="center"/>
      <w:outlineLvl w:val="0"/>
    </w:pPr>
    <w:rPr>
      <w:b/>
      <w:bCs/>
      <w:kern w:val="44"/>
      <w:sz w:val="36"/>
      <w:szCs w:val="44"/>
    </w:rPr>
  </w:style>
  <w:style w:type="paragraph" w:styleId="5">
    <w:name w:val="heading 2"/>
    <w:basedOn w:val="1"/>
    <w:next w:val="1"/>
    <w:link w:val="50"/>
    <w:qFormat/>
    <w:uiPriority w:val="9"/>
    <w:pPr>
      <w:keepNext/>
      <w:keepLines/>
      <w:spacing w:line="360" w:lineRule="auto"/>
      <w:outlineLvl w:val="1"/>
    </w:pPr>
    <w:rPr>
      <w:rFonts w:ascii="Arial" w:hAnsi="Arial" w:eastAsia="宋体" w:cs="Times New Roman"/>
      <w:b/>
      <w:bCs/>
      <w:sz w:val="24"/>
      <w:szCs w:val="32"/>
    </w:rPr>
  </w:style>
  <w:style w:type="paragraph" w:styleId="6">
    <w:name w:val="heading 3"/>
    <w:basedOn w:val="1"/>
    <w:next w:val="1"/>
    <w:link w:val="5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8">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9">
    <w:name w:val="heading 6"/>
    <w:basedOn w:val="1"/>
    <w:next w:val="1"/>
    <w:unhideWhenUsed/>
    <w:qFormat/>
    <w:uiPriority w:val="0"/>
    <w:pPr>
      <w:keepNext/>
      <w:keepLines/>
      <w:spacing w:before="240" w:after="64" w:line="320" w:lineRule="auto"/>
      <w:outlineLvl w:val="5"/>
    </w:pPr>
    <w:rPr>
      <w:rFonts w:ascii="等线 Light" w:hAnsi="等线 Light" w:eastAsia="等线 Light" w:cs="Times New Roman"/>
      <w:b/>
      <w:bCs/>
      <w:sz w:val="24"/>
      <w:szCs w:val="24"/>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semiHidden/>
    <w:qFormat/>
    <w:uiPriority w:val="99"/>
    <w:pPr>
      <w:spacing w:line="276" w:lineRule="auto"/>
      <w:ind w:firstLine="420" w:firstLineChars="200"/>
      <w:jc w:val="left"/>
    </w:pPr>
  </w:style>
  <w:style w:type="paragraph" w:styleId="3">
    <w:name w:val="Body Text Indent"/>
    <w:basedOn w:val="1"/>
    <w:link w:val="81"/>
    <w:qFormat/>
    <w:uiPriority w:val="99"/>
    <w:pPr>
      <w:spacing w:after="120"/>
      <w:ind w:left="420" w:leftChars="200"/>
    </w:pPr>
    <w:rPr>
      <w:rFonts w:ascii="Calibri" w:hAnsi="Calibri" w:eastAsia="宋体" w:cs="Times New Roman"/>
      <w:szCs w:val="20"/>
    </w:rPr>
  </w:style>
  <w:style w:type="paragraph" w:styleId="10">
    <w:name w:val="toc 7"/>
    <w:basedOn w:val="1"/>
    <w:next w:val="1"/>
    <w:qFormat/>
    <w:uiPriority w:val="39"/>
    <w:pPr>
      <w:ind w:left="1440"/>
      <w:jc w:val="left"/>
    </w:pPr>
    <w:rPr>
      <w:rFonts w:ascii="Calibri" w:hAnsi="Calibri" w:eastAsia="宋体" w:cs="Times New Roman"/>
      <w:sz w:val="18"/>
      <w:szCs w:val="18"/>
    </w:rPr>
  </w:style>
  <w:style w:type="paragraph" w:styleId="11">
    <w:name w:val="Normal Indent"/>
    <w:basedOn w:val="1"/>
    <w:qFormat/>
    <w:uiPriority w:val="0"/>
    <w:pPr>
      <w:ind w:firstLine="420"/>
    </w:pPr>
    <w:rPr>
      <w:rFonts w:ascii="Times New Roman" w:hAnsi="Times New Roman"/>
      <w:kern w:val="0"/>
      <w:sz w:val="20"/>
      <w:szCs w:val="20"/>
    </w:rPr>
  </w:style>
  <w:style w:type="paragraph" w:styleId="12">
    <w:name w:val="caption"/>
    <w:basedOn w:val="1"/>
    <w:next w:val="1"/>
    <w:qFormat/>
    <w:uiPriority w:val="35"/>
    <w:pPr>
      <w:spacing w:before="152" w:after="160"/>
    </w:pPr>
    <w:rPr>
      <w:rFonts w:ascii="Arial" w:hAnsi="Arial" w:eastAsia="黑体" w:cs="Arial"/>
      <w:sz w:val="20"/>
      <w:szCs w:val="20"/>
    </w:rPr>
  </w:style>
  <w:style w:type="paragraph" w:styleId="13">
    <w:name w:val="Document Map"/>
    <w:basedOn w:val="1"/>
    <w:link w:val="72"/>
    <w:qFormat/>
    <w:uiPriority w:val="0"/>
    <w:pPr>
      <w:shd w:val="clear" w:color="auto" w:fill="000080"/>
    </w:pPr>
    <w:rPr>
      <w:sz w:val="24"/>
    </w:rPr>
  </w:style>
  <w:style w:type="paragraph" w:styleId="14">
    <w:name w:val="toa heading"/>
    <w:basedOn w:val="1"/>
    <w:next w:val="1"/>
    <w:qFormat/>
    <w:uiPriority w:val="99"/>
    <w:pPr>
      <w:spacing w:before="120"/>
    </w:pPr>
    <w:rPr>
      <w:rFonts w:ascii="Arial" w:hAnsi="Arial" w:eastAsia="宋体" w:cs="Arial"/>
      <w:sz w:val="24"/>
      <w:szCs w:val="24"/>
    </w:rPr>
  </w:style>
  <w:style w:type="paragraph" w:styleId="15">
    <w:name w:val="annotation text"/>
    <w:basedOn w:val="1"/>
    <w:link w:val="63"/>
    <w:qFormat/>
    <w:uiPriority w:val="0"/>
    <w:pPr>
      <w:jc w:val="left"/>
    </w:pPr>
  </w:style>
  <w:style w:type="paragraph" w:styleId="16">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7">
    <w:name w:val="Body Text"/>
    <w:basedOn w:val="1"/>
    <w:link w:val="84"/>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8">
    <w:name w:val="index 4"/>
    <w:basedOn w:val="1"/>
    <w:next w:val="1"/>
    <w:qFormat/>
    <w:uiPriority w:val="0"/>
    <w:pPr>
      <w:ind w:left="600" w:leftChars="600"/>
    </w:pPr>
  </w:style>
  <w:style w:type="paragraph" w:styleId="19">
    <w:name w:val="toc 5"/>
    <w:basedOn w:val="1"/>
    <w:next w:val="1"/>
    <w:qFormat/>
    <w:uiPriority w:val="39"/>
    <w:pPr>
      <w:ind w:left="960"/>
      <w:jc w:val="left"/>
    </w:pPr>
    <w:rPr>
      <w:rFonts w:ascii="Calibri" w:hAnsi="Calibri" w:eastAsia="宋体" w:cs="Times New Roman"/>
      <w:sz w:val="18"/>
      <w:szCs w:val="18"/>
    </w:rPr>
  </w:style>
  <w:style w:type="paragraph" w:styleId="20">
    <w:name w:val="toc 3"/>
    <w:basedOn w:val="1"/>
    <w:next w:val="1"/>
    <w:qFormat/>
    <w:uiPriority w:val="39"/>
    <w:pPr>
      <w:ind w:left="480"/>
      <w:jc w:val="left"/>
    </w:pPr>
    <w:rPr>
      <w:rFonts w:ascii="Calibri" w:hAnsi="Calibri" w:eastAsia="宋体" w:cs="Times New Roman"/>
      <w:i/>
      <w:iCs/>
      <w:sz w:val="20"/>
      <w:szCs w:val="20"/>
    </w:rPr>
  </w:style>
  <w:style w:type="paragraph" w:styleId="21">
    <w:name w:val="Plain Text"/>
    <w:basedOn w:val="1"/>
    <w:link w:val="74"/>
    <w:qFormat/>
    <w:uiPriority w:val="0"/>
    <w:rPr>
      <w:rFonts w:ascii="宋体" w:hAnsi="Courier New"/>
    </w:rPr>
  </w:style>
  <w:style w:type="paragraph" w:styleId="22">
    <w:name w:val="toc 8"/>
    <w:basedOn w:val="1"/>
    <w:next w:val="1"/>
    <w:qFormat/>
    <w:uiPriority w:val="39"/>
    <w:pPr>
      <w:ind w:left="1680"/>
      <w:jc w:val="left"/>
    </w:pPr>
    <w:rPr>
      <w:rFonts w:ascii="Calibri" w:hAnsi="Calibri" w:eastAsia="宋体" w:cs="Times New Roman"/>
      <w:sz w:val="18"/>
      <w:szCs w:val="18"/>
    </w:rPr>
  </w:style>
  <w:style w:type="paragraph" w:styleId="23">
    <w:name w:val="Date"/>
    <w:basedOn w:val="1"/>
    <w:next w:val="1"/>
    <w:link w:val="65"/>
    <w:qFormat/>
    <w:uiPriority w:val="0"/>
    <w:pPr>
      <w:ind w:left="100" w:leftChars="2500"/>
    </w:pPr>
    <w:rPr>
      <w:sz w:val="24"/>
    </w:rPr>
  </w:style>
  <w:style w:type="paragraph" w:styleId="24">
    <w:name w:val="Body Text Indent 2"/>
    <w:basedOn w:val="1"/>
    <w:link w:val="53"/>
    <w:qFormat/>
    <w:uiPriority w:val="0"/>
    <w:pPr>
      <w:spacing w:after="120" w:line="480" w:lineRule="auto"/>
      <w:ind w:left="420" w:leftChars="200"/>
    </w:pPr>
  </w:style>
  <w:style w:type="paragraph" w:styleId="25">
    <w:name w:val="Balloon Text"/>
    <w:basedOn w:val="1"/>
    <w:link w:val="69"/>
    <w:qFormat/>
    <w:uiPriority w:val="0"/>
    <w:rPr>
      <w:sz w:val="18"/>
    </w:rPr>
  </w:style>
  <w:style w:type="paragraph" w:styleId="26">
    <w:name w:val="footer"/>
    <w:basedOn w:val="1"/>
    <w:link w:val="75"/>
    <w:qFormat/>
    <w:uiPriority w:val="99"/>
    <w:pPr>
      <w:tabs>
        <w:tab w:val="center" w:pos="4153"/>
        <w:tab w:val="right" w:pos="8306"/>
      </w:tabs>
      <w:snapToGrid w:val="0"/>
      <w:jc w:val="left"/>
    </w:pPr>
    <w:rPr>
      <w:sz w:val="18"/>
    </w:rPr>
  </w:style>
  <w:style w:type="paragraph" w:styleId="27">
    <w:name w:val="header"/>
    <w:basedOn w:val="1"/>
    <w:link w:val="61"/>
    <w:qFormat/>
    <w:uiPriority w:val="0"/>
    <w:pPr>
      <w:pBdr>
        <w:bottom w:val="single" w:color="auto" w:sz="6" w:space="1"/>
      </w:pBdr>
      <w:tabs>
        <w:tab w:val="center" w:pos="4153"/>
        <w:tab w:val="right" w:pos="8306"/>
      </w:tabs>
      <w:snapToGrid w:val="0"/>
      <w:jc w:val="center"/>
    </w:pPr>
    <w:rPr>
      <w:sz w:val="18"/>
    </w:rPr>
  </w:style>
  <w:style w:type="paragraph" w:styleId="28">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9">
    <w:name w:val="toc 4"/>
    <w:basedOn w:val="1"/>
    <w:next w:val="1"/>
    <w:qFormat/>
    <w:uiPriority w:val="39"/>
    <w:pPr>
      <w:ind w:left="720"/>
      <w:jc w:val="left"/>
    </w:pPr>
    <w:rPr>
      <w:rFonts w:ascii="Calibri" w:hAnsi="Calibri" w:eastAsia="宋体" w:cs="Times New Roman"/>
      <w:sz w:val="18"/>
      <w:szCs w:val="18"/>
    </w:rPr>
  </w:style>
  <w:style w:type="paragraph" w:styleId="30">
    <w:name w:val="List"/>
    <w:basedOn w:val="1"/>
    <w:qFormat/>
    <w:uiPriority w:val="99"/>
    <w:pPr>
      <w:ind w:left="420" w:hanging="420"/>
    </w:pPr>
    <w:rPr>
      <w:rFonts w:ascii="Times New Roman" w:hAnsi="Times New Roman" w:eastAsia="宋体" w:cs="Times New Roman"/>
      <w:szCs w:val="20"/>
    </w:rPr>
  </w:style>
  <w:style w:type="paragraph" w:styleId="31">
    <w:name w:val="toc 6"/>
    <w:basedOn w:val="1"/>
    <w:next w:val="1"/>
    <w:qFormat/>
    <w:uiPriority w:val="39"/>
    <w:pPr>
      <w:ind w:left="1200"/>
      <w:jc w:val="left"/>
    </w:pPr>
    <w:rPr>
      <w:rFonts w:ascii="Calibri" w:hAnsi="Calibri" w:eastAsia="宋体" w:cs="Times New Roman"/>
      <w:sz w:val="18"/>
      <w:szCs w:val="18"/>
    </w:rPr>
  </w:style>
  <w:style w:type="paragraph" w:styleId="32">
    <w:name w:val="Body Text Indent 3"/>
    <w:basedOn w:val="1"/>
    <w:link w:val="55"/>
    <w:qFormat/>
    <w:uiPriority w:val="0"/>
    <w:pPr>
      <w:spacing w:after="120"/>
      <w:ind w:left="420" w:leftChars="200"/>
    </w:pPr>
    <w:rPr>
      <w:sz w:val="16"/>
    </w:rPr>
  </w:style>
  <w:style w:type="paragraph" w:styleId="33">
    <w:name w:val="toc 2"/>
    <w:basedOn w:val="1"/>
    <w:next w:val="1"/>
    <w:unhideWhenUsed/>
    <w:qFormat/>
    <w:uiPriority w:val="39"/>
    <w:pPr>
      <w:ind w:left="420" w:leftChars="200"/>
    </w:pPr>
    <w:rPr>
      <w:rFonts w:ascii="Calibri" w:hAnsi="Calibri" w:eastAsia="宋体" w:cs="Times New Roman"/>
      <w:szCs w:val="20"/>
    </w:rPr>
  </w:style>
  <w:style w:type="paragraph" w:styleId="34">
    <w:name w:val="toc 9"/>
    <w:basedOn w:val="1"/>
    <w:next w:val="1"/>
    <w:qFormat/>
    <w:uiPriority w:val="39"/>
    <w:pPr>
      <w:ind w:left="1920"/>
      <w:jc w:val="left"/>
    </w:pPr>
    <w:rPr>
      <w:rFonts w:ascii="Calibri" w:hAnsi="Calibri" w:eastAsia="宋体" w:cs="Times New Roman"/>
      <w:sz w:val="18"/>
      <w:szCs w:val="18"/>
    </w:rPr>
  </w:style>
  <w:style w:type="paragraph" w:styleId="35">
    <w:name w:val="Normal (Web)"/>
    <w:basedOn w:val="1"/>
    <w:qFormat/>
    <w:uiPriority w:val="99"/>
    <w:rPr>
      <w:rFonts w:ascii="Calibri" w:hAnsi="Calibri" w:eastAsia="宋体" w:cs="Times New Roman"/>
      <w:sz w:val="24"/>
      <w:szCs w:val="20"/>
    </w:rPr>
  </w:style>
  <w:style w:type="paragraph" w:styleId="36">
    <w:name w:val="index 1"/>
    <w:basedOn w:val="1"/>
    <w:next w:val="1"/>
    <w:qFormat/>
    <w:uiPriority w:val="99"/>
    <w:rPr>
      <w:rFonts w:ascii="Calibri" w:hAnsi="Calibri" w:eastAsia="宋体" w:cs="Times New Roman"/>
      <w:sz w:val="24"/>
      <w:szCs w:val="24"/>
    </w:rPr>
  </w:style>
  <w:style w:type="paragraph" w:styleId="37">
    <w:name w:val="Title"/>
    <w:basedOn w:val="1"/>
    <w:next w:val="1"/>
    <w:link w:val="64"/>
    <w:qFormat/>
    <w:uiPriority w:val="0"/>
    <w:pPr>
      <w:spacing w:before="160" w:after="40" w:line="240" w:lineRule="atLeast"/>
      <w:ind w:left="425" w:hanging="425"/>
      <w:jc w:val="center"/>
      <w:outlineLvl w:val="0"/>
    </w:pPr>
    <w:rPr>
      <w:rFonts w:ascii="Arial" w:hAnsi="Arial"/>
      <w:b/>
      <w:sz w:val="32"/>
    </w:rPr>
  </w:style>
  <w:style w:type="paragraph" w:styleId="38">
    <w:name w:val="annotation subject"/>
    <w:basedOn w:val="15"/>
    <w:next w:val="15"/>
    <w:link w:val="54"/>
    <w:qFormat/>
    <w:uiPriority w:val="0"/>
    <w:rPr>
      <w:b/>
    </w:rPr>
  </w:style>
  <w:style w:type="table" w:styleId="40">
    <w:name w:val="Table Grid"/>
    <w:basedOn w:val="3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99"/>
    <w:rPr>
      <w:rFonts w:cs="Times New Roman"/>
    </w:rPr>
  </w:style>
  <w:style w:type="character" w:styleId="44">
    <w:name w:val="FollowedHyperlink"/>
    <w:basedOn w:val="41"/>
    <w:qFormat/>
    <w:uiPriority w:val="99"/>
    <w:rPr>
      <w:color w:val="800080"/>
      <w:u w:val="single"/>
    </w:rPr>
  </w:style>
  <w:style w:type="character" w:styleId="45">
    <w:name w:val="Emphasis"/>
    <w:qFormat/>
    <w:uiPriority w:val="99"/>
    <w:rPr>
      <w:rFonts w:cs="Times New Roman"/>
      <w:color w:val="auto"/>
    </w:rPr>
  </w:style>
  <w:style w:type="character" w:styleId="46">
    <w:name w:val="HTML Acronym"/>
    <w:basedOn w:val="41"/>
    <w:qFormat/>
    <w:uiPriority w:val="99"/>
  </w:style>
  <w:style w:type="character" w:styleId="47">
    <w:name w:val="Hyperlink"/>
    <w:basedOn w:val="41"/>
    <w:qFormat/>
    <w:uiPriority w:val="99"/>
    <w:rPr>
      <w:color w:val="1F4F88"/>
      <w:u w:val="none"/>
    </w:rPr>
  </w:style>
  <w:style w:type="character" w:styleId="48">
    <w:name w:val="annotation reference"/>
    <w:basedOn w:val="41"/>
    <w:qFormat/>
    <w:uiPriority w:val="99"/>
    <w:rPr>
      <w:sz w:val="21"/>
    </w:rPr>
  </w:style>
  <w:style w:type="character" w:customStyle="1" w:styleId="49">
    <w:name w:val="标题 1 字符"/>
    <w:basedOn w:val="41"/>
    <w:link w:val="4"/>
    <w:qFormat/>
    <w:uiPriority w:val="0"/>
    <w:rPr>
      <w:rFonts w:ascii="Calibri" w:hAnsi="Calibri" w:eastAsia="宋体" w:cs="Times New Roman"/>
      <w:b/>
      <w:bCs/>
      <w:kern w:val="44"/>
      <w:sz w:val="36"/>
      <w:szCs w:val="44"/>
    </w:rPr>
  </w:style>
  <w:style w:type="character" w:customStyle="1" w:styleId="50">
    <w:name w:val="标题 2 字符"/>
    <w:basedOn w:val="41"/>
    <w:link w:val="5"/>
    <w:qFormat/>
    <w:uiPriority w:val="9"/>
    <w:rPr>
      <w:rFonts w:ascii="Arial" w:hAnsi="Arial" w:eastAsia="宋体" w:cs="Times New Roman"/>
      <w:b/>
      <w:bCs/>
      <w:sz w:val="24"/>
      <w:szCs w:val="32"/>
    </w:rPr>
  </w:style>
  <w:style w:type="character" w:customStyle="1" w:styleId="51">
    <w:name w:val="标题 3 字符"/>
    <w:basedOn w:val="41"/>
    <w:link w:val="6"/>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Courier New" w:eastAsia="宋体"/>
      <w:kern w:val="2"/>
      <w:sz w:val="21"/>
      <w:lang w:val="en-US" w:eastAsia="zh-CN"/>
    </w:rPr>
  </w:style>
  <w:style w:type="character" w:customStyle="1" w:styleId="53">
    <w:name w:val="正文文本缩进 2 字符"/>
    <w:link w:val="24"/>
    <w:qFormat/>
    <w:locked/>
    <w:uiPriority w:val="0"/>
  </w:style>
  <w:style w:type="character" w:customStyle="1" w:styleId="54">
    <w:name w:val="批注主题 字符"/>
    <w:link w:val="38"/>
    <w:qFormat/>
    <w:locked/>
    <w:uiPriority w:val="0"/>
    <w:rPr>
      <w:b/>
    </w:rPr>
  </w:style>
  <w:style w:type="character" w:customStyle="1" w:styleId="55">
    <w:name w:val="正文文本缩进 3 字符"/>
    <w:link w:val="32"/>
    <w:qFormat/>
    <w:locked/>
    <w:uiPriority w:val="0"/>
    <w:rPr>
      <w:sz w:val="16"/>
    </w:rPr>
  </w:style>
  <w:style w:type="character" w:customStyle="1" w:styleId="56">
    <w:name w:val="纯文本 Char"/>
    <w:qFormat/>
    <w:uiPriority w:val="0"/>
    <w:rPr>
      <w:rFonts w:ascii="宋体" w:hAnsi="Courier New" w:eastAsia="宋体"/>
      <w:kern w:val="2"/>
      <w:sz w:val="21"/>
      <w:lang w:val="en-US" w:eastAsia="zh-CN"/>
    </w:rPr>
  </w:style>
  <w:style w:type="character" w:customStyle="1" w:styleId="57">
    <w:name w:val="Char Char2"/>
    <w:qFormat/>
    <w:uiPriority w:val="0"/>
    <w:rPr>
      <w:rFonts w:ascii="宋体" w:hAnsi="Courier New"/>
      <w:kern w:val="2"/>
      <w:sz w:val="21"/>
    </w:rPr>
  </w:style>
  <w:style w:type="character" w:customStyle="1" w:styleId="58">
    <w:name w:val="列出段落 字符"/>
    <w:link w:val="59"/>
    <w:qFormat/>
    <w:locked/>
    <w:uiPriority w:val="34"/>
    <w:rPr>
      <w:sz w:val="22"/>
    </w:rPr>
  </w:style>
  <w:style w:type="paragraph" w:customStyle="1" w:styleId="59">
    <w:name w:val="列出段落1"/>
    <w:basedOn w:val="1"/>
    <w:link w:val="58"/>
    <w:qFormat/>
    <w:uiPriority w:val="34"/>
    <w:pPr>
      <w:ind w:firstLine="420" w:firstLineChars="200"/>
    </w:pPr>
    <w:rPr>
      <w:sz w:val="22"/>
    </w:rPr>
  </w:style>
  <w:style w:type="character" w:customStyle="1" w:styleId="60">
    <w:name w:val="apple-converted-space"/>
    <w:basedOn w:val="41"/>
    <w:qFormat/>
    <w:uiPriority w:val="0"/>
    <w:rPr>
      <w:rFonts w:cs="Times New Roman"/>
    </w:rPr>
  </w:style>
  <w:style w:type="character" w:customStyle="1" w:styleId="61">
    <w:name w:val="页眉 字符"/>
    <w:link w:val="27"/>
    <w:qFormat/>
    <w:locked/>
    <w:uiPriority w:val="0"/>
    <w:rPr>
      <w:sz w:val="18"/>
    </w:rPr>
  </w:style>
  <w:style w:type="character" w:customStyle="1" w:styleId="62">
    <w:name w:val="BODY TEXT Char"/>
    <w:qFormat/>
    <w:locked/>
    <w:uiPriority w:val="0"/>
    <w:rPr>
      <w:rFonts w:eastAsia="新宋体"/>
      <w:kern w:val="2"/>
      <w:sz w:val="21"/>
    </w:rPr>
  </w:style>
  <w:style w:type="character" w:customStyle="1" w:styleId="63">
    <w:name w:val="批注文字 字符"/>
    <w:link w:val="15"/>
    <w:qFormat/>
    <w:locked/>
    <w:uiPriority w:val="0"/>
  </w:style>
  <w:style w:type="character" w:customStyle="1" w:styleId="64">
    <w:name w:val="标题 字符"/>
    <w:link w:val="37"/>
    <w:qFormat/>
    <w:locked/>
    <w:uiPriority w:val="0"/>
    <w:rPr>
      <w:rFonts w:ascii="Arial" w:hAnsi="Arial"/>
      <w:b/>
      <w:sz w:val="32"/>
    </w:rPr>
  </w:style>
  <w:style w:type="character" w:customStyle="1" w:styleId="65">
    <w:name w:val="日期 字符"/>
    <w:link w:val="23"/>
    <w:qFormat/>
    <w:locked/>
    <w:uiPriority w:val="0"/>
    <w:rPr>
      <w:sz w:val="24"/>
    </w:rPr>
  </w:style>
  <w:style w:type="character" w:customStyle="1" w:styleId="66">
    <w:name w:val="ATXT_Bullets Zchn"/>
    <w:link w:val="67"/>
    <w:qFormat/>
    <w:locked/>
    <w:uiPriority w:val="99"/>
    <w:rPr>
      <w:rFonts w:ascii="Arial" w:hAnsi="Arial"/>
      <w:lang w:val="de-AT" w:eastAsia="zh-CN"/>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qFormat/>
    <w:uiPriority w:val="0"/>
    <w:rPr>
      <w:rFonts w:ascii="宋体" w:hAnsi="Courier New" w:eastAsia="宋体"/>
      <w:kern w:val="2"/>
      <w:sz w:val="21"/>
      <w:lang w:val="en-US" w:eastAsia="zh-CN"/>
    </w:rPr>
  </w:style>
  <w:style w:type="character" w:customStyle="1" w:styleId="69">
    <w:name w:val="批注框文本 字符"/>
    <w:link w:val="25"/>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link w:val="13"/>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link w:val="21"/>
    <w:qFormat/>
    <w:locked/>
    <w:uiPriority w:val="0"/>
    <w:rPr>
      <w:rFonts w:ascii="宋体" w:hAnsi="Courier New"/>
    </w:rPr>
  </w:style>
  <w:style w:type="character" w:customStyle="1" w:styleId="75">
    <w:name w:val="页脚 字符"/>
    <w:link w:val="26"/>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1"/>
    <w:semiHidden/>
    <w:qFormat/>
    <w:uiPriority w:val="99"/>
  </w:style>
  <w:style w:type="character" w:customStyle="1" w:styleId="80">
    <w:name w:val="批注文字 字符11"/>
    <w:basedOn w:val="41"/>
    <w:qFormat/>
    <w:uiPriority w:val="0"/>
    <w:rPr>
      <w:rFonts w:cs="Times New Roman"/>
      <w:kern w:val="2"/>
      <w:sz w:val="21"/>
    </w:rPr>
  </w:style>
  <w:style w:type="character" w:customStyle="1" w:styleId="81">
    <w:name w:val="正文文本缩进 字符"/>
    <w:basedOn w:val="41"/>
    <w:link w:val="3"/>
    <w:qFormat/>
    <w:uiPriority w:val="99"/>
    <w:rPr>
      <w:rFonts w:ascii="Calibri" w:hAnsi="Calibri" w:eastAsia="宋体" w:cs="Times New Roman"/>
      <w:szCs w:val="20"/>
    </w:rPr>
  </w:style>
  <w:style w:type="character" w:customStyle="1" w:styleId="82">
    <w:name w:val="文档结构图 字符1"/>
    <w:basedOn w:val="41"/>
    <w:semiHidden/>
    <w:qFormat/>
    <w:uiPriority w:val="99"/>
    <w:rPr>
      <w:rFonts w:ascii="Microsoft YaHei UI" w:eastAsia="Microsoft YaHei UI"/>
      <w:sz w:val="18"/>
      <w:szCs w:val="18"/>
    </w:rPr>
  </w:style>
  <w:style w:type="character" w:customStyle="1" w:styleId="83">
    <w:name w:val="文档结构图 字符11"/>
    <w:basedOn w:val="41"/>
    <w:semiHidden/>
    <w:qFormat/>
    <w:uiPriority w:val="99"/>
    <w:rPr>
      <w:rFonts w:ascii="Microsoft YaHei UI" w:eastAsia="Microsoft YaHei UI" w:cs="Times New Roman"/>
      <w:kern w:val="2"/>
      <w:sz w:val="18"/>
      <w:szCs w:val="18"/>
    </w:rPr>
  </w:style>
  <w:style w:type="character" w:customStyle="1" w:styleId="84">
    <w:name w:val="正文文本 字符"/>
    <w:basedOn w:val="41"/>
    <w:link w:val="17"/>
    <w:qFormat/>
    <w:uiPriority w:val="99"/>
    <w:rPr>
      <w:rFonts w:ascii="Calibri" w:hAnsi="Calibri" w:eastAsia="新宋体" w:cs="Times New Roman"/>
      <w:szCs w:val="21"/>
    </w:rPr>
  </w:style>
  <w:style w:type="character" w:customStyle="1" w:styleId="85">
    <w:name w:val="纯文本 字符1"/>
    <w:basedOn w:val="41"/>
    <w:semiHidden/>
    <w:qFormat/>
    <w:uiPriority w:val="99"/>
    <w:rPr>
      <w:rFonts w:hAnsi="Courier New" w:cs="Courier New" w:asciiTheme="minorEastAsia"/>
    </w:rPr>
  </w:style>
  <w:style w:type="character" w:customStyle="1" w:styleId="86">
    <w:name w:val="纯文本 字符11"/>
    <w:basedOn w:val="41"/>
    <w:qFormat/>
    <w:uiPriority w:val="0"/>
    <w:rPr>
      <w:rFonts w:hAnsi="Courier New" w:cs="Courier New" w:asciiTheme="minorEastAsia" w:eastAsiaTheme="minorEastAsia"/>
      <w:kern w:val="2"/>
      <w:sz w:val="21"/>
    </w:rPr>
  </w:style>
  <w:style w:type="character" w:customStyle="1" w:styleId="87">
    <w:name w:val="页眉 字符1"/>
    <w:basedOn w:val="41"/>
    <w:semiHidden/>
    <w:qFormat/>
    <w:uiPriority w:val="99"/>
    <w:rPr>
      <w:sz w:val="18"/>
      <w:szCs w:val="18"/>
    </w:rPr>
  </w:style>
  <w:style w:type="character" w:customStyle="1" w:styleId="88">
    <w:name w:val="页眉 字符11"/>
    <w:basedOn w:val="41"/>
    <w:semiHidden/>
    <w:qFormat/>
    <w:uiPriority w:val="99"/>
    <w:rPr>
      <w:rFonts w:cs="Times New Roman"/>
      <w:kern w:val="2"/>
      <w:sz w:val="18"/>
      <w:szCs w:val="18"/>
    </w:rPr>
  </w:style>
  <w:style w:type="character" w:customStyle="1" w:styleId="89">
    <w:name w:val="批注框文本 字符1"/>
    <w:basedOn w:val="41"/>
    <w:semiHidden/>
    <w:qFormat/>
    <w:uiPriority w:val="99"/>
    <w:rPr>
      <w:sz w:val="18"/>
      <w:szCs w:val="18"/>
    </w:rPr>
  </w:style>
  <w:style w:type="character" w:customStyle="1" w:styleId="90">
    <w:name w:val="批注框文本 字符11"/>
    <w:basedOn w:val="41"/>
    <w:semiHidden/>
    <w:qFormat/>
    <w:uiPriority w:val="99"/>
    <w:rPr>
      <w:rFonts w:cs="Times New Roman"/>
      <w:kern w:val="2"/>
      <w:sz w:val="18"/>
      <w:szCs w:val="18"/>
    </w:rPr>
  </w:style>
  <w:style w:type="character" w:customStyle="1" w:styleId="91">
    <w:name w:val="日期 字符1"/>
    <w:basedOn w:val="41"/>
    <w:semiHidden/>
    <w:qFormat/>
    <w:uiPriority w:val="99"/>
  </w:style>
  <w:style w:type="character" w:customStyle="1" w:styleId="92">
    <w:name w:val="日期 字符11"/>
    <w:basedOn w:val="41"/>
    <w:semiHidden/>
    <w:qFormat/>
    <w:uiPriority w:val="99"/>
    <w:rPr>
      <w:rFonts w:cs="Times New Roman"/>
      <w:kern w:val="2"/>
      <w:sz w:val="21"/>
    </w:rPr>
  </w:style>
  <w:style w:type="character" w:customStyle="1" w:styleId="93">
    <w:name w:val="页脚 字符1"/>
    <w:basedOn w:val="41"/>
    <w:semiHidden/>
    <w:qFormat/>
    <w:uiPriority w:val="99"/>
    <w:rPr>
      <w:sz w:val="18"/>
      <w:szCs w:val="18"/>
    </w:rPr>
  </w:style>
  <w:style w:type="character" w:customStyle="1" w:styleId="94">
    <w:name w:val="页脚 字符11"/>
    <w:basedOn w:val="41"/>
    <w:semiHidden/>
    <w:qFormat/>
    <w:uiPriority w:val="99"/>
    <w:rPr>
      <w:rFonts w:cs="Times New Roman"/>
      <w:kern w:val="2"/>
      <w:sz w:val="18"/>
      <w:szCs w:val="18"/>
    </w:rPr>
  </w:style>
  <w:style w:type="character" w:customStyle="1" w:styleId="95">
    <w:name w:val="正文文本缩进 2 字符1"/>
    <w:basedOn w:val="41"/>
    <w:semiHidden/>
    <w:qFormat/>
    <w:uiPriority w:val="99"/>
  </w:style>
  <w:style w:type="character" w:customStyle="1" w:styleId="96">
    <w:name w:val="正文文本缩进 2 字符11"/>
    <w:basedOn w:val="41"/>
    <w:semiHidden/>
    <w:qFormat/>
    <w:uiPriority w:val="99"/>
    <w:rPr>
      <w:rFonts w:cs="Times New Roman"/>
      <w:kern w:val="2"/>
      <w:sz w:val="21"/>
    </w:rPr>
  </w:style>
  <w:style w:type="character" w:customStyle="1" w:styleId="97">
    <w:name w:val="正文文本缩进 3 字符1"/>
    <w:basedOn w:val="41"/>
    <w:semiHidden/>
    <w:qFormat/>
    <w:uiPriority w:val="99"/>
    <w:rPr>
      <w:sz w:val="16"/>
      <w:szCs w:val="16"/>
    </w:rPr>
  </w:style>
  <w:style w:type="character" w:customStyle="1" w:styleId="98">
    <w:name w:val="正文文本缩进 3 字符11"/>
    <w:basedOn w:val="41"/>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1"/>
    <w:qFormat/>
    <w:uiPriority w:val="10"/>
    <w:rPr>
      <w:rFonts w:asciiTheme="majorHAnsi" w:hAnsiTheme="majorHAnsi" w:eastAsiaTheme="majorEastAsia" w:cstheme="majorBidi"/>
      <w:b/>
      <w:bCs/>
      <w:sz w:val="32"/>
      <w:szCs w:val="32"/>
    </w:rPr>
  </w:style>
  <w:style w:type="character" w:customStyle="1" w:styleId="102">
    <w:name w:val="标题 字符11"/>
    <w:basedOn w:val="41"/>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4">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qFormat/>
    <w:uiPriority w:val="0"/>
    <w:rPr>
      <w:rFonts w:ascii="Calibri" w:hAnsi="Calibri" w:eastAsia="宋体" w:cs="Times New Roman"/>
      <w:szCs w:val="20"/>
    </w:rPr>
  </w:style>
  <w:style w:type="paragraph" w:customStyle="1" w:styleId="106">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qFormat/>
    <w:uiPriority w:val="0"/>
    <w:rPr>
      <w:rFonts w:ascii="Verdana" w:hAnsi="Verdana" w:eastAsia="宋体" w:cs="Times New Roman"/>
      <w:kern w:val="0"/>
      <w:sz w:val="20"/>
      <w:szCs w:val="20"/>
      <w:lang w:eastAsia="en-US"/>
    </w:rPr>
  </w:style>
  <w:style w:type="paragraph" w:customStyle="1" w:styleId="111">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21"/>
    <w:link w:val="117"/>
    <w:qFormat/>
    <w:uiPriority w:val="0"/>
    <w:pPr>
      <w:spacing w:line="360" w:lineRule="auto"/>
      <w:ind w:firstLine="200" w:firstLineChars="200"/>
    </w:pPr>
    <w:rPr>
      <w:rFonts w:hAnsi="宋体"/>
      <w:color w:val="000000"/>
      <w:sz w:val="24"/>
      <w:szCs w:val="24"/>
    </w:rPr>
  </w:style>
  <w:style w:type="paragraph" w:customStyle="1" w:styleId="116">
    <w:name w:val="标书二级标题"/>
    <w:basedOn w:val="5"/>
    <w:link w:val="119"/>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qFormat/>
    <w:locked/>
    <w:uiPriority w:val="0"/>
    <w:rPr>
      <w:rFonts w:ascii="宋体" w:hAnsi="宋体"/>
      <w:color w:val="000000"/>
      <w:sz w:val="24"/>
      <w:szCs w:val="24"/>
    </w:rPr>
  </w:style>
  <w:style w:type="paragraph" w:customStyle="1" w:styleId="118">
    <w:name w:val="标书表格"/>
    <w:basedOn w:val="1"/>
    <w:link w:val="120"/>
    <w:qFormat/>
    <w:uiPriority w:val="0"/>
    <w:pPr>
      <w:jc w:val="center"/>
    </w:pPr>
    <w:rPr>
      <w:rFonts w:ascii="Times New Roman" w:hAnsi="Times New Roman" w:eastAsia="宋体" w:cs="Times New Roman"/>
      <w:b/>
      <w:szCs w:val="20"/>
    </w:rPr>
  </w:style>
  <w:style w:type="character" w:customStyle="1" w:styleId="119">
    <w:name w:val="标书二级标题 字符"/>
    <w:link w:val="116"/>
    <w:qFormat/>
    <w:locked/>
    <w:uiPriority w:val="0"/>
    <w:rPr>
      <w:rFonts w:ascii="宋体" w:hAnsi="宋体" w:eastAsia="黑体" w:cs="Times New Roman"/>
      <w:bCs/>
      <w:sz w:val="28"/>
      <w:szCs w:val="30"/>
    </w:rPr>
  </w:style>
  <w:style w:type="character" w:customStyle="1" w:styleId="120">
    <w:name w:val="标书表格 字符"/>
    <w:link w:val="118"/>
    <w:qFormat/>
    <w:locked/>
    <w:uiPriority w:val="0"/>
    <w:rPr>
      <w:rFonts w:ascii="Times New Roman" w:hAnsi="Times New Roman" w:eastAsia="宋体" w:cs="Times New Roman"/>
      <w:b/>
      <w:szCs w:val="20"/>
    </w:rPr>
  </w:style>
  <w:style w:type="paragraph" w:customStyle="1" w:styleId="121">
    <w:name w:val="标书三级标题"/>
    <w:basedOn w:val="6"/>
    <w:next w:val="115"/>
    <w:link w:val="122"/>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qFormat/>
    <w:locked/>
    <w:uiPriority w:val="0"/>
    <w:rPr>
      <w:b/>
      <w:color w:val="000000"/>
      <w:sz w:val="24"/>
    </w:rPr>
  </w:style>
  <w:style w:type="paragraph" w:customStyle="1" w:styleId="124">
    <w:name w:val="标三级标题"/>
    <w:basedOn w:val="121"/>
    <w:link w:val="123"/>
    <w:qFormat/>
    <w:uiPriority w:val="0"/>
    <w:rPr>
      <w:rFonts w:asciiTheme="minorHAnsi" w:hAnsiTheme="minorHAnsi" w:eastAsiaTheme="minorEastAsia" w:cstheme="minorBidi"/>
      <w:bCs w:val="0"/>
      <w:szCs w:val="22"/>
    </w:rPr>
  </w:style>
  <w:style w:type="character" w:customStyle="1" w:styleId="125">
    <w:name w:val="标正文 字符"/>
    <w:link w:val="126"/>
    <w:qFormat/>
    <w:locked/>
    <w:uiPriority w:val="0"/>
    <w:rPr>
      <w:rFonts w:ascii="宋体" w:eastAsia="宋体"/>
      <w:color w:val="000000"/>
      <w:sz w:val="24"/>
    </w:rPr>
  </w:style>
  <w:style w:type="paragraph" w:customStyle="1" w:styleId="126">
    <w:name w:val="标正文"/>
    <w:basedOn w:val="115"/>
    <w:link w:val="125"/>
    <w:qFormat/>
    <w:uiPriority w:val="0"/>
    <w:pPr>
      <w:ind w:firstLine="480"/>
    </w:pPr>
    <w:rPr>
      <w:rFonts w:eastAsia="宋体" w:hAnsiTheme="minorHAnsi"/>
      <w:szCs w:val="22"/>
    </w:rPr>
  </w:style>
  <w:style w:type="paragraph" w:customStyle="1" w:styleId="127">
    <w:name w:val="TOC 标题1"/>
    <w:basedOn w:val="4"/>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qFormat/>
    <w:uiPriority w:val="0"/>
    <w:pPr>
      <w:spacing w:beforeLines="25" w:afterLines="25" w:line="300" w:lineRule="auto"/>
    </w:pPr>
    <w:rPr>
      <w:szCs w:val="24"/>
    </w:rPr>
  </w:style>
  <w:style w:type="paragraph" w:styleId="129">
    <w:name w:val="List Paragraph"/>
    <w:basedOn w:val="1"/>
    <w:qFormat/>
    <w:uiPriority w:val="99"/>
    <w:pPr>
      <w:ind w:firstLine="420" w:firstLineChars="200"/>
    </w:pPr>
  </w:style>
  <w:style w:type="paragraph" w:customStyle="1" w:styleId="130">
    <w:name w:val="WPSOffice手动目录 1"/>
    <w:qFormat/>
    <w:uiPriority w:val="0"/>
    <w:rPr>
      <w:rFonts w:ascii="Times New Roman" w:hAnsi="Times New Roman" w:eastAsia="宋体" w:cs="Times New Roman"/>
      <w:lang w:val="en-US" w:eastAsia="zh-CN" w:bidi="ar-SA"/>
    </w:rPr>
  </w:style>
  <w:style w:type="table" w:customStyle="1" w:styleId="131">
    <w:name w:val="Table Normal"/>
    <w:semiHidden/>
    <w:unhideWhenUsed/>
    <w:qFormat/>
    <w:uiPriority w:val="0"/>
    <w:tblPr>
      <w:tblCellMar>
        <w:top w:w="0" w:type="dxa"/>
        <w:left w:w="0" w:type="dxa"/>
        <w:bottom w:w="0" w:type="dxa"/>
        <w:right w:w="0" w:type="dxa"/>
      </w:tblCellMar>
    </w:tblPr>
  </w:style>
  <w:style w:type="character" w:customStyle="1" w:styleId="132">
    <w:name w:val="NormalCharacter"/>
    <w:qFormat/>
    <w:uiPriority w:val="0"/>
  </w:style>
  <w:style w:type="paragraph" w:customStyle="1" w:styleId="133">
    <w:name w:val="Table Paragraph"/>
    <w:basedOn w:val="1"/>
    <w:qFormat/>
    <w:uiPriority w:val="1"/>
    <w:rPr>
      <w:rFonts w:ascii="宋体" w:hAnsi="宋体" w:eastAsia="宋体" w:cs="宋体"/>
    </w:rPr>
  </w:style>
  <w:style w:type="paragraph" w:customStyle="1" w:styleId="134">
    <w:name w:val="标书一级标题"/>
    <w:basedOn w:val="4"/>
    <w:link w:val="143"/>
    <w:qFormat/>
    <w:uiPriority w:val="0"/>
    <w:rPr>
      <w:rFonts w:eastAsia="黑体"/>
      <w:b w:val="0"/>
      <w:color w:val="000000"/>
      <w:sz w:val="30"/>
      <w:szCs w:val="24"/>
    </w:rPr>
  </w:style>
  <w:style w:type="paragraph" w:customStyle="1" w:styleId="135">
    <w:name w:val="首行缩进"/>
    <w:basedOn w:val="1"/>
    <w:qFormat/>
    <w:uiPriority w:val="0"/>
    <w:pPr>
      <w:ind w:firstLine="480" w:firstLineChars="200"/>
    </w:pPr>
    <w:rPr>
      <w:lang w:val="zh-CN"/>
    </w:rPr>
  </w:style>
  <w:style w:type="paragraph" w:customStyle="1" w:styleId="136">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7">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8">
    <w:name w:val="正文表标题"/>
    <w:next w:val="137"/>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39">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character" w:customStyle="1" w:styleId="140">
    <w:name w:val="font11"/>
    <w:basedOn w:val="41"/>
    <w:qFormat/>
    <w:uiPriority w:val="0"/>
    <w:rPr>
      <w:rFonts w:hint="eastAsia" w:ascii="宋体" w:hAnsi="宋体" w:eastAsia="宋体" w:cs="宋体"/>
      <w:color w:val="000000"/>
      <w:sz w:val="32"/>
      <w:szCs w:val="32"/>
      <w:u w:val="none"/>
    </w:rPr>
  </w:style>
  <w:style w:type="character" w:customStyle="1" w:styleId="141">
    <w:name w:val="font21"/>
    <w:basedOn w:val="41"/>
    <w:qFormat/>
    <w:uiPriority w:val="0"/>
    <w:rPr>
      <w:rFonts w:hint="eastAsia" w:ascii="宋体" w:hAnsi="宋体" w:eastAsia="宋体" w:cs="宋体"/>
      <w:color w:val="000000"/>
      <w:sz w:val="21"/>
      <w:szCs w:val="21"/>
      <w:u w:val="none"/>
    </w:rPr>
  </w:style>
  <w:style w:type="character" w:customStyle="1" w:styleId="142">
    <w:name w:val="font41"/>
    <w:basedOn w:val="41"/>
    <w:qFormat/>
    <w:uiPriority w:val="0"/>
    <w:rPr>
      <w:rFonts w:hint="default" w:ascii="Times New Roman" w:hAnsi="Times New Roman" w:cs="Times New Roman"/>
      <w:color w:val="000000"/>
      <w:sz w:val="32"/>
      <w:szCs w:val="32"/>
      <w:u w:val="none"/>
    </w:rPr>
  </w:style>
  <w:style w:type="character" w:customStyle="1" w:styleId="143">
    <w:name w:val="标书一级标题 字符"/>
    <w:link w:val="134"/>
    <w:qFormat/>
    <w:uiPriority w:val="0"/>
    <w:rPr>
      <w:rFonts w:eastAsia="黑体" w:asciiTheme="minorHAnsi" w:hAnsiTheme="minorHAnsi" w:cstheme="minorBidi"/>
      <w:bCs/>
      <w:color w:val="000000"/>
      <w:kern w:val="44"/>
      <w:sz w:val="30"/>
      <w:szCs w:val="24"/>
    </w:rPr>
  </w:style>
  <w:style w:type="character" w:customStyle="1" w:styleId="144">
    <w:name w:val="Unresolved Mention"/>
    <w:basedOn w:val="4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13.png"/><Relationship Id="rId43" Type="http://schemas.openxmlformats.org/officeDocument/2006/relationships/image" Target="media/image12.png"/><Relationship Id="rId42" Type="http://schemas.openxmlformats.org/officeDocument/2006/relationships/image" Target="media/image11.png"/><Relationship Id="rId41" Type="http://schemas.openxmlformats.org/officeDocument/2006/relationships/image" Target="media/image10.png"/><Relationship Id="rId40" Type="http://schemas.openxmlformats.org/officeDocument/2006/relationships/image" Target="media/image9.png"/><Relationship Id="rId4" Type="http://schemas.openxmlformats.org/officeDocument/2006/relationships/footer" Target="footer2.xml"/><Relationship Id="rId39" Type="http://schemas.openxmlformats.org/officeDocument/2006/relationships/image" Target="media/image8.png"/><Relationship Id="rId38" Type="http://schemas.openxmlformats.org/officeDocument/2006/relationships/image" Target="media/image7.png"/><Relationship Id="rId37" Type="http://schemas.openxmlformats.org/officeDocument/2006/relationships/image" Target="media/image6.png"/><Relationship Id="rId36" Type="http://schemas.openxmlformats.org/officeDocument/2006/relationships/image" Target="media/image5.png"/><Relationship Id="rId35" Type="http://schemas.openxmlformats.org/officeDocument/2006/relationships/image" Target="media/image4.png"/><Relationship Id="rId34" Type="http://schemas.openxmlformats.org/officeDocument/2006/relationships/image" Target="media/image3.png"/><Relationship Id="rId33" Type="http://schemas.openxmlformats.org/officeDocument/2006/relationships/image" Target="media/image2.png"/><Relationship Id="rId32" Type="http://schemas.openxmlformats.org/officeDocument/2006/relationships/image" Target="media/image1.png"/><Relationship Id="rId31" Type="http://schemas.openxmlformats.org/officeDocument/2006/relationships/theme" Target="theme/theme1.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header" Target="header5.xml"/><Relationship Id="rId27" Type="http://schemas.openxmlformats.org/officeDocument/2006/relationships/header" Target="header4.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111</Pages>
  <Words>9794</Words>
  <Characters>55830</Characters>
  <Lines>465</Lines>
  <Paragraphs>130</Paragraphs>
  <TotalTime>9</TotalTime>
  <ScaleCrop>false</ScaleCrop>
  <LinksUpToDate>false</LinksUpToDate>
  <CharactersWithSpaces>65494</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赵力</cp:lastModifiedBy>
  <cp:lastPrinted>2024-06-21T03:25:00Z</cp:lastPrinted>
  <dcterms:modified xsi:type="dcterms:W3CDTF">2025-11-04T09:06:08Z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ED02EB12B8294FE5807EAA5D2C3C24E0</vt:lpwstr>
  </property>
  <property fmtid="{D5CDD505-2E9C-101B-9397-08002B2CF9AE}" pid="4" name="KSOTemplateDocerSaveRecord">
    <vt:lpwstr>eyJoZGlkIjoiNWM4YzFjOWU0Nzg0NmRkMzI1ZDk2YmYxNGU0NmE0YTUiLCJ1c2VySWQiOiIyMzM1Mzg3MjEifQ==</vt:lpwstr>
  </property>
</Properties>
</file>