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Calibri" w:eastAsia="宋体" w:cs="Times New Roman"/>
          <w:color w:val="000000"/>
          <w:sz w:val="30"/>
          <w:szCs w:val="30"/>
        </w:rPr>
      </w:pPr>
      <w:bookmarkStart w:id="0" w:name="OLE_LINK31"/>
      <w:bookmarkStart w:id="1" w:name="OLE_LINK30"/>
    </w:p>
    <w:p>
      <w:pPr>
        <w:spacing w:line="276" w:lineRule="auto"/>
        <w:jc w:val="center"/>
        <w:rPr>
          <w:rFonts w:hint="eastAsia" w:ascii="Calibri" w:hAnsi="宋体" w:eastAsia="宋体" w:cs="Times New Roman"/>
          <w:b/>
          <w:bCs/>
          <w:color w:val="000000"/>
          <w:spacing w:val="-8"/>
          <w:sz w:val="48"/>
          <w:szCs w:val="44"/>
        </w:rPr>
      </w:pPr>
      <w:r>
        <w:rPr>
          <w:rFonts w:hint="eastAsia" w:ascii="Calibri" w:hAnsi="宋体" w:eastAsia="宋体" w:cs="Times New Roman"/>
          <w:b/>
          <w:bCs/>
          <w:color w:val="000000"/>
          <w:spacing w:val="-8"/>
          <w:sz w:val="48"/>
          <w:szCs w:val="44"/>
        </w:rPr>
        <w:t>总镍在线监测设备维修保养服务</w:t>
      </w:r>
    </w:p>
    <w:p>
      <w:pPr>
        <w:spacing w:line="276" w:lineRule="auto"/>
        <w:jc w:val="center"/>
        <w:rPr>
          <w:rFonts w:ascii="Calibri" w:hAnsi="Calibri" w:eastAsia="宋体" w:cs="Times New Roman"/>
          <w:b/>
          <w:bCs/>
          <w:color w:val="000000"/>
          <w:spacing w:val="-8"/>
          <w:sz w:val="48"/>
          <w:szCs w:val="44"/>
        </w:rPr>
      </w:pPr>
      <w:r>
        <w:rPr>
          <w:rFonts w:hint="eastAsia" w:ascii="Calibri" w:hAnsi="宋体" w:eastAsia="宋体" w:cs="Times New Roman"/>
          <w:b/>
          <w:bCs/>
          <w:color w:val="000000"/>
          <w:spacing w:val="-8"/>
          <w:sz w:val="48"/>
          <w:szCs w:val="44"/>
        </w:rPr>
        <w:t>招标项目</w:t>
      </w:r>
      <w:r>
        <w:rPr>
          <w:rFonts w:ascii="Calibri" w:hAnsi="Calibri" w:eastAsia="宋体" w:cs="Times New Roman"/>
          <w:b/>
          <w:bCs/>
          <w:color w:val="000000"/>
          <w:spacing w:val="-8"/>
          <w:sz w:val="48"/>
          <w:szCs w:val="44"/>
        </w:rPr>
        <w:t xml:space="preserve"> </w:t>
      </w:r>
    </w:p>
    <w:p>
      <w:pPr>
        <w:pStyle w:val="21"/>
      </w:pPr>
    </w:p>
    <w:p>
      <w:pPr>
        <w:pStyle w:val="21"/>
      </w:pPr>
    </w:p>
    <w:p>
      <w:pPr>
        <w:pStyle w:val="21"/>
      </w:pPr>
    </w:p>
    <w:p>
      <w:pPr>
        <w:pStyle w:val="21"/>
      </w:pPr>
    </w:p>
    <w:p>
      <w:pPr>
        <w:jc w:val="right"/>
        <w:rPr>
          <w:rFonts w:ascii="Calibri" w:hAnsi="Calibri" w:eastAsia="宋体" w:cs="Times New Roman"/>
          <w:color w:val="000000"/>
          <w:sz w:val="28"/>
          <w:szCs w:val="28"/>
        </w:rPr>
      </w:pPr>
    </w:p>
    <w:p>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招</w:t>
      </w:r>
    </w:p>
    <w:p>
      <w:pPr>
        <w:jc w:val="center"/>
        <w:rPr>
          <w:rFonts w:hint="eastAsia" w:ascii="黑体" w:hAnsi="宋体" w:eastAsia="黑体" w:cs="Times New Roman"/>
          <w:color w:val="000000"/>
          <w:sz w:val="72"/>
          <w:szCs w:val="72"/>
        </w:rPr>
      </w:pPr>
    </w:p>
    <w:p>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标</w:t>
      </w:r>
    </w:p>
    <w:p>
      <w:pPr>
        <w:jc w:val="center"/>
        <w:rPr>
          <w:rFonts w:hint="eastAsia" w:ascii="黑体" w:hAnsi="宋体" w:eastAsia="黑体" w:cs="Times New Roman"/>
          <w:color w:val="000000"/>
          <w:sz w:val="72"/>
          <w:szCs w:val="72"/>
        </w:rPr>
      </w:pPr>
    </w:p>
    <w:p>
      <w:pPr>
        <w:jc w:val="center"/>
        <w:rPr>
          <w:rFonts w:ascii="宋体" w:hAnsi="Calibri" w:eastAsia="宋体" w:cs="Times New Roman"/>
          <w:color w:val="000000"/>
          <w:sz w:val="28"/>
          <w:szCs w:val="28"/>
        </w:rPr>
      </w:pPr>
      <w:r>
        <w:rPr>
          <w:rFonts w:hint="eastAsia" w:ascii="黑体" w:hAnsi="宋体" w:eastAsia="黑体" w:cs="Times New Roman"/>
          <w:color w:val="000000"/>
          <w:sz w:val="72"/>
          <w:szCs w:val="72"/>
        </w:rPr>
        <w:t>书</w:t>
      </w:r>
    </w:p>
    <w:p>
      <w:pPr>
        <w:spacing w:line="860" w:lineRule="exact"/>
        <w:rPr>
          <w:rFonts w:hint="eastAsia" w:ascii="华文仿宋" w:hAnsi="华文仿宋" w:eastAsia="华文仿宋"/>
          <w:b/>
          <w:bCs/>
          <w:sz w:val="32"/>
          <w:szCs w:val="28"/>
        </w:rPr>
      </w:pPr>
      <w:r>
        <w:rPr>
          <w:rFonts w:hint="eastAsia" w:ascii="华文仿宋" w:hAnsi="华文仿宋" w:eastAsia="华文仿宋"/>
          <w:sz w:val="32"/>
          <w:szCs w:val="28"/>
        </w:rPr>
        <w:t xml:space="preserve">                </w:t>
      </w:r>
      <w:r>
        <w:rPr>
          <w:rFonts w:hint="eastAsia" w:ascii="华文仿宋" w:hAnsi="华文仿宋" w:eastAsia="华文仿宋"/>
          <w:b/>
          <w:bCs/>
          <w:sz w:val="32"/>
          <w:szCs w:val="28"/>
        </w:rPr>
        <w:t xml:space="preserve"> 编制：             </w:t>
      </w:r>
    </w:p>
    <w:p>
      <w:pPr>
        <w:spacing w:line="860" w:lineRule="exact"/>
        <w:rPr>
          <w:rFonts w:hint="eastAsia" w:ascii="华文仿宋" w:hAnsi="华文仿宋" w:eastAsia="华文仿宋"/>
          <w:b/>
          <w:bCs/>
          <w:sz w:val="32"/>
          <w:szCs w:val="28"/>
        </w:rPr>
      </w:pPr>
      <w:r>
        <w:rPr>
          <w:rFonts w:hint="eastAsia" w:ascii="华文仿宋" w:hAnsi="华文仿宋" w:eastAsia="华文仿宋"/>
          <w:b/>
          <w:bCs/>
          <w:sz w:val="32"/>
          <w:szCs w:val="28"/>
        </w:rPr>
        <w:t xml:space="preserve">                 审核：             </w:t>
      </w:r>
    </w:p>
    <w:p>
      <w:pPr>
        <w:spacing w:line="860" w:lineRule="exact"/>
        <w:rPr>
          <w:rFonts w:hint="eastAsia" w:ascii="华文仿宋" w:hAnsi="华文仿宋" w:eastAsia="华文仿宋"/>
          <w:b/>
          <w:bCs/>
          <w:sz w:val="32"/>
          <w:szCs w:val="28"/>
        </w:rPr>
      </w:pPr>
      <w:r>
        <w:rPr>
          <w:rFonts w:hint="eastAsia" w:ascii="华文仿宋" w:hAnsi="华文仿宋" w:eastAsia="华文仿宋"/>
          <w:b/>
          <w:bCs/>
          <w:sz w:val="32"/>
          <w:szCs w:val="28"/>
        </w:rPr>
        <w:t xml:space="preserve">                 批准：     </w:t>
      </w:r>
    </w:p>
    <w:p>
      <w:pPr>
        <w:pStyle w:val="21"/>
        <w:rPr>
          <w:b/>
          <w:bCs/>
        </w:rPr>
      </w:pPr>
    </w:p>
    <w:p>
      <w:pPr>
        <w:jc w:val="center"/>
        <w:rPr>
          <w:rFonts w:hint="eastAsia" w:ascii="宋体" w:hAnsi="宋体"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人：中国重汽集团济宁商用车有限公司</w:t>
      </w:r>
    </w:p>
    <w:p>
      <w:pPr>
        <w:jc w:val="center"/>
        <w:rPr>
          <w:rFonts w:ascii="宋体" w:hAnsi="Calibri" w:eastAsia="宋体" w:cs="Times New Roman"/>
          <w:color w:val="000000"/>
          <w:sz w:val="28"/>
          <w:szCs w:val="28"/>
        </w:rPr>
      </w:pPr>
      <w:r>
        <w:rPr>
          <w:rFonts w:ascii="Calibri" w:hAnsi="Calibri" w:eastAsia="宋体" w:cs="Times New Roman"/>
          <w:color w:val="000000"/>
          <w:sz w:val="28"/>
          <w:szCs w:val="28"/>
        </w:rPr>
        <w:t>202</w:t>
      </w:r>
      <w:r>
        <w:rPr>
          <w:rFonts w:hint="eastAsia" w:ascii="Calibri" w:hAnsi="Calibri" w:eastAsia="宋体" w:cs="Times New Roman"/>
          <w:color w:val="000000"/>
          <w:sz w:val="28"/>
          <w:szCs w:val="28"/>
        </w:rPr>
        <w:t>5</w:t>
      </w:r>
      <w:r>
        <w:rPr>
          <w:rFonts w:hint="eastAsia" w:ascii="宋体" w:hAnsi="宋体" w:eastAsia="宋体" w:cs="Times New Roman"/>
          <w:color w:val="000000"/>
          <w:sz w:val="28"/>
          <w:szCs w:val="28"/>
        </w:rPr>
        <w:t>年</w:t>
      </w:r>
      <w:r>
        <w:rPr>
          <w:rFonts w:ascii="Calibri" w:hAnsi="Calibri" w:eastAsia="宋体" w:cs="Times New Roman"/>
          <w:color w:val="000000"/>
          <w:sz w:val="28"/>
          <w:szCs w:val="28"/>
        </w:rPr>
        <w:t xml:space="preserve"> </w:t>
      </w:r>
      <w:r>
        <w:rPr>
          <w:rFonts w:hint="eastAsia" w:ascii="Calibri" w:hAnsi="Calibri" w:eastAsia="宋体" w:cs="Times New Roman"/>
          <w:color w:val="000000"/>
          <w:sz w:val="28"/>
          <w:szCs w:val="28"/>
          <w:lang w:val="en-US" w:eastAsia="zh-CN"/>
        </w:rPr>
        <w:t>11</w:t>
      </w:r>
      <w:r>
        <w:rPr>
          <w:rFonts w:hint="eastAsia" w:ascii="Calibri" w:hAnsi="Calibri" w:eastAsia="宋体" w:cs="Times New Roman"/>
          <w:color w:val="000000"/>
          <w:sz w:val="28"/>
          <w:szCs w:val="28"/>
        </w:rPr>
        <w:t>月</w:t>
      </w:r>
    </w:p>
    <w:p>
      <w:pPr>
        <w:keepNext/>
        <w:keepLines/>
        <w:jc w:val="center"/>
        <w:rPr>
          <w:rFonts w:ascii="Calibri" w:hAnsi="Calibri" w:eastAsia="宋体" w:cs="Times New Roman"/>
          <w:b/>
          <w:bCs/>
          <w:kern w:val="44"/>
          <w:sz w:val="36"/>
          <w:szCs w:val="44"/>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p>
    <w:sdt>
      <w:sdtPr>
        <w:rPr>
          <w:rFonts w:ascii="宋体" w:hAnsi="宋体" w:eastAsia="宋体" w:cs="宋体"/>
          <w:b/>
          <w:bCs/>
          <w:sz w:val="48"/>
          <w:szCs w:val="48"/>
        </w:rPr>
        <w:id w:val="147459055"/>
        <w:docPartObj>
          <w:docPartGallery w:val="Table of Contents"/>
          <w:docPartUnique/>
        </w:docPartObj>
      </w:sdtPr>
      <w:sdtEndPr>
        <w:rPr>
          <w:rFonts w:hint="eastAsia" w:ascii="Calibri" w:hAnsi="Calibri" w:eastAsia="宋体" w:cs="Times New Roman"/>
          <w:b/>
          <w:bCs/>
          <w:kern w:val="44"/>
          <w:sz w:val="21"/>
          <w:szCs w:val="44"/>
        </w:rPr>
      </w:sdtEndPr>
      <w:sdtContent>
        <w:p>
          <w:pPr>
            <w:spacing w:line="480" w:lineRule="auto"/>
            <w:jc w:val="center"/>
            <w:rPr>
              <w:rFonts w:hint="eastAsia" w:cs="宋体"/>
              <w:b/>
              <w:bCs/>
              <w:sz w:val="48"/>
              <w:szCs w:val="48"/>
            </w:rPr>
          </w:pPr>
          <w:r>
            <w:rPr>
              <w:rFonts w:ascii="宋体" w:hAnsi="宋体" w:eastAsia="宋体" w:cs="宋体"/>
              <w:b/>
              <w:bCs/>
              <w:sz w:val="48"/>
              <w:szCs w:val="48"/>
            </w:rPr>
            <w:t>目录</w:t>
          </w:r>
        </w:p>
        <w:p>
          <w:pPr>
            <w:pStyle w:val="28"/>
            <w:tabs>
              <w:tab w:val="right" w:leader="dot" w:pos="9071"/>
            </w:tabs>
            <w:spacing w:line="480" w:lineRule="auto"/>
            <w:rPr>
              <w:rFonts w:hint="eastAsia"/>
              <w:color w:val="auto"/>
              <w:sz w:val="32"/>
              <w:szCs w:val="32"/>
            </w:rPr>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fldChar w:fldCharType="begin"/>
          </w:r>
          <w:r>
            <w:instrText xml:space="preserve"> HYPERLINK \l "_Toc25915" </w:instrText>
          </w:r>
          <w:r>
            <w:fldChar w:fldCharType="separate"/>
          </w:r>
          <w:r>
            <w:rPr>
              <w:rFonts w:hint="eastAsia" w:ascii="Calibri" w:hAnsi="Calibri"/>
              <w:bCs/>
              <w:color w:val="auto"/>
              <w:kern w:val="44"/>
              <w:sz w:val="32"/>
              <w:szCs w:val="32"/>
            </w:rPr>
            <w:t>第一部分 投标人须知前附表</w:t>
          </w:r>
          <w:r>
            <w:rPr>
              <w:color w:val="auto"/>
              <w:sz w:val="32"/>
              <w:szCs w:val="32"/>
            </w:rPr>
            <w:tab/>
          </w:r>
          <w:r>
            <w:rPr>
              <w:color w:val="auto"/>
              <w:sz w:val="32"/>
              <w:szCs w:val="32"/>
            </w:rPr>
            <w:fldChar w:fldCharType="end"/>
          </w:r>
          <w:r>
            <w:rPr>
              <w:rFonts w:hint="eastAsia"/>
              <w:color w:val="auto"/>
              <w:sz w:val="32"/>
              <w:szCs w:val="32"/>
            </w:rPr>
            <w:t>3</w:t>
          </w:r>
        </w:p>
        <w:p>
          <w:pPr>
            <w:pStyle w:val="28"/>
            <w:tabs>
              <w:tab w:val="right" w:leader="dot" w:pos="9071"/>
            </w:tabs>
            <w:spacing w:line="480" w:lineRule="auto"/>
            <w:rPr>
              <w:rFonts w:hint="eastAsia"/>
              <w:color w:val="auto"/>
              <w:sz w:val="32"/>
              <w:szCs w:val="32"/>
            </w:rPr>
          </w:pPr>
          <w:r>
            <w:fldChar w:fldCharType="begin"/>
          </w:r>
          <w:r>
            <w:instrText xml:space="preserve"> HYPERLINK \l "_Toc15609" </w:instrText>
          </w:r>
          <w:r>
            <w:fldChar w:fldCharType="separate"/>
          </w:r>
          <w:r>
            <w:rPr>
              <w:rFonts w:hint="eastAsia" w:ascii="Calibri" w:hAnsi="Calibri"/>
              <w:bCs/>
              <w:color w:val="auto"/>
              <w:kern w:val="44"/>
              <w:sz w:val="32"/>
              <w:szCs w:val="32"/>
            </w:rPr>
            <w:t>第二部分 投标人须知</w:t>
          </w:r>
          <w:r>
            <w:rPr>
              <w:color w:val="auto"/>
              <w:sz w:val="32"/>
              <w:szCs w:val="32"/>
            </w:rPr>
            <w:tab/>
          </w:r>
          <w:r>
            <w:rPr>
              <w:color w:val="auto"/>
              <w:sz w:val="32"/>
              <w:szCs w:val="32"/>
            </w:rPr>
            <w:fldChar w:fldCharType="end"/>
          </w:r>
          <w:r>
            <w:rPr>
              <w:rFonts w:hint="eastAsia"/>
              <w:color w:val="auto"/>
              <w:sz w:val="32"/>
              <w:szCs w:val="32"/>
            </w:rPr>
            <w:t>7</w:t>
          </w:r>
        </w:p>
        <w:p>
          <w:pPr>
            <w:pStyle w:val="28"/>
            <w:tabs>
              <w:tab w:val="right" w:leader="dot" w:pos="9071"/>
            </w:tabs>
            <w:spacing w:line="480" w:lineRule="auto"/>
            <w:rPr>
              <w:rFonts w:hint="eastAsia"/>
              <w:color w:val="auto"/>
              <w:sz w:val="32"/>
              <w:szCs w:val="32"/>
            </w:rPr>
          </w:pPr>
          <w:r>
            <w:fldChar w:fldCharType="begin"/>
          </w:r>
          <w:r>
            <w:instrText xml:space="preserve"> HYPERLINK \l "_Toc22879" </w:instrText>
          </w:r>
          <w:r>
            <w:fldChar w:fldCharType="separate"/>
          </w:r>
          <w:r>
            <w:rPr>
              <w:rFonts w:hint="eastAsia" w:ascii="Calibri" w:hAnsi="Calibri"/>
              <w:bCs/>
              <w:color w:val="auto"/>
              <w:kern w:val="44"/>
              <w:sz w:val="32"/>
              <w:szCs w:val="32"/>
            </w:rPr>
            <w:t>第三部分 投标文件编制</w:t>
          </w:r>
          <w:r>
            <w:rPr>
              <w:color w:val="auto"/>
              <w:sz w:val="32"/>
              <w:szCs w:val="32"/>
            </w:rPr>
            <w:tab/>
          </w:r>
          <w:r>
            <w:rPr>
              <w:color w:val="auto"/>
              <w:sz w:val="32"/>
              <w:szCs w:val="32"/>
            </w:rPr>
            <w:fldChar w:fldCharType="end"/>
          </w:r>
          <w:r>
            <w:rPr>
              <w:rFonts w:hint="eastAsia"/>
              <w:color w:val="auto"/>
              <w:sz w:val="32"/>
              <w:szCs w:val="32"/>
            </w:rPr>
            <w:t>13</w:t>
          </w:r>
        </w:p>
        <w:p>
          <w:pPr>
            <w:pStyle w:val="28"/>
            <w:tabs>
              <w:tab w:val="right" w:leader="dot" w:pos="9071"/>
            </w:tabs>
            <w:spacing w:line="480" w:lineRule="auto"/>
            <w:rPr>
              <w:rFonts w:hint="eastAsia"/>
              <w:color w:val="auto"/>
              <w:sz w:val="32"/>
              <w:szCs w:val="32"/>
            </w:rPr>
          </w:pPr>
          <w:r>
            <w:fldChar w:fldCharType="begin"/>
          </w:r>
          <w:r>
            <w:instrText xml:space="preserve"> HYPERLINK \l "_Toc9849" </w:instrText>
          </w:r>
          <w:r>
            <w:fldChar w:fldCharType="separate"/>
          </w:r>
          <w:r>
            <w:rPr>
              <w:rFonts w:hint="eastAsia" w:ascii="Calibri" w:hAnsi="Calibri"/>
              <w:bCs/>
              <w:color w:val="auto"/>
              <w:kern w:val="44"/>
              <w:sz w:val="32"/>
              <w:szCs w:val="32"/>
            </w:rPr>
            <w:t>第四部分 技术标书</w:t>
          </w:r>
          <w:r>
            <w:rPr>
              <w:rFonts w:hint="eastAsia" w:ascii="Calibri"/>
              <w:bCs/>
              <w:color w:val="auto"/>
              <w:spacing w:val="-8"/>
              <w:sz w:val="32"/>
              <w:szCs w:val="32"/>
            </w:rPr>
            <w:t xml:space="preserve"> </w:t>
          </w:r>
          <w:r>
            <w:rPr>
              <w:color w:val="auto"/>
              <w:sz w:val="32"/>
              <w:szCs w:val="32"/>
            </w:rPr>
            <w:tab/>
          </w:r>
          <w:r>
            <w:rPr>
              <w:color w:val="auto"/>
              <w:sz w:val="32"/>
              <w:szCs w:val="32"/>
            </w:rPr>
            <w:fldChar w:fldCharType="end"/>
          </w:r>
          <w:r>
            <w:rPr>
              <w:rFonts w:hint="eastAsia"/>
              <w:color w:val="auto"/>
              <w:sz w:val="32"/>
              <w:szCs w:val="32"/>
            </w:rPr>
            <w:t>16</w:t>
          </w:r>
        </w:p>
        <w:p>
          <w:pPr>
            <w:pStyle w:val="28"/>
            <w:tabs>
              <w:tab w:val="right" w:leader="dot" w:pos="9071"/>
            </w:tabs>
            <w:spacing w:line="480" w:lineRule="auto"/>
            <w:rPr>
              <w:rFonts w:hint="eastAsia"/>
              <w:color w:val="auto"/>
              <w:sz w:val="32"/>
              <w:szCs w:val="32"/>
            </w:rPr>
          </w:pPr>
          <w:r>
            <w:fldChar w:fldCharType="begin"/>
          </w:r>
          <w:r>
            <w:instrText xml:space="preserve"> HYPERLINK \l "_Toc28859" </w:instrText>
          </w:r>
          <w:r>
            <w:fldChar w:fldCharType="separate"/>
          </w:r>
          <w:r>
            <w:rPr>
              <w:rFonts w:hint="eastAsia"/>
              <w:color w:val="auto"/>
              <w:sz w:val="32"/>
              <w:szCs w:val="32"/>
            </w:rPr>
            <w:t>第五部分</w:t>
          </w:r>
          <w:r>
            <w:rPr>
              <w:color w:val="auto"/>
              <w:sz w:val="32"/>
              <w:szCs w:val="32"/>
            </w:rPr>
            <w:t xml:space="preserve"> </w:t>
          </w:r>
          <w:r>
            <w:rPr>
              <w:rFonts w:hint="eastAsia"/>
              <w:color w:val="auto"/>
              <w:sz w:val="32"/>
              <w:szCs w:val="32"/>
            </w:rPr>
            <w:t>设备采购合同</w:t>
          </w:r>
          <w:r>
            <w:rPr>
              <w:color w:val="auto"/>
              <w:sz w:val="32"/>
              <w:szCs w:val="32"/>
            </w:rPr>
            <w:tab/>
          </w:r>
          <w:r>
            <w:rPr>
              <w:color w:val="auto"/>
              <w:sz w:val="32"/>
              <w:szCs w:val="32"/>
            </w:rPr>
            <w:fldChar w:fldCharType="end"/>
          </w:r>
          <w:r>
            <w:rPr>
              <w:rFonts w:hint="eastAsia"/>
              <w:color w:val="auto"/>
              <w:sz w:val="32"/>
              <w:szCs w:val="32"/>
            </w:rPr>
            <w:t>65</w:t>
          </w:r>
        </w:p>
        <w:p>
          <w:pPr>
            <w:pStyle w:val="28"/>
            <w:tabs>
              <w:tab w:val="right" w:leader="dot" w:pos="9071"/>
            </w:tabs>
            <w:spacing w:line="480" w:lineRule="auto"/>
            <w:rPr>
              <w:rFonts w:hint="eastAsia"/>
            </w:rPr>
          </w:pPr>
          <w:r>
            <w:fldChar w:fldCharType="begin"/>
          </w:r>
          <w:r>
            <w:instrText xml:space="preserve"> HYPERLINK \l "_Toc29691" </w:instrText>
          </w:r>
          <w:r>
            <w:fldChar w:fldCharType="separate"/>
          </w:r>
          <w:r>
            <w:rPr>
              <w:rFonts w:hint="eastAsia" w:ascii="Calibri" w:hAnsi="Calibri"/>
              <w:bCs/>
              <w:color w:val="auto"/>
              <w:kern w:val="44"/>
              <w:sz w:val="32"/>
              <w:szCs w:val="32"/>
            </w:rPr>
            <w:t>第六部分</w:t>
          </w:r>
          <w:r>
            <w:rPr>
              <w:rFonts w:ascii="Calibri" w:hAnsi="Calibri"/>
              <w:bCs/>
              <w:color w:val="auto"/>
              <w:kern w:val="44"/>
              <w:sz w:val="32"/>
              <w:szCs w:val="32"/>
            </w:rPr>
            <w:t xml:space="preserve"> </w:t>
          </w:r>
          <w:r>
            <w:rPr>
              <w:rFonts w:hint="eastAsia" w:ascii="Calibri" w:hAnsi="Calibri"/>
              <w:bCs/>
              <w:color w:val="auto"/>
              <w:kern w:val="44"/>
              <w:sz w:val="32"/>
              <w:szCs w:val="32"/>
            </w:rPr>
            <w:t>投标文件附件</w:t>
          </w:r>
          <w:r>
            <w:rPr>
              <w:color w:val="auto"/>
              <w:sz w:val="32"/>
              <w:szCs w:val="32"/>
            </w:rPr>
            <w:tab/>
          </w:r>
          <w:r>
            <w:rPr>
              <w:color w:val="auto"/>
              <w:sz w:val="32"/>
              <w:szCs w:val="32"/>
            </w:rPr>
            <w:fldChar w:fldCharType="end"/>
          </w:r>
          <w:r>
            <w:rPr>
              <w:rFonts w:hint="eastAsia"/>
              <w:color w:val="auto"/>
              <w:sz w:val="32"/>
              <w:szCs w:val="32"/>
            </w:rPr>
            <w:t>83</w:t>
          </w:r>
        </w:p>
        <w:p>
          <w:pPr>
            <w:pStyle w:val="21"/>
            <w:spacing w:line="480" w:lineRule="auto"/>
            <w:jc w:val="center"/>
            <w:rPr>
              <w:rFonts w:ascii="Calibri" w:hAnsi="Calibri" w:eastAsia="宋体" w:cs="Times New Roman"/>
              <w:b/>
              <w:bCs/>
              <w:kern w:val="44"/>
              <w:sz w:val="36"/>
              <w:szCs w:val="44"/>
            </w:rPr>
            <w:sectPr>
              <w:headerReference r:id="rId5" w:type="default"/>
              <w:footerReference r:id="rId6" w:type="default"/>
              <w:pgSz w:w="11907" w:h="16840"/>
              <w:pgMar w:top="1304" w:right="1418" w:bottom="1304" w:left="1418" w:header="724" w:footer="851" w:gutter="0"/>
              <w:cols w:space="720" w:num="1"/>
              <w:docGrid w:linePitch="290" w:charSpace="-3931"/>
            </w:sectPr>
          </w:pPr>
          <w:r>
            <w:rPr>
              <w:rFonts w:hint="eastAsia" w:ascii="Calibri" w:hAnsi="Calibri" w:eastAsia="宋体" w:cs="Times New Roman"/>
              <w:bCs/>
              <w:kern w:val="44"/>
              <w:szCs w:val="44"/>
            </w:rPr>
            <w:fldChar w:fldCharType="end"/>
          </w:r>
        </w:p>
      </w:sdtContent>
    </w:sdt>
    <w:p>
      <w:pPr>
        <w:pStyle w:val="21"/>
        <w:numPr>
          <w:ilvl w:val="0"/>
          <w:numId w:val="2"/>
        </w:numPr>
        <w:jc w:val="center"/>
        <w:outlineLvl w:val="0"/>
        <w:rPr>
          <w:rFonts w:ascii="Calibri" w:hAnsi="Calibri" w:eastAsia="宋体" w:cs="Times New Roman"/>
          <w:b/>
          <w:bCs/>
          <w:kern w:val="44"/>
          <w:sz w:val="36"/>
          <w:szCs w:val="44"/>
        </w:rPr>
      </w:pPr>
      <w:bookmarkStart w:id="2" w:name="_Toc25915"/>
      <w:r>
        <w:rPr>
          <w:rFonts w:hint="eastAsia" w:ascii="Calibri" w:hAnsi="Calibri" w:eastAsia="宋体" w:cs="Times New Roman"/>
          <w:b/>
          <w:bCs/>
          <w:kern w:val="44"/>
          <w:sz w:val="36"/>
          <w:szCs w:val="44"/>
        </w:rPr>
        <w:t xml:space="preserve"> 投标须知前附表</w:t>
      </w:r>
      <w:bookmarkEnd w:id="2"/>
    </w:p>
    <w:p>
      <w:pPr>
        <w:pStyle w:val="21"/>
        <w:jc w:val="center"/>
        <w:rPr>
          <w:rFonts w:ascii="Calibri" w:hAnsi="Calibri" w:eastAsia="宋体" w:cs="Times New Roman"/>
          <w:b/>
          <w:bCs/>
          <w:kern w:val="44"/>
          <w:sz w:val="36"/>
          <w:szCs w:val="44"/>
        </w:rPr>
      </w:pPr>
    </w:p>
    <w:p>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本部分是对“投标须知”正文的具体补充和修改，如有不一致，以“前附表”为准。</w:t>
      </w:r>
    </w:p>
    <w:tbl>
      <w:tblPr>
        <w:tblStyle w:val="39"/>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pPr>
              <w:jc w:val="center"/>
              <w:rPr>
                <w:rStyle w:val="132"/>
                <w:rFonts w:hint="eastAsia" w:ascii="宋体" w:hAnsi="宋体" w:eastAsia="宋体" w:cs="宋体"/>
                <w:b/>
                <w:sz w:val="28"/>
                <w:szCs w:val="28"/>
              </w:rPr>
            </w:pPr>
            <w:bookmarkStart w:id="3" w:name="_Toc346372875"/>
            <w:r>
              <w:rPr>
                <w:rStyle w:val="132"/>
                <w:rFonts w:hint="eastAsia" w:ascii="宋体" w:hAnsi="宋体" w:eastAsia="宋体" w:cs="宋体"/>
                <w:b/>
                <w:sz w:val="28"/>
                <w:szCs w:val="28"/>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pPr>
              <w:ind w:firstLine="562" w:firstLineChars="200"/>
              <w:jc w:val="center"/>
              <w:rPr>
                <w:rFonts w:hint="eastAsia" w:ascii="宋体" w:hAnsi="宋体" w:eastAsia="宋体" w:cs="宋体"/>
                <w:b/>
                <w:bCs/>
                <w:sz w:val="28"/>
                <w:szCs w:val="28"/>
              </w:rPr>
            </w:pPr>
            <w:r>
              <w:rPr>
                <w:rStyle w:val="132"/>
                <w:rFonts w:hint="eastAsia" w:ascii="宋体" w:hAnsi="宋体" w:eastAsia="宋体" w:cs="宋体"/>
                <w:b/>
                <w:sz w:val="28"/>
                <w:szCs w:val="28"/>
              </w:rPr>
              <w:t>编  列  内  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b/>
                <w:bCs/>
                <w:sz w:val="24"/>
                <w:szCs w:val="24"/>
              </w:rPr>
            </w:pPr>
            <w:r>
              <w:rPr>
                <w:rFonts w:hint="eastAsia" w:ascii="宋体" w:hAnsi="宋体" w:eastAsia="宋体" w:cs="宋体"/>
                <w:b/>
                <w:bCs/>
                <w:sz w:val="24"/>
                <w:szCs w:val="24"/>
              </w:rPr>
              <w:t>1.项目说明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项目名称：</w:t>
            </w:r>
            <w:r>
              <w:rPr>
                <w:rFonts w:hint="eastAsia" w:ascii="宋体" w:hAnsi="宋体" w:eastAsia="宋体" w:cs="宋体"/>
                <w:b/>
                <w:bCs/>
                <w:sz w:val="24"/>
                <w:szCs w:val="24"/>
                <w:u w:val="single"/>
              </w:rPr>
              <w:t>总镍在线监测设备维修保养服务项目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20" w:firstLineChars="200"/>
              <w:rPr>
                <w:rFonts w:hint="eastAsia"/>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采购形式编号</w:t>
            </w:r>
            <w:r>
              <w:rPr>
                <w:rFonts w:hint="eastAsia" w:ascii="宋体" w:hAnsi="宋体" w:eastAsia="宋体" w:cs="宋体"/>
                <w:b/>
                <w:bCs/>
                <w:sz w:val="24"/>
                <w:szCs w:val="24"/>
                <w:highlight w:val="yellow"/>
              </w:rPr>
              <w:t>：</w:t>
            </w:r>
            <w:r>
              <w:rPr>
                <w:rFonts w:hint="eastAsia" w:ascii="宋体" w:hAnsi="宋体" w:eastAsia="宋体" w:cs="宋体"/>
                <w:b/>
                <w:bCs/>
                <w:sz w:val="24"/>
                <w:szCs w:val="24"/>
                <w:highlight w:val="yellow"/>
                <w:u w:val="single"/>
              </w:rPr>
              <w:t>FSCZB2025100272</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Times New Roman"/>
                <w:color w:val="000000"/>
                <w:sz w:val="24"/>
                <w:szCs w:val="24"/>
                <w:highlight w:val="yellow"/>
              </w:rPr>
            </w:pPr>
            <w:r>
              <w:rPr>
                <w:rFonts w:hint="eastAsia" w:ascii="宋体" w:hAnsi="宋体" w:eastAsia="宋体" w:cs="宋体"/>
                <w:b/>
                <w:bCs/>
                <w:sz w:val="24"/>
                <w:szCs w:val="24"/>
              </w:rPr>
              <w:t>招标内容：</w:t>
            </w:r>
            <w:r>
              <w:rPr>
                <w:rFonts w:hint="eastAsia" w:ascii="宋体" w:hAnsi="宋体" w:eastAsia="宋体" w:cs="宋体"/>
                <w:b/>
                <w:bCs/>
                <w:sz w:val="24"/>
                <w:szCs w:val="24"/>
                <w:u w:val="single"/>
              </w:rPr>
              <w:t>总镍在线监测设备维修保养服务项目</w:t>
            </w:r>
          </w:p>
          <w:p>
            <w:pPr>
              <w:ind w:firstLine="482" w:firstLineChars="200"/>
              <w:rPr>
                <w:rFonts w:hint="eastAsia" w:ascii="宋体" w:hAnsi="宋体" w:eastAsia="宋体" w:cs="Times New Roman"/>
                <w:b/>
                <w:bCs/>
                <w:color w:val="000000"/>
                <w:sz w:val="24"/>
                <w:szCs w:val="24"/>
              </w:rPr>
            </w:pPr>
            <w:r>
              <w:rPr>
                <w:rFonts w:hint="eastAsia" w:ascii="宋体" w:hAnsi="宋体" w:eastAsia="宋体" w:cs="Times New Roman"/>
                <w:b/>
                <w:bCs/>
                <w:color w:val="000000"/>
                <w:sz w:val="24"/>
                <w:szCs w:val="24"/>
              </w:rPr>
              <w:t>分投分中：</w:t>
            </w:r>
            <w:r>
              <w:rPr>
                <w:rFonts w:hint="eastAsia" w:ascii="宋体" w:hAnsi="宋体" w:eastAsia="宋体" w:cs="Times New Roman"/>
                <w:color w:val="000000"/>
                <w:sz w:val="24"/>
                <w:szCs w:val="24"/>
              </w:rPr>
              <w:t>不允许。</w:t>
            </w:r>
          </w:p>
          <w:p>
            <w:pPr>
              <w:ind w:firstLine="482" w:firstLineChars="200"/>
              <w:rPr>
                <w:rFonts w:hint="eastAsia" w:ascii="宋体" w:hAnsi="宋体" w:eastAsia="宋体" w:cs="宋体"/>
                <w:sz w:val="24"/>
                <w:szCs w:val="24"/>
              </w:rPr>
            </w:pPr>
            <w:r>
              <w:rPr>
                <w:rFonts w:hint="eastAsia" w:ascii="宋体" w:hAnsi="宋体" w:eastAsia="宋体" w:cs="Times New Roman"/>
                <w:b/>
                <w:bCs/>
                <w:color w:val="000000"/>
                <w:sz w:val="24"/>
                <w:szCs w:val="24"/>
              </w:rPr>
              <w:t>建设地点：</w:t>
            </w:r>
            <w:r>
              <w:rPr>
                <w:rFonts w:hint="eastAsia" w:ascii="宋体" w:hAnsi="宋体" w:eastAsia="宋体" w:cs="宋体"/>
                <w:color w:val="000000"/>
                <w:sz w:val="24"/>
                <w:szCs w:val="24"/>
                <w:highlight w:val="yellow"/>
                <w:u w:val="single"/>
              </w:rPr>
              <w:t>中国重汽集团济宁商用车有限公司</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20" w:firstLineChars="200"/>
              <w:rPr>
                <w:rFonts w:hint="eastAsia"/>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招标形式：</w:t>
            </w:r>
            <w:r>
              <w:rPr>
                <w:rFonts w:hint="eastAsia" w:ascii="宋体" w:hAnsi="宋体" w:eastAsia="宋体" w:cs="宋体"/>
                <w:sz w:val="24"/>
                <w:szCs w:val="24"/>
                <w:highlight w:val="yellow"/>
              </w:rPr>
              <w:t>公开招标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highlight w:val="yellow"/>
                <w:lang w:val="en-US" w:eastAsia="zh-CN"/>
              </w:rPr>
            </w:pPr>
            <w:r>
              <w:rPr>
                <w:rFonts w:hint="eastAsia" w:ascii="宋体" w:hAnsi="宋体" w:eastAsia="宋体" w:cs="宋体"/>
                <w:b/>
                <w:bCs/>
                <w:sz w:val="24"/>
                <w:szCs w:val="24"/>
                <w:highlight w:val="yellow"/>
              </w:rPr>
              <w:t>商务联系人：</w:t>
            </w:r>
            <w:r>
              <w:rPr>
                <w:rFonts w:hint="eastAsia" w:ascii="宋体" w:hAnsi="宋体" w:eastAsia="宋体" w:cs="宋体"/>
                <w:b/>
                <w:bCs/>
                <w:sz w:val="24"/>
                <w:szCs w:val="24"/>
                <w:highlight w:val="yellow"/>
                <w:lang w:val="en-US" w:eastAsia="zh-CN"/>
              </w:rPr>
              <w:t>赵力</w:t>
            </w:r>
          </w:p>
          <w:p>
            <w:pPr>
              <w:pStyle w:val="21"/>
              <w:ind w:firstLine="482" w:firstLineChars="200"/>
              <w:rPr>
                <w:rFonts w:hint="default" w:eastAsia="宋体"/>
                <w:highlight w:val="yellow"/>
                <w:lang w:val="en-US" w:eastAsia="zh-CN"/>
              </w:rPr>
            </w:pPr>
            <w:r>
              <w:rPr>
                <w:rFonts w:hint="eastAsia" w:ascii="宋体" w:hAnsi="宋体" w:eastAsia="宋体" w:cs="宋体"/>
                <w:b/>
                <w:snapToGrid w:val="0"/>
                <w:kern w:val="0"/>
                <w:sz w:val="24"/>
                <w:szCs w:val="24"/>
                <w:highlight w:val="yellow"/>
              </w:rPr>
              <w:t>电话：</w:t>
            </w:r>
            <w:r>
              <w:rPr>
                <w:rFonts w:hint="eastAsia" w:hAnsi="宋体" w:eastAsia="宋体" w:cs="宋体"/>
                <w:b/>
                <w:snapToGrid w:val="0"/>
                <w:kern w:val="0"/>
                <w:sz w:val="24"/>
                <w:szCs w:val="24"/>
                <w:highlight w:val="yellow"/>
                <w:lang w:val="en-US" w:eastAsia="zh-CN"/>
              </w:rPr>
              <w:t>17860606595</w:t>
            </w:r>
          </w:p>
          <w:p>
            <w:pPr>
              <w:ind w:firstLine="482" w:firstLineChars="200"/>
              <w:rPr>
                <w:rFonts w:hint="eastAsia" w:ascii="宋体" w:hAnsi="宋体" w:eastAsia="宋体" w:cs="宋体"/>
                <w:b/>
                <w:snapToGrid w:val="0"/>
                <w:kern w:val="0"/>
                <w:sz w:val="24"/>
                <w:szCs w:val="24"/>
                <w:highlight w:val="yellow"/>
              </w:rPr>
            </w:pPr>
            <w:r>
              <w:rPr>
                <w:rFonts w:hint="eastAsia" w:ascii="宋体" w:hAnsi="宋体" w:eastAsia="宋体" w:cs="宋体"/>
                <w:b/>
                <w:snapToGrid w:val="0"/>
                <w:kern w:val="0"/>
                <w:sz w:val="24"/>
                <w:szCs w:val="24"/>
                <w:highlight w:val="yellow"/>
                <w:lang w:val="en-US" w:eastAsia="zh-CN"/>
              </w:rPr>
              <w:t>邮箱</w:t>
            </w:r>
            <w:r>
              <w:rPr>
                <w:rFonts w:hint="eastAsia" w:ascii="宋体" w:hAnsi="宋体" w:eastAsia="宋体" w:cs="宋体"/>
                <w:b/>
                <w:snapToGrid w:val="0"/>
                <w:kern w:val="0"/>
                <w:sz w:val="24"/>
                <w:szCs w:val="24"/>
                <w:highlight w:val="yellow"/>
              </w:rPr>
              <w:t>：</w:t>
            </w:r>
            <w:r>
              <w:rPr>
                <w:rFonts w:hint="eastAsia" w:ascii="宋体" w:hAnsi="宋体" w:eastAsia="宋体" w:cs="宋体"/>
                <w:b/>
                <w:snapToGrid w:val="0"/>
                <w:kern w:val="0"/>
                <w:sz w:val="24"/>
                <w:szCs w:val="24"/>
                <w:highlight w:val="yellow"/>
              </w:rPr>
              <w:fldChar w:fldCharType="begin"/>
            </w:r>
            <w:r>
              <w:rPr>
                <w:rFonts w:hint="eastAsia" w:ascii="宋体" w:hAnsi="宋体" w:eastAsia="宋体" w:cs="宋体"/>
                <w:b/>
                <w:snapToGrid w:val="0"/>
                <w:kern w:val="0"/>
                <w:sz w:val="24"/>
                <w:szCs w:val="24"/>
                <w:highlight w:val="yellow"/>
              </w:rPr>
              <w:instrText xml:space="preserve"> HYPERLINK "mailto:zhaoli@sinotruk.com" </w:instrText>
            </w:r>
            <w:r>
              <w:rPr>
                <w:rFonts w:hint="eastAsia" w:ascii="宋体" w:hAnsi="宋体" w:eastAsia="宋体" w:cs="宋体"/>
                <w:b/>
                <w:snapToGrid w:val="0"/>
                <w:kern w:val="0"/>
                <w:sz w:val="24"/>
                <w:szCs w:val="24"/>
                <w:highlight w:val="yellow"/>
              </w:rPr>
              <w:fldChar w:fldCharType="separate"/>
            </w:r>
            <w:r>
              <w:rPr>
                <w:rStyle w:val="47"/>
                <w:rFonts w:hint="eastAsia" w:ascii="宋体" w:hAnsi="宋体" w:eastAsia="宋体" w:cs="宋体"/>
                <w:b/>
                <w:snapToGrid w:val="0"/>
                <w:kern w:val="0"/>
                <w:sz w:val="24"/>
                <w:szCs w:val="24"/>
                <w:highlight w:val="yellow"/>
              </w:rPr>
              <w:t>zhaoli@sinotruk.com</w:t>
            </w:r>
            <w:r>
              <w:rPr>
                <w:rFonts w:hint="eastAsia" w:ascii="宋体" w:hAnsi="宋体" w:eastAsia="宋体" w:cs="宋体"/>
                <w:b/>
                <w:snapToGrid w:val="0"/>
                <w:kern w:val="0"/>
                <w:sz w:val="24"/>
                <w:szCs w:val="24"/>
                <w:highlight w:val="yellow"/>
              </w:rPr>
              <w:fldChar w:fldCharType="end"/>
            </w:r>
          </w:p>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技术联系人：</w:t>
            </w:r>
            <w:r>
              <w:rPr>
                <w:rFonts w:hint="eastAsia" w:ascii="宋体" w:hAnsi="宋体" w:eastAsia="宋体" w:cs="宋体"/>
                <w:sz w:val="24"/>
                <w:szCs w:val="24"/>
                <w:highlight w:val="yellow"/>
              </w:rPr>
              <w:t>崔浩然</w:t>
            </w:r>
          </w:p>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电话：</w:t>
            </w:r>
            <w:r>
              <w:rPr>
                <w:rFonts w:hint="eastAsia" w:ascii="宋体" w:hAnsi="宋体" w:eastAsia="宋体" w:cs="宋体"/>
                <w:sz w:val="24"/>
                <w:szCs w:val="24"/>
              </w:rPr>
              <w:t>15053708302</w:t>
            </w:r>
          </w:p>
          <w:p>
            <w:pPr>
              <w:ind w:firstLine="482" w:firstLineChars="200"/>
              <w:rPr>
                <w:rFonts w:hint="eastAsia"/>
              </w:rPr>
            </w:pPr>
            <w:r>
              <w:rPr>
                <w:rFonts w:hint="eastAsia" w:ascii="宋体" w:hAnsi="宋体" w:eastAsia="宋体" w:cs="宋体"/>
                <w:b/>
                <w:bCs/>
                <w:sz w:val="24"/>
                <w:szCs w:val="24"/>
              </w:rPr>
              <w:t>邮箱：</w:t>
            </w:r>
            <w:r>
              <w:rPr>
                <w:rFonts w:hint="eastAsia" w:ascii="宋体" w:hAnsi="宋体" w:eastAsia="宋体" w:cs="宋体"/>
                <w:sz w:val="24"/>
                <w:szCs w:val="24"/>
              </w:rPr>
              <w:t>763323087@qq.com</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资金来源：</w:t>
            </w:r>
            <w:r>
              <w:rPr>
                <w:rFonts w:hint="eastAsia" w:ascii="宋体" w:hAnsi="宋体" w:eastAsia="宋体" w:cs="宋体"/>
                <w:kern w:val="0"/>
                <w:sz w:val="24"/>
                <w:szCs w:val="24"/>
              </w:rPr>
              <w:t>企业自筹，已落实。</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Times New Roman"/>
                <w:color w:val="000000"/>
                <w:sz w:val="24"/>
                <w:szCs w:val="24"/>
              </w:rPr>
            </w:pPr>
            <w:r>
              <w:rPr>
                <w:rFonts w:hint="eastAsia" w:ascii="宋体" w:hAnsi="宋体" w:eastAsia="宋体" w:cs="宋体"/>
                <w:b/>
                <w:bCs/>
                <w:sz w:val="24"/>
                <w:szCs w:val="24"/>
              </w:rPr>
              <w:t>报价：</w:t>
            </w:r>
            <w:r>
              <w:rPr>
                <w:rFonts w:hint="eastAsia" w:ascii="宋体" w:hAnsi="宋体" w:eastAsia="宋体" w:cs="宋体"/>
                <w:sz w:val="24"/>
                <w:szCs w:val="24"/>
              </w:rPr>
              <w:t>如需要，由</w:t>
            </w:r>
            <w:r>
              <w:rPr>
                <w:rFonts w:hint="eastAsia" w:ascii="宋体" w:hAnsi="宋体" w:eastAsia="宋体" w:cs="Times New Roman"/>
                <w:color w:val="000000"/>
                <w:sz w:val="24"/>
                <w:szCs w:val="24"/>
              </w:rPr>
              <w:t>投标人自行勘察现场，进行合理报价。投标总报价应包括设备费、原厂服务费及相关配件、随机资料、保险、税费、运杂、安装调试、与其他专业配合及可预见的风险以及其它不可预见等全部费用。</w:t>
            </w:r>
          </w:p>
          <w:p>
            <w:pPr>
              <w:ind w:firstLine="482" w:firstLineChars="200"/>
              <w:rPr>
                <w:rFonts w:hint="eastAsia" w:ascii="宋体" w:hAnsi="宋体" w:eastAsia="宋体" w:cs="Times New Roman"/>
                <w:color w:val="000000"/>
                <w:sz w:val="24"/>
                <w:szCs w:val="24"/>
              </w:rPr>
            </w:pPr>
            <w:r>
              <w:rPr>
                <w:rFonts w:hint="eastAsia" w:ascii="宋体" w:hAnsi="宋体" w:eastAsia="宋体" w:cs="Times New Roman"/>
                <w:b/>
                <w:bCs/>
                <w:color w:val="000000"/>
                <w:sz w:val="24"/>
                <w:szCs w:val="24"/>
              </w:rPr>
              <w:t>报价货币：</w:t>
            </w:r>
            <w:r>
              <w:rPr>
                <w:rFonts w:hint="eastAsia" w:ascii="宋体" w:hAnsi="宋体" w:eastAsia="宋体" w:cs="Times New Roman"/>
                <w:color w:val="000000"/>
                <w:sz w:val="24"/>
                <w:szCs w:val="24"/>
              </w:rPr>
              <w:t>人民币（</w:t>
            </w:r>
            <w:r>
              <w:rPr>
                <w:rFonts w:hint="eastAsia" w:ascii="宋体" w:hAnsi="宋体" w:eastAsia="宋体" w:cs="Times New Roman"/>
                <w:b/>
                <w:bCs/>
                <w:color w:val="000000"/>
                <w:sz w:val="24"/>
                <w:szCs w:val="24"/>
              </w:rPr>
              <w:t>应同时报含税价和不含税价，写明税率</w:t>
            </w:r>
            <w:r>
              <w:rPr>
                <w:rFonts w:hint="eastAsia" w:ascii="宋体" w:hAnsi="宋体" w:eastAsia="宋体" w:cs="Times New Roman"/>
                <w:color w:val="000000"/>
                <w:sz w:val="24"/>
                <w:szCs w:val="24"/>
              </w:rPr>
              <w:t>）。</w:t>
            </w:r>
          </w:p>
          <w:p>
            <w:pPr>
              <w:ind w:firstLine="482" w:firstLineChars="200"/>
              <w:rPr>
                <w:rFonts w:hint="eastAsia" w:ascii="宋体" w:hAnsi="宋体" w:eastAsia="宋体" w:cs="宋体"/>
                <w:sz w:val="24"/>
                <w:szCs w:val="24"/>
              </w:rPr>
            </w:pPr>
            <w:r>
              <w:rPr>
                <w:rFonts w:hint="eastAsia" w:hAnsi="宋体" w:eastAsia="宋体" w:cs="Times New Roman"/>
                <w:b/>
                <w:bCs/>
                <w:color w:val="000000"/>
                <w:sz w:val="24"/>
                <w:szCs w:val="24"/>
              </w:rPr>
              <w:t>投标限价：</w:t>
            </w:r>
            <w:r>
              <w:rPr>
                <w:rFonts w:hint="eastAsia" w:hAnsi="宋体" w:eastAsia="宋体" w:cs="Times New Roman"/>
                <w:b/>
                <w:bCs/>
                <w:color w:val="000000"/>
                <w:sz w:val="24"/>
                <w:szCs w:val="24"/>
                <w:highlight w:val="yellow"/>
              </w:rPr>
              <w:t>人民币5.8800万元（含税，税率13%），超过投标限价无法投标</w:t>
            </w:r>
            <w:r>
              <w:rPr>
                <w:rFonts w:hint="eastAsia" w:ascii="宋体" w:hAnsi="宋体" w:eastAsia="宋体" w:cs="Times New Roman"/>
                <w:color w:val="000000"/>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pPr>
              <w:pStyle w:val="21"/>
              <w:ind w:firstLine="482" w:firstLineChars="200"/>
              <w:rPr>
                <w:rFonts w:hint="eastAsia" w:hAnsi="宋体" w:eastAsia="宋体" w:cs="宋体"/>
                <w:b/>
                <w:bCs/>
                <w:color w:val="FF0000"/>
                <w:sz w:val="24"/>
                <w:szCs w:val="24"/>
              </w:rPr>
            </w:pPr>
            <w:r>
              <w:rPr>
                <w:rFonts w:hint="eastAsia" w:hAnsi="宋体" w:eastAsia="宋体" w:cs="宋体"/>
                <w:b/>
                <w:bCs/>
                <w:color w:val="000000"/>
                <w:sz w:val="24"/>
                <w:szCs w:val="24"/>
              </w:rPr>
              <w:t>投标人条件：</w:t>
            </w:r>
          </w:p>
          <w:p>
            <w:pPr>
              <w:rPr>
                <w:rFonts w:hint="eastAsia" w:ascii="仿宋_GB2312" w:hAnsi="仿宋_GB2312" w:eastAsia="仿宋_GB2312" w:cs="仿宋_GB2312"/>
                <w:bCs/>
                <w:color w:val="000000" w:themeColor="text1"/>
                <w:sz w:val="28"/>
                <w:szCs w:val="28"/>
                <w14:textFill>
                  <w14:solidFill>
                    <w14:schemeClr w14:val="tx1"/>
                  </w14:solidFill>
                </w14:textFill>
              </w:rPr>
            </w:pPr>
            <w:r>
              <w:rPr>
                <w:rFonts w:hint="eastAsia" w:ascii="仿宋_GB2312" w:hAnsi="仿宋_GB2312" w:eastAsia="仿宋_GB2312" w:cs="仿宋_GB2312"/>
                <w:bCs/>
                <w:color w:val="000000" w:themeColor="text1"/>
                <w:sz w:val="28"/>
                <w:szCs w:val="28"/>
                <w14:textFill>
                  <w14:solidFill>
                    <w14:schemeClr w14:val="tx1"/>
                  </w14:solidFill>
                </w14:textFill>
              </w:rPr>
              <w:t>（1）投标人必须是依法注册并有效存续的独立企业法人，具有独立承担民事责任能力；投标人须遵守《中华人民共和国招标投标法》、《中华人民共和国民法典》及其它有关的法律和法规；</w:t>
            </w:r>
          </w:p>
          <w:p>
            <w:pPr>
              <w:rPr>
                <w:rFonts w:hint="eastAsia" w:ascii="仿宋_GB2312" w:hAnsi="仿宋_GB2312" w:eastAsia="仿宋_GB2312" w:cs="仿宋_GB2312"/>
                <w:bCs/>
                <w:color w:val="000000" w:themeColor="text1"/>
                <w:sz w:val="28"/>
                <w:szCs w:val="28"/>
                <w14:textFill>
                  <w14:solidFill>
                    <w14:schemeClr w14:val="tx1"/>
                  </w14:solidFill>
                </w14:textFill>
              </w:rPr>
            </w:pPr>
            <w:r>
              <w:rPr>
                <w:rFonts w:hint="eastAsia" w:ascii="仿宋_GB2312" w:hAnsi="仿宋_GB2312" w:eastAsia="仿宋_GB2312" w:cs="仿宋_GB2312"/>
                <w:bCs/>
                <w:color w:val="000000" w:themeColor="text1"/>
                <w:sz w:val="28"/>
                <w:szCs w:val="28"/>
                <w14:textFill>
                  <w14:solidFill>
                    <w14:schemeClr w14:val="tx1"/>
                  </w14:solidFill>
                </w14:textFill>
              </w:rPr>
              <w:t>（2）公司注册资金不少于</w:t>
            </w:r>
            <w:r>
              <w:rPr>
                <w:rFonts w:hint="eastAsia" w:ascii="仿宋_GB2312" w:hAnsi="仿宋_GB2312" w:eastAsia="仿宋_GB2312" w:cs="仿宋_GB2312"/>
                <w:bCs/>
                <w:color w:val="000000" w:themeColor="text1"/>
                <w:sz w:val="28"/>
                <w:szCs w:val="28"/>
                <w:lang w:val="en-US" w:eastAsia="zh-CN"/>
                <w14:textFill>
                  <w14:solidFill>
                    <w14:schemeClr w14:val="tx1"/>
                  </w14:solidFill>
                </w14:textFill>
              </w:rPr>
              <w:t>500</w:t>
            </w:r>
            <w:r>
              <w:rPr>
                <w:rFonts w:hint="eastAsia" w:ascii="仿宋_GB2312" w:hAnsi="仿宋_GB2312" w:eastAsia="仿宋_GB2312" w:cs="仿宋_GB2312"/>
                <w:bCs/>
                <w:color w:val="000000" w:themeColor="text1"/>
                <w:sz w:val="28"/>
                <w:szCs w:val="28"/>
                <w14:textFill>
                  <w14:solidFill>
                    <w14:schemeClr w14:val="tx1"/>
                  </w14:solidFill>
                </w14:textFill>
              </w:rPr>
              <w:t>万元人民币、成立三年及以上；经营范围满足招标项目需求，并在人员、设备、资金等方面具有承担本项目的能力；提供统一社会信用代码的新版营业执照副本扫描件（加盖公章）；</w:t>
            </w:r>
          </w:p>
          <w:p>
            <w:pPr>
              <w:rPr>
                <w:rFonts w:hint="eastAsia" w:ascii="仿宋_GB2312" w:hAnsi="仿宋_GB2312" w:eastAsia="仿宋_GB2312" w:cs="仿宋_GB2312"/>
                <w:bCs/>
                <w:color w:val="000000" w:themeColor="text1"/>
                <w:sz w:val="28"/>
                <w:szCs w:val="28"/>
                <w14:textFill>
                  <w14:solidFill>
                    <w14:schemeClr w14:val="tx1"/>
                  </w14:solidFill>
                </w14:textFill>
              </w:rPr>
            </w:pPr>
            <w:r>
              <w:rPr>
                <w:rFonts w:hint="eastAsia" w:ascii="仿宋_GB2312" w:hAnsi="仿宋_GB2312" w:eastAsia="仿宋_GB2312" w:cs="仿宋_GB2312"/>
                <w:bCs/>
                <w:color w:val="000000" w:themeColor="text1"/>
                <w:sz w:val="28"/>
                <w:szCs w:val="28"/>
                <w14:textFill>
                  <w14:solidFill>
                    <w14:schemeClr w14:val="tx1"/>
                  </w14:solidFill>
                </w14:textFill>
              </w:rPr>
              <w:t>（3）具有良好的商业信誉，在国家企业信用信息公示系统中无行政处罚、经营异常或失信信息或上述信息已被移除；</w:t>
            </w:r>
          </w:p>
          <w:p>
            <w:pPr>
              <w:rPr>
                <w:rFonts w:hint="eastAsia" w:ascii="仿宋_GB2312" w:hAnsi="仿宋_GB2312" w:eastAsia="仿宋_GB2312" w:cs="仿宋_GB2312"/>
                <w:bCs/>
                <w:color w:val="000000" w:themeColor="text1"/>
                <w:sz w:val="28"/>
                <w:szCs w:val="28"/>
                <w14:textFill>
                  <w14:solidFill>
                    <w14:schemeClr w14:val="tx1"/>
                  </w14:solidFill>
                </w14:textFill>
              </w:rPr>
            </w:pPr>
            <w:r>
              <w:rPr>
                <w:rFonts w:hint="eastAsia" w:ascii="仿宋_GB2312" w:hAnsi="仿宋_GB2312" w:eastAsia="仿宋_GB2312" w:cs="仿宋_GB2312"/>
                <w:bCs/>
                <w:color w:val="000000" w:themeColor="text1"/>
                <w:sz w:val="28"/>
                <w:szCs w:val="28"/>
                <w14:textFill>
                  <w14:solidFill>
                    <w14:schemeClr w14:val="tx1"/>
                  </w14:solidFill>
                </w14:textFill>
              </w:rPr>
              <w:t>（4）具有健全的财务会计制度，有依法缴纳税收和社会保障资金的良好记录，提供最近半年完税证明、信用证明材料（中国人民银行信用代码证+征信报告）；提供年度纳税信用评价信息（可从电子税务局查询截图， 需加盖公章）；提供企业对外担保说明（写明贵单位对外有无对外担保和质押业务，需加盖公章）；提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pPr>
              <w:rPr>
                <w:rFonts w:hint="eastAsia" w:ascii="仿宋_GB2312" w:hAnsi="仿宋_GB2312" w:eastAsia="仿宋_GB2312" w:cs="仿宋_GB2312"/>
                <w:bCs/>
                <w:color w:val="000000" w:themeColor="text1"/>
                <w:sz w:val="28"/>
                <w:szCs w:val="28"/>
                <w14:textFill>
                  <w14:solidFill>
                    <w14:schemeClr w14:val="tx1"/>
                  </w14:solidFill>
                </w14:textFill>
              </w:rPr>
            </w:pPr>
            <w:r>
              <w:rPr>
                <w:rFonts w:hint="eastAsia" w:ascii="仿宋_GB2312" w:hAnsi="仿宋_GB2312" w:eastAsia="仿宋_GB2312" w:cs="仿宋_GB2312"/>
                <w:bCs/>
                <w:color w:val="000000" w:themeColor="text1"/>
                <w:sz w:val="28"/>
                <w:szCs w:val="28"/>
                <w14:textFill>
                  <w14:solidFill>
                    <w14:schemeClr w14:val="tx1"/>
                  </w14:solidFill>
                </w14:textFill>
              </w:rPr>
              <w:t>（5）近三年内未发生过安全生产事故；且在近三年内的经营活动中经营业绩良好并且没有违法违纪行为；</w:t>
            </w:r>
          </w:p>
          <w:p>
            <w:pPr>
              <w:rPr>
                <w:rFonts w:hint="eastAsia" w:ascii="仿宋_GB2312" w:hAnsi="仿宋_GB2312" w:eastAsia="仿宋_GB2312" w:cs="仿宋_GB2312"/>
                <w:bCs/>
                <w:color w:val="000000" w:themeColor="text1"/>
                <w:sz w:val="28"/>
                <w:szCs w:val="28"/>
                <w14:textFill>
                  <w14:solidFill>
                    <w14:schemeClr w14:val="tx1"/>
                  </w14:solidFill>
                </w14:textFill>
              </w:rPr>
            </w:pPr>
            <w:r>
              <w:rPr>
                <w:rFonts w:hint="eastAsia" w:ascii="仿宋_GB2312" w:hAnsi="仿宋_GB2312" w:eastAsia="仿宋_GB2312" w:cs="仿宋_GB2312"/>
                <w:bCs/>
                <w:color w:val="000000" w:themeColor="text1"/>
                <w:sz w:val="28"/>
                <w:szCs w:val="28"/>
                <w14:textFill>
                  <w14:solidFill>
                    <w14:schemeClr w14:val="tx1"/>
                  </w14:solidFill>
                </w14:textFill>
              </w:rPr>
              <w:t>（6）投标人没有被列入招标人处《黑名单》（《黑名单》指投标人与招标人在以往或正在进行的合作中，存在招标人认为的违反合同约定或违反法律法规等的失信行为）的；</w:t>
            </w:r>
          </w:p>
          <w:p>
            <w:pPr>
              <w:rPr>
                <w:rFonts w:hint="default"/>
                <w:lang w:val="en-US" w:eastAsia="zh-CN"/>
              </w:rPr>
            </w:pPr>
            <w:r>
              <w:rPr>
                <w:rFonts w:hint="eastAsia" w:ascii="仿宋_GB2312" w:hAnsi="仿宋_GB2312" w:eastAsia="仿宋_GB2312" w:cs="仿宋_GB2312"/>
                <w:bCs/>
                <w:color w:val="000000" w:themeColor="text1"/>
                <w:sz w:val="28"/>
                <w:szCs w:val="28"/>
                <w14:textFill>
                  <w14:solidFill>
                    <w14:schemeClr w14:val="tx1"/>
                  </w14:solidFill>
                </w14:textFill>
              </w:rPr>
              <w:t>（</w:t>
            </w:r>
            <w:r>
              <w:rPr>
                <w:rFonts w:hint="eastAsia" w:ascii="仿宋_GB2312" w:hAnsi="仿宋_GB2312" w:eastAsia="仿宋_GB2312" w:cs="仿宋_GB2312"/>
                <w:bCs/>
                <w:color w:val="000000" w:themeColor="text1"/>
                <w:sz w:val="28"/>
                <w:szCs w:val="28"/>
                <w:lang w:val="en-US" w:eastAsia="zh-CN"/>
                <w14:textFill>
                  <w14:solidFill>
                    <w14:schemeClr w14:val="tx1"/>
                  </w14:solidFill>
                </w14:textFill>
              </w:rPr>
              <w:t>7</w:t>
            </w:r>
            <w:r>
              <w:rPr>
                <w:rFonts w:hint="eastAsia" w:ascii="仿宋_GB2312" w:hAnsi="仿宋_GB2312" w:eastAsia="仿宋_GB2312" w:cs="仿宋_GB2312"/>
                <w:bCs/>
                <w:color w:val="000000" w:themeColor="text1"/>
                <w:sz w:val="28"/>
                <w:szCs w:val="28"/>
                <w14:textFill>
                  <w14:solidFill>
                    <w14:schemeClr w14:val="tx1"/>
                  </w14:solidFill>
                </w14:textFill>
              </w:rPr>
              <w:t>）</w:t>
            </w:r>
            <w:r>
              <w:rPr>
                <w:rFonts w:hint="eastAsia" w:ascii="仿宋_GB2312" w:hAnsi="仿宋_GB2312" w:eastAsia="仿宋_GB2312" w:cs="仿宋_GB2312"/>
                <w:bCs/>
                <w:color w:val="000000" w:themeColor="text1"/>
                <w:sz w:val="28"/>
                <w:szCs w:val="28"/>
                <w:lang w:val="en-US" w:eastAsia="zh-CN"/>
                <w14:textFill>
                  <w14:solidFill>
                    <w14:schemeClr w14:val="tx1"/>
                  </w14:solidFill>
                </w14:textFill>
              </w:rPr>
              <w:t>具备哈希代理资质，且使用、更换的易损件、被配件均为哈希原厂</w:t>
            </w:r>
            <w:r>
              <w:rPr>
                <w:rFonts w:hint="eastAsia" w:ascii="仿宋_GB2312" w:hAnsi="仿宋_GB2312" w:eastAsia="仿宋_GB2312" w:cs="仿宋_GB2312"/>
                <w:bCs/>
                <w:color w:val="000000" w:themeColor="text1"/>
                <w:sz w:val="28"/>
                <w:szCs w:val="28"/>
                <w14:textFill>
                  <w14:solidFill>
                    <w14:schemeClr w14:val="tx1"/>
                  </w14:solidFill>
                </w14:textFill>
              </w:rPr>
              <w:t xml:space="preserve">； </w:t>
            </w:r>
          </w:p>
          <w:p>
            <w:pPr>
              <w:rPr>
                <w:rFonts w:hint="eastAsia" w:ascii="仿宋_GB2312" w:hAnsi="仿宋_GB2312" w:eastAsia="仿宋_GB2312" w:cs="仿宋_GB2312"/>
                <w:bCs/>
                <w:color w:val="000000" w:themeColor="text1"/>
                <w:sz w:val="28"/>
                <w:szCs w:val="28"/>
                <w14:textFill>
                  <w14:solidFill>
                    <w14:schemeClr w14:val="tx1"/>
                  </w14:solidFill>
                </w14:textFill>
              </w:rPr>
            </w:pPr>
            <w:r>
              <w:rPr>
                <w:rFonts w:hint="eastAsia" w:ascii="仿宋_GB2312" w:hAnsi="仿宋_GB2312" w:eastAsia="仿宋_GB2312" w:cs="仿宋_GB2312"/>
                <w:bCs/>
                <w:color w:val="000000" w:themeColor="text1"/>
                <w:sz w:val="28"/>
                <w:szCs w:val="28"/>
                <w14:textFill>
                  <w14:solidFill>
                    <w14:schemeClr w14:val="tx1"/>
                  </w14:solidFill>
                </w14:textFill>
              </w:rPr>
              <w:t>（</w:t>
            </w:r>
            <w:r>
              <w:rPr>
                <w:rFonts w:hint="eastAsia" w:ascii="仿宋_GB2312" w:hAnsi="仿宋_GB2312" w:eastAsia="仿宋_GB2312" w:cs="仿宋_GB2312"/>
                <w:bCs/>
                <w:color w:val="000000" w:themeColor="text1"/>
                <w:sz w:val="28"/>
                <w:szCs w:val="28"/>
                <w:lang w:val="en-US" w:eastAsia="zh-CN"/>
                <w14:textFill>
                  <w14:solidFill>
                    <w14:schemeClr w14:val="tx1"/>
                  </w14:solidFill>
                </w14:textFill>
              </w:rPr>
              <w:t>8</w:t>
            </w:r>
            <w:r>
              <w:rPr>
                <w:rFonts w:hint="eastAsia" w:ascii="仿宋_GB2312" w:hAnsi="仿宋_GB2312" w:eastAsia="仿宋_GB2312" w:cs="仿宋_GB2312"/>
                <w:bCs/>
                <w:color w:val="000000" w:themeColor="text1"/>
                <w:sz w:val="28"/>
                <w:szCs w:val="28"/>
                <w14:textFill>
                  <w14:solidFill>
                    <w14:schemeClr w14:val="tx1"/>
                  </w14:solidFill>
                </w14:textFill>
              </w:rPr>
              <w:t xml:space="preserve">）投标人的直接或间接股东、法定代表人、董事、监事和高管均非中国重汽员工及其亲属； </w:t>
            </w:r>
          </w:p>
          <w:p>
            <w:pPr>
              <w:rPr>
                <w:rFonts w:hint="eastAsia" w:ascii="仿宋_GB2312" w:hAnsi="仿宋_GB2312" w:eastAsia="仿宋_GB2312" w:cs="仿宋_GB2312"/>
                <w:bCs/>
                <w:color w:val="000000" w:themeColor="text1"/>
                <w:sz w:val="28"/>
                <w:szCs w:val="28"/>
                <w14:textFill>
                  <w14:solidFill>
                    <w14:schemeClr w14:val="tx1"/>
                  </w14:solidFill>
                </w14:textFill>
              </w:rPr>
            </w:pPr>
            <w:r>
              <w:rPr>
                <w:rFonts w:hint="eastAsia" w:ascii="仿宋_GB2312" w:hAnsi="仿宋_GB2312" w:eastAsia="仿宋_GB2312" w:cs="仿宋_GB2312"/>
                <w:bCs/>
                <w:color w:val="000000" w:themeColor="text1"/>
                <w:sz w:val="28"/>
                <w:szCs w:val="28"/>
                <w14:textFill>
                  <w14:solidFill>
                    <w14:schemeClr w14:val="tx1"/>
                  </w14:solidFill>
                </w14:textFill>
              </w:rPr>
              <w:t>（</w:t>
            </w:r>
            <w:r>
              <w:rPr>
                <w:rFonts w:hint="eastAsia" w:ascii="仿宋_GB2312" w:hAnsi="仿宋_GB2312" w:eastAsia="仿宋_GB2312" w:cs="仿宋_GB2312"/>
                <w:bCs/>
                <w:color w:val="000000" w:themeColor="text1"/>
                <w:sz w:val="28"/>
                <w:szCs w:val="28"/>
                <w:lang w:val="en-US" w:eastAsia="zh-CN"/>
                <w14:textFill>
                  <w14:solidFill>
                    <w14:schemeClr w14:val="tx1"/>
                  </w14:solidFill>
                </w14:textFill>
              </w:rPr>
              <w:t>9</w:t>
            </w:r>
            <w:r>
              <w:rPr>
                <w:rFonts w:hint="eastAsia" w:ascii="仿宋_GB2312" w:hAnsi="仿宋_GB2312" w:eastAsia="仿宋_GB2312" w:cs="仿宋_GB2312"/>
                <w:bCs/>
                <w:color w:val="000000" w:themeColor="text1"/>
                <w:sz w:val="28"/>
                <w:szCs w:val="28"/>
                <w14:textFill>
                  <w14:solidFill>
                    <w14:schemeClr w14:val="tx1"/>
                  </w14:solidFill>
                </w14:textFill>
              </w:rPr>
              <w:t>）投标人必须是最终投标、中标并签订合同的单位，不得以任何理由将已中标项目以任何形式转包、分包给其他单位；</w:t>
            </w:r>
          </w:p>
          <w:p>
            <w:pPr>
              <w:rPr>
                <w:rFonts w:hint="eastAsia" w:ascii="仿宋_GB2312" w:hAnsi="仿宋_GB2312" w:eastAsia="仿宋_GB2312" w:cs="仿宋_GB2312"/>
                <w:bCs/>
                <w:color w:val="000000" w:themeColor="text1"/>
                <w:sz w:val="28"/>
                <w:szCs w:val="28"/>
                <w14:textFill>
                  <w14:solidFill>
                    <w14:schemeClr w14:val="tx1"/>
                  </w14:solidFill>
                </w14:textFill>
              </w:rPr>
            </w:pPr>
            <w:r>
              <w:rPr>
                <w:rFonts w:hint="eastAsia" w:ascii="仿宋_GB2312" w:hAnsi="仿宋_GB2312" w:eastAsia="仿宋_GB2312" w:cs="仿宋_GB2312"/>
                <w:bCs/>
                <w:color w:val="000000" w:themeColor="text1"/>
                <w:sz w:val="28"/>
                <w:szCs w:val="28"/>
                <w14:textFill>
                  <w14:solidFill>
                    <w14:schemeClr w14:val="tx1"/>
                  </w14:solidFill>
                </w14:textFill>
              </w:rPr>
              <w:t>（1</w:t>
            </w:r>
            <w:r>
              <w:rPr>
                <w:rFonts w:hint="eastAsia" w:ascii="仿宋_GB2312" w:hAnsi="仿宋_GB2312" w:eastAsia="仿宋_GB2312" w:cs="仿宋_GB2312"/>
                <w:bCs/>
                <w:color w:val="000000" w:themeColor="text1"/>
                <w:sz w:val="28"/>
                <w:szCs w:val="28"/>
                <w:lang w:val="en-US" w:eastAsia="zh-CN"/>
                <w14:textFill>
                  <w14:solidFill>
                    <w14:schemeClr w14:val="tx1"/>
                  </w14:solidFill>
                </w14:textFill>
              </w:rPr>
              <w:t>0</w:t>
            </w:r>
            <w:r>
              <w:rPr>
                <w:rFonts w:hint="eastAsia" w:ascii="仿宋_GB2312" w:hAnsi="仿宋_GB2312" w:eastAsia="仿宋_GB2312" w:cs="仿宋_GB2312"/>
                <w:bCs/>
                <w:color w:val="000000" w:themeColor="text1"/>
                <w:sz w:val="28"/>
                <w:szCs w:val="28"/>
                <w14:textFill>
                  <w14:solidFill>
                    <w14:schemeClr w14:val="tx1"/>
                  </w14:solidFill>
                </w14:textFill>
              </w:rPr>
              <w:t>）本次招标项目不接受联合体投标；</w:t>
            </w:r>
          </w:p>
          <w:p>
            <w:pPr>
              <w:rPr>
                <w:rFonts w:hint="eastAsia" w:ascii="仿宋_GB2312" w:hAnsi="仿宋_GB2312" w:eastAsia="仿宋_GB2312" w:cs="仿宋_GB2312"/>
                <w:bCs/>
                <w:color w:val="000000" w:themeColor="text1"/>
                <w:sz w:val="28"/>
                <w:szCs w:val="28"/>
                <w14:textFill>
                  <w14:solidFill>
                    <w14:schemeClr w14:val="tx1"/>
                  </w14:solidFill>
                </w14:textFill>
              </w:rPr>
            </w:pPr>
            <w:r>
              <w:rPr>
                <w:rFonts w:hint="eastAsia" w:ascii="仿宋_GB2312" w:hAnsi="仿宋_GB2312" w:eastAsia="仿宋_GB2312" w:cs="仿宋_GB2312"/>
                <w:bCs/>
                <w:color w:val="000000" w:themeColor="text1"/>
                <w:sz w:val="28"/>
                <w:szCs w:val="28"/>
                <w14:textFill>
                  <w14:solidFill>
                    <w14:schemeClr w14:val="tx1"/>
                  </w14:solidFill>
                </w14:textFill>
              </w:rPr>
              <w:t>（1</w:t>
            </w:r>
            <w:r>
              <w:rPr>
                <w:rFonts w:hint="eastAsia" w:ascii="仿宋_GB2312" w:hAnsi="仿宋_GB2312" w:eastAsia="仿宋_GB2312" w:cs="仿宋_GB2312"/>
                <w:bCs/>
                <w:color w:val="000000" w:themeColor="text1"/>
                <w:sz w:val="28"/>
                <w:szCs w:val="28"/>
                <w:lang w:val="en-US" w:eastAsia="zh-CN"/>
                <w14:textFill>
                  <w14:solidFill>
                    <w14:schemeClr w14:val="tx1"/>
                  </w14:solidFill>
                </w14:textFill>
              </w:rPr>
              <w:t>1</w:t>
            </w:r>
            <w:r>
              <w:rPr>
                <w:rFonts w:hint="eastAsia" w:ascii="仿宋_GB2312" w:hAnsi="仿宋_GB2312" w:eastAsia="仿宋_GB2312" w:cs="仿宋_GB2312"/>
                <w:bCs/>
                <w:color w:val="000000" w:themeColor="text1"/>
                <w:sz w:val="28"/>
                <w:szCs w:val="28"/>
                <w14:textFill>
                  <w14:solidFill>
                    <w14:schemeClr w14:val="tx1"/>
                  </w14:solidFill>
                </w14:textFill>
              </w:rPr>
              <w:t>）投标人须认可招标人的工作指令，包括节假日、夜间能正常开展工作的要求；</w:t>
            </w:r>
          </w:p>
          <w:p>
            <w:pPr>
              <w:rPr>
                <w:rFonts w:hint="eastAsia" w:ascii="仿宋_GB2312" w:hAnsi="仿宋_GB2312" w:eastAsia="仿宋_GB2312" w:cs="仿宋_GB2312"/>
                <w:bCs/>
                <w:color w:val="000000" w:themeColor="text1"/>
                <w:sz w:val="28"/>
                <w:szCs w:val="28"/>
                <w14:textFill>
                  <w14:solidFill>
                    <w14:schemeClr w14:val="tx1"/>
                  </w14:solidFill>
                </w14:textFill>
              </w:rPr>
            </w:pPr>
            <w:r>
              <w:rPr>
                <w:rFonts w:hint="eastAsia" w:ascii="仿宋_GB2312" w:hAnsi="仿宋_GB2312" w:eastAsia="仿宋_GB2312" w:cs="仿宋_GB2312"/>
                <w:bCs/>
                <w:color w:val="000000" w:themeColor="text1"/>
                <w:sz w:val="28"/>
                <w:szCs w:val="28"/>
                <w14:textFill>
                  <w14:solidFill>
                    <w14:schemeClr w14:val="tx1"/>
                  </w14:solidFill>
                </w14:textFill>
              </w:rPr>
              <w:t>（1</w:t>
            </w:r>
            <w:r>
              <w:rPr>
                <w:rFonts w:hint="eastAsia" w:ascii="仿宋_GB2312" w:hAnsi="仿宋_GB2312" w:eastAsia="仿宋_GB2312" w:cs="仿宋_GB2312"/>
                <w:bCs/>
                <w:color w:val="000000" w:themeColor="text1"/>
                <w:sz w:val="28"/>
                <w:szCs w:val="28"/>
                <w:lang w:val="en-US" w:eastAsia="zh-CN"/>
                <w14:textFill>
                  <w14:solidFill>
                    <w14:schemeClr w14:val="tx1"/>
                  </w14:solidFill>
                </w14:textFill>
              </w:rPr>
              <w:t>2</w:t>
            </w:r>
            <w:r>
              <w:rPr>
                <w:rFonts w:hint="eastAsia" w:ascii="仿宋_GB2312" w:hAnsi="仿宋_GB2312" w:eastAsia="仿宋_GB2312" w:cs="仿宋_GB2312"/>
                <w:bCs/>
                <w:color w:val="000000" w:themeColor="text1"/>
                <w:sz w:val="28"/>
                <w:szCs w:val="28"/>
                <w14:textFill>
                  <w14:solidFill>
                    <w14:schemeClr w14:val="tx1"/>
                  </w14:solidFill>
                </w14:textFill>
              </w:rPr>
              <w:t>）中国重汽集团济宁商用车有限公司负责对招标文件进行说明，并解答投标人提出的问题。</w:t>
            </w:r>
          </w:p>
          <w:p>
            <w:pPr>
              <w:rPr>
                <w:rFonts w:hint="eastAsia" w:ascii="仿宋_GB2312" w:hAnsi="仿宋_GB2312" w:eastAsia="仿宋_GB2312" w:cs="仿宋_GB2312"/>
                <w:bCs/>
                <w:color w:val="000000" w:themeColor="text1"/>
                <w:sz w:val="28"/>
                <w:szCs w:val="28"/>
                <w14:textFill>
                  <w14:solidFill>
                    <w14:schemeClr w14:val="tx1"/>
                  </w14:solidFill>
                </w14:textFill>
              </w:rPr>
            </w:pPr>
            <w:r>
              <w:rPr>
                <w:rFonts w:hint="eastAsia" w:ascii="仿宋_GB2312" w:hAnsi="仿宋_GB2312" w:eastAsia="仿宋_GB2312" w:cs="仿宋_GB2312"/>
                <w:bCs/>
                <w:color w:val="000000" w:themeColor="text1"/>
                <w:sz w:val="28"/>
                <w:szCs w:val="28"/>
                <w14:textFill>
                  <w14:solidFill>
                    <w14:schemeClr w14:val="tx1"/>
                  </w14:solidFill>
                </w14:textFill>
              </w:rPr>
              <w:t>（1</w:t>
            </w:r>
            <w:r>
              <w:rPr>
                <w:rFonts w:hint="eastAsia" w:ascii="仿宋_GB2312" w:hAnsi="仿宋_GB2312" w:eastAsia="仿宋_GB2312" w:cs="仿宋_GB2312"/>
                <w:bCs/>
                <w:color w:val="000000" w:themeColor="text1"/>
                <w:sz w:val="28"/>
                <w:szCs w:val="28"/>
                <w:lang w:val="en-US" w:eastAsia="zh-CN"/>
                <w14:textFill>
                  <w14:solidFill>
                    <w14:schemeClr w14:val="tx1"/>
                  </w14:solidFill>
                </w14:textFill>
              </w:rPr>
              <w:t>3</w:t>
            </w:r>
            <w:r>
              <w:rPr>
                <w:rFonts w:hint="eastAsia" w:ascii="仿宋_GB2312" w:hAnsi="仿宋_GB2312" w:eastAsia="仿宋_GB2312" w:cs="仿宋_GB2312"/>
                <w:bCs/>
                <w:color w:val="000000" w:themeColor="text1"/>
                <w:sz w:val="28"/>
                <w:szCs w:val="28"/>
                <w14:textFill>
                  <w14:solidFill>
                    <w14:schemeClr w14:val="tx1"/>
                  </w14:solidFill>
                </w14:textFill>
              </w:rPr>
              <w:t>）招标文件的修改通知书构成招标文件的一部分，对投标人具有约束力。</w:t>
            </w:r>
          </w:p>
          <w:p>
            <w:pPr>
              <w:rPr>
                <w:rFonts w:hint="eastAsia" w:ascii="仿宋_GB2312" w:hAnsi="仿宋_GB2312" w:eastAsia="仿宋_GB2312" w:cs="仿宋_GB2312"/>
                <w:bCs/>
                <w:color w:val="000000" w:themeColor="text1"/>
                <w:sz w:val="28"/>
                <w:szCs w:val="28"/>
                <w14:textFill>
                  <w14:solidFill>
                    <w14:schemeClr w14:val="tx1"/>
                  </w14:solidFill>
                </w14:textFill>
              </w:rPr>
            </w:pPr>
            <w:r>
              <w:rPr>
                <w:rFonts w:hint="eastAsia" w:ascii="仿宋_GB2312" w:hAnsi="仿宋_GB2312" w:eastAsia="仿宋_GB2312" w:cs="仿宋_GB2312"/>
                <w:bCs/>
                <w:color w:val="000000" w:themeColor="text1"/>
                <w:sz w:val="28"/>
                <w:szCs w:val="28"/>
                <w14:textFill>
                  <w14:solidFill>
                    <w14:schemeClr w14:val="tx1"/>
                  </w14:solidFill>
                </w14:textFill>
              </w:rPr>
              <w:t>(1</w:t>
            </w:r>
            <w:r>
              <w:rPr>
                <w:rFonts w:hint="eastAsia" w:ascii="仿宋_GB2312" w:hAnsi="仿宋_GB2312" w:eastAsia="仿宋_GB2312" w:cs="仿宋_GB2312"/>
                <w:bCs/>
                <w:color w:val="000000" w:themeColor="text1"/>
                <w:sz w:val="28"/>
                <w:szCs w:val="28"/>
                <w:lang w:val="en-US" w:eastAsia="zh-CN"/>
                <w14:textFill>
                  <w14:solidFill>
                    <w14:schemeClr w14:val="tx1"/>
                  </w14:solidFill>
                </w14:textFill>
              </w:rPr>
              <w:t>4</w:t>
            </w:r>
            <w:r>
              <w:rPr>
                <w:rFonts w:hint="eastAsia" w:ascii="仿宋_GB2312" w:hAnsi="仿宋_GB2312" w:eastAsia="仿宋_GB2312" w:cs="仿宋_GB2312"/>
                <w:bCs/>
                <w:color w:val="000000" w:themeColor="text1"/>
                <w:sz w:val="28"/>
                <w:szCs w:val="28"/>
                <w14:textFill>
                  <w14:solidFill>
                    <w14:schemeClr w14:val="tx1"/>
                  </w14:solidFill>
                </w14:textFill>
              </w:rPr>
              <w:t>)投标人应认真审阅招标方编制的招标文件,与招标人指派的答疑人员充分沟通，理解认可并接受相关技术规范及服务要求。自投标人在e采通参与了该项目的投标，则视同投标方认可招标文本和由于招标人上级集团公司政策变化引起的合同签订前终止项目的相关要求。</w:t>
            </w:r>
          </w:p>
          <w:p>
            <w:r>
              <w:rPr>
                <w:rFonts w:hint="eastAsia" w:ascii="仿宋_GB2312" w:hAnsi="仿宋_GB2312" w:eastAsia="仿宋_GB2312" w:cs="仿宋_GB2312"/>
                <w:bCs/>
                <w:color w:val="000000" w:themeColor="text1"/>
                <w:sz w:val="28"/>
                <w:szCs w:val="28"/>
                <w14:textFill>
                  <w14:solidFill>
                    <w14:schemeClr w14:val="tx1"/>
                  </w14:solidFill>
                </w14:textFill>
              </w:rPr>
              <w:t>(1</w:t>
            </w:r>
            <w:r>
              <w:rPr>
                <w:rFonts w:hint="eastAsia" w:ascii="仿宋_GB2312" w:hAnsi="仿宋_GB2312" w:eastAsia="仿宋_GB2312" w:cs="仿宋_GB2312"/>
                <w:bCs/>
                <w:color w:val="000000" w:themeColor="text1"/>
                <w:sz w:val="28"/>
                <w:szCs w:val="28"/>
                <w:lang w:val="en-US" w:eastAsia="zh-CN"/>
                <w14:textFill>
                  <w14:solidFill>
                    <w14:schemeClr w14:val="tx1"/>
                  </w14:solidFill>
                </w14:textFill>
              </w:rPr>
              <w:t>5</w:t>
            </w:r>
            <w:r>
              <w:rPr>
                <w:rFonts w:hint="eastAsia" w:ascii="仿宋_GB2312" w:hAnsi="仿宋_GB2312" w:eastAsia="仿宋_GB2312" w:cs="仿宋_GB2312"/>
                <w:bCs/>
                <w:color w:val="000000" w:themeColor="text1"/>
                <w:sz w:val="28"/>
                <w:szCs w:val="28"/>
                <w14:textFill>
                  <w14:solidFill>
                    <w14:schemeClr w14:val="tx1"/>
                  </w14:solidFill>
                </w14:textFill>
              </w:rPr>
              <w:t>)投标方对其自行提供的材料真实性负责，如因材料不实、未履行相应承诺等对招标方造成不利的，投标方将承担一切责任，招标方有权向投标方追偿甚至追究法律责任。</w:t>
            </w:r>
          </w:p>
          <w:p>
            <w:pPr>
              <w:adjustRightInd w:val="0"/>
              <w:snapToGrid w:val="0"/>
              <w:spacing w:line="360" w:lineRule="auto"/>
              <w:ind w:firstLine="573"/>
              <w:jc w:val="left"/>
              <w:rPr>
                <w:rFonts w:hint="eastAsia" w:ascii="宋体" w:hAnsi="宋体" w:eastAsia="宋体" w:cs="仿宋_GB2312"/>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b/>
                <w:bCs/>
                <w:sz w:val="24"/>
                <w:szCs w:val="24"/>
              </w:rPr>
            </w:pPr>
            <w:r>
              <w:rPr>
                <w:rFonts w:hint="eastAsia" w:ascii="宋体" w:hAnsi="宋体" w:eastAsia="宋体" w:cs="宋体"/>
                <w:b/>
                <w:bCs/>
                <w:sz w:val="24"/>
                <w:szCs w:val="24"/>
              </w:rPr>
              <w:t>2.招标文件的答疑、澄清、修改、应标及投标报名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发标时间：</w:t>
            </w:r>
            <w:r>
              <w:rPr>
                <w:rFonts w:hint="eastAsia" w:ascii="宋体" w:hAnsi="宋体" w:eastAsia="宋体" w:cs="宋体"/>
                <w:bCs/>
                <w:sz w:val="24"/>
                <w:szCs w:val="24"/>
                <w:highlight w:val="yellow"/>
              </w:rPr>
              <w:t>2025年</w:t>
            </w:r>
            <w:r>
              <w:rPr>
                <w:rFonts w:hint="eastAsia" w:ascii="宋体" w:hAnsi="宋体" w:eastAsia="宋体" w:cs="宋体"/>
                <w:bCs/>
                <w:sz w:val="24"/>
                <w:szCs w:val="24"/>
                <w:highlight w:val="yellow"/>
                <w:lang w:val="en-US" w:eastAsia="zh-CN"/>
              </w:rPr>
              <w:t>11</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lang w:val="en-US" w:eastAsia="zh-CN"/>
              </w:rPr>
              <w:t>5</w:t>
            </w:r>
            <w:r>
              <w:rPr>
                <w:rFonts w:hint="eastAsia" w:ascii="宋体" w:hAnsi="宋体" w:eastAsia="宋体" w:cs="宋体"/>
                <w:bCs/>
                <w:sz w:val="24"/>
                <w:szCs w:val="24"/>
                <w:highlight w:val="yellow"/>
              </w:rPr>
              <w:t>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pPr>
              <w:snapToGrid w:val="0"/>
              <w:ind w:firstLine="420" w:firstLineChars="200"/>
              <w:rPr>
                <w:rFonts w:hint="eastAsia"/>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sz w:val="24"/>
                <w:szCs w:val="24"/>
              </w:rPr>
              <w:t>发标方式：</w:t>
            </w:r>
            <w:r>
              <w:rPr>
                <w:rFonts w:ascii="宋体" w:hAnsi="宋体" w:eastAsia="宋体" w:cs="宋体"/>
                <w:sz w:val="24"/>
                <w:szCs w:val="24"/>
              </w:rPr>
              <w:t>中国重汽官网</w:t>
            </w:r>
            <w:r>
              <w:rPr>
                <w:rFonts w:hint="eastAsia" w:ascii="宋体" w:hAnsi="宋体" w:eastAsia="宋体" w:cs="宋体"/>
                <w:sz w:val="24"/>
                <w:szCs w:val="24"/>
              </w:rPr>
              <w:t>、山东省阳光采购服务平台</w:t>
            </w:r>
            <w:r>
              <w:rPr>
                <w:rFonts w:hint="eastAsia" w:ascii="宋体" w:hAnsi="宋体" w:eastAsia="宋体" w:cs="Times New Roman"/>
                <w:color w:val="000000"/>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pPr>
              <w:snapToGrid w:val="0"/>
              <w:ind w:firstLine="480" w:firstLineChars="200"/>
              <w:rPr>
                <w:rFonts w:hint="eastAsia" w:ascii="宋体" w:hAnsi="宋体" w:eastAsia="宋体" w:cs="宋体"/>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jc w:val="left"/>
              <w:rPr>
                <w:rFonts w:hint="eastAsia" w:ascii="宋体" w:hAnsi="宋体" w:eastAsia="宋体" w:cs="宋体"/>
                <w:b/>
                <w:bCs/>
                <w:sz w:val="24"/>
                <w:szCs w:val="24"/>
              </w:rPr>
            </w:pPr>
            <w:r>
              <w:rPr>
                <w:rFonts w:hint="eastAsia" w:ascii="宋体" w:hAnsi="宋体" w:eastAsia="宋体" w:cs="宋体"/>
                <w:sz w:val="24"/>
                <w:szCs w:val="24"/>
              </w:rPr>
              <w:t>如果投标人对招标文件商务部分、技术部分有疑问，请各投标人在本答疑环节提出。</w:t>
            </w:r>
          </w:p>
          <w:p>
            <w:pPr>
              <w:ind w:firstLine="482" w:firstLineChars="200"/>
              <w:jc w:val="left"/>
              <w:rPr>
                <w:rFonts w:hint="eastAsia" w:ascii="宋体" w:hAnsi="宋体" w:eastAsia="宋体" w:cs="宋体"/>
                <w:sz w:val="24"/>
                <w:szCs w:val="24"/>
              </w:rPr>
            </w:pPr>
            <w:r>
              <w:rPr>
                <w:rFonts w:hint="eastAsia" w:ascii="宋体" w:hAnsi="宋体" w:eastAsia="宋体" w:cs="宋体"/>
                <w:b/>
                <w:bCs/>
                <w:sz w:val="24"/>
                <w:szCs w:val="24"/>
              </w:rPr>
              <w:t>提交疑问时间：</w:t>
            </w:r>
            <w:r>
              <w:rPr>
                <w:rFonts w:hint="eastAsia" w:ascii="宋体" w:hAnsi="宋体" w:eastAsia="宋体" w:cs="宋体"/>
                <w:bCs/>
                <w:sz w:val="24"/>
                <w:szCs w:val="24"/>
                <w:highlight w:val="yellow"/>
              </w:rPr>
              <w:t>2025年</w:t>
            </w:r>
            <w:r>
              <w:rPr>
                <w:rFonts w:hint="eastAsia" w:ascii="宋体" w:hAnsi="宋体" w:eastAsia="宋体" w:cs="宋体"/>
                <w:bCs/>
                <w:sz w:val="24"/>
                <w:szCs w:val="24"/>
                <w:highlight w:val="yellow"/>
                <w:lang w:val="en-US" w:eastAsia="zh-CN"/>
              </w:rPr>
              <w:t>11</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lang w:val="en-US" w:eastAsia="zh-CN"/>
              </w:rPr>
              <w:t>10</w:t>
            </w:r>
            <w:r>
              <w:rPr>
                <w:rFonts w:hint="eastAsia" w:ascii="宋体" w:hAnsi="宋体" w:eastAsia="宋体" w:cs="宋体"/>
                <w:bCs/>
                <w:sz w:val="24"/>
                <w:szCs w:val="24"/>
                <w:highlight w:val="yellow"/>
              </w:rPr>
              <w:t>日</w:t>
            </w:r>
            <w:r>
              <w:rPr>
                <w:rFonts w:hint="eastAsia" w:ascii="宋体" w:hAnsi="宋体" w:eastAsia="宋体" w:cs="宋体"/>
                <w:sz w:val="24"/>
                <w:szCs w:val="24"/>
                <w:highlight w:val="yellow"/>
              </w:rPr>
              <w:t>17:00</w:t>
            </w:r>
            <w:r>
              <w:rPr>
                <w:rFonts w:hint="eastAsia" w:ascii="宋体" w:hAnsi="宋体" w:eastAsia="宋体" w:cs="宋体"/>
                <w:bCs/>
                <w:sz w:val="24"/>
                <w:szCs w:val="24"/>
                <w:highlight w:val="yellow"/>
              </w:rPr>
              <w:t>前；</w:t>
            </w:r>
          </w:p>
          <w:p>
            <w:pPr>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提交疑问方式</w:t>
            </w:r>
            <w:r>
              <w:rPr>
                <w:rFonts w:hint="eastAsia" w:ascii="宋体" w:hAnsi="宋体" w:eastAsia="宋体" w:cs="宋体"/>
                <w:sz w:val="24"/>
                <w:szCs w:val="24"/>
              </w:rPr>
              <w:t>：将答疑问题以word文件格式发送至联系人邮件内，并电话联系工作人员查收，</w:t>
            </w:r>
            <w:r>
              <w:rPr>
                <w:rFonts w:hint="eastAsia" w:ascii="宋体" w:hAnsi="宋体" w:eastAsia="宋体" w:cs="宋体"/>
                <w:b/>
                <w:bCs/>
                <w:sz w:val="24"/>
                <w:szCs w:val="24"/>
              </w:rPr>
              <w:t>邮件名格式为：XXX公司（五个字以内公司简称）XX项目答疑文件。</w:t>
            </w:r>
          </w:p>
          <w:p>
            <w:pPr>
              <w:ind w:firstLine="482" w:firstLineChars="200"/>
              <w:jc w:val="left"/>
              <w:rPr>
                <w:rFonts w:hint="eastAsia" w:ascii="宋体" w:hAnsi="宋体" w:eastAsia="宋体" w:cs="宋体"/>
                <w:sz w:val="24"/>
                <w:szCs w:val="24"/>
              </w:rPr>
            </w:pPr>
            <w:r>
              <w:rPr>
                <w:rFonts w:hint="eastAsia" w:ascii="宋体" w:hAnsi="宋体" w:eastAsia="宋体" w:cs="宋体"/>
                <w:b/>
                <w:bCs/>
                <w:sz w:val="24"/>
                <w:szCs w:val="24"/>
              </w:rPr>
              <w:t>同时必须在邮件中以文字方式提供投标人全称、投标授权人姓名、联系方式（固定电话、手机、电子邮箱），并提供附件2</w:t>
            </w:r>
            <w:r>
              <w:rPr>
                <w:rFonts w:hint="eastAsia" w:ascii="Times New Roman" w:hAnsi="Times New Roman" w:eastAsia="宋体" w:cs="Times New Roman"/>
                <w:b/>
                <w:bCs/>
                <w:color w:val="000000"/>
                <w:sz w:val="24"/>
                <w:szCs w:val="24"/>
              </w:rPr>
              <w:t>法定代表人授权委托书</w:t>
            </w:r>
            <w:r>
              <w:rPr>
                <w:rFonts w:hint="eastAsia" w:ascii="宋体" w:hAnsi="宋体" w:eastAsia="宋体" w:cs="宋体"/>
                <w:b/>
                <w:bCs/>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jc w:val="center"/>
              <w:rPr>
                <w:rFonts w:hint="eastAsia" w:ascii="宋体" w:hAnsi="宋体" w:eastAsia="宋体" w:cs="宋体"/>
                <w:sz w:val="24"/>
                <w:szCs w:val="24"/>
              </w:rPr>
            </w:pPr>
            <w:r>
              <w:rPr>
                <w:rFonts w:hint="eastAsia" w:ascii="宋体" w:hAnsi="宋体" w:eastAsia="宋体" w:cs="宋体"/>
                <w:sz w:val="24"/>
                <w:szCs w:val="24"/>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shd w:val="clear" w:color="auto" w:fill="FFFFFF" w:themeFill="background1"/>
              <w:ind w:firstLine="480" w:firstLineChars="200"/>
              <w:rPr>
                <w:rFonts w:hint="eastAsia" w:ascii="宋体" w:hAnsi="宋体" w:eastAsia="宋体" w:cs="宋体"/>
                <w:sz w:val="24"/>
                <w:szCs w:val="24"/>
              </w:rPr>
            </w:pPr>
            <w:r>
              <w:rPr>
                <w:rFonts w:hint="eastAsia" w:ascii="宋体" w:hAnsi="宋体" w:eastAsia="宋体" w:cs="宋体"/>
                <w:sz w:val="24"/>
                <w:szCs w:val="24"/>
              </w:rPr>
              <w:t>领取答疑、澄清和修改文件时间：</w:t>
            </w:r>
            <w:r>
              <w:rPr>
                <w:rFonts w:hint="eastAsia" w:ascii="宋体" w:hAnsi="宋体" w:eastAsia="宋体" w:cs="宋体"/>
                <w:bCs/>
                <w:sz w:val="24"/>
                <w:szCs w:val="24"/>
                <w:highlight w:val="yellow"/>
              </w:rPr>
              <w:t>2025年</w:t>
            </w:r>
            <w:r>
              <w:rPr>
                <w:rFonts w:hint="eastAsia" w:ascii="宋体" w:hAnsi="宋体" w:eastAsia="宋体" w:cs="宋体"/>
                <w:bCs/>
                <w:sz w:val="24"/>
                <w:szCs w:val="24"/>
                <w:highlight w:val="yellow"/>
                <w:lang w:val="en-US" w:eastAsia="zh-CN"/>
              </w:rPr>
              <w:t>11</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lang w:val="en-US" w:eastAsia="zh-CN"/>
              </w:rPr>
              <w:t>10</w:t>
            </w:r>
            <w:r>
              <w:rPr>
                <w:rFonts w:hint="eastAsia" w:ascii="宋体" w:hAnsi="宋体" w:eastAsia="宋体" w:cs="宋体"/>
                <w:bCs/>
                <w:sz w:val="24"/>
                <w:szCs w:val="24"/>
                <w:highlight w:val="yellow"/>
              </w:rPr>
              <w:t>日</w:t>
            </w:r>
            <w:r>
              <w:rPr>
                <w:rFonts w:hint="eastAsia" w:ascii="宋体" w:hAnsi="宋体" w:eastAsia="宋体" w:cs="宋体"/>
                <w:sz w:val="24"/>
                <w:szCs w:val="24"/>
                <w:highlight w:val="yellow"/>
              </w:rPr>
              <w:t>17:00</w:t>
            </w:r>
            <w:r>
              <w:rPr>
                <w:rFonts w:hint="eastAsia" w:ascii="宋体" w:hAnsi="宋体" w:eastAsia="宋体" w:cs="宋体"/>
                <w:sz w:val="24"/>
                <w:szCs w:val="24"/>
              </w:rPr>
              <w:t>前；</w:t>
            </w:r>
          </w:p>
          <w:p>
            <w:pPr>
              <w:shd w:val="clear" w:color="auto" w:fill="FFFFFF" w:themeFill="background1"/>
              <w:ind w:firstLine="480" w:firstLineChars="200"/>
              <w:rPr>
                <w:rFonts w:hint="eastAsia" w:ascii="宋体" w:hAnsi="宋体" w:eastAsia="宋体" w:cs="宋体"/>
                <w:sz w:val="24"/>
                <w:szCs w:val="24"/>
              </w:rPr>
            </w:pPr>
            <w:r>
              <w:rPr>
                <w:rFonts w:hint="eastAsia" w:ascii="宋体" w:hAnsi="宋体" w:eastAsia="宋体" w:cs="宋体"/>
                <w:sz w:val="24"/>
                <w:szCs w:val="24"/>
              </w:rPr>
              <w:t>答疑、澄清和修改文件方式：招标人将以电子邮件的方式将招标文件的答疑澄清文件发送至答疑文件提交时登记的电子邮箱。</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宋体" w:hAnsi="宋体" w:eastAsia="宋体" w:cs="宋体"/>
                <w:b/>
                <w:bCs/>
                <w:sz w:val="24"/>
                <w:szCs w:val="24"/>
                <w:highlight w:val="green"/>
              </w:rPr>
            </w:pPr>
            <w:r>
              <w:rPr>
                <w:rFonts w:hint="eastAsia" w:ascii="宋体" w:hAnsi="宋体" w:eastAsia="宋体" w:cs="宋体"/>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pPr>
              <w:pStyle w:val="115"/>
              <w:spacing w:line="240" w:lineRule="auto"/>
              <w:ind w:firstLine="482"/>
              <w:rPr>
                <w:rFonts w:hint="eastAsia" w:eastAsia="宋体" w:cs="宋体"/>
                <w:b/>
                <w:bCs/>
              </w:rPr>
            </w:pPr>
            <w:r>
              <w:rPr>
                <w:rFonts w:hint="eastAsia" w:eastAsia="宋体" w:cs="宋体"/>
                <w:b/>
                <w:bCs/>
              </w:rPr>
              <w:t>报名方式：</w:t>
            </w:r>
            <w:r>
              <w:rPr>
                <w:rFonts w:hint="eastAsia" w:eastAsia="宋体" w:cs="宋体"/>
              </w:rPr>
              <w:t>拟投标人根据招标人在中国重汽官网等公开媒体上发布的招标信息，</w:t>
            </w:r>
            <w:r>
              <w:rPr>
                <w:rFonts w:hint="eastAsia" w:hAnsi="Courier New" w:eastAsia="宋体" w:cs="Times New Roman"/>
              </w:rPr>
              <w:t>在“中国重汽e采通”平台报名</w:t>
            </w:r>
            <w:r>
              <w:rPr>
                <w:rFonts w:hint="eastAsia" w:eastAsia="宋体" w:cs="宋体"/>
              </w:rPr>
              <w:t>。</w:t>
            </w:r>
            <w:r>
              <w:rPr>
                <w:rFonts w:hint="eastAsia" w:eastAsia="宋体" w:cs="Times New Roman"/>
                <w:b/>
                <w:bCs/>
              </w:rPr>
              <w:t>按照中国重汽e采通“SRM非生产供应商注册手册”（附件15）进行注册</w:t>
            </w:r>
            <w:r>
              <w:rPr>
                <w:rFonts w:hint="eastAsia" w:eastAsia="宋体" w:cs="Times New Roman"/>
              </w:rPr>
              <w:t>，注册完毕后按照</w:t>
            </w:r>
            <w:r>
              <w:rPr>
                <w:rFonts w:hint="eastAsia" w:eastAsia="宋体" w:cs="宋体"/>
                <w:b/>
              </w:rPr>
              <w:t>“SRM系统供应商用户手册（附件16）”，</w:t>
            </w:r>
            <w:r>
              <w:rPr>
                <w:rFonts w:hint="eastAsia" w:eastAsia="宋体" w:cs="Times New Roman"/>
              </w:rPr>
              <w:t>登录</w:t>
            </w:r>
            <w:r>
              <w:rPr>
                <w:rFonts w:hint="eastAsia" w:eastAsia="宋体" w:cs="宋体"/>
                <w:b/>
              </w:rPr>
              <w:t>重汽e采通平台</w:t>
            </w:r>
            <w:r>
              <w:rPr>
                <w:rFonts w:hint="eastAsia" w:eastAsia="宋体" w:cs="Times New Roman"/>
              </w:rPr>
              <w:t>后进入“供应商应标”，选择对应的项目，</w:t>
            </w:r>
            <w:r>
              <w:rPr>
                <w:rFonts w:hint="eastAsia" w:eastAsia="宋体" w:cs="Times New Roman"/>
                <w:highlight w:val="yellow"/>
              </w:rPr>
              <w:t>点击“</w:t>
            </w:r>
            <w:r>
              <w:rPr>
                <w:rFonts w:hint="eastAsia" w:eastAsia="宋体" w:cs="Times New Roman"/>
                <w:b/>
                <w:bCs/>
                <w:highlight w:val="yellow"/>
              </w:rPr>
              <w:t>应标</w:t>
            </w:r>
            <w:r>
              <w:rPr>
                <w:rFonts w:hint="eastAsia" w:eastAsia="宋体" w:cs="Times New Roman"/>
                <w:highlight w:val="yellow"/>
              </w:rPr>
              <w:t>”</w:t>
            </w:r>
            <w:r>
              <w:rPr>
                <w:rFonts w:hint="eastAsia" w:eastAsia="宋体" w:cs="Times New Roman"/>
                <w:b/>
                <w:bCs/>
                <w:highlight w:val="yellow"/>
              </w:rPr>
              <w:t>后按照招标文件第三部分投标文件组成资格证明文件中的1.1</w:t>
            </w:r>
            <w:r>
              <w:rPr>
                <w:rFonts w:eastAsia="宋体" w:cs="Times New Roman"/>
                <w:b/>
                <w:bCs/>
                <w:highlight w:val="yellow"/>
              </w:rPr>
              <w:t>-</w:t>
            </w:r>
            <w:r>
              <w:rPr>
                <w:rFonts w:hint="eastAsia" w:eastAsia="宋体" w:cs="Times New Roman"/>
                <w:b/>
                <w:bCs/>
                <w:highlight w:val="yellow"/>
              </w:rPr>
              <w:t>1.13准备资料并</w:t>
            </w:r>
            <w:r>
              <w:rPr>
                <w:rFonts w:hint="eastAsia" w:eastAsia="宋体" w:cs="Times New Roman"/>
                <w:highlight w:val="yellow"/>
              </w:rPr>
              <w:t>上传</w:t>
            </w:r>
            <w:r>
              <w:rPr>
                <w:rFonts w:hint="eastAsia" w:eastAsia="宋体" w:cs="Times New Roman"/>
              </w:rPr>
              <w:t>，资质审查通过即为报名成功</w:t>
            </w:r>
            <w:r>
              <w:rPr>
                <w:rFonts w:hint="eastAsia" w:hAnsi="Courier New" w:eastAsia="宋体" w:cs="Times New Roman"/>
              </w:rPr>
              <w:t>；公示期间请尽快报名</w:t>
            </w:r>
            <w:r>
              <w:rPr>
                <w:rFonts w:hint="eastAsia" w:eastAsia="宋体" w:cs="宋体"/>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pPr>
              <w:jc w:val="left"/>
              <w:rPr>
                <w:rFonts w:hint="eastAsia"/>
              </w:rPr>
            </w:pPr>
          </w:p>
        </w:tc>
        <w:tc>
          <w:tcPr>
            <w:tcW w:w="8363" w:type="dxa"/>
            <w:tcBorders>
              <w:top w:val="single" w:color="auto" w:sz="2" w:space="0"/>
              <w:left w:val="single" w:color="auto" w:sz="2" w:space="0"/>
              <w:bottom w:val="single" w:color="auto" w:sz="2" w:space="0"/>
              <w:right w:val="single" w:color="auto" w:sz="2" w:space="0"/>
            </w:tcBorders>
            <w:vAlign w:val="center"/>
          </w:tcPr>
          <w:p>
            <w:pPr>
              <w:pStyle w:val="115"/>
              <w:spacing w:line="240" w:lineRule="auto"/>
              <w:ind w:firstLine="482"/>
              <w:rPr>
                <w:rFonts w:hint="eastAsia" w:eastAsia="宋体" w:cs="宋体"/>
                <w:highlight w:val="yellow"/>
              </w:rPr>
            </w:pPr>
            <w:r>
              <w:rPr>
                <w:rFonts w:hint="eastAsia" w:eastAsia="宋体" w:cs="宋体"/>
                <w:b/>
                <w:bCs/>
              </w:rPr>
              <w:t>应标截止时间：</w:t>
            </w:r>
            <w:r>
              <w:rPr>
                <w:rFonts w:hint="eastAsia" w:ascii="宋体" w:hAnsi="宋体" w:eastAsia="宋体" w:cs="宋体"/>
                <w:bCs/>
                <w:sz w:val="24"/>
                <w:szCs w:val="24"/>
                <w:highlight w:val="yellow"/>
              </w:rPr>
              <w:t>2025年</w:t>
            </w:r>
            <w:r>
              <w:rPr>
                <w:rFonts w:hint="eastAsia" w:eastAsia="宋体" w:cs="宋体"/>
                <w:bCs/>
                <w:sz w:val="24"/>
                <w:szCs w:val="24"/>
                <w:highlight w:val="yellow"/>
                <w:lang w:val="en-US" w:eastAsia="zh-CN"/>
              </w:rPr>
              <w:t>11</w:t>
            </w:r>
            <w:r>
              <w:rPr>
                <w:rFonts w:hint="eastAsia" w:ascii="宋体" w:hAnsi="宋体" w:eastAsia="宋体" w:cs="宋体"/>
                <w:bCs/>
                <w:sz w:val="24"/>
                <w:szCs w:val="24"/>
                <w:highlight w:val="yellow"/>
              </w:rPr>
              <w:t>月</w:t>
            </w:r>
            <w:r>
              <w:rPr>
                <w:rFonts w:hint="eastAsia" w:eastAsia="宋体" w:cs="宋体"/>
                <w:bCs/>
                <w:sz w:val="24"/>
                <w:szCs w:val="24"/>
                <w:highlight w:val="yellow"/>
                <w:lang w:val="en-US" w:eastAsia="zh-CN"/>
              </w:rPr>
              <w:t>10</w:t>
            </w:r>
            <w:r>
              <w:rPr>
                <w:rFonts w:hint="eastAsia" w:ascii="宋体" w:hAnsi="宋体" w:eastAsia="宋体" w:cs="宋体"/>
                <w:bCs/>
                <w:sz w:val="24"/>
                <w:szCs w:val="24"/>
                <w:highlight w:val="yellow"/>
              </w:rPr>
              <w:t>日</w:t>
            </w:r>
            <w:r>
              <w:rPr>
                <w:rFonts w:hint="eastAsia" w:ascii="宋体" w:hAnsi="宋体" w:eastAsia="宋体" w:cs="宋体"/>
                <w:sz w:val="24"/>
                <w:szCs w:val="24"/>
                <w:highlight w:val="yellow"/>
              </w:rPr>
              <w:t>17:00</w:t>
            </w:r>
          </w:p>
          <w:p>
            <w:pPr>
              <w:pStyle w:val="115"/>
              <w:spacing w:line="240" w:lineRule="auto"/>
              <w:ind w:firstLine="482"/>
              <w:rPr>
                <w:rFonts w:hint="eastAsia" w:eastAsia="宋体" w:cs="宋体"/>
                <w:highlight w:val="yellow"/>
              </w:rPr>
            </w:pPr>
            <w:r>
              <w:rPr>
                <w:rFonts w:hint="eastAsia" w:eastAsia="宋体" w:cs="宋体"/>
                <w:b/>
                <w:bCs/>
              </w:rPr>
              <w:t>注：请务必在应标截止时间前完成注册及应标操作，注册审核需2-4日，应标截止时间精确到秒，逾期将无法应标。请自行掌握时间，避免无法应标。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b/>
                <w:bCs/>
                <w:sz w:val="24"/>
                <w:szCs w:val="24"/>
              </w:rPr>
            </w:pPr>
            <w:r>
              <w:rPr>
                <w:rFonts w:hint="eastAsia" w:ascii="宋体" w:hAnsi="宋体" w:eastAsia="宋体" w:cs="宋体"/>
                <w:b/>
                <w:bCs/>
                <w:sz w:val="24"/>
                <w:szCs w:val="24"/>
              </w:rPr>
              <w:t>3.投标文件的组成、编制及投递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3.1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宋体" w:hAnsi="宋体" w:eastAsia="宋体" w:cs="宋体"/>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3.2</w:t>
            </w:r>
          </w:p>
        </w:tc>
        <w:tc>
          <w:tcPr>
            <w:tcW w:w="8363" w:type="dxa"/>
            <w:tcBorders>
              <w:top w:val="single" w:color="auto" w:sz="2" w:space="0"/>
              <w:left w:val="single" w:color="auto" w:sz="2" w:space="0"/>
              <w:bottom w:val="single" w:color="auto" w:sz="2" w:space="0"/>
              <w:right w:val="single" w:color="auto" w:sz="2" w:space="0"/>
            </w:tcBorders>
            <w:vAlign w:val="center"/>
          </w:tcPr>
          <w:p>
            <w:pPr>
              <w:pStyle w:val="21"/>
              <w:rPr>
                <w:rFonts w:hint="eastAsia" w:hAnsi="宋体" w:eastAsia="宋体" w:cs="Times New Roman"/>
                <w:color w:val="000000"/>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4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3.3</w:t>
            </w:r>
          </w:p>
        </w:tc>
        <w:tc>
          <w:tcPr>
            <w:tcW w:w="8363" w:type="dxa"/>
            <w:tcBorders>
              <w:top w:val="single" w:color="auto" w:sz="2" w:space="0"/>
              <w:left w:val="single" w:color="auto" w:sz="2" w:space="0"/>
              <w:bottom w:val="single" w:color="auto" w:sz="2" w:space="0"/>
              <w:right w:val="single" w:color="auto" w:sz="2" w:space="0"/>
            </w:tcBorders>
            <w:vAlign w:val="center"/>
          </w:tcPr>
          <w:p>
            <w:pPr>
              <w:pStyle w:val="21"/>
              <w:ind w:firstLine="482" w:firstLineChars="200"/>
              <w:rPr>
                <w:rFonts w:hint="eastAsia" w:hAnsi="宋体" w:eastAsia="宋体" w:cs="宋体"/>
                <w:b/>
                <w:bCs/>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88"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3.4</w:t>
            </w:r>
          </w:p>
        </w:tc>
        <w:tc>
          <w:tcPr>
            <w:tcW w:w="8363" w:type="dxa"/>
            <w:tcBorders>
              <w:top w:val="single" w:color="auto" w:sz="2" w:space="0"/>
              <w:left w:val="single" w:color="auto" w:sz="2" w:space="0"/>
              <w:bottom w:val="single" w:color="auto" w:sz="2" w:space="0"/>
              <w:right w:val="single" w:color="auto" w:sz="2" w:space="0"/>
            </w:tcBorders>
            <w:vAlign w:val="center"/>
          </w:tcPr>
          <w:p>
            <w:pPr>
              <w:pStyle w:val="21"/>
              <w:rPr>
                <w:rFonts w:hint="eastAsia" w:eastAsia="宋体" w:cs="宋体" w:asciiTheme="minorHAnsi" w:hAnsiTheme="minorHAnsi"/>
                <w:b/>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3.5</w:t>
            </w:r>
          </w:p>
        </w:tc>
        <w:tc>
          <w:tcPr>
            <w:tcW w:w="8363" w:type="dxa"/>
            <w:tcBorders>
              <w:top w:val="single" w:color="auto" w:sz="2" w:space="0"/>
              <w:left w:val="single" w:color="auto" w:sz="2" w:space="0"/>
              <w:bottom w:val="single" w:color="auto" w:sz="2" w:space="0"/>
              <w:right w:val="single" w:color="auto" w:sz="2" w:space="0"/>
            </w:tcBorders>
            <w:vAlign w:val="center"/>
          </w:tcPr>
          <w:p>
            <w:pPr>
              <w:pStyle w:val="21"/>
              <w:ind w:firstLine="482" w:firstLineChars="200"/>
              <w:rPr>
                <w:rFonts w:hint="eastAsia" w:hAnsi="宋体" w:eastAsia="宋体" w:cs="宋体"/>
                <w:sz w:val="24"/>
                <w:szCs w:val="24"/>
                <w:highlight w:val="yellow"/>
              </w:rPr>
            </w:pPr>
            <w:r>
              <w:rPr>
                <w:rFonts w:hint="eastAsia" w:hAnsi="宋体" w:eastAsia="宋体" w:cs="宋体"/>
                <w:b/>
                <w:bCs/>
                <w:sz w:val="24"/>
                <w:szCs w:val="24"/>
              </w:rPr>
              <w:t>投标文件递交截止时间：</w:t>
            </w:r>
            <w:r>
              <w:rPr>
                <w:rFonts w:hint="eastAsia" w:hAnsi="宋体" w:eastAsia="宋体" w:cs="宋体"/>
                <w:sz w:val="24"/>
                <w:szCs w:val="24"/>
                <w:highlight w:val="yellow"/>
                <w:u w:val="single"/>
              </w:rPr>
              <w:t>2025</w:t>
            </w:r>
            <w:r>
              <w:rPr>
                <w:rFonts w:hint="eastAsia" w:hAnsi="宋体" w:eastAsia="宋体" w:cs="宋体"/>
                <w:sz w:val="24"/>
                <w:szCs w:val="24"/>
                <w:highlight w:val="yellow"/>
              </w:rPr>
              <w:t>年</w:t>
            </w:r>
            <w:r>
              <w:rPr>
                <w:rFonts w:hint="eastAsia" w:hAnsi="宋体" w:eastAsia="宋体" w:cs="宋体"/>
                <w:sz w:val="24"/>
                <w:szCs w:val="24"/>
                <w:highlight w:val="yellow"/>
                <w:lang w:val="en-US" w:eastAsia="zh-CN"/>
              </w:rPr>
              <w:t>11</w:t>
            </w:r>
            <w:r>
              <w:rPr>
                <w:rFonts w:hint="eastAsia" w:hAnsi="宋体" w:eastAsia="宋体" w:cs="宋体"/>
                <w:sz w:val="24"/>
                <w:szCs w:val="24"/>
                <w:highlight w:val="yellow"/>
              </w:rPr>
              <w:t>月</w:t>
            </w:r>
            <w:r>
              <w:rPr>
                <w:rFonts w:hint="eastAsia" w:hAnsi="宋体" w:eastAsia="宋体" w:cs="宋体"/>
                <w:sz w:val="24"/>
                <w:szCs w:val="24"/>
                <w:highlight w:val="yellow"/>
                <w:lang w:val="en-US" w:eastAsia="zh-CN"/>
              </w:rPr>
              <w:t>15</w:t>
            </w:r>
            <w:r>
              <w:rPr>
                <w:rFonts w:hint="eastAsia" w:hAnsi="宋体" w:eastAsia="宋体" w:cs="宋体"/>
                <w:sz w:val="24"/>
                <w:szCs w:val="24"/>
                <w:highlight w:val="yellow"/>
              </w:rPr>
              <w:t>日</w:t>
            </w:r>
            <w:r>
              <w:rPr>
                <w:rFonts w:hint="eastAsia" w:hAnsi="宋体" w:eastAsia="宋体" w:cs="宋体"/>
                <w:sz w:val="24"/>
                <w:szCs w:val="24"/>
                <w:highlight w:val="yellow"/>
                <w:lang w:val="en-US" w:eastAsia="zh-CN"/>
              </w:rPr>
              <w:t>下</w:t>
            </w:r>
            <w:r>
              <w:rPr>
                <w:rFonts w:hint="eastAsia" w:hAnsi="宋体" w:eastAsia="宋体" w:cs="宋体"/>
                <w:kern w:val="0"/>
                <w:sz w:val="24"/>
                <w:szCs w:val="24"/>
                <w:highlight w:val="yellow"/>
              </w:rPr>
              <w:t>午</w:t>
            </w:r>
            <w:r>
              <w:rPr>
                <w:rFonts w:hint="eastAsia" w:hAnsi="宋体" w:eastAsia="宋体" w:cs="宋体"/>
                <w:kern w:val="0"/>
                <w:sz w:val="24"/>
                <w:szCs w:val="24"/>
                <w:highlight w:val="yellow"/>
                <w:lang w:val="en-US" w:eastAsia="zh-CN"/>
              </w:rPr>
              <w:t>17</w:t>
            </w:r>
            <w:r>
              <w:rPr>
                <w:rFonts w:hint="eastAsia" w:hAnsi="宋体" w:eastAsia="宋体" w:cs="宋体"/>
                <w:sz w:val="24"/>
                <w:szCs w:val="24"/>
                <w:highlight w:val="yellow"/>
              </w:rPr>
              <w:t>:00:00（北京时间）</w:t>
            </w:r>
          </w:p>
          <w:p>
            <w:pPr>
              <w:pStyle w:val="21"/>
              <w:ind w:firstLine="482" w:firstLineChars="200"/>
              <w:rPr>
                <w:rFonts w:hint="eastAsia" w:hAnsi="宋体" w:eastAsia="宋体" w:cs="宋体"/>
                <w:sz w:val="24"/>
                <w:szCs w:val="24"/>
                <w:highlight w:val="yellow"/>
              </w:rPr>
            </w:pPr>
            <w:r>
              <w:rPr>
                <w:rFonts w:hint="eastAsia" w:hAnsi="宋体" w:eastAsia="宋体" w:cs="宋体"/>
                <w:b/>
                <w:bCs/>
                <w:sz w:val="24"/>
                <w:szCs w:val="24"/>
              </w:rPr>
              <w:t>注：请务必在投标文件递交截止时间前完成投标操作，截止时间精确到秒，逾期将无法投标。请自行掌握时间，避免无法投标</w:t>
            </w:r>
            <w:r>
              <w:rPr>
                <w:rFonts w:hint="eastAsia" w:eastAsia="宋体" w:cs="宋体"/>
                <w:b/>
                <w:bCs/>
                <w:sz w:val="24"/>
                <w:szCs w:val="28"/>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3.6</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投标文件有效期：</w:t>
            </w:r>
            <w:r>
              <w:rPr>
                <w:rFonts w:hint="eastAsia" w:ascii="宋体" w:hAnsi="宋体" w:eastAsia="宋体" w:cs="宋体"/>
                <w:sz w:val="24"/>
                <w:szCs w:val="24"/>
              </w:rPr>
              <w:t>自开标之日起90个日历日。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b/>
                <w:bCs/>
                <w:sz w:val="24"/>
                <w:szCs w:val="24"/>
              </w:rPr>
            </w:pPr>
            <w:r>
              <w:rPr>
                <w:rFonts w:hint="eastAsia" w:ascii="宋体" w:hAnsi="宋体" w:eastAsia="宋体" w:cs="宋体"/>
                <w:b/>
                <w:bCs/>
                <w:sz w:val="24"/>
                <w:szCs w:val="24"/>
              </w:rPr>
              <w:t>4.投标保证金及投标有效期</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投标保证金的缴纳形式：</w:t>
            </w:r>
            <w:r>
              <w:rPr>
                <w:rFonts w:hint="eastAsia" w:ascii="宋体" w:hAnsi="宋体" w:eastAsia="宋体" w:cs="宋体"/>
                <w:sz w:val="24"/>
                <w:szCs w:val="24"/>
              </w:rPr>
              <w:t>电汇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50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highlight w:val="cyan"/>
              </w:rPr>
            </w:pPr>
            <w:r>
              <w:rPr>
                <w:rFonts w:hint="eastAsia" w:ascii="宋体" w:hAnsi="宋体" w:eastAsia="宋体" w:cs="宋体"/>
                <w:sz w:val="24"/>
                <w:szCs w:val="24"/>
              </w:rPr>
              <w:t>4.2</w:t>
            </w:r>
          </w:p>
        </w:tc>
        <w:tc>
          <w:tcPr>
            <w:tcW w:w="8363" w:type="dxa"/>
            <w:tcBorders>
              <w:top w:val="single" w:color="auto" w:sz="2" w:space="0"/>
              <w:left w:val="single" w:color="auto" w:sz="2" w:space="0"/>
              <w:bottom w:val="single" w:color="auto" w:sz="2" w:space="0"/>
              <w:right w:val="single" w:color="auto" w:sz="2" w:space="0"/>
            </w:tcBorders>
            <w:vAlign w:val="center"/>
          </w:tcPr>
          <w:p>
            <w:pPr>
              <w:tabs>
                <w:tab w:val="left" w:pos="932"/>
              </w:tabs>
              <w:ind w:firstLine="482" w:firstLineChars="200"/>
              <w:rPr>
                <w:rFonts w:hint="eastAsia" w:ascii="宋体" w:hAnsi="宋体" w:eastAsia="宋体" w:cs="宋体"/>
                <w:sz w:val="24"/>
                <w:szCs w:val="24"/>
              </w:rPr>
            </w:pPr>
            <w:r>
              <w:rPr>
                <w:rFonts w:hint="eastAsia" w:ascii="宋体" w:hAnsi="宋体" w:eastAsia="宋体" w:cs="宋体"/>
                <w:b/>
                <w:bCs/>
                <w:sz w:val="24"/>
                <w:szCs w:val="24"/>
              </w:rPr>
              <w:t>投标保证金的金额：</w:t>
            </w:r>
            <w:r>
              <w:rPr>
                <w:rFonts w:hint="eastAsia" w:ascii="宋体" w:hAnsi="宋体" w:eastAsia="宋体" w:cs="宋体"/>
                <w:sz w:val="24"/>
                <w:szCs w:val="24"/>
                <w:highlight w:val="yellow"/>
              </w:rPr>
              <w:t>人民币</w:t>
            </w:r>
            <w:r>
              <w:rPr>
                <w:rFonts w:hint="eastAsia" w:ascii="宋体" w:hAnsi="宋体" w:eastAsia="宋体" w:cs="宋体"/>
                <w:sz w:val="24"/>
                <w:szCs w:val="24"/>
                <w:highlight w:val="yellow"/>
                <w:lang w:val="en-US" w:eastAsia="zh-CN"/>
              </w:rPr>
              <w:t>5</w:t>
            </w:r>
            <w:r>
              <w:rPr>
                <w:rFonts w:hint="eastAsia" w:ascii="宋体" w:hAnsi="宋体" w:eastAsia="宋体" w:cs="宋体"/>
                <w:sz w:val="24"/>
                <w:szCs w:val="24"/>
                <w:highlight w:val="yellow"/>
              </w:rPr>
              <w:t>000.00元</w:t>
            </w:r>
          </w:p>
          <w:p>
            <w:pPr>
              <w:tabs>
                <w:tab w:val="left" w:pos="932"/>
              </w:tabs>
              <w:ind w:firstLine="482" w:firstLineChars="200"/>
              <w:rPr>
                <w:rFonts w:hint="eastAsia" w:ascii="仿宋_GB2312" w:hAnsi="仿宋_GB2312" w:eastAsia="仿宋_GB2312" w:cs="仿宋_GB2312"/>
                <w:color w:val="000000" w:themeColor="text1"/>
                <w:sz w:val="28"/>
                <w:szCs w:val="28"/>
                <w14:textFill>
                  <w14:solidFill>
                    <w14:schemeClr w14:val="tx1"/>
                  </w14:solidFill>
                </w14:textFill>
              </w:rPr>
            </w:pPr>
            <w:r>
              <w:rPr>
                <w:rFonts w:hint="eastAsia" w:ascii="宋体" w:hAnsi="宋体" w:eastAsia="宋体" w:cs="宋体"/>
                <w:b/>
                <w:bCs/>
                <w:color w:val="000000"/>
                <w:kern w:val="0"/>
                <w:sz w:val="24"/>
                <w:szCs w:val="24"/>
              </w:rPr>
              <w:t>开户名称：</w:t>
            </w:r>
            <w:r>
              <w:rPr>
                <w:rFonts w:hint="eastAsia" w:ascii="仿宋_GB2312" w:hAnsi="仿宋_GB2312" w:eastAsia="仿宋_GB2312" w:cs="仿宋_GB2312"/>
                <w:color w:val="000000" w:themeColor="text1"/>
                <w:sz w:val="28"/>
                <w:szCs w:val="28"/>
                <w14:textFill>
                  <w14:solidFill>
                    <w14:schemeClr w14:val="tx1"/>
                  </w14:solidFill>
                </w14:textFill>
              </w:rPr>
              <w:t>中国重汽集团济宁商用车有限公司</w:t>
            </w:r>
          </w:p>
          <w:p>
            <w:pPr>
              <w:tabs>
                <w:tab w:val="left" w:pos="932"/>
              </w:tabs>
              <w:ind w:firstLine="482" w:firstLineChars="200"/>
              <w:rPr>
                <w:rFonts w:hint="eastAsia" w:ascii="仿宋_GB2312" w:hAnsi="仿宋_GB2312" w:eastAsia="仿宋_GB2312" w:cs="仿宋_GB2312"/>
                <w:color w:val="000000" w:themeColor="text1"/>
                <w:sz w:val="28"/>
                <w:szCs w:val="28"/>
                <w14:textFill>
                  <w14:solidFill>
                    <w14:schemeClr w14:val="tx1"/>
                  </w14:solidFill>
                </w14:textFill>
              </w:rPr>
            </w:pPr>
            <w:r>
              <w:rPr>
                <w:rFonts w:hint="eastAsia" w:ascii="宋体" w:hAnsi="宋体" w:eastAsia="宋体" w:cs="宋体"/>
                <w:b/>
                <w:bCs/>
                <w:color w:val="000000"/>
                <w:kern w:val="0"/>
                <w:sz w:val="24"/>
                <w:szCs w:val="24"/>
              </w:rPr>
              <w:t>开户银行：</w:t>
            </w:r>
            <w:r>
              <w:rPr>
                <w:rFonts w:hint="eastAsia" w:ascii="仿宋_GB2312" w:hAnsi="仿宋_GB2312" w:eastAsia="仿宋_GB2312" w:cs="仿宋_GB2312"/>
                <w:color w:val="000000" w:themeColor="text1"/>
                <w:sz w:val="28"/>
                <w:szCs w:val="28"/>
                <w14:textFill>
                  <w14:solidFill>
                    <w14:schemeClr w14:val="tx1"/>
                  </w14:solidFill>
                </w14:textFill>
              </w:rPr>
              <w:t>中行济宁分行</w:t>
            </w:r>
          </w:p>
          <w:p>
            <w:pPr>
              <w:tabs>
                <w:tab w:val="left" w:pos="932"/>
              </w:tabs>
              <w:ind w:firstLine="482" w:firstLineChars="200"/>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银行帐号：</w:t>
            </w:r>
            <w:r>
              <w:rPr>
                <w:rFonts w:hint="eastAsia" w:ascii="仿宋_GB2312" w:hAnsi="仿宋_GB2312" w:eastAsia="仿宋_GB2312" w:cs="仿宋_GB2312"/>
                <w:color w:val="000000" w:themeColor="text1"/>
                <w:sz w:val="28"/>
                <w:szCs w:val="28"/>
                <w14:textFill>
                  <w14:solidFill>
                    <w14:schemeClr w14:val="tx1"/>
                  </w14:solidFill>
                </w14:textFill>
              </w:rPr>
              <w:t>231202725157</w:t>
            </w:r>
          </w:p>
          <w:p>
            <w:pPr>
              <w:ind w:firstLine="560" w:firstLineChars="200"/>
              <w:rPr>
                <w:rFonts w:hint="eastAsia" w:ascii="仿宋_GB2312" w:hAnsi="仿宋_GB2312" w:eastAsia="仿宋_GB2312" w:cs="仿宋_GB2312"/>
                <w:color w:val="000000" w:themeColor="text1"/>
                <w:sz w:val="28"/>
                <w:szCs w:val="28"/>
                <w14:textFill>
                  <w14:solidFill>
                    <w14:schemeClr w14:val="tx1"/>
                  </w14:solidFill>
                </w14:textFill>
              </w:rPr>
            </w:pPr>
            <w:r>
              <w:rPr>
                <w:rFonts w:hint="eastAsia" w:ascii="仿宋_GB2312" w:hAnsi="仿宋_GB2312" w:eastAsia="仿宋_GB2312" w:cs="仿宋_GB2312"/>
                <w:color w:val="000000" w:themeColor="text1"/>
                <w:sz w:val="28"/>
                <w:szCs w:val="28"/>
                <w14:textFill>
                  <w14:solidFill>
                    <w14:schemeClr w14:val="tx1"/>
                  </w14:solidFill>
                </w14:textFill>
              </w:rPr>
              <w:t>纳税人识别号：91370800771000850L</w:t>
            </w:r>
          </w:p>
          <w:p>
            <w:pPr>
              <w:ind w:firstLine="480" w:firstLineChars="200"/>
              <w:rPr>
                <w:rFonts w:hint="eastAsia" w:ascii="宋体" w:hAnsi="宋体" w:eastAsia="宋体" w:cs="宋体"/>
                <w:sz w:val="24"/>
                <w:szCs w:val="24"/>
              </w:rPr>
            </w:pPr>
            <w:r>
              <w:rPr>
                <w:rFonts w:hint="eastAsia" w:ascii="宋体" w:hAnsi="宋体" w:eastAsia="宋体" w:cs="宋体"/>
                <w:sz w:val="24"/>
                <w:szCs w:val="24"/>
              </w:rPr>
              <w:t>投标保证金应从投标人的基本账户转出至上述账户并到账，否则视为无效投标。</w:t>
            </w:r>
          </w:p>
          <w:p>
            <w:pPr>
              <w:ind w:firstLine="480" w:firstLineChars="200"/>
              <w:rPr>
                <w:rFonts w:hint="eastAsia" w:ascii="宋体" w:hAnsi="宋体" w:eastAsia="宋体" w:cs="宋体"/>
                <w:sz w:val="24"/>
                <w:szCs w:val="24"/>
                <w:highlight w:val="cyan"/>
              </w:rPr>
            </w:pPr>
            <w:r>
              <w:rPr>
                <w:rFonts w:hint="eastAsia" w:eastAsia="宋体" w:cs="Times New Roman"/>
                <w:sz w:val="24"/>
                <w:szCs w:val="28"/>
              </w:rPr>
              <w:t>转账附言：公司名称+项目名称+投标保证金。</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4.3</w:t>
            </w:r>
          </w:p>
        </w:tc>
        <w:tc>
          <w:tcPr>
            <w:tcW w:w="8363" w:type="dxa"/>
            <w:tcBorders>
              <w:top w:val="single" w:color="auto" w:sz="2" w:space="0"/>
              <w:left w:val="single" w:color="auto" w:sz="2" w:space="0"/>
              <w:bottom w:val="single" w:color="auto" w:sz="2" w:space="0"/>
              <w:right w:val="single" w:color="auto" w:sz="2" w:space="0"/>
            </w:tcBorders>
            <w:vAlign w:val="center"/>
          </w:tcPr>
          <w:p>
            <w:pPr>
              <w:pStyle w:val="2"/>
              <w:spacing w:after="0" w:line="240" w:lineRule="auto"/>
              <w:ind w:left="0" w:leftChars="0" w:firstLine="482"/>
              <w:rPr>
                <w:rFonts w:hint="eastAsia" w:ascii="宋体" w:hAnsi="宋体" w:cs="宋体"/>
                <w:sz w:val="24"/>
                <w:szCs w:val="24"/>
              </w:rPr>
            </w:pPr>
            <w:r>
              <w:rPr>
                <w:rFonts w:hint="eastAsia" w:ascii="宋体" w:hAnsi="宋体" w:cs="宋体"/>
                <w:b/>
                <w:bCs/>
                <w:sz w:val="24"/>
                <w:szCs w:val="24"/>
              </w:rPr>
              <w:t>保证金缴纳截止时间：</w:t>
            </w:r>
            <w:r>
              <w:rPr>
                <w:rFonts w:hint="eastAsia" w:ascii="宋体" w:hAnsi="宋体" w:cs="宋体"/>
                <w:sz w:val="24"/>
                <w:szCs w:val="24"/>
                <w:highlight w:val="yellow"/>
              </w:rPr>
              <w:t>20</w:t>
            </w:r>
            <w:r>
              <w:rPr>
                <w:rFonts w:ascii="宋体" w:hAnsi="宋体" w:cs="宋体"/>
                <w:sz w:val="24"/>
                <w:szCs w:val="24"/>
                <w:highlight w:val="yellow"/>
              </w:rPr>
              <w:t>2</w:t>
            </w:r>
            <w:r>
              <w:rPr>
                <w:rFonts w:hint="eastAsia" w:ascii="宋体" w:hAnsi="宋体" w:cs="宋体"/>
                <w:sz w:val="24"/>
                <w:szCs w:val="24"/>
                <w:highlight w:val="yellow"/>
              </w:rPr>
              <w:t>5年</w:t>
            </w:r>
            <w:r>
              <w:rPr>
                <w:rFonts w:hint="eastAsia" w:ascii="宋体" w:hAnsi="宋体" w:cs="宋体"/>
                <w:sz w:val="24"/>
                <w:szCs w:val="24"/>
                <w:highlight w:val="yellow"/>
                <w:lang w:val="en-US" w:eastAsia="zh-CN"/>
              </w:rPr>
              <w:t>11</w:t>
            </w:r>
            <w:r>
              <w:rPr>
                <w:rFonts w:hint="eastAsia" w:ascii="宋体" w:hAnsi="宋体" w:cs="宋体"/>
                <w:sz w:val="24"/>
                <w:szCs w:val="24"/>
                <w:highlight w:val="yellow"/>
              </w:rPr>
              <w:t>月</w:t>
            </w:r>
            <w:r>
              <w:rPr>
                <w:rFonts w:hint="eastAsia" w:ascii="宋体" w:hAnsi="宋体" w:cs="宋体"/>
                <w:sz w:val="24"/>
                <w:szCs w:val="24"/>
                <w:highlight w:val="yellow"/>
                <w:lang w:val="en-US" w:eastAsia="zh-CN"/>
              </w:rPr>
              <w:t>15</w:t>
            </w:r>
            <w:bookmarkStart w:id="38" w:name="_GoBack"/>
            <w:bookmarkEnd w:id="38"/>
            <w:r>
              <w:rPr>
                <w:rFonts w:hint="eastAsia" w:ascii="宋体" w:hAnsi="宋体" w:cs="宋体"/>
                <w:sz w:val="24"/>
                <w:szCs w:val="24"/>
                <w:highlight w:val="yellow"/>
              </w:rPr>
              <w:t>日1</w:t>
            </w:r>
            <w:r>
              <w:rPr>
                <w:rFonts w:ascii="宋体" w:hAnsi="宋体" w:cs="宋体"/>
                <w:sz w:val="24"/>
                <w:szCs w:val="24"/>
                <w:highlight w:val="yellow"/>
              </w:rPr>
              <w:t>7</w:t>
            </w:r>
            <w:r>
              <w:rPr>
                <w:rFonts w:hint="eastAsia" w:ascii="宋体" w:hAnsi="宋体" w:cs="宋体"/>
                <w:sz w:val="24"/>
                <w:szCs w:val="24"/>
                <w:highlight w:val="yellow"/>
              </w:rPr>
              <w:t>：</w:t>
            </w:r>
            <w:r>
              <w:rPr>
                <w:rFonts w:ascii="宋体" w:hAnsi="宋体" w:cs="宋体"/>
                <w:sz w:val="24"/>
                <w:szCs w:val="24"/>
                <w:highlight w:val="yellow"/>
              </w:rPr>
              <w:t>0</w:t>
            </w:r>
            <w:r>
              <w:rPr>
                <w:rFonts w:hint="eastAsia" w:ascii="宋体" w:hAnsi="宋体" w:cs="宋体"/>
                <w:sz w:val="24"/>
                <w:szCs w:val="24"/>
                <w:highlight w:val="yellow"/>
              </w:rPr>
              <w:t>0前（同应标截止时间）</w:t>
            </w:r>
          </w:p>
          <w:p>
            <w:pPr>
              <w:pStyle w:val="2"/>
              <w:spacing w:after="0" w:line="240" w:lineRule="auto"/>
              <w:ind w:left="0" w:leftChars="0" w:firstLine="480"/>
              <w:rPr>
                <w:rFonts w:hint="eastAsia" w:ascii="宋体" w:hAnsi="宋体" w:cs="宋体"/>
                <w:sz w:val="24"/>
                <w:szCs w:val="24"/>
              </w:rPr>
            </w:pPr>
            <w:r>
              <w:rPr>
                <w:rFonts w:hint="eastAsia" w:ascii="宋体" w:hAnsi="宋体" w:cs="宋体"/>
                <w:sz w:val="24"/>
                <w:szCs w:val="24"/>
              </w:rPr>
              <w:t>供应商应充分考虑银行信息交换时间，由此带来的保证金不能按时到帐的责任由供应商自行承担。</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4.4</w:t>
            </w:r>
          </w:p>
        </w:tc>
        <w:tc>
          <w:tcPr>
            <w:tcW w:w="8363" w:type="dxa"/>
            <w:tcBorders>
              <w:top w:val="single" w:color="auto" w:sz="2" w:space="0"/>
              <w:left w:val="single" w:color="auto" w:sz="2" w:space="0"/>
              <w:bottom w:val="single" w:color="auto" w:sz="2" w:space="0"/>
              <w:right w:val="single" w:color="auto" w:sz="2" w:space="0"/>
            </w:tcBorders>
            <w:vAlign w:val="center"/>
          </w:tcPr>
          <w:p>
            <w:pPr>
              <w:pStyle w:val="2"/>
              <w:spacing w:after="0" w:line="240" w:lineRule="auto"/>
              <w:ind w:left="0" w:leftChars="0" w:firstLine="480"/>
              <w:rPr>
                <w:rFonts w:hint="eastAsia" w:ascii="宋体" w:hAnsi="宋体" w:cs="宋体"/>
                <w:sz w:val="24"/>
                <w:szCs w:val="24"/>
              </w:rPr>
            </w:pPr>
            <w:r>
              <w:rPr>
                <w:rFonts w:hint="eastAsia" w:ascii="宋体" w:hAnsi="宋体" w:cs="宋体"/>
                <w:sz w:val="24"/>
                <w:szCs w:val="24"/>
              </w:rPr>
              <w:t>对于没有中标的投标人，投标保证金将于招标人内部完成中标人评审并确认最终中标人后在45工作日内予以原路返还（无息）；对于中标方，投标保证金将在签订合同后45个工作日内原路返还（无息）。</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b/>
                <w:bCs/>
                <w:sz w:val="24"/>
                <w:szCs w:val="24"/>
              </w:rPr>
            </w:pPr>
            <w:r>
              <w:rPr>
                <w:rFonts w:hint="eastAsia" w:ascii="宋体" w:hAnsi="宋体" w:eastAsia="宋体" w:cs="宋体"/>
                <w:b/>
                <w:bCs/>
                <w:sz w:val="24"/>
                <w:szCs w:val="24"/>
              </w:rPr>
              <w:t>5.开评标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5.1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开标时间：</w:t>
            </w:r>
            <w:r>
              <w:rPr>
                <w:rFonts w:hint="eastAsia" w:hAnsi="宋体" w:eastAsia="宋体" w:cs="宋体"/>
                <w:sz w:val="24"/>
                <w:szCs w:val="24"/>
                <w:highlight w:val="yellow"/>
                <w:u w:val="single"/>
                <w:lang w:val="en-US" w:eastAsia="zh-CN"/>
              </w:rPr>
              <w:t>具体时间另行通知</w:t>
            </w:r>
            <w:r>
              <w:rPr>
                <w:rFonts w:hint="eastAsia" w:ascii="宋体" w:hAnsi="宋体" w:eastAsia="宋体" w:cs="宋体"/>
                <w:kern w:val="0"/>
                <w:sz w:val="24"/>
                <w:szCs w:val="24"/>
                <w:highlight w:val="yellow"/>
              </w:rPr>
              <w:t>。</w:t>
            </w:r>
          </w:p>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开标地点：</w:t>
            </w:r>
            <w:r>
              <w:rPr>
                <w:rFonts w:hint="eastAsia" w:ascii="宋体" w:hAnsi="宋体" w:eastAsia="宋体" w:cs="宋体"/>
                <w:sz w:val="24"/>
                <w:szCs w:val="24"/>
                <w:highlight w:val="yellow"/>
              </w:rPr>
              <w:t>济南市历城区华奥路777号重汽科技大厦1311会议室</w:t>
            </w:r>
            <w:r>
              <w:rPr>
                <w:rFonts w:hint="eastAsia" w:ascii="宋体" w:hAnsi="宋体" w:eastAsia="宋体" w:cs="宋体"/>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2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5.2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宋体" w:hAnsi="宋体" w:eastAsia="宋体" w:cs="宋体"/>
                <w:b/>
                <w:bCs/>
                <w:sz w:val="24"/>
                <w:szCs w:val="24"/>
              </w:rPr>
            </w:pPr>
            <w:r>
              <w:rPr>
                <w:rFonts w:hint="eastAsia" w:ascii="宋体" w:hAnsi="宋体" w:eastAsia="宋体" w:cs="宋体"/>
                <w:color w:val="000000"/>
                <w:sz w:val="24"/>
                <w:szCs w:val="24"/>
                <w:highlight w:val="yellow"/>
              </w:rPr>
              <w:t>原则上来现场参与开标。如因特殊情况无法现场参与，需在开标前三日，通知招标人，由招标人创建视频链接，并在报名结束后统一通知。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5.3</w:t>
            </w:r>
          </w:p>
        </w:tc>
        <w:tc>
          <w:tcPr>
            <w:tcW w:w="8363" w:type="dxa"/>
            <w:tcBorders>
              <w:top w:val="single" w:color="auto" w:sz="2" w:space="0"/>
              <w:left w:val="single" w:color="auto" w:sz="2" w:space="0"/>
              <w:bottom w:val="single" w:color="auto" w:sz="2" w:space="0"/>
              <w:right w:val="single" w:color="auto" w:sz="2" w:space="0"/>
            </w:tcBorders>
            <w:vAlign w:val="center"/>
          </w:tcPr>
          <w:p>
            <w:pPr>
              <w:pStyle w:val="15"/>
              <w:ind w:firstLine="482" w:firstLineChars="200"/>
              <w:rPr>
                <w:rFonts w:hint="eastAsia" w:ascii="宋体" w:hAnsi="宋体" w:eastAsia="宋体" w:cs="宋体"/>
                <w:sz w:val="24"/>
                <w:szCs w:val="24"/>
              </w:rPr>
            </w:pPr>
            <w:r>
              <w:rPr>
                <w:rFonts w:hint="eastAsia" w:ascii="宋体" w:hAnsi="宋体" w:eastAsia="宋体" w:cs="宋体"/>
                <w:b/>
                <w:bCs/>
                <w:sz w:val="24"/>
                <w:szCs w:val="24"/>
              </w:rPr>
              <w:t>评标方法：资质标审核→唱标→技术标评审→商务标评审。综合评分最高</w:t>
            </w:r>
            <w:r>
              <w:rPr>
                <w:rFonts w:hint="eastAsia" w:ascii="宋体" w:hAnsi="宋体" w:eastAsia="宋体" w:cs="Times New Roman"/>
                <w:b/>
                <w:bCs/>
                <w:color w:val="000000"/>
                <w:sz w:val="24"/>
                <w:szCs w:val="24"/>
              </w:rPr>
              <w:t>中标</w:t>
            </w:r>
            <w:r>
              <w:rPr>
                <w:rFonts w:hint="eastAsia" w:ascii="宋体" w:hAnsi="宋体" w:eastAsia="宋体" w:cs="宋体"/>
                <w:sz w:val="24"/>
                <w:szCs w:val="24"/>
              </w:rPr>
              <w:t>。具体详见“第二部分投标须知第六条：评标原则”。</w:t>
            </w:r>
          </w:p>
        </w:tc>
      </w:tr>
      <w:bookmarkEnd w:id="3"/>
    </w:tbl>
    <w:p>
      <w:pPr>
        <w:rPr>
          <w:rFonts w:ascii="Calibri" w:hAnsi="Calibri" w:eastAsia="宋体" w:cs="Times New Roman"/>
          <w:b/>
          <w:bCs/>
          <w:kern w:val="44"/>
          <w:sz w:val="36"/>
          <w:szCs w:val="44"/>
        </w:rPr>
      </w:pPr>
      <w:bookmarkStart w:id="4" w:name="_Toc15609"/>
      <w:r>
        <w:rPr>
          <w:rFonts w:hint="eastAsia" w:ascii="Calibri" w:hAnsi="Calibri" w:eastAsia="宋体" w:cs="Times New Roman"/>
          <w:b/>
          <w:bCs/>
          <w:kern w:val="44"/>
          <w:sz w:val="36"/>
          <w:szCs w:val="44"/>
        </w:rPr>
        <w:br w:type="page"/>
      </w:r>
    </w:p>
    <w:p>
      <w:pPr>
        <w:pStyle w:val="21"/>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第二部分 投标须知</w:t>
      </w:r>
      <w:bookmarkEnd w:id="4"/>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一、项目名称</w:t>
      </w:r>
    </w:p>
    <w:p>
      <w:pPr>
        <w:spacing w:line="360" w:lineRule="auto"/>
        <w:ind w:left="1679" w:leftChars="228" w:hanging="1200" w:hangingChars="500"/>
        <w:rPr>
          <w:rFonts w:hint="eastAsia" w:ascii="宋体" w:hAnsi="宋体" w:eastAsia="宋体" w:cs="宋体"/>
          <w:color w:val="000000"/>
          <w:sz w:val="24"/>
          <w:szCs w:val="24"/>
          <w:u w:val="single"/>
        </w:rPr>
      </w:pPr>
      <w:r>
        <w:rPr>
          <w:rFonts w:hint="eastAsia" w:ascii="宋体" w:hAnsi="宋体" w:eastAsia="宋体" w:cs="宋体"/>
          <w:color w:val="000000"/>
          <w:sz w:val="24"/>
          <w:szCs w:val="24"/>
        </w:rPr>
        <w:t>项目名称：</w:t>
      </w:r>
      <w:bookmarkStart w:id="5" w:name="OLE_LINK1"/>
      <w:r>
        <w:rPr>
          <w:rFonts w:hint="eastAsia" w:ascii="宋体" w:hAnsi="宋体" w:eastAsia="宋体" w:cs="宋体"/>
          <w:color w:val="000000"/>
          <w:sz w:val="24"/>
          <w:szCs w:val="24"/>
        </w:rPr>
        <w:t>见《投标须知前附表》。</w:t>
      </w:r>
    </w:p>
    <w:bookmarkEnd w:id="5"/>
    <w:p>
      <w:pPr>
        <w:keepNext/>
        <w:keepLines/>
        <w:numPr>
          <w:ilvl w:val="0"/>
          <w:numId w:val="3"/>
        </w:numPr>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招标内容及形式</w:t>
      </w:r>
    </w:p>
    <w:p>
      <w:pPr>
        <w:pStyle w:val="21"/>
        <w:spacing w:line="360" w:lineRule="auto"/>
        <w:ind w:firstLine="480" w:firstLineChars="200"/>
        <w:rPr>
          <w:rFonts w:hint="eastAsia" w:hAnsi="宋体" w:eastAsia="宋体" w:cs="宋体"/>
          <w:sz w:val="24"/>
          <w:szCs w:val="24"/>
        </w:rPr>
      </w:pPr>
      <w:r>
        <w:rPr>
          <w:rFonts w:hint="eastAsia" w:hAnsi="宋体" w:eastAsia="宋体" w:cs="宋体"/>
          <w:color w:val="000000"/>
          <w:sz w:val="24"/>
          <w:szCs w:val="24"/>
        </w:rPr>
        <w:t>见《投标须知前附表》。</w:t>
      </w:r>
    </w:p>
    <w:p>
      <w:pPr>
        <w:spacing w:line="360" w:lineRule="auto"/>
        <w:ind w:firstLine="482" w:firstLineChars="200"/>
        <w:rPr>
          <w:rFonts w:hint="eastAsia" w:ascii="宋体" w:hAnsi="宋体" w:eastAsia="宋体" w:cs="宋体"/>
          <w:color w:val="000000"/>
          <w:sz w:val="24"/>
          <w:szCs w:val="24"/>
        </w:rPr>
      </w:pPr>
      <w:r>
        <w:rPr>
          <w:rFonts w:hint="eastAsia" w:ascii="宋体" w:hAnsi="宋体" w:eastAsia="宋体" w:cs="宋体"/>
          <w:b/>
          <w:color w:val="000000"/>
          <w:sz w:val="24"/>
          <w:szCs w:val="24"/>
        </w:rPr>
        <w:t>对于本项目需着重介绍的注意事项已经通过以下带颜色文档进行标记。</w:t>
      </w:r>
    </w:p>
    <w:p>
      <w:pPr>
        <w:spacing w:line="360" w:lineRule="auto"/>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具体要求详见《技术标书》。</w:t>
      </w:r>
    </w:p>
    <w:p>
      <w:pPr>
        <w:keepNext/>
        <w:keepLines/>
        <w:numPr>
          <w:ilvl w:val="0"/>
          <w:numId w:val="3"/>
        </w:numPr>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交货及付款</w:t>
      </w:r>
      <w:r>
        <w:rPr>
          <w:rFonts w:hint="eastAsia" w:ascii="宋体" w:hAnsi="宋体" w:eastAsia="宋体" w:cs="宋体"/>
          <w:b/>
          <w:bCs/>
          <w:sz w:val="24"/>
          <w:szCs w:val="24"/>
        </w:rPr>
        <w:tab/>
      </w:r>
    </w:p>
    <w:p>
      <w:pPr>
        <w:pStyle w:val="21"/>
        <w:spacing w:line="360" w:lineRule="auto"/>
        <w:ind w:firstLine="480" w:firstLineChars="200"/>
        <w:rPr>
          <w:rFonts w:hint="eastAsia" w:hAnsi="宋体" w:eastAsia="宋体" w:cs="宋体"/>
          <w:sz w:val="24"/>
          <w:szCs w:val="24"/>
        </w:rPr>
      </w:pPr>
      <w:r>
        <w:rPr>
          <w:rFonts w:hint="eastAsia" w:hAnsi="宋体" w:eastAsia="宋体" w:cs="宋体"/>
          <w:color w:val="000000"/>
          <w:sz w:val="24"/>
          <w:szCs w:val="24"/>
        </w:rPr>
        <w:t>交货期、交货地点、交货方式、付款方式及比例见《投标须知前附表》第7条。</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四、投标说明</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1.报名方式</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投标人根据招标人在中国重汽官网等公开媒体上发布的招标信息，在“中国重汽e采通”平台报名。按照中国重汽e采通“SRM非生产供应商注册手册</w:t>
      </w:r>
      <w:r>
        <w:rPr>
          <w:rFonts w:hint="eastAsia" w:ascii="宋体" w:hAnsi="宋体" w:eastAsia="宋体" w:cs="宋体"/>
          <w:color w:val="000000"/>
          <w:sz w:val="24"/>
          <w:szCs w:val="24"/>
          <w:highlight w:val="yellow"/>
        </w:rPr>
        <w:t>（附件15）</w:t>
      </w:r>
      <w:r>
        <w:rPr>
          <w:rFonts w:hint="eastAsia" w:ascii="宋体" w:hAnsi="宋体" w:eastAsia="宋体" w:cs="宋体"/>
          <w:color w:val="000000"/>
          <w:sz w:val="24"/>
          <w:szCs w:val="24"/>
        </w:rPr>
        <w:t>”进行注册，</w:t>
      </w:r>
      <w:r>
        <w:rPr>
          <w:rFonts w:hint="eastAsia" w:eastAsia="宋体" w:cs="Times New Roman"/>
          <w:color w:val="000000"/>
          <w:sz w:val="24"/>
          <w:szCs w:val="24"/>
        </w:rPr>
        <w:t>注册完毕后按照</w:t>
      </w:r>
      <w:r>
        <w:rPr>
          <w:rFonts w:hint="eastAsia" w:ascii="宋体" w:hAnsi="宋体" w:eastAsia="宋体" w:cs="宋体"/>
          <w:b/>
          <w:color w:val="000000"/>
          <w:sz w:val="24"/>
          <w:szCs w:val="24"/>
        </w:rPr>
        <w:t>“SRM系统供应商用户手册</w:t>
      </w:r>
      <w:r>
        <w:rPr>
          <w:rFonts w:hint="eastAsia" w:ascii="宋体" w:hAnsi="宋体" w:eastAsia="宋体" w:cs="宋体"/>
          <w:b/>
          <w:color w:val="000000"/>
          <w:sz w:val="24"/>
          <w:szCs w:val="24"/>
          <w:highlight w:val="yellow"/>
        </w:rPr>
        <w:t>（附件16）</w:t>
      </w:r>
      <w:r>
        <w:rPr>
          <w:rFonts w:hint="eastAsia" w:ascii="宋体" w:hAnsi="宋体" w:eastAsia="宋体" w:cs="宋体"/>
          <w:b/>
          <w:color w:val="000000"/>
          <w:sz w:val="24"/>
          <w:szCs w:val="24"/>
        </w:rPr>
        <w:t>”登录系统，</w:t>
      </w:r>
      <w:r>
        <w:rPr>
          <w:rFonts w:hint="eastAsia" w:ascii="宋体" w:hAnsi="宋体" w:eastAsia="宋体" w:cs="宋体"/>
          <w:color w:val="000000"/>
          <w:sz w:val="24"/>
          <w:szCs w:val="24"/>
        </w:rPr>
        <w:t>进入“供应商应标”，选择对应的项目，点击“应标”后按照招标文件第三部分投标文件组成资格证明文件中的</w:t>
      </w:r>
      <w:r>
        <w:rPr>
          <w:rFonts w:hint="eastAsia" w:ascii="宋体" w:hAnsi="宋体" w:eastAsia="宋体" w:cs="宋体"/>
          <w:color w:val="000000"/>
          <w:sz w:val="24"/>
          <w:szCs w:val="24"/>
          <w:highlight w:val="yellow"/>
        </w:rPr>
        <w:t>1.1-1.13</w:t>
      </w:r>
      <w:r>
        <w:rPr>
          <w:rFonts w:hint="eastAsia" w:ascii="宋体" w:hAnsi="宋体" w:eastAsia="宋体" w:cs="宋体"/>
          <w:color w:val="000000"/>
          <w:sz w:val="24"/>
          <w:szCs w:val="24"/>
        </w:rPr>
        <w:t>准备资料并上传，资质审查通过即为报名成功，公示期间请尽快报名。</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投标保证金缴纳的时候，</w:t>
      </w:r>
      <w:r>
        <w:rPr>
          <w:rFonts w:hint="eastAsia" w:ascii="宋体" w:hAnsi="宋体" w:eastAsia="宋体" w:cs="宋体"/>
          <w:b/>
          <w:bCs/>
          <w:color w:val="000000"/>
          <w:sz w:val="24"/>
          <w:szCs w:val="24"/>
        </w:rPr>
        <w:t>务必备注所投标的项目名称</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不按要求报名的，或因未提供相关信息导致后期无法退回保证金的，需投标人承担责任。</w:t>
      </w:r>
    </w:p>
    <w:p>
      <w:pPr>
        <w:keepNext/>
        <w:keepLines/>
        <w:numPr>
          <w:ilvl w:val="0"/>
          <w:numId w:val="4"/>
        </w:numPr>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投标条件</w:t>
      </w:r>
    </w:p>
    <w:p>
      <w:pPr>
        <w:pStyle w:val="21"/>
        <w:spacing w:line="360" w:lineRule="auto"/>
        <w:ind w:firstLine="480"/>
        <w:rPr>
          <w:rFonts w:hint="eastAsia" w:hAnsi="宋体" w:eastAsia="宋体" w:cs="宋体"/>
          <w:b/>
          <w:color w:val="000000"/>
          <w:sz w:val="24"/>
          <w:szCs w:val="24"/>
        </w:rPr>
      </w:pPr>
      <w:r>
        <w:rPr>
          <w:rFonts w:hint="eastAsia" w:hAnsi="宋体" w:eastAsia="宋体" w:cs="宋体"/>
          <w:b/>
          <w:bCs/>
          <w:color w:val="000000"/>
          <w:sz w:val="24"/>
          <w:szCs w:val="24"/>
        </w:rPr>
        <w:t>对于投标条件详见招标文件“第一部分投标须知前附表1.6”。</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3.报价</w:t>
      </w:r>
    </w:p>
    <w:p>
      <w:pPr>
        <w:pStyle w:val="21"/>
        <w:spacing w:line="360" w:lineRule="auto"/>
        <w:ind w:firstLine="480" w:firstLineChars="200"/>
        <w:rPr>
          <w:rFonts w:hint="eastAsia" w:hAnsi="宋体" w:eastAsia="宋体" w:cs="宋体"/>
          <w:color w:val="000000"/>
          <w:sz w:val="24"/>
          <w:szCs w:val="24"/>
        </w:rPr>
      </w:pPr>
      <w:r>
        <w:rPr>
          <w:rFonts w:hint="eastAsia" w:hAnsi="宋体" w:eastAsia="宋体" w:cs="宋体"/>
          <w:color w:val="000000"/>
          <w:sz w:val="24"/>
          <w:szCs w:val="24"/>
        </w:rPr>
        <w:t>3.1</w:t>
      </w:r>
      <w:r>
        <w:rPr>
          <w:rFonts w:hint="eastAsia" w:hAnsi="宋体" w:eastAsia="宋体" w:cs="宋体"/>
          <w:sz w:val="24"/>
          <w:szCs w:val="24"/>
        </w:rPr>
        <w:t>本次招投标为</w:t>
      </w:r>
      <w:r>
        <w:rPr>
          <w:rFonts w:hint="eastAsia" w:hAnsi="宋体" w:eastAsia="宋体" w:cs="宋体"/>
          <w:color w:val="000000"/>
          <w:sz w:val="24"/>
          <w:szCs w:val="24"/>
          <w:highlight w:val="yellow"/>
        </w:rPr>
        <w:t>公开招标</w:t>
      </w:r>
      <w:r>
        <w:rPr>
          <w:rFonts w:hint="eastAsia" w:hAnsi="宋体" w:eastAsia="宋体" w:cs="宋体"/>
          <w:b/>
          <w:sz w:val="24"/>
          <w:szCs w:val="24"/>
        </w:rPr>
        <w:t>；</w:t>
      </w:r>
      <w:r>
        <w:rPr>
          <w:rFonts w:hint="eastAsia" w:hAnsi="宋体" w:eastAsia="宋体" w:cs="宋体"/>
          <w:color w:val="000000"/>
          <w:sz w:val="24"/>
          <w:szCs w:val="24"/>
        </w:rPr>
        <w:t>评标流程以及规则详见本部分第六条评标原则。</w:t>
      </w:r>
    </w:p>
    <w:p>
      <w:pPr>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3.2</w:t>
      </w:r>
      <w:r>
        <w:rPr>
          <w:rFonts w:hint="eastAsia" w:ascii="宋体" w:hAnsi="宋体" w:eastAsia="宋体" w:cs="宋体"/>
          <w:b/>
          <w:bCs/>
          <w:color w:val="000000"/>
          <w:sz w:val="24"/>
          <w:szCs w:val="24"/>
        </w:rPr>
        <w:t>所有设备的报价货币单位为：</w:t>
      </w:r>
      <w:r>
        <w:rPr>
          <w:rFonts w:hint="eastAsia" w:ascii="宋体" w:hAnsi="宋体" w:eastAsia="宋体" w:cs="宋体"/>
          <w:b/>
          <w:bCs/>
          <w:color w:val="000000"/>
          <w:sz w:val="24"/>
          <w:szCs w:val="24"/>
          <w:u w:val="single"/>
        </w:rPr>
        <w:t xml:space="preserve">         </w:t>
      </w:r>
      <w:r>
        <w:rPr>
          <w:rFonts w:hint="eastAsia" w:ascii="宋体" w:hAnsi="宋体" w:eastAsia="宋体" w:cs="宋体"/>
          <w:b/>
          <w:bCs/>
          <w:color w:val="000000"/>
          <w:sz w:val="24"/>
          <w:szCs w:val="24"/>
        </w:rPr>
        <w:t>元【人民币（应同时报含税价和不含税价并写明税率）】。</w:t>
      </w:r>
    </w:p>
    <w:p>
      <w:pPr>
        <w:keepNext/>
        <w:keepLines/>
        <w:spacing w:line="360" w:lineRule="auto"/>
        <w:outlineLvl w:val="1"/>
        <w:rPr>
          <w:rFonts w:hint="eastAsia" w:ascii="宋体" w:hAnsi="宋体" w:eastAsia="宋体" w:cs="宋体"/>
          <w:b/>
          <w:bCs/>
          <w:color w:val="000000"/>
          <w:sz w:val="24"/>
          <w:szCs w:val="24"/>
        </w:rPr>
      </w:pPr>
      <w:r>
        <w:rPr>
          <w:rFonts w:hint="eastAsia" w:ascii="宋体" w:hAnsi="宋体" w:eastAsia="宋体" w:cs="宋体"/>
          <w:b/>
          <w:bCs/>
          <w:color w:val="000000"/>
          <w:sz w:val="24"/>
          <w:szCs w:val="24"/>
        </w:rPr>
        <w:t>五、议程安排</w:t>
      </w:r>
    </w:p>
    <w:p>
      <w:pPr>
        <w:keepNext/>
        <w:keepLines/>
        <w:spacing w:line="360" w:lineRule="auto"/>
        <w:ind w:firstLine="482" w:firstLineChars="200"/>
        <w:outlineLvl w:val="2"/>
        <w:rPr>
          <w:rFonts w:hint="eastAsia" w:ascii="宋体" w:hAnsi="宋体" w:eastAsia="宋体" w:cs="宋体"/>
          <w:color w:val="000000"/>
          <w:sz w:val="24"/>
          <w:szCs w:val="24"/>
        </w:rPr>
      </w:pPr>
      <w:r>
        <w:rPr>
          <w:rFonts w:hint="eastAsia" w:ascii="宋体" w:hAnsi="宋体" w:eastAsia="宋体" w:cs="宋体"/>
          <w:b/>
          <w:bCs/>
          <w:color w:val="000000"/>
          <w:sz w:val="24"/>
          <w:szCs w:val="24"/>
        </w:rPr>
        <w:t>1.发标时间</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见《投标须知前附表》2.1。</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2.发标方式</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sz w:val="24"/>
          <w:szCs w:val="24"/>
        </w:rPr>
        <w:t>中国重汽官网、山东省阳光采购服务平台、中国招标投标公共服务平台等公开媒体</w:t>
      </w:r>
      <w:r>
        <w:rPr>
          <w:rFonts w:hint="eastAsia" w:ascii="宋体" w:hAnsi="宋体" w:eastAsia="宋体" w:cs="宋体"/>
          <w:color w:val="000000"/>
          <w:sz w:val="24"/>
          <w:szCs w:val="24"/>
        </w:rPr>
        <w:t>公布。</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3.答疑</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见《投标须知前附表》第二条，逾期不受理。</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4.投标报名</w:t>
      </w:r>
    </w:p>
    <w:p>
      <w:pPr>
        <w:keepNext/>
        <w:keepLines/>
        <w:spacing w:line="360" w:lineRule="auto"/>
        <w:ind w:firstLine="482"/>
        <w:rPr>
          <w:rFonts w:hint="eastAsia" w:ascii="宋体" w:hAnsi="宋体" w:eastAsia="宋体" w:cs="宋体"/>
          <w:sz w:val="24"/>
          <w:szCs w:val="24"/>
        </w:rPr>
      </w:pPr>
      <w:r>
        <w:rPr>
          <w:rFonts w:hint="eastAsia" w:ascii="宋体" w:hAnsi="宋体" w:eastAsia="宋体" w:cs="宋体"/>
          <w:sz w:val="24"/>
          <w:szCs w:val="24"/>
        </w:rPr>
        <w:t>4.1投标人在报名参与本项目的同时，应提供项目投标保证金。投标保证金应在规定的时间前将投标保证金从投标人单位基本帐户转出并到账，否则按否决投标处理；未按规定提交保证金的投标人，其投标文件按否决投标处理。（保证金具体金额及缴纳截止时间见《投标须知前附表》4.2和4.3）。</w:t>
      </w:r>
    </w:p>
    <w:p>
      <w:pPr>
        <w:pStyle w:val="115"/>
        <w:ind w:firstLine="480"/>
        <w:rPr>
          <w:rFonts w:hint="eastAsia" w:eastAsia="宋体" w:cs="宋体"/>
        </w:rPr>
      </w:pPr>
      <w:r>
        <w:rPr>
          <w:rFonts w:hint="eastAsia" w:eastAsia="宋体" w:cs="宋体"/>
        </w:rPr>
        <w:t>4.2招标人银行账户信息如下：见《投标须知前附表》4.2。</w:t>
      </w:r>
    </w:p>
    <w:p>
      <w:pPr>
        <w:pStyle w:val="115"/>
        <w:ind w:firstLine="480"/>
        <w:rPr>
          <w:rFonts w:hint="eastAsia" w:eastAsia="宋体" w:cs="宋体"/>
        </w:rPr>
      </w:pPr>
      <w:r>
        <w:rPr>
          <w:rFonts w:hint="eastAsia" w:eastAsia="宋体" w:cs="宋体"/>
        </w:rPr>
        <w:t>转账附言：公司名称+项目名称+投标保证金；</w:t>
      </w:r>
    </w:p>
    <w:p>
      <w:pPr>
        <w:pStyle w:val="115"/>
        <w:ind w:firstLine="480"/>
        <w:rPr>
          <w:rFonts w:hint="eastAsia" w:eastAsia="宋体" w:cs="宋体"/>
        </w:rPr>
      </w:pPr>
      <w:r>
        <w:rPr>
          <w:rFonts w:hint="eastAsia" w:eastAsia="宋体" w:cs="宋体"/>
        </w:rPr>
        <w:t>对于没有中标的投标人，投标保证金将于招标人内部完成中标人评审并确认最终中标人后在45工作日内予以原路返还（无息）；对于中标方，投标保证金将在签订合同后45个工作日内原路返还（无息）；</w:t>
      </w:r>
    </w:p>
    <w:p>
      <w:pPr>
        <w:pStyle w:val="115"/>
        <w:ind w:firstLine="480"/>
        <w:rPr>
          <w:rFonts w:hint="eastAsia" w:eastAsia="宋体" w:cs="宋体"/>
        </w:rPr>
      </w:pPr>
      <w:r>
        <w:rPr>
          <w:rFonts w:hint="eastAsia" w:eastAsia="宋体" w:cs="宋体"/>
        </w:rPr>
        <w:t>4.3说明</w:t>
      </w:r>
    </w:p>
    <w:p>
      <w:pPr>
        <w:pStyle w:val="115"/>
        <w:ind w:firstLine="480"/>
        <w:rPr>
          <w:rFonts w:hint="eastAsia" w:eastAsia="宋体" w:cs="宋体"/>
        </w:rPr>
      </w:pPr>
      <w:r>
        <w:rPr>
          <w:rFonts w:hint="eastAsia" w:eastAsia="宋体" w:cs="宋体"/>
        </w:rPr>
        <w:t>4.3.1 投标人在向招标人出示《投标保证金缴纳凭证》后方可进行投标；</w:t>
      </w:r>
    </w:p>
    <w:p>
      <w:pPr>
        <w:pStyle w:val="115"/>
        <w:ind w:firstLine="480"/>
        <w:rPr>
          <w:rFonts w:hint="eastAsia" w:eastAsia="宋体" w:cs="宋体"/>
        </w:rPr>
      </w:pPr>
      <w:r>
        <w:rPr>
          <w:rFonts w:hint="eastAsia" w:eastAsia="宋体" w:cs="宋体"/>
        </w:rPr>
        <w:t>4.3.2 发生以下情况时，招标人有权没收保证金：</w:t>
      </w:r>
    </w:p>
    <w:p>
      <w:pPr>
        <w:pStyle w:val="115"/>
        <w:ind w:firstLine="480"/>
        <w:rPr>
          <w:rFonts w:hint="eastAsia" w:eastAsia="宋体" w:cs="宋体"/>
        </w:rPr>
      </w:pPr>
      <w:r>
        <w:rPr>
          <w:rFonts w:hint="eastAsia" w:eastAsia="宋体" w:cs="宋体"/>
        </w:rPr>
        <w:t>4.3.2.1 截至开标前3天，投标人无正当理由且未以书面形式递交说明而在投标截止日不来投标的；</w:t>
      </w:r>
    </w:p>
    <w:p>
      <w:pPr>
        <w:pStyle w:val="115"/>
        <w:ind w:firstLine="480"/>
        <w:rPr>
          <w:rFonts w:hint="eastAsia" w:eastAsia="宋体" w:cs="宋体"/>
        </w:rPr>
      </w:pPr>
      <w:r>
        <w:rPr>
          <w:rFonts w:hint="eastAsia" w:eastAsia="宋体" w:cs="宋体"/>
        </w:rPr>
        <w:t>4.3.2.2 投标人递送投标文件后，无正当理由放弃投标的；</w:t>
      </w:r>
    </w:p>
    <w:p>
      <w:pPr>
        <w:pStyle w:val="115"/>
        <w:ind w:firstLine="480"/>
        <w:rPr>
          <w:rFonts w:hint="eastAsia" w:eastAsia="宋体" w:cs="宋体"/>
        </w:rPr>
      </w:pPr>
      <w:r>
        <w:rPr>
          <w:rFonts w:hint="eastAsia" w:eastAsia="宋体" w:cs="宋体"/>
        </w:rPr>
        <w:t>4.3.2.3若为视频开标，招标过程中澄清函等资料原件未按要求提交的；</w:t>
      </w:r>
    </w:p>
    <w:p>
      <w:pPr>
        <w:pStyle w:val="115"/>
        <w:ind w:firstLine="480"/>
        <w:rPr>
          <w:rFonts w:hint="eastAsia" w:eastAsia="宋体" w:cs="宋体"/>
        </w:rPr>
      </w:pPr>
      <w:r>
        <w:rPr>
          <w:rFonts w:hint="eastAsia" w:eastAsia="宋体" w:cs="宋体"/>
        </w:rPr>
        <w:t>4.3.2.4自中标通知书发出之日起30日内，中标人无正当理由不签订合同的；</w:t>
      </w:r>
    </w:p>
    <w:p>
      <w:pPr>
        <w:pStyle w:val="115"/>
        <w:ind w:firstLine="480"/>
        <w:rPr>
          <w:rFonts w:hint="eastAsia" w:eastAsia="宋体" w:cs="宋体"/>
        </w:rPr>
      </w:pPr>
      <w:r>
        <w:rPr>
          <w:rFonts w:hint="eastAsia" w:eastAsia="宋体" w:cs="宋体"/>
        </w:rPr>
        <w:t>4.3.2.5供应商在响应文件中提供虚假材料的；</w:t>
      </w:r>
    </w:p>
    <w:p>
      <w:pPr>
        <w:pStyle w:val="115"/>
        <w:ind w:firstLine="480"/>
        <w:rPr>
          <w:rFonts w:hint="eastAsia" w:eastAsia="宋体" w:cs="宋体"/>
        </w:rPr>
      </w:pPr>
      <w:r>
        <w:rPr>
          <w:rFonts w:hint="eastAsia" w:eastAsia="宋体" w:cs="宋体"/>
        </w:rPr>
        <w:t>4.3.2.6投标人在投标过程中被查实有串标、围标、陪标等违规违纪行为的；</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4.3.2.7投标人有违约违规行为或被投诉、举报的，在调查处理期间，保证金暂不退还，待调查处理结束后按有关规定处理。</w:t>
      </w:r>
    </w:p>
    <w:p>
      <w:pPr>
        <w:pStyle w:val="115"/>
        <w:ind w:firstLine="480"/>
        <w:rPr>
          <w:rFonts w:hint="eastAsia" w:eastAsia="宋体" w:cs="宋体"/>
        </w:rPr>
      </w:pPr>
      <w:r>
        <w:rPr>
          <w:rFonts w:hint="eastAsia" w:eastAsia="宋体" w:cs="宋体"/>
        </w:rPr>
        <w:t>4.4投标报名截止时间</w:t>
      </w:r>
    </w:p>
    <w:p>
      <w:pPr>
        <w:pStyle w:val="115"/>
        <w:ind w:firstLine="480"/>
        <w:rPr>
          <w:rFonts w:hint="eastAsia" w:eastAsia="宋体" w:cs="宋体"/>
        </w:rPr>
      </w:pPr>
      <w:r>
        <w:rPr>
          <w:rFonts w:hint="eastAsia" w:eastAsia="宋体" w:cs="宋体"/>
        </w:rPr>
        <w:t>报名方式：见《投标须知前附表》2.3。</w:t>
      </w:r>
    </w:p>
    <w:p>
      <w:pPr>
        <w:pStyle w:val="115"/>
        <w:ind w:firstLine="480"/>
        <w:rPr>
          <w:rFonts w:hint="eastAsia" w:eastAsia="宋体" w:cs="宋体"/>
        </w:rPr>
      </w:pPr>
      <w:r>
        <w:rPr>
          <w:rFonts w:hint="eastAsia" w:eastAsia="宋体" w:cs="宋体"/>
        </w:rPr>
        <w:t>报名提交资料：</w:t>
      </w:r>
      <w:r>
        <w:rPr>
          <w:rFonts w:hint="eastAsia" w:eastAsia="宋体" w:cs="宋体"/>
          <w:highlight w:val="yellow"/>
        </w:rPr>
        <w:t>均为盖章电子扫描版，用“公司名称+文件名称”命名</w:t>
      </w:r>
      <w:r>
        <w:rPr>
          <w:rFonts w:hint="eastAsia" w:eastAsia="宋体" w:cs="宋体"/>
        </w:rPr>
        <w:t>。</w:t>
      </w:r>
    </w:p>
    <w:p>
      <w:pPr>
        <w:numPr>
          <w:ilvl w:val="0"/>
          <w:numId w:val="5"/>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要提交营业执照副本、法人授权委托书（含法人及授权人身份信息证明、授权代表联系方式）。</w:t>
      </w:r>
    </w:p>
    <w:p>
      <w:pPr>
        <w:numPr>
          <w:ilvl w:val="0"/>
          <w:numId w:val="5"/>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，要提交营业执照副本、法人代表证明文件。</w:t>
      </w:r>
    </w:p>
    <w:p>
      <w:pPr>
        <w:numPr>
          <w:ilvl w:val="0"/>
          <w:numId w:val="5"/>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如果是代理商投标</w:t>
      </w:r>
      <w:r>
        <w:rPr>
          <w:rFonts w:hint="eastAsia" w:ascii="宋体" w:hAnsi="宋体" w:eastAsia="宋体" w:cs="宋体"/>
          <w:color w:val="000000"/>
          <w:sz w:val="24"/>
          <w:szCs w:val="24"/>
        </w:rPr>
        <w:t>，除上述a)b)中要求的资料，要另外携带生产商的授权书、原厂售后服务承诺书。</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5.开标时间</w:t>
      </w:r>
    </w:p>
    <w:p>
      <w:pPr>
        <w:keepNext/>
        <w:keepLines/>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见《投标须知前附表》5.1，若有变动另行通知。</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6.开标方式</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highlight w:val="yellow"/>
        </w:rPr>
        <w:t>原则上来现场参与开标。如因特殊情况无法现场参与，需在开标前三日，通知招标人，由招标人创建视频链接，并在报名结束后统一通知</w:t>
      </w:r>
      <w:r>
        <w:rPr>
          <w:rFonts w:hint="eastAsia" w:ascii="宋体" w:hAnsi="宋体" w:eastAsia="宋体" w:cs="宋体"/>
          <w:color w:val="000000"/>
          <w:sz w:val="24"/>
          <w:szCs w:val="24"/>
        </w:rPr>
        <w:t>。</w:t>
      </w:r>
    </w:p>
    <w:p>
      <w:pPr>
        <w:spacing w:line="360" w:lineRule="auto"/>
        <w:jc w:val="left"/>
        <w:outlineLvl w:val="1"/>
        <w:rPr>
          <w:rFonts w:hint="eastAsia" w:ascii="宋体" w:hAnsi="宋体" w:eastAsia="宋体" w:cs="宋体"/>
          <w:b/>
          <w:sz w:val="24"/>
          <w:szCs w:val="24"/>
        </w:rPr>
      </w:pPr>
      <w:bookmarkStart w:id="6" w:name="_Toc33285487"/>
      <w:bookmarkStart w:id="7" w:name="_Toc33266950"/>
      <w:bookmarkStart w:id="8" w:name="_Toc33266627"/>
      <w:bookmarkStart w:id="9" w:name="_Toc33265752"/>
      <w:bookmarkStart w:id="10" w:name="_Toc33265653"/>
      <w:bookmarkStart w:id="11" w:name="_Toc33266914"/>
      <w:bookmarkStart w:id="12" w:name="_Toc33267001"/>
      <w:r>
        <w:rPr>
          <w:rFonts w:hint="eastAsia" w:ascii="宋体" w:hAnsi="宋体" w:eastAsia="宋体" w:cs="宋体"/>
          <w:b/>
          <w:sz w:val="24"/>
          <w:szCs w:val="24"/>
        </w:rPr>
        <w:t>六、评价原则</w:t>
      </w:r>
      <w:bookmarkEnd w:id="6"/>
      <w:bookmarkEnd w:id="7"/>
      <w:bookmarkEnd w:id="8"/>
      <w:bookmarkEnd w:id="9"/>
      <w:bookmarkEnd w:id="10"/>
      <w:bookmarkEnd w:id="11"/>
      <w:bookmarkEnd w:id="12"/>
      <w:bookmarkStart w:id="13" w:name="_Toc395116633"/>
    </w:p>
    <w:bookmarkEnd w:id="13"/>
    <w:p>
      <w:pPr>
        <w:adjustRightInd w:val="0"/>
        <w:snapToGrid w:val="0"/>
        <w:spacing w:line="360" w:lineRule="auto"/>
        <w:ind w:firstLine="480" w:firstLineChars="200"/>
        <w:rPr>
          <w:rFonts w:hint="eastAsia" w:ascii="宋体" w:hAnsi="宋体" w:eastAsia="宋体" w:cs="宋体"/>
          <w:b/>
          <w:color w:val="000000"/>
          <w:sz w:val="24"/>
          <w:szCs w:val="24"/>
        </w:rPr>
      </w:pPr>
      <w:bookmarkStart w:id="14" w:name="_Toc33266628"/>
      <w:bookmarkStart w:id="15" w:name="_Toc33265654"/>
      <w:bookmarkStart w:id="16" w:name="_Toc33285489"/>
      <w:bookmarkStart w:id="17" w:name="_Toc33266915"/>
      <w:bookmarkStart w:id="18" w:name="_Toc33267002"/>
      <w:bookmarkStart w:id="19" w:name="_Toc33265753"/>
      <w:bookmarkStart w:id="20" w:name="_Toc395116634"/>
      <w:bookmarkStart w:id="21" w:name="_Toc33266951"/>
      <w:r>
        <w:rPr>
          <w:rFonts w:hint="eastAsia" w:ascii="宋体" w:hAnsi="宋体" w:eastAsia="宋体" w:cs="宋体"/>
          <w:sz w:val="24"/>
          <w:szCs w:val="24"/>
        </w:rPr>
        <w:t>本次招标采用</w:t>
      </w:r>
      <w:r>
        <w:rPr>
          <w:rFonts w:hint="eastAsia" w:ascii="宋体" w:hAnsi="宋体" w:eastAsia="宋体" w:cs="Times New Roman"/>
          <w:sz w:val="24"/>
          <w:szCs w:val="24"/>
        </w:rPr>
        <w:t>综合评价法</w:t>
      </w:r>
      <w:r>
        <w:rPr>
          <w:rFonts w:hint="eastAsia" w:ascii="宋体" w:hAnsi="宋体" w:eastAsia="宋体" w:cs="宋体"/>
          <w:sz w:val="24"/>
          <w:szCs w:val="24"/>
        </w:rPr>
        <w:t>。</w:t>
      </w:r>
      <w:r>
        <w:rPr>
          <w:rFonts w:hint="eastAsia" w:ascii="宋体" w:hAnsi="宋体" w:eastAsia="宋体" w:cs="宋体"/>
          <w:color w:val="000000"/>
          <w:sz w:val="24"/>
          <w:szCs w:val="24"/>
        </w:rPr>
        <w:t>本着公平、公正、公开的原则，在满足技术要求的前提下，</w:t>
      </w:r>
      <w:r>
        <w:rPr>
          <w:rFonts w:hint="eastAsia" w:ascii="宋体" w:hAnsi="宋体" w:eastAsia="宋体" w:cs="Times New Roman"/>
          <w:color w:val="000000"/>
          <w:sz w:val="24"/>
          <w:szCs w:val="24"/>
          <w:highlight w:val="yellow"/>
        </w:rPr>
        <w:t>对招标</w:t>
      </w:r>
      <w:r>
        <w:rPr>
          <w:rFonts w:hint="eastAsia" w:ascii="Calibri" w:hAnsi="Calibri" w:eastAsia="宋体" w:cs="Times New Roman"/>
          <w:color w:val="000000"/>
          <w:sz w:val="24"/>
          <w:szCs w:val="24"/>
          <w:highlight w:val="yellow"/>
        </w:rPr>
        <w:t>文件中规定的各项因素进行综合评审，</w:t>
      </w:r>
      <w:r>
        <w:rPr>
          <w:rFonts w:hint="eastAsia" w:ascii="Calibri" w:hAnsi="宋体" w:eastAsia="宋体" w:cs="Times New Roman"/>
          <w:color w:val="000000"/>
          <w:sz w:val="24"/>
          <w:szCs w:val="24"/>
          <w:highlight w:val="yellow"/>
        </w:rPr>
        <w:t>确定中标人</w:t>
      </w:r>
      <w:r>
        <w:rPr>
          <w:rFonts w:hint="eastAsia" w:ascii="Calibri" w:hAnsi="宋体" w:eastAsia="宋体" w:cs="Times New Roman"/>
          <w:b/>
          <w:color w:val="000000"/>
          <w:sz w:val="24"/>
          <w:szCs w:val="24"/>
          <w:highlight w:val="yellow"/>
        </w:rPr>
        <w:t>（不保证最低价格中标）</w:t>
      </w:r>
      <w:r>
        <w:rPr>
          <w:rFonts w:hint="eastAsia" w:ascii="宋体" w:hAnsi="宋体" w:eastAsia="宋体" w:cs="宋体"/>
          <w:b/>
          <w:color w:val="000000"/>
          <w:sz w:val="24"/>
          <w:szCs w:val="24"/>
        </w:rPr>
        <w:t>，对未中标单位不做任何解释。</w:t>
      </w:r>
    </w:p>
    <w:bookmarkEnd w:id="14"/>
    <w:bookmarkEnd w:id="15"/>
    <w:bookmarkEnd w:id="16"/>
    <w:bookmarkEnd w:id="17"/>
    <w:bookmarkEnd w:id="18"/>
    <w:bookmarkEnd w:id="19"/>
    <w:bookmarkEnd w:id="20"/>
    <w:bookmarkEnd w:id="21"/>
    <w:p>
      <w:pPr>
        <w:spacing w:line="360" w:lineRule="auto"/>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评标流程：</w:t>
      </w:r>
    </w:p>
    <w:p>
      <w:pPr>
        <w:pStyle w:val="21"/>
        <w:spacing w:line="360" w:lineRule="auto"/>
        <w:ind w:firstLine="482" w:firstLineChars="200"/>
        <w:rPr>
          <w:rFonts w:hint="eastAsia" w:hAnsi="宋体" w:eastAsia="宋体" w:cs="宋体"/>
          <w:sz w:val="24"/>
          <w:szCs w:val="24"/>
        </w:rPr>
      </w:pPr>
      <w:r>
        <w:rPr>
          <w:rFonts w:hint="eastAsia" w:hAnsi="宋体" w:eastAsia="宋体" w:cs="宋体"/>
          <w:b/>
          <w:color w:val="000000"/>
          <w:sz w:val="24"/>
          <w:szCs w:val="24"/>
        </w:rPr>
        <w:t>投标文件包含《投标文件（资质标）》、《投标文件（技术标）》、《投标文件（商务标）》（开标一览表），共计三个文件。</w:t>
      </w:r>
    </w:p>
    <w:p>
      <w:pPr>
        <w:numPr>
          <w:ilvl w:val="0"/>
          <w:numId w:val="6"/>
        </w:numPr>
        <w:spacing w:line="360" w:lineRule="auto"/>
        <w:rPr>
          <w:rFonts w:hint="eastAsia" w:ascii="宋体" w:hAnsi="宋体" w:eastAsia="宋体" w:cs="宋体"/>
          <w:b/>
          <w:color w:val="000000"/>
          <w:sz w:val="24"/>
          <w:szCs w:val="24"/>
        </w:rPr>
      </w:pPr>
      <w:r>
        <w:rPr>
          <w:rFonts w:hint="eastAsia" w:ascii="宋体" w:hAnsi="宋体" w:eastAsia="宋体" w:cs="宋体"/>
          <w:b/>
          <w:color w:val="000000"/>
          <w:sz w:val="24"/>
          <w:szCs w:val="24"/>
        </w:rPr>
        <w:t>应标资格审查：在“中国重汽e采通”应标报名时，</w:t>
      </w:r>
      <w:r>
        <w:rPr>
          <w:rFonts w:hint="eastAsia" w:ascii="宋体" w:hAnsi="宋体" w:eastAsia="宋体" w:cs="宋体"/>
          <w:b/>
          <w:bCs/>
          <w:color w:val="000000"/>
          <w:sz w:val="24"/>
          <w:szCs w:val="24"/>
        </w:rPr>
        <w:t>按照第三部分第三条投标文件组成资格证明文件中的</w:t>
      </w:r>
      <w:r>
        <w:rPr>
          <w:rFonts w:hint="eastAsia" w:ascii="宋体" w:hAnsi="宋体" w:eastAsia="宋体" w:cs="宋体"/>
          <w:b/>
          <w:bCs/>
          <w:color w:val="000000"/>
          <w:sz w:val="24"/>
          <w:szCs w:val="24"/>
          <w:highlight w:val="yellow"/>
        </w:rPr>
        <w:t>1.1-1.13</w:t>
      </w:r>
      <w:r>
        <w:rPr>
          <w:rFonts w:hint="eastAsia" w:ascii="宋体" w:hAnsi="宋体" w:eastAsia="宋体" w:cs="宋体"/>
          <w:b/>
          <w:bCs/>
          <w:color w:val="000000"/>
          <w:sz w:val="24"/>
          <w:szCs w:val="24"/>
        </w:rPr>
        <w:t>准备资料，上传完毕后，等待审核</w:t>
      </w:r>
      <w:r>
        <w:rPr>
          <w:rFonts w:hint="eastAsia" w:ascii="宋体" w:hAnsi="宋体" w:eastAsia="宋体" w:cs="宋体"/>
          <w:b/>
          <w:color w:val="000000"/>
          <w:sz w:val="24"/>
          <w:szCs w:val="24"/>
        </w:rPr>
        <w:t>；</w:t>
      </w:r>
    </w:p>
    <w:p>
      <w:pPr>
        <w:numPr>
          <w:ilvl w:val="0"/>
          <w:numId w:val="7"/>
        </w:numPr>
        <w:spacing w:line="360" w:lineRule="auto"/>
        <w:rPr>
          <w:rFonts w:hint="eastAsia" w:ascii="宋体" w:hAnsi="宋体" w:eastAsia="宋体" w:cs="宋体"/>
          <w:b/>
          <w:color w:val="000000"/>
          <w:sz w:val="24"/>
          <w:szCs w:val="24"/>
        </w:rPr>
      </w:pPr>
      <w:r>
        <w:rPr>
          <w:rFonts w:hint="eastAsia" w:ascii="宋体" w:hAnsi="宋体" w:eastAsia="宋体" w:cs="宋体"/>
          <w:b/>
          <w:color w:val="000000"/>
          <w:sz w:val="24"/>
          <w:szCs w:val="24"/>
        </w:rPr>
        <w:t>通过应标资格审查的单位进入投标环节，按照“SRM系统供应商用户手册（附件15）”，在重汽e采通平台投递电子标书（包含资质标、技术标、商务标）；没有通过应标资质审查的单位不能进入投标环节；</w:t>
      </w:r>
    </w:p>
    <w:p>
      <w:pPr>
        <w:numPr>
          <w:ilvl w:val="0"/>
          <w:numId w:val="6"/>
        </w:numPr>
        <w:spacing w:line="360" w:lineRule="auto"/>
        <w:rPr>
          <w:rFonts w:hint="eastAsia" w:ascii="宋体" w:hAnsi="宋体" w:eastAsia="宋体" w:cs="宋体"/>
          <w:b/>
          <w:color w:val="000000"/>
          <w:sz w:val="24"/>
          <w:szCs w:val="24"/>
        </w:rPr>
      </w:pPr>
      <w:r>
        <w:rPr>
          <w:rFonts w:hint="eastAsia" w:ascii="宋体" w:hAnsi="宋体" w:eastAsia="宋体" w:cs="宋体"/>
          <w:b/>
          <w:sz w:val="24"/>
          <w:szCs w:val="24"/>
        </w:rPr>
        <w:t>资质标评审：资质标审核通过的单位，可以进入</w:t>
      </w:r>
      <w:r>
        <w:rPr>
          <w:rFonts w:hint="eastAsia" w:ascii="宋体" w:hAnsi="宋体" w:eastAsia="宋体" w:cs="宋体"/>
          <w:b/>
          <w:color w:val="000000"/>
          <w:sz w:val="24"/>
          <w:szCs w:val="24"/>
        </w:rPr>
        <w:t>公开唱标环节；</w:t>
      </w:r>
    </w:p>
    <w:p>
      <w:pPr>
        <w:numPr>
          <w:ilvl w:val="0"/>
          <w:numId w:val="6"/>
        </w:numPr>
        <w:spacing w:line="360" w:lineRule="auto"/>
        <w:rPr>
          <w:rFonts w:hint="eastAsia" w:ascii="宋体" w:hAnsi="宋体" w:eastAsia="宋体" w:cs="宋体"/>
          <w:b/>
          <w:color w:val="000000"/>
          <w:sz w:val="24"/>
          <w:szCs w:val="24"/>
        </w:rPr>
      </w:pPr>
      <w:r>
        <w:rPr>
          <w:rFonts w:hint="eastAsia" w:ascii="宋体" w:hAnsi="宋体" w:eastAsia="宋体" w:cs="宋体"/>
          <w:b/>
          <w:color w:val="000000"/>
          <w:sz w:val="24"/>
          <w:szCs w:val="24"/>
        </w:rPr>
        <w:t>公开唱标：公示资质标入围单位的开标价格及商务条款响应情况；</w:t>
      </w:r>
    </w:p>
    <w:p>
      <w:pPr>
        <w:numPr>
          <w:ilvl w:val="0"/>
          <w:numId w:val="8"/>
        </w:numPr>
        <w:spacing w:line="360" w:lineRule="auto"/>
        <w:rPr>
          <w:rFonts w:hint="eastAsia" w:ascii="宋体" w:hAnsi="宋体" w:eastAsia="宋体" w:cs="宋体"/>
          <w:b/>
          <w:sz w:val="24"/>
          <w:szCs w:val="24"/>
        </w:rPr>
      </w:pPr>
      <w:r>
        <w:rPr>
          <w:rFonts w:hint="eastAsia" w:ascii="宋体" w:hAnsi="宋体" w:eastAsia="宋体" w:cs="宋体"/>
          <w:b/>
          <w:sz w:val="24"/>
          <w:szCs w:val="24"/>
          <w:highlight w:val="yellow"/>
          <w:lang w:val="en-US" w:eastAsia="zh-CN"/>
        </w:rPr>
        <w:t>评标模式</w:t>
      </w:r>
      <w:r>
        <w:rPr>
          <w:rFonts w:hint="eastAsia" w:ascii="宋体" w:hAnsi="宋体" w:eastAsia="宋体" w:cs="宋体"/>
          <w:b/>
          <w:sz w:val="24"/>
          <w:szCs w:val="24"/>
          <w:highlight w:val="yellow"/>
        </w:rPr>
        <w:t>：</w:t>
      </w:r>
      <w:r>
        <w:rPr>
          <w:rFonts w:hint="eastAsia" w:ascii="宋体" w:hAnsi="宋体" w:eastAsia="宋体" w:cs="宋体"/>
          <w:b/>
          <w:sz w:val="24"/>
          <w:szCs w:val="24"/>
          <w:highlight w:val="yellow"/>
          <w:lang w:val="en-US" w:eastAsia="zh-CN"/>
        </w:rPr>
        <w:t>合理最低价</w:t>
      </w:r>
      <w:r>
        <w:rPr>
          <w:rFonts w:hint="eastAsia" w:ascii="宋体" w:hAnsi="宋体" w:eastAsia="宋体" w:cs="宋体"/>
          <w:b/>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hint="eastAsia" w:ascii="宋体" w:hAnsi="宋体" w:eastAsia="宋体" w:cs="宋体"/>
          <w:color w:val="000000"/>
          <w:sz w:val="24"/>
          <w:szCs w:val="24"/>
          <w:lang w:bidi="ar"/>
        </w:rPr>
        <w:t>变更意向中标人</w:t>
      </w:r>
      <w:r>
        <w:rPr>
          <w:rFonts w:hint="eastAsia" w:ascii="宋体" w:hAnsi="宋体" w:eastAsia="宋体" w:cs="宋体"/>
          <w:color w:val="000000"/>
          <w:sz w:val="24"/>
          <w:szCs w:val="24"/>
        </w:rPr>
        <w:t>。</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七、合同签订</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1.招标人根据评标工作小组的评标结果确定中标人，在重汽e采通平台公布中标结果，并发送中标通知。</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2.中标人应该在中标通知书规定的时间、地点与招标人签订采购合同，否则按照开标后撤回投标处理。</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3.中标人应当按照合同约定的履约责任，在保证质量的前提下完成中标项目，不得将中标项目转包或分包给他人，否则视为违约，招标人有权解除合同。</w:t>
      </w:r>
    </w:p>
    <w:p>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4.中标人由于履行义务的能力或信用有严重缺陷，招标人有权取消其中标资格，招标人将从中标候选单位中依序重新确定中标人，或重新组织招标；</w:t>
      </w:r>
    </w:p>
    <w:p>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5.合同以双方最终签署的版本为准。</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八、废标及终止招标</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360" w:lineRule="auto"/>
        <w:ind w:right="2"/>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（1）投标人提供的有关资格、资质证明文件不合格、不真实或提供虚假投标材料；</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（5）投标人串通投标；</w:t>
      </w:r>
    </w:p>
    <w:p>
      <w:pPr>
        <w:pStyle w:val="21"/>
        <w:spacing w:line="360" w:lineRule="auto"/>
        <w:rPr>
          <w:rFonts w:hint="eastAsia" w:hAnsi="宋体" w:eastAsia="宋体" w:cs="宋体"/>
          <w:sz w:val="24"/>
          <w:szCs w:val="24"/>
        </w:rPr>
      </w:pPr>
      <w:r>
        <w:rPr>
          <w:rFonts w:hint="eastAsia" w:hAnsi="宋体" w:eastAsia="宋体" w:cs="宋体"/>
          <w:color w:val="000000"/>
          <w:sz w:val="24"/>
          <w:szCs w:val="24"/>
        </w:rPr>
        <w:t xml:space="preserve">    （6）投标人被举报、检举，并经招标人查实无误的；</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（9）有效投标不足三家；</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pPr>
        <w:pStyle w:val="21"/>
        <w:spacing w:line="360" w:lineRule="auto"/>
        <w:ind w:firstLine="480" w:firstLineChars="200"/>
        <w:rPr>
          <w:rFonts w:hint="eastAsia" w:hAnsi="宋体" w:eastAsia="宋体" w:cs="宋体"/>
          <w:color w:val="000000"/>
          <w:sz w:val="24"/>
          <w:szCs w:val="24"/>
        </w:rPr>
      </w:pPr>
      <w:r>
        <w:rPr>
          <w:rFonts w:hint="eastAsia" w:hAnsi="宋体" w:eastAsia="宋体" w:cs="宋体"/>
          <w:color w:val="000000"/>
          <w:sz w:val="24"/>
          <w:szCs w:val="24"/>
        </w:rPr>
        <w:t>（12）不同投标人的投标文件异常一致；</w:t>
      </w:r>
    </w:p>
    <w:p>
      <w:pPr>
        <w:pStyle w:val="21"/>
        <w:spacing w:line="360" w:lineRule="auto"/>
        <w:ind w:firstLine="480" w:firstLineChars="200"/>
        <w:rPr>
          <w:rFonts w:hint="eastAsia" w:hAnsi="宋体" w:eastAsia="宋体" w:cs="宋体"/>
          <w:color w:val="000000"/>
          <w:sz w:val="24"/>
          <w:szCs w:val="24"/>
        </w:rPr>
      </w:pPr>
      <w:r>
        <w:rPr>
          <w:rFonts w:hint="eastAsia" w:hAnsi="宋体" w:eastAsia="宋体" w:cs="宋体"/>
          <w:color w:val="000000"/>
          <w:sz w:val="24"/>
          <w:szCs w:val="24"/>
        </w:rPr>
        <w:t>（13）投标报价呈规律性差异的；</w:t>
      </w:r>
    </w:p>
    <w:p>
      <w:pPr>
        <w:pStyle w:val="21"/>
        <w:spacing w:line="360" w:lineRule="auto"/>
        <w:ind w:firstLine="480" w:firstLineChars="200"/>
        <w:rPr>
          <w:rFonts w:hint="eastAsia" w:hAnsi="宋体" w:eastAsia="宋体" w:cs="宋体"/>
          <w:color w:val="000000"/>
          <w:sz w:val="24"/>
          <w:szCs w:val="24"/>
        </w:rPr>
      </w:pPr>
      <w:r>
        <w:rPr>
          <w:rFonts w:hint="eastAsia" w:hAnsi="宋体" w:eastAsia="宋体" w:cs="宋体"/>
          <w:color w:val="000000"/>
          <w:sz w:val="24"/>
          <w:szCs w:val="24"/>
        </w:rPr>
        <w:t>（14）投标人报价均超过投标限价的；</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hAnsi="宋体" w:eastAsia="宋体" w:cs="宋体"/>
          <w:color w:val="000000"/>
          <w:sz w:val="24"/>
          <w:szCs w:val="24"/>
        </w:rPr>
        <w:t>5</w:t>
      </w:r>
      <w:r>
        <w:rPr>
          <w:rFonts w:hint="eastAsia" w:ascii="宋体" w:hAnsi="宋体" w:eastAsia="宋体" w:cs="宋体"/>
          <w:color w:val="000000"/>
          <w:sz w:val="24"/>
          <w:szCs w:val="24"/>
        </w:rPr>
        <w:t>）法律、法规规定的其他情况。</w:t>
      </w:r>
    </w:p>
    <w:p>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2.出现下列情形之一，招标人有权否决所有投标人的投标，并终止招标。</w:t>
      </w:r>
    </w:p>
    <w:p>
      <w:pPr>
        <w:spacing w:line="360" w:lineRule="auto"/>
        <w:ind w:right="2" w:firstLine="480" w:firstLineChars="200"/>
        <w:rPr>
          <w:rFonts w:hint="eastAsia"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（1）符合条件的投标人或者对招标文件做实质响应的投标人不足三家的；</w:t>
      </w:r>
    </w:p>
    <w:p>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（2）出现影响采购公正的违法、违规行为的；</w:t>
      </w:r>
    </w:p>
    <w:p>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（3）评标委员会经评审，认为所有投标都不符合招标文件要求的；</w:t>
      </w:r>
    </w:p>
    <w:p>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（4）因重大变故，采购任务取消的</w:t>
      </w:r>
      <w:bookmarkStart w:id="22" w:name="OLE_LINK29"/>
      <w:bookmarkStart w:id="23" w:name="OLE_LINK26"/>
      <w:bookmarkStart w:id="24" w:name="OLE_LINK27"/>
      <w:bookmarkStart w:id="25" w:name="OLE_LINK28"/>
      <w:bookmarkStart w:id="26" w:name="OLE_LINK25"/>
      <w:r>
        <w:rPr>
          <w:rFonts w:hint="eastAsia" w:ascii="宋体" w:hAnsi="宋体" w:eastAsia="宋体" w:cs="宋体"/>
          <w:bCs/>
          <w:sz w:val="24"/>
          <w:szCs w:val="24"/>
        </w:rPr>
        <w:t>；</w:t>
      </w:r>
      <w:bookmarkEnd w:id="22"/>
      <w:bookmarkEnd w:id="23"/>
      <w:bookmarkEnd w:id="24"/>
      <w:bookmarkEnd w:id="25"/>
      <w:bookmarkEnd w:id="26"/>
    </w:p>
    <w:p>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pPr>
        <w:pStyle w:val="21"/>
        <w:spacing w:line="360" w:lineRule="auto"/>
        <w:ind w:firstLine="480" w:firstLineChars="200"/>
        <w:rPr>
          <w:rFonts w:hint="eastAsia" w:hAnsi="宋体" w:eastAsia="宋体" w:cs="宋体"/>
          <w:bCs/>
          <w:sz w:val="24"/>
          <w:szCs w:val="24"/>
        </w:rPr>
      </w:pPr>
      <w:r>
        <w:rPr>
          <w:rFonts w:hint="eastAsia" w:hAnsi="宋体" w:eastAsia="宋体" w:cs="宋体"/>
          <w:bCs/>
          <w:sz w:val="24"/>
          <w:szCs w:val="24"/>
        </w:rPr>
        <w:t>（6）招标人认为其他应终止招标的情形。</w:t>
      </w:r>
    </w:p>
    <w:p>
      <w:pPr>
        <w:spacing w:line="360" w:lineRule="auto"/>
        <w:ind w:right="2"/>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pPr>
        <w:spacing w:line="360" w:lineRule="auto"/>
        <w:ind w:right="2" w:firstLine="482" w:firstLineChars="200"/>
        <w:outlineLvl w:val="1"/>
        <w:rPr>
          <w:rFonts w:hint="eastAsia" w:ascii="宋体" w:hAnsi="宋体" w:eastAsia="宋体" w:cs="宋体"/>
          <w:b/>
          <w:color w:val="000000"/>
          <w:sz w:val="24"/>
          <w:szCs w:val="24"/>
        </w:rPr>
      </w:pPr>
      <w:r>
        <w:rPr>
          <w:rFonts w:hint="eastAsia" w:ascii="宋体" w:hAnsi="宋体" w:eastAsia="宋体" w:cs="宋体"/>
          <w:b/>
          <w:bCs/>
          <w:sz w:val="24"/>
          <w:szCs w:val="24"/>
        </w:rPr>
        <w:t>九、本次招标最终解释权</w:t>
      </w:r>
      <w:r>
        <w:rPr>
          <w:rFonts w:hint="eastAsia" w:ascii="宋体" w:hAnsi="宋体" w:eastAsia="宋体" w:cs="宋体"/>
          <w:b/>
          <w:color w:val="000000"/>
          <w:sz w:val="24"/>
          <w:szCs w:val="24"/>
        </w:rPr>
        <w:t>归中国重汽集团济南动力有限公司。</w:t>
      </w:r>
    </w:p>
    <w:p>
      <w:pPr>
        <w:pStyle w:val="21"/>
        <w:spacing w:line="360" w:lineRule="auto"/>
        <w:jc w:val="center"/>
        <w:rPr>
          <w:rFonts w:hint="eastAsia" w:hAnsi="宋体" w:eastAsia="宋体" w:cs="宋体"/>
          <w:b/>
          <w:bCs/>
          <w:kern w:val="44"/>
          <w:sz w:val="24"/>
          <w:szCs w:val="24"/>
        </w:rPr>
        <w:sectPr>
          <w:headerReference r:id="rId7" w:type="default"/>
          <w:footerReference r:id="rId8" w:type="default"/>
          <w:pgSz w:w="11907" w:h="16840"/>
          <w:pgMar w:top="1304" w:right="1418" w:bottom="1304" w:left="1418" w:header="724" w:footer="851" w:gutter="0"/>
          <w:cols w:space="720" w:num="1"/>
          <w:docGrid w:linePitch="290" w:charSpace="-3931"/>
        </w:sectPr>
      </w:pPr>
    </w:p>
    <w:p>
      <w:pPr>
        <w:pStyle w:val="21"/>
        <w:numPr>
          <w:ilvl w:val="255"/>
          <w:numId w:val="0"/>
        </w:numPr>
        <w:jc w:val="center"/>
        <w:outlineLvl w:val="0"/>
        <w:rPr>
          <w:rFonts w:ascii="Calibri" w:hAnsi="Calibri" w:eastAsia="宋体" w:cs="Times New Roman"/>
          <w:b/>
          <w:bCs/>
          <w:kern w:val="44"/>
          <w:sz w:val="36"/>
          <w:szCs w:val="44"/>
        </w:rPr>
      </w:pPr>
      <w:bookmarkStart w:id="27" w:name="_Toc22879"/>
      <w:r>
        <w:rPr>
          <w:rFonts w:hint="eastAsia" w:ascii="Calibri" w:hAnsi="Calibri" w:eastAsia="宋体" w:cs="Times New Roman"/>
          <w:b/>
          <w:bCs/>
          <w:kern w:val="44"/>
          <w:sz w:val="36"/>
          <w:szCs w:val="44"/>
        </w:rPr>
        <w:t>第三部分 投标文件编制</w:t>
      </w:r>
      <w:bookmarkEnd w:id="27"/>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一、投标文件的编制</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1.投标人应认真阅读招标文件的所有内容，按招标文件的要求提供投标文件，并保证提供的全部资料的真实性，以使其投标对招标文件作出实质性响应，否则，其投标将被拒绝。</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2.投标文件和与投标有关的所有文件均应使用中文。</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3.除投标文件的技术规格中另有规定外，投标文件中所使用的计量单位应为中华人民共和国法定计量单位。</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二、投标文件资料</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1.投标人所投标设备详细技术资料清单，在标书中列示说明；</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2.投标人完整的技术支持与售后服务实施方案，在标书中列示说明，包含但不限于以下内容：</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B、售后服务机构或网点（名称、地址、联系人、电话）。</w:t>
      </w:r>
    </w:p>
    <w:p>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color w:val="000000"/>
          <w:sz w:val="24"/>
          <w:szCs w:val="24"/>
        </w:rPr>
        <w:t>C、针对本项目的技术服务团队情况（人员数量、姓名、电话、专业资质等）。</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D、日常维护保养及故障排除措施保证。</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color w:val="000000"/>
          <w:sz w:val="24"/>
          <w:szCs w:val="24"/>
        </w:rPr>
        <w:t>3.投标人关于包装、运输、检验、交付、安装、调试、培训等方案，均需在投标文件中列示说明。</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三、投标文件的组成</w:t>
      </w:r>
    </w:p>
    <w:p>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sz w:val="24"/>
          <w:szCs w:val="24"/>
        </w:rPr>
        <w:t>本项目投标文件分为</w:t>
      </w:r>
      <w:r>
        <w:rPr>
          <w:rFonts w:hint="eastAsia" w:ascii="宋体" w:hAnsi="宋体" w:eastAsia="宋体" w:cs="宋体"/>
          <w:b/>
          <w:sz w:val="24"/>
          <w:szCs w:val="24"/>
        </w:rPr>
        <w:t>纸质版</w:t>
      </w:r>
      <w:r>
        <w:rPr>
          <w:rFonts w:hint="eastAsia" w:ascii="宋体" w:hAnsi="宋体" w:eastAsia="宋体" w:cs="宋体"/>
          <w:bCs/>
          <w:sz w:val="24"/>
          <w:szCs w:val="24"/>
        </w:rPr>
        <w:t>投标文件和</w:t>
      </w:r>
      <w:r>
        <w:rPr>
          <w:rFonts w:hint="eastAsia" w:ascii="宋体" w:hAnsi="宋体" w:eastAsia="宋体" w:cs="宋体"/>
          <w:b/>
          <w:sz w:val="24"/>
          <w:szCs w:val="24"/>
        </w:rPr>
        <w:t>电子版</w:t>
      </w:r>
      <w:r>
        <w:rPr>
          <w:rFonts w:hint="eastAsia" w:ascii="宋体" w:hAnsi="宋体" w:eastAsia="宋体" w:cs="宋体"/>
          <w:bCs/>
          <w:sz w:val="24"/>
          <w:szCs w:val="24"/>
        </w:rPr>
        <w:t>投标文件（</w:t>
      </w:r>
      <w:r>
        <w:rPr>
          <w:rFonts w:hint="eastAsia" w:ascii="宋体" w:hAnsi="宋体" w:eastAsia="宋体" w:cs="宋体"/>
          <w:bCs/>
          <w:sz w:val="24"/>
          <w:szCs w:val="24"/>
          <w:highlight w:val="yellow"/>
        </w:rPr>
        <w:t>电子版投标文件为纸质盖章版的扫描件</w:t>
      </w:r>
      <w:r>
        <w:rPr>
          <w:rFonts w:hint="eastAsia" w:eastAsia="宋体" w:cs="宋体"/>
          <w:bCs/>
          <w:sz w:val="24"/>
          <w:szCs w:val="24"/>
          <w:highlight w:val="yellow"/>
        </w:rPr>
        <w:t>或加盖电子章</w:t>
      </w:r>
      <w:r>
        <w:rPr>
          <w:rFonts w:hint="eastAsia" w:ascii="宋体" w:hAnsi="宋体" w:eastAsia="宋体" w:cs="宋体"/>
          <w:bCs/>
          <w:sz w:val="24"/>
          <w:szCs w:val="24"/>
          <w:highlight w:val="yellow"/>
        </w:rPr>
        <w:t>，不盖章无效</w:t>
      </w:r>
      <w:r>
        <w:rPr>
          <w:rFonts w:hint="eastAsia" w:ascii="宋体" w:hAnsi="宋体" w:eastAsia="宋体" w:cs="宋体"/>
          <w:bCs/>
          <w:sz w:val="24"/>
          <w:szCs w:val="24"/>
        </w:rPr>
        <w:t>），均由</w:t>
      </w:r>
      <w:r>
        <w:rPr>
          <w:rFonts w:hint="eastAsia" w:ascii="宋体" w:hAnsi="宋体" w:eastAsia="宋体" w:cs="宋体"/>
          <w:b/>
          <w:sz w:val="24"/>
          <w:szCs w:val="24"/>
        </w:rPr>
        <w:t>《投标文件（资质标）》、《投标文件（技术标）》、《投标文件（商务标）》（开标一览表）</w:t>
      </w:r>
      <w:r>
        <w:rPr>
          <w:rFonts w:hint="eastAsia" w:ascii="宋体" w:hAnsi="宋体" w:eastAsia="宋体" w:cs="宋体"/>
          <w:bCs/>
          <w:sz w:val="24"/>
          <w:szCs w:val="24"/>
        </w:rPr>
        <w:t>文件组成，共计3</w:t>
      </w:r>
      <w:r>
        <w:rPr>
          <w:rFonts w:hint="eastAsia" w:ascii="宋体" w:hAnsi="宋体" w:eastAsia="宋体" w:cs="宋体"/>
          <w:bCs/>
          <w:color w:val="000000"/>
          <w:sz w:val="24"/>
          <w:szCs w:val="24"/>
        </w:rPr>
        <w:t>个文件。</w:t>
      </w:r>
    </w:p>
    <w:p>
      <w:pPr>
        <w:spacing w:line="360" w:lineRule="auto"/>
        <w:ind w:firstLine="482" w:firstLineChars="200"/>
        <w:rPr>
          <w:rFonts w:hint="eastAsia" w:ascii="宋体" w:hAnsi="宋体" w:eastAsia="宋体" w:cs="宋体"/>
          <w:bCs/>
          <w:color w:val="000000"/>
          <w:sz w:val="24"/>
          <w:szCs w:val="24"/>
        </w:rPr>
      </w:pPr>
      <w:r>
        <w:rPr>
          <w:rFonts w:hint="eastAsia" w:ascii="宋体" w:hAnsi="宋体" w:eastAsia="宋体" w:cs="宋体"/>
          <w:b/>
          <w:color w:val="000000"/>
          <w:sz w:val="24"/>
          <w:szCs w:val="24"/>
        </w:rPr>
        <w:t>投标文件的份数要求及投递方式</w:t>
      </w:r>
      <w:r>
        <w:rPr>
          <w:rFonts w:hint="eastAsia" w:ascii="宋体" w:hAnsi="宋体" w:eastAsia="宋体" w:cs="宋体"/>
          <w:bCs/>
          <w:color w:val="000000"/>
          <w:sz w:val="24"/>
          <w:szCs w:val="24"/>
        </w:rPr>
        <w:t>，见《投标须知前附表》第3条。</w:t>
      </w:r>
    </w:p>
    <w:p>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color w:val="000000"/>
          <w:sz w:val="24"/>
          <w:szCs w:val="24"/>
        </w:rPr>
        <w:t>详见附件格式1—13，其余未尽事宜请按各单位习惯制定即可。</w:t>
      </w:r>
    </w:p>
    <w:p>
      <w:pPr>
        <w:spacing w:line="360" w:lineRule="auto"/>
        <w:ind w:firstLine="482" w:firstLineChars="200"/>
        <w:rPr>
          <w:rFonts w:hint="eastAsia" w:ascii="宋体" w:hAnsi="宋体" w:eastAsia="宋体" w:cs="宋体"/>
          <w:color w:val="000000"/>
          <w:sz w:val="24"/>
          <w:szCs w:val="24"/>
        </w:rPr>
      </w:pPr>
      <w:r>
        <w:rPr>
          <w:rFonts w:hint="eastAsia" w:ascii="宋体" w:hAnsi="宋体" w:eastAsia="宋体" w:cs="宋体"/>
          <w:b/>
          <w:bCs/>
          <w:sz w:val="24"/>
          <w:szCs w:val="24"/>
        </w:rPr>
        <w:t>1.《投标文件（资质标）》包括</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1.1营业执照副本复印件（需加盖公章）；</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1.2投标函（附件1）；</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1.3法定代表人授权书（附件2）；法定代表人参加投标的，提供法人身份证明文件即可；被授权人参加投标的，需提供法定代表人授权委托书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（含法人身份证和被授权人身份证正反面复印件）和</w:t>
      </w:r>
      <w:r>
        <w:rPr>
          <w:rFonts w:hint="eastAsia" w:ascii="宋体" w:hAnsi="宋体" w:eastAsia="宋体" w:cs="宋体"/>
          <w:sz w:val="24"/>
          <w:szCs w:val="24"/>
          <w:highlight w:val="yellow"/>
        </w:rPr>
        <w:t>被授权人</w:t>
      </w:r>
      <w:r>
        <w:rPr>
          <w:rFonts w:hint="eastAsia" w:ascii="宋体" w:hAnsi="宋体" w:eastAsia="宋体" w:cs="宋体"/>
          <w:kern w:val="0"/>
          <w:sz w:val="24"/>
          <w:szCs w:val="24"/>
          <w:highlight w:val="yellow"/>
          <w:lang w:bidi="en-US"/>
        </w:rPr>
        <w:t>近6个月及以上在授权单位的社保缴纳证明</w:t>
      </w:r>
      <w:r>
        <w:rPr>
          <w:rFonts w:hint="eastAsia" w:ascii="宋体" w:hAnsi="宋体" w:eastAsia="宋体" w:cs="宋体"/>
          <w:b/>
          <w:color w:val="000000"/>
          <w:sz w:val="24"/>
          <w:szCs w:val="24"/>
        </w:rPr>
        <w:t>；</w:t>
      </w:r>
      <w:r>
        <w:rPr>
          <w:rFonts w:hint="eastAsia" w:ascii="宋体" w:hAnsi="宋体" w:eastAsia="宋体" w:cs="宋体"/>
          <w:color w:val="000000"/>
          <w:sz w:val="24"/>
          <w:szCs w:val="24"/>
          <w:highlight w:val="yellow"/>
        </w:rPr>
        <w:t>国内拟投标人具有依法缴纳社会保障资金的良好记录，社保缴纳人数需≥100人（提供2025年6月份社会保险的凭据证明材料复印件）；国外品牌具备良好的信用和业绩</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b/>
          <w:color w:val="000000"/>
          <w:sz w:val="24"/>
          <w:szCs w:val="24"/>
          <w:highlight w:val="yellow"/>
        </w:rPr>
      </w:pPr>
      <w:r>
        <w:rPr>
          <w:rFonts w:hint="eastAsia" w:ascii="宋体" w:hAnsi="宋体" w:eastAsia="宋体" w:cs="宋体"/>
          <w:color w:val="000000"/>
          <w:sz w:val="24"/>
          <w:szCs w:val="24"/>
        </w:rPr>
        <w:t>1.4近三年经第三方机构审计的财务报表（报告页、资产负债表、损益表、现金流量表）复印件（需加盖公章），必须连续，同时填写投标人基本情况表（附件3）</w:t>
      </w:r>
      <w:r>
        <w:rPr>
          <w:rFonts w:hint="eastAsia" w:hAnsi="宋体" w:eastAsia="宋体" w:cs="宋体"/>
          <w:color w:val="000000"/>
          <w:sz w:val="24"/>
          <w:szCs w:val="24"/>
          <w:highlight w:val="yellow"/>
        </w:rPr>
        <w:t>；</w:t>
      </w:r>
      <w:r>
        <w:rPr>
          <w:rFonts w:hint="eastAsia" w:ascii="宋体" w:hAnsi="宋体" w:eastAsia="宋体" w:cs="仿宋_GB2312"/>
          <w:sz w:val="24"/>
          <w:szCs w:val="24"/>
          <w:highlight w:val="yellow"/>
        </w:rPr>
        <w:t>拟投标人必须为国内外知名品牌；截至2025年8月，具有5年以上充放电设备完全自主设计及生产制造能力。本项目不接受代理商或贸易商参与投标，且必须通过ISO9001、ISO14001等质量体系认证，环境管理体系认证和高新技术企业证（提供复印件并加盖公章）</w:t>
      </w:r>
      <w:r>
        <w:rPr>
          <w:rFonts w:hint="eastAsia" w:ascii="宋体" w:hAnsi="宋体" w:eastAsia="宋体" w:cs="Times New Roman"/>
          <w:sz w:val="24"/>
          <w:szCs w:val="24"/>
          <w:highlight w:val="yellow"/>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1.5近三年内在经营活动中</w:t>
      </w:r>
      <w:r>
        <w:rPr>
          <w:rFonts w:hint="eastAsia" w:hAnsi="宋体" w:eastAsia="宋体" w:cs="宋体"/>
          <w:color w:val="000000"/>
          <w:sz w:val="24"/>
          <w:szCs w:val="24"/>
        </w:rPr>
        <w:t>无与本项目有关的违法及重大违规</w:t>
      </w:r>
      <w:r>
        <w:rPr>
          <w:rFonts w:hint="eastAsia" w:ascii="宋体" w:hAnsi="宋体" w:eastAsia="宋体" w:cs="宋体"/>
          <w:color w:val="000000"/>
          <w:sz w:val="24"/>
          <w:szCs w:val="24"/>
        </w:rPr>
        <w:t>行为的声明；</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1.6</w:t>
      </w:r>
      <w:r>
        <w:rPr>
          <w:rFonts w:hint="eastAsia" w:ascii="宋体" w:hAnsi="宋体" w:eastAsia="宋体" w:cs="Times New Roman"/>
          <w:sz w:val="24"/>
          <w:szCs w:val="24"/>
        </w:rPr>
        <w:t>投标方信用记录良好，无失信被执行人记录、无采购违法、受行政处罚等行为。（提供在信用中国官网、中国政府采购网、中国执行信息公开网、国家税务总局网站的信息查询结果截屏，并加盖单位公章，做入投标文件中</w:t>
      </w:r>
      <w:r>
        <w:rPr>
          <w:rFonts w:hint="eastAsia" w:ascii="宋体" w:hAnsi="宋体" w:eastAsia="宋体" w:cs="宋体"/>
          <w:color w:val="000000"/>
          <w:sz w:val="24"/>
          <w:szCs w:val="24"/>
        </w:rPr>
        <w:t>；</w:t>
      </w:r>
      <w:r>
        <w:rPr>
          <w:rFonts w:hint="eastAsia" w:ascii="宋体" w:hAnsi="宋体" w:eastAsia="宋体" w:cs="宋体"/>
          <w:color w:val="000000"/>
          <w:sz w:val="24"/>
          <w:szCs w:val="24"/>
          <w:highlight w:val="yellow"/>
        </w:rPr>
        <w:t>（附投标当日系统内相关截图）；</w:t>
      </w:r>
    </w:p>
    <w:p>
      <w:pPr>
        <w:spacing w:line="360" w:lineRule="auto"/>
        <w:ind w:firstLine="480" w:firstLineChars="200"/>
        <w:rPr>
          <w:rFonts w:hint="eastAsia"/>
        </w:rPr>
      </w:pPr>
      <w:r>
        <w:rPr>
          <w:rFonts w:hint="eastAsia" w:ascii="宋体" w:hAnsi="宋体" w:eastAsia="宋体" w:cs="宋体"/>
          <w:color w:val="000000"/>
          <w:sz w:val="24"/>
          <w:szCs w:val="24"/>
        </w:rPr>
        <w:t>1.7</w:t>
      </w:r>
      <w:r>
        <w:rPr>
          <w:rFonts w:ascii="宋体" w:hAnsi="宋体" w:eastAsia="宋体" w:cs="宋体"/>
          <w:sz w:val="24"/>
          <w:szCs w:val="24"/>
        </w:rPr>
        <w:t>企业对外担保说明</w:t>
      </w:r>
      <w:r>
        <w:rPr>
          <w:rFonts w:ascii="宋体" w:hAnsi="宋体" w:eastAsia="宋体" w:cs="宋体"/>
          <w:sz w:val="24"/>
          <w:szCs w:val="24"/>
          <w:highlight w:val="yellow"/>
        </w:rPr>
        <w:t>（写明贵单位对外有无对外担保和质押业务，需加盖公章）</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1.8企业信用证明材料</w:t>
      </w:r>
      <w:r>
        <w:rPr>
          <w:rFonts w:hint="eastAsia" w:ascii="宋体" w:hAnsi="宋体" w:eastAsia="宋体" w:cs="宋体"/>
          <w:color w:val="000000"/>
          <w:sz w:val="24"/>
          <w:szCs w:val="24"/>
          <w:highlight w:val="yellow"/>
        </w:rPr>
        <w:t>（信用报告）</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1.9</w:t>
      </w:r>
      <w:r>
        <w:rPr>
          <w:rFonts w:hint="eastAsia" w:ascii="宋体" w:hAnsi="宋体" w:eastAsia="宋体" w:cs="宋体"/>
          <w:sz w:val="24"/>
          <w:szCs w:val="24"/>
        </w:rPr>
        <w:t>投标方在本项目所使用控制软件必须具备完全的自主知识产权，投标方需提供相关证明材料，包括软件的专利证书、著作权登记证明等，以证明其软件具备自主知识产权</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1.10企业最近半年的完税证明，并附</w:t>
      </w:r>
      <w:r>
        <w:rPr>
          <w:rFonts w:ascii="宋体" w:hAnsi="宋体" w:eastAsia="宋体" w:cs="宋体"/>
          <w:sz w:val="24"/>
          <w:szCs w:val="24"/>
        </w:rPr>
        <w:t>年度纳税信用评价信息（可从电子税务局查询截图，需加盖公章）</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1.11保密承诺函（附件4）；</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highlight w:val="yellow"/>
        </w:rPr>
        <w:t>.12 2023年8月1日至今，企业同类项目业绩证明，</w:t>
      </w:r>
      <w:r>
        <w:rPr>
          <w:rFonts w:ascii="宋体" w:hAnsi="宋体" w:eastAsia="宋体" w:cs="宋体"/>
          <w:sz w:val="24"/>
          <w:szCs w:val="24"/>
          <w:highlight w:val="yellow"/>
        </w:rPr>
        <w:t>须提供</w:t>
      </w:r>
      <w:r>
        <w:rPr>
          <w:rFonts w:hint="eastAsia" w:hAnsi="宋体" w:eastAsia="宋体" w:cs="宋体"/>
          <w:b/>
          <w:bCs/>
          <w:color w:val="000000"/>
          <w:kern w:val="0"/>
          <w:sz w:val="24"/>
          <w:szCs w:val="24"/>
          <w:highlight w:val="yellow"/>
        </w:rPr>
        <w:t>用户清单</w:t>
      </w:r>
      <w:r>
        <w:rPr>
          <w:rFonts w:ascii="宋体" w:hAnsi="宋体" w:eastAsia="宋体" w:cs="宋体"/>
          <w:sz w:val="24"/>
          <w:szCs w:val="24"/>
          <w:highlight w:val="yellow"/>
        </w:rPr>
        <w:t>、采购合同</w:t>
      </w:r>
      <w:r>
        <w:rPr>
          <w:rFonts w:hint="eastAsia" w:ascii="宋体" w:hAnsi="宋体" w:eastAsia="宋体" w:cs="宋体"/>
          <w:sz w:val="24"/>
          <w:szCs w:val="24"/>
          <w:highlight w:val="yellow"/>
        </w:rPr>
        <w:t>复印件</w:t>
      </w:r>
      <w:r>
        <w:rPr>
          <w:rFonts w:hint="eastAsia" w:ascii="宋体" w:hAnsi="宋体" w:eastAsia="宋体" w:cs="宋体"/>
          <w:color w:val="000000"/>
          <w:sz w:val="24"/>
          <w:szCs w:val="24"/>
          <w:highlight w:val="yellow"/>
        </w:rPr>
        <w:t>；且</w:t>
      </w:r>
      <w:r>
        <w:rPr>
          <w:rFonts w:hint="eastAsia" w:ascii="宋体" w:hAnsi="宋体" w:eastAsia="宋体" w:cs="仿宋_GB2312"/>
          <w:sz w:val="24"/>
          <w:szCs w:val="24"/>
          <w:highlight w:val="yellow"/>
        </w:rPr>
        <w:t>拟投标人在国家级权威检测机构或整车企业至少有10份1MW测试设备业绩，其中至少1份业绩不低于400万元</w:t>
      </w:r>
      <w:r>
        <w:rPr>
          <w:rFonts w:hint="eastAsia" w:ascii="宋体" w:hAnsi="宋体" w:eastAsia="宋体" w:cs="宋体"/>
          <w:color w:val="FF0000"/>
          <w:sz w:val="24"/>
          <w:szCs w:val="24"/>
          <w:highlight w:val="yellow"/>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1.13投标保证金缴纳凭证，同时</w:t>
      </w:r>
      <w:r>
        <w:rPr>
          <w:rFonts w:hint="eastAsia" w:ascii="宋体" w:hAnsi="宋体" w:eastAsia="宋体" w:cs="宋体"/>
          <w:color w:val="000000"/>
          <w:sz w:val="24"/>
          <w:szCs w:val="24"/>
          <w:highlight w:val="yellow"/>
        </w:rPr>
        <w:t>正文描述付款账号、户名、开户行名称、开户行行号、保证金金额</w:t>
      </w:r>
      <w:r>
        <w:rPr>
          <w:rFonts w:hint="eastAsia" w:ascii="宋体" w:hAnsi="宋体" w:eastAsia="宋体" w:cs="宋体"/>
          <w:color w:val="000000"/>
          <w:sz w:val="24"/>
          <w:szCs w:val="24"/>
        </w:rPr>
        <w:t>。</w:t>
      </w:r>
    </w:p>
    <w:p>
      <w:pPr>
        <w:spacing w:line="360" w:lineRule="auto"/>
        <w:ind w:firstLine="482" w:firstLineChars="200"/>
        <w:rPr>
          <w:rFonts w:hint="eastAsia" w:ascii="宋体" w:hAnsi="宋体" w:eastAsia="宋体" w:cs="宋体"/>
          <w:b/>
          <w:bCs/>
          <w:sz w:val="24"/>
          <w:szCs w:val="24"/>
        </w:rPr>
      </w:pPr>
      <w:bookmarkStart w:id="28" w:name="_Toc212369515"/>
      <w:r>
        <w:rPr>
          <w:rFonts w:hint="eastAsia" w:ascii="宋体" w:hAnsi="宋体" w:eastAsia="宋体" w:cs="宋体"/>
          <w:b/>
          <w:bCs/>
          <w:sz w:val="24"/>
          <w:szCs w:val="24"/>
        </w:rPr>
        <w:t>2.</w:t>
      </w:r>
      <w:r>
        <w:rPr>
          <w:rFonts w:hint="eastAsia" w:ascii="宋体" w:hAnsi="宋体" w:eastAsia="宋体" w:cs="宋体"/>
          <w:b/>
          <w:sz w:val="24"/>
          <w:szCs w:val="24"/>
        </w:rPr>
        <w:t>《投标文件（技术标）》</w:t>
      </w:r>
      <w:r>
        <w:rPr>
          <w:rFonts w:hint="eastAsia" w:ascii="宋体" w:hAnsi="宋体" w:eastAsia="宋体" w:cs="宋体"/>
          <w:b/>
          <w:bCs/>
          <w:sz w:val="24"/>
          <w:szCs w:val="24"/>
        </w:rPr>
        <w:t>：</w:t>
      </w:r>
      <w:bookmarkEnd w:id="28"/>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2.1技术规格偏离表（附件5-1），</w:t>
      </w:r>
      <w:r>
        <w:rPr>
          <w:rFonts w:hint="eastAsia" w:ascii="宋体" w:hAnsi="宋体" w:eastAsia="宋体" w:cs="宋体"/>
          <w:b/>
          <w:color w:val="000000"/>
          <w:sz w:val="24"/>
          <w:szCs w:val="24"/>
        </w:rPr>
        <w:t>必须先进行两列要求一一对照，不允许直接写无偏离；</w:t>
      </w:r>
    </w:p>
    <w:p>
      <w:pPr>
        <w:spacing w:line="360" w:lineRule="auto"/>
        <w:ind w:firstLine="480" w:firstLineChars="200"/>
        <w:rPr>
          <w:rFonts w:hint="eastAsia" w:hAnsi="宋体" w:eastAsia="宋体" w:cs="宋体"/>
          <w:b/>
          <w:color w:val="000000"/>
          <w:sz w:val="24"/>
          <w:szCs w:val="24"/>
          <w:highlight w:val="yellow"/>
        </w:rPr>
      </w:pPr>
      <w:r>
        <w:rPr>
          <w:rFonts w:hint="eastAsia" w:ascii="宋体" w:hAnsi="宋体" w:eastAsia="宋体" w:cs="宋体"/>
          <w:bCs/>
          <w:color w:val="000000"/>
          <w:sz w:val="24"/>
          <w:szCs w:val="24"/>
        </w:rPr>
        <w:t>2.2</w:t>
      </w:r>
      <w:r>
        <w:rPr>
          <w:rFonts w:hint="eastAsia" w:hAnsi="宋体" w:eastAsia="宋体" w:cs="宋体"/>
          <w:color w:val="000000"/>
          <w:sz w:val="24"/>
          <w:szCs w:val="24"/>
          <w:highlight w:val="yellow"/>
        </w:rPr>
        <w:t>设备分项配置表（附件5-2），列明项目设备分项配置规格型号、品牌等信息（要求分项明细与附表9-1完全对应）</w:t>
      </w:r>
      <w:r>
        <w:rPr>
          <w:rFonts w:hint="eastAsia" w:hAnsi="宋体" w:eastAsia="宋体" w:cs="宋体"/>
          <w:b/>
          <w:color w:val="000000"/>
          <w:sz w:val="24"/>
          <w:szCs w:val="24"/>
          <w:highlight w:val="yellow"/>
        </w:rPr>
        <w:t>；</w:t>
      </w:r>
    </w:p>
    <w:p>
      <w:pPr>
        <w:spacing w:line="360" w:lineRule="auto"/>
        <w:ind w:firstLine="480" w:firstLineChars="200"/>
        <w:rPr>
          <w:rFonts w:hint="eastAsia" w:hAnsi="宋体" w:eastAsia="宋体" w:cs="宋体"/>
          <w:b/>
          <w:color w:val="000000"/>
          <w:sz w:val="24"/>
          <w:szCs w:val="24"/>
          <w:highlight w:val="yellow"/>
        </w:rPr>
      </w:pPr>
      <w:r>
        <w:rPr>
          <w:rFonts w:hint="eastAsia" w:ascii="宋体" w:hAnsi="宋体" w:eastAsia="宋体" w:cs="宋体"/>
          <w:bCs/>
          <w:color w:val="000000"/>
          <w:sz w:val="24"/>
          <w:szCs w:val="24"/>
        </w:rPr>
        <w:t>2.3</w:t>
      </w:r>
      <w:r>
        <w:rPr>
          <w:rFonts w:hint="eastAsia" w:ascii="宋体" w:hAnsi="宋体" w:eastAsia="宋体" w:cs="宋体"/>
          <w:b/>
          <w:bCs/>
          <w:kern w:val="0"/>
          <w:sz w:val="24"/>
          <w:szCs w:val="20"/>
        </w:rPr>
        <w:t>提供本项目生命周期内所涉及到所有备品备件、易损件和专用耗材明细表（附件5-3），用于质保期外，招标人能够根据清单快速找到同规格产品。</w:t>
      </w:r>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2.4提供</w:t>
      </w:r>
      <w:r>
        <w:rPr>
          <w:rFonts w:hint="eastAsia" w:ascii="宋体" w:hAnsi="宋体" w:eastAsia="宋体" w:cs="宋体"/>
          <w:color w:val="000000"/>
          <w:sz w:val="24"/>
          <w:szCs w:val="24"/>
          <w:highlight w:val="yellow"/>
        </w:rPr>
        <w:t>2023年8月1日</w:t>
      </w:r>
      <w:r>
        <w:rPr>
          <w:rFonts w:hint="eastAsia" w:ascii="宋体" w:hAnsi="宋体" w:eastAsia="宋体" w:cs="宋体"/>
          <w:color w:val="000000"/>
          <w:sz w:val="24"/>
          <w:szCs w:val="24"/>
        </w:rPr>
        <w:t>以来同类产品的制造销售业绩（附件6，用户名单、联系方式），并附合同复印件。该同类项目业绩一览表必</w:t>
      </w:r>
      <w:r>
        <w:rPr>
          <w:rFonts w:hint="eastAsia" w:ascii="宋体" w:hAnsi="宋体" w:eastAsia="宋体" w:cs="宋体"/>
          <w:b/>
          <w:bCs/>
          <w:color w:val="000000"/>
          <w:sz w:val="24"/>
          <w:szCs w:val="24"/>
        </w:rPr>
        <w:t>须如实填写，应全尽全</w:t>
      </w:r>
      <w:r>
        <w:rPr>
          <w:rFonts w:hint="eastAsia" w:ascii="宋体" w:hAnsi="宋体" w:eastAsia="宋体" w:cs="宋体"/>
          <w:color w:val="000000"/>
          <w:sz w:val="24"/>
          <w:szCs w:val="24"/>
        </w:rPr>
        <w:t>；</w:t>
      </w:r>
      <w:r>
        <w:rPr>
          <w:rFonts w:hint="eastAsia" w:ascii="宋体" w:hAnsi="宋体" w:eastAsia="宋体" w:cs="宋体"/>
          <w:b/>
          <w:bCs/>
          <w:color w:val="000000"/>
          <w:sz w:val="24"/>
          <w:szCs w:val="24"/>
        </w:rPr>
        <w:t>一览表最终的所有业绩合同总额汇总必填</w:t>
      </w:r>
      <w:r>
        <w:rPr>
          <w:rFonts w:hint="eastAsia" w:ascii="宋体" w:hAnsi="宋体" w:eastAsia="宋体" w:cs="宋体"/>
          <w:color w:val="000000"/>
          <w:sz w:val="24"/>
          <w:szCs w:val="24"/>
        </w:rPr>
        <w:t>，数据将影响现场评标专家组对投标单位的业绩考评；</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2.5供货期及保证措施；</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2.6产品的技术服务和售后服务内容及措施；</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2.7交货进度及计划；</w:t>
      </w:r>
    </w:p>
    <w:p>
      <w:pPr>
        <w:spacing w:line="360" w:lineRule="auto"/>
        <w:ind w:firstLine="480" w:firstLineChars="200"/>
        <w:rPr>
          <w:rFonts w:hint="eastAsia" w:ascii="宋体" w:hAnsi="宋体" w:eastAsia="宋体" w:cs="宋体"/>
          <w:color w:val="000000"/>
          <w:sz w:val="24"/>
          <w:szCs w:val="24"/>
        </w:rPr>
      </w:pPr>
      <w:bookmarkStart w:id="29" w:name="_Toc536542319"/>
      <w:r>
        <w:rPr>
          <w:rFonts w:hint="eastAsia" w:ascii="宋体" w:hAnsi="宋体" w:eastAsia="宋体" w:cs="宋体"/>
          <w:color w:val="000000"/>
          <w:sz w:val="24"/>
          <w:szCs w:val="24"/>
        </w:rPr>
        <w:t>2.8投标产品技术支持材料</w:t>
      </w:r>
      <w:bookmarkEnd w:id="29"/>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2.9设备质量承诺函（附件7）；</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2.10投标人需提交的其它资料；</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2.10投标人需提交的其它资料。</w:t>
      </w:r>
    </w:p>
    <w:p>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3.</w:t>
      </w:r>
      <w:r>
        <w:rPr>
          <w:rFonts w:hint="eastAsia" w:ascii="宋体" w:hAnsi="宋体" w:eastAsia="宋体" w:cs="宋体"/>
          <w:b/>
          <w:sz w:val="24"/>
          <w:szCs w:val="24"/>
        </w:rPr>
        <w:t>《投标文件（商务标）》（开标一览表）</w:t>
      </w:r>
      <w:r>
        <w:rPr>
          <w:rFonts w:hint="eastAsia" w:ascii="宋体" w:hAnsi="宋体" w:eastAsia="宋体" w:cs="宋体"/>
          <w:b/>
          <w:bCs/>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3.1开标一览表（附件8）；</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3.2投标报价明细表（附件9-1至9-5）</w:t>
      </w:r>
      <w:r>
        <w:rPr>
          <w:rFonts w:hint="eastAsia" w:ascii="宋体" w:hAnsi="宋体" w:eastAsia="宋体" w:cs="宋体"/>
          <w:b/>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3.3商务条款偏离表（附件10）</w:t>
      </w:r>
      <w:bookmarkStart w:id="30" w:name="OLE_LINK19"/>
      <w:bookmarkStart w:id="31" w:name="OLE_LINK18"/>
      <w:r>
        <w:rPr>
          <w:rFonts w:hint="eastAsia" w:ascii="宋体" w:hAnsi="宋体" w:eastAsia="宋体" w:cs="宋体"/>
          <w:b/>
          <w:color w:val="000000"/>
          <w:sz w:val="24"/>
          <w:szCs w:val="24"/>
        </w:rPr>
        <w:t>；</w:t>
      </w:r>
      <w:bookmarkEnd w:id="30"/>
      <w:bookmarkEnd w:id="31"/>
      <w:r>
        <w:rPr>
          <w:rFonts w:hint="eastAsia" w:ascii="宋体" w:hAnsi="宋体" w:eastAsia="宋体" w:cs="宋体"/>
          <w:color w:val="000000"/>
          <w:sz w:val="24"/>
          <w:szCs w:val="24"/>
        </w:rPr>
        <w:t xml:space="preserve"> </w:t>
      </w:r>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3.4投标人承诺（附件11）</w:t>
      </w:r>
      <w:r>
        <w:rPr>
          <w:rFonts w:hint="eastAsia" w:ascii="宋体" w:hAnsi="宋体" w:eastAsia="宋体" w:cs="宋体"/>
          <w:b/>
          <w:color w:val="000000"/>
          <w:sz w:val="24"/>
          <w:szCs w:val="24"/>
        </w:rPr>
        <w:t>；</w:t>
      </w:r>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3.5服务承诺函（附件12），</w:t>
      </w:r>
      <w:r>
        <w:rPr>
          <w:rFonts w:hint="eastAsia" w:ascii="宋体" w:hAnsi="宋体" w:eastAsia="宋体" w:cs="宋体"/>
          <w:b/>
          <w:color w:val="000000"/>
          <w:sz w:val="24"/>
          <w:szCs w:val="24"/>
        </w:rPr>
        <w:t>需写明质保期以外服务费用情况</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3.6按招标文件投标人须知和技术规格书中要求提供的有关文件。</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四、投标文件格式</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详见第六部分投标文件附件格式1—13，其余未尽事宜请按各单位习惯制定即可。</w:t>
      </w:r>
    </w:p>
    <w:p>
      <w:pPr>
        <w:pStyle w:val="21"/>
        <w:jc w:val="center"/>
        <w:rPr>
          <w:rFonts w:ascii="Calibri" w:hAnsi="Calibri" w:eastAsia="宋体" w:cs="Times New Roman"/>
          <w:b/>
          <w:bCs/>
          <w:kern w:val="44"/>
          <w:sz w:val="36"/>
          <w:szCs w:val="44"/>
        </w:rPr>
        <w:sectPr>
          <w:pgSz w:w="11907" w:h="16840"/>
          <w:pgMar w:top="1304" w:right="1418" w:bottom="1304" w:left="1418" w:header="724" w:footer="851" w:gutter="0"/>
          <w:cols w:space="720" w:num="1"/>
          <w:docGrid w:linePitch="290" w:charSpace="-3931"/>
        </w:sectPr>
      </w:pPr>
    </w:p>
    <w:bookmarkEnd w:id="0"/>
    <w:bookmarkEnd w:id="1"/>
    <w:p>
      <w:pPr>
        <w:keepNext/>
        <w:keepLines/>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第四部分 技术标书</w:t>
      </w:r>
    </w:p>
    <w:p>
      <w:pPr>
        <w:pStyle w:val="21"/>
      </w:pPr>
    </w:p>
    <w:p>
      <w:pPr>
        <w:rPr>
          <w:rFonts w:hint="eastAsia" w:asciiTheme="minorEastAsia" w:hAnsiTheme="minorEastAsia" w:cstheme="minorEastAsia"/>
          <w:sz w:val="20"/>
          <w:szCs w:val="20"/>
        </w:rPr>
      </w:pPr>
      <w:r>
        <w:rPr>
          <w:rFonts w:hint="eastAsia" w:ascii="仿宋_GB2312" w:hAnsi="仿宋_GB2312" w:eastAsia="仿宋_GB2312" w:cs="仿宋_GB2312"/>
          <w:b/>
          <w:color w:val="000000" w:themeColor="text1"/>
          <w:sz w:val="28"/>
          <w:szCs w:val="28"/>
          <w:lang w:val="en-US" w:eastAsia="zh-CN"/>
          <w14:textFill>
            <w14:solidFill>
              <w14:schemeClr w14:val="tx1"/>
            </w14:solidFill>
          </w14:textFill>
        </w:rPr>
        <w:t xml:space="preserve">                                                                                                                                                                                                                                                                                                                                                                                                                                                                                                                                                                                                                                                                                                                                                                                                                                                                                                                                                                                                                                                                                                                                                                                                                                                                                                                                                                                                                                                                                                                                                                                                                                                                                                                                                                                                                                                                                                                                                                                                                                                                                                                                                                                                                                                                                                                                                                                                                                                                                                                                                                                                                                                                                                                                                                                                                                                                                                                                                                                                                                                                                                                                                                                                                                                                                                                                                                                                                                                                                                                                                                                                                                                                                                                                                                                                                                                                                                                                                                                                                                                                                                                                                                                                                </w:t>
      </w:r>
      <w:r>
        <w:rPr>
          <w:rFonts w:hint="eastAsia" w:ascii="仿宋_GB2312" w:hAnsi="仿宋_GB2312" w:eastAsia="仿宋_GB2312" w:cs="仿宋_GB2312"/>
          <w:b/>
          <w:color w:val="000000" w:themeColor="text1"/>
          <w:sz w:val="28"/>
          <w:szCs w:val="28"/>
          <w:lang w:val="en-US" w:eastAsia="zh-CN"/>
          <w14:textFill>
            <w14:solidFill>
              <w14:schemeClr w14:val="tx1"/>
            </w14:solidFill>
          </w14:textFill>
        </w:rPr>
        <w:t xml:space="preserve">                                                                                                                                                                                                                                                                                                                                                                                                                                                                                                                                                                                                                                                                                                                                                                                                                                                                                                                                                                                                                                                                                                                                                                                                                                                                                                                                                                                                                                                                                                                                                                                                                                                                                                                                                                                                                                                                                                                                                                                                                                                                                                                                                                                                                                                                                                                                                                                                                                                                                                                                                                                                                                                                                                                                                                                                                                                                                                                                                                                                                                                                                                                                                                                                                                                                                                                                                                                                                                                                                                                                                                                                                                                                                                                                                                                                                                                                                                                                                                                                                                                                                                                                                                                                                </w:t>
      </w:r>
      <w:r>
        <w:rPr>
          <w:rFonts w:hint="eastAsia" w:ascii="仿宋_GB2312" w:hAnsi="仿宋_GB2312" w:eastAsia="仿宋_GB2312" w:cs="仿宋_GB2312"/>
          <w:b/>
          <w:color w:val="000000" w:themeColor="text1"/>
          <w:sz w:val="28"/>
          <w:szCs w:val="28"/>
          <w:lang w:val="en-US" w:eastAsia="zh-CN"/>
          <w14:textFill>
            <w14:solidFill>
              <w14:schemeClr w14:val="tx1"/>
            </w14:solidFill>
          </w14:textFill>
        </w:rPr>
        <w:t xml:space="preserve">                                                                                                                                                                                                                                                                                                                                                                                                                                                                                                                                                                                                                                                                                                                                                                                                                                                                                                                                                                                                                                                                                                                                                                                                                                                                                                                                                                                                                                                                                                                                                                                                                                                                                                                                                                                                                                                                                                                                                                                                                                                                                                                                                                                                                                                                                                                                                                                                                                                                                                                                                                                                                                                                                                                                                                                                                                                                                                                                                                                                                                                                                                                                                                                                                                                                                                                                                                                                                                                                                                                                                                                                                                                                                                                                                                                                                                                                                                                                                                                                                                                                                                                                                                                                                </w:t>
      </w:r>
      <w:r>
        <w:rPr>
          <w:rFonts w:hint="eastAsia" w:ascii="仿宋_GB2312" w:hAnsi="仿宋_GB2312" w:eastAsia="仿宋_GB2312" w:cs="仿宋_GB2312"/>
          <w:b/>
          <w:color w:val="000000" w:themeColor="text1"/>
          <w:sz w:val="28"/>
          <w:szCs w:val="28"/>
          <w:lang w:val="en-US" w:eastAsia="zh-CN"/>
          <w14:textFill>
            <w14:solidFill>
              <w14:schemeClr w14:val="tx1"/>
            </w14:solidFill>
          </w14:textFill>
        </w:rPr>
        <w:t xml:space="preserve">                                                                                                                                                                                                                                                                                                                                                                                                                                                                                                                                                                                                                                                                                                                                                                                                                                                                                                                                                                                                                                                                                                                                                                                                                                                                                                                                                                                                                                                                                                                                                                                                                                                                                                                                                                                                                                                                                                                                                                                                                                                                                                                                                                                                                                                                                                                           </w:t>
      </w:r>
      <w:bookmarkStart w:id="32" w:name="_Toc29691"/>
      <w:r>
        <w:rPr>
          <w:rFonts w:hint="eastAsia" w:asciiTheme="minorEastAsia" w:hAnsiTheme="minorEastAsia" w:cstheme="minorEastAsia"/>
          <w:sz w:val="20"/>
          <w:szCs w:val="20"/>
        </w:rPr>
        <w:t xml:space="preserve">                                      </w:t>
      </w:r>
    </w:p>
    <w:p>
      <w:pPr>
        <w:adjustRightInd w:val="0"/>
        <w:snapToGrid w:val="0"/>
        <w:spacing w:line="360" w:lineRule="auto"/>
        <w:jc w:val="center"/>
        <w:outlineLvl w:val="1"/>
        <w:rPr>
          <w:rFonts w:hint="default" w:ascii="仿宋_GB2312" w:hAnsi="仿宋_GB2312" w:eastAsia="仿宋_GB2312" w:cs="仿宋_GB2312"/>
          <w:b/>
          <w:color w:val="000000" w:themeColor="text1"/>
          <w:sz w:val="28"/>
          <w:szCs w:val="28"/>
          <w:lang w:val="en-US"/>
          <w14:textFill>
            <w14:solidFill>
              <w14:schemeClr w14:val="tx1"/>
            </w14:solidFill>
          </w14:textFill>
        </w:rPr>
      </w:pPr>
      <w:r>
        <w:rPr>
          <w:rFonts w:hint="eastAsia" w:ascii="仿宋_GB2312" w:hAnsi="仿宋_GB2312" w:eastAsia="仿宋_GB2312" w:cs="仿宋_GB2312"/>
          <w:b/>
          <w:color w:val="000000" w:themeColor="text1"/>
          <w:sz w:val="28"/>
          <w:szCs w:val="28"/>
          <w:lang w:val="en-US" w:eastAsia="zh-CN"/>
          <w14:textFill>
            <w14:solidFill>
              <w14:schemeClr w14:val="tx1"/>
            </w14:solidFill>
          </w14:textFill>
        </w:rPr>
        <w:t xml:space="preserve">                                                                                                                                                                                                                                                                                                                                                                                                                                                                                                                                                                                                                                                                                                                                                                                                                                                                                                                                                                                                                                                                                                                                                                                                                                                                                                                                                                                                                                                                                                                                                                                                                                                                                                                                                                                                                                                                                                                                                                                                                                                                                                                                                                                                                                                                                                                                                                                                                                                                                                                                                                                                                                                                                                                                                                                                                                                                                                                                                                                                                                                                                                                                                                                                                                                                                                                                                                                                                                                                                                                                                                                                                                                                                                                                                                                                                                                                                                                                                                                                                                                                                                                                                                                                                </w:t>
      </w:r>
      <w:r>
        <w:rPr>
          <w:rFonts w:hint="eastAsia" w:ascii="仿宋_GB2312" w:hAnsi="仿宋_GB2312" w:eastAsia="仿宋_GB2312" w:cs="仿宋_GB2312"/>
          <w:b/>
          <w:color w:val="000000" w:themeColor="text1"/>
          <w:sz w:val="28"/>
          <w:szCs w:val="28"/>
          <w:lang w:val="en-US" w:eastAsia="zh-CN"/>
          <w14:textFill>
            <w14:solidFill>
              <w14:schemeClr w14:val="tx1"/>
            </w14:solidFill>
          </w14:textFill>
        </w:rPr>
        <w:t xml:space="preserve">                                                                                                                                                                                                                                                                                                                                                                                                                                                                                                                                                                                                                                                                                                                                                                                                                                                                                                                                                                                                                                                                                                                                                                                                                                                                                                                                                                                                                                                                                                                                                                                                                                                                                                                                                                                                                                                                                                                                                                                                                                                                                                                                                                                                                                                                                                                                                                                                                                                                                                                                                                                                                                                                                                                                                                                                                                                                                                                                                                                                                                                                                                                                                                                                                                                                                                                                                                                                                                                                                                                                                                                                                                                                                                                                                                                                                                                                                                                                                                                                                                                                                                                                                                                                                </w:t>
      </w:r>
      <w:r>
        <w:rPr>
          <w:rFonts w:hint="eastAsia" w:ascii="仿宋_GB2312" w:hAnsi="仿宋_GB2312" w:eastAsia="仿宋_GB2312" w:cs="仿宋_GB2312"/>
          <w:b/>
          <w:color w:val="000000" w:themeColor="text1"/>
          <w:sz w:val="28"/>
          <w:szCs w:val="28"/>
          <w:lang w:val="en-US" w:eastAsia="zh-CN"/>
          <w14:textFill>
            <w14:solidFill>
              <w14:schemeClr w14:val="tx1"/>
            </w14:solidFill>
          </w14:textFill>
        </w:rPr>
        <w:t xml:space="preserve">                                                                                                                                                                                                                                                                                                                                                                                                                                                                                                                                                                                                                                                                                                                                                                                                                                                                                                                                                                                                                                                                                                                                                                                                                                                                                                                                                                                                                                                                                                                                                                                                                                                                                                                                                                                                                                                                                                                                                                                                                                                                                                                                                                                                                                                                                                                                                                                                                                                                                                                                                                                                                                                                                                                                                                                                                                                                                                                                                                                                                                                                                                                                                                                                                                                                                                                                                                                                                                                                                                                                                                                                                                                                                                                                                                                                                                                                                                                                                                                                                                                                                                                                                                                                                </w:t>
      </w:r>
      <w:r>
        <w:rPr>
          <w:rFonts w:hint="eastAsia" w:ascii="仿宋_GB2312" w:hAnsi="仿宋_GB2312" w:eastAsia="仿宋_GB2312" w:cs="仿宋_GB2312"/>
          <w:b/>
          <w:color w:val="000000" w:themeColor="text1"/>
          <w:sz w:val="28"/>
          <w:szCs w:val="28"/>
          <w:lang w:val="en-US" w:eastAsia="zh-CN"/>
          <w14:textFill>
            <w14:solidFill>
              <w14:schemeClr w14:val="tx1"/>
            </w14:solidFill>
          </w14:textFill>
        </w:rPr>
        <w:t xml:space="preserve">                                                                                                                                                                                                                                                                                                                                                                                                                                                                                                                                                                                                                                                                                                                                                                                                                                                                                                                                                                                                                                                                                                                                                                                                                                                                                                                                                                                                                                                                                                                                                                                                                                                                                                                                                                                                                                                                                                                                                                                                                                                                                                                                                                                                                                                                                                                           技术方案及要求</w:t>
      </w:r>
    </w:p>
    <w:p>
      <w:pPr>
        <w:rPr>
          <w:rFonts w:hint="eastAsia" w:ascii="仿宋_GB2312" w:hAnsi="仿宋_GB2312" w:eastAsia="仿宋_GB2312" w:cs="仿宋_GB2312"/>
          <w:bCs/>
          <w:color w:val="000000" w:themeColor="text1"/>
          <w:sz w:val="28"/>
          <w:szCs w:val="28"/>
          <w14:textFill>
            <w14:solidFill>
              <w14:schemeClr w14:val="tx1"/>
            </w14:solidFill>
          </w14:textFill>
        </w:rPr>
      </w:pPr>
      <w:r>
        <w:rPr>
          <w:rFonts w:hint="eastAsia" w:ascii="仿宋_GB2312" w:hAnsi="仿宋_GB2312" w:eastAsia="仿宋_GB2312" w:cs="仿宋_GB2312"/>
          <w:bCs/>
          <w:color w:val="000000" w:themeColor="text1"/>
          <w:sz w:val="28"/>
          <w:szCs w:val="28"/>
          <w14:textFill>
            <w14:solidFill>
              <w14:schemeClr w14:val="tx1"/>
            </w14:solidFill>
          </w14:textFill>
        </w:rPr>
        <w:t>（1）</w:t>
      </w:r>
      <w:r>
        <w:rPr>
          <w:rFonts w:hint="eastAsia" w:ascii="仿宋_GB2312" w:hAnsi="仿宋_GB2312" w:eastAsia="仿宋_GB2312" w:cs="仿宋_GB2312"/>
          <w:bCs/>
          <w:color w:val="000000" w:themeColor="text1"/>
          <w:sz w:val="28"/>
          <w:szCs w:val="28"/>
          <w:lang w:val="en-US" w:eastAsia="zh-CN"/>
          <w14:textFill>
            <w14:solidFill>
              <w14:schemeClr w14:val="tx1"/>
            </w14:solidFill>
          </w14:textFill>
        </w:rPr>
        <w:t>招标人共有两台总镍在线设备设备，投标人应所更换的备配件均应为总镍在线设备（哈希HACH）品牌</w:t>
      </w:r>
      <w:r>
        <w:rPr>
          <w:rFonts w:hint="eastAsia" w:ascii="仿宋_GB2312" w:hAnsi="仿宋_GB2312" w:eastAsia="仿宋_GB2312" w:cs="仿宋_GB2312"/>
          <w:bCs/>
          <w:color w:val="000000" w:themeColor="text1"/>
          <w:sz w:val="28"/>
          <w:szCs w:val="28"/>
          <w14:textFill>
            <w14:solidFill>
              <w14:schemeClr w14:val="tx1"/>
            </w14:solidFill>
          </w14:textFill>
        </w:rPr>
        <w:t>；</w:t>
      </w:r>
    </w:p>
    <w:p>
      <w:pPr>
        <w:rPr>
          <w:rFonts w:hint="eastAsia" w:ascii="仿宋_GB2312" w:hAnsi="仿宋_GB2312" w:eastAsia="仿宋_GB2312" w:cs="仿宋_GB2312"/>
          <w:bCs/>
          <w:color w:val="000000" w:themeColor="text1"/>
          <w:sz w:val="28"/>
          <w:szCs w:val="28"/>
          <w14:textFill>
            <w14:solidFill>
              <w14:schemeClr w14:val="tx1"/>
            </w14:solidFill>
          </w14:textFill>
        </w:rPr>
      </w:pPr>
      <w:r>
        <w:rPr>
          <w:rFonts w:hint="eastAsia" w:ascii="仿宋_GB2312" w:hAnsi="仿宋_GB2312" w:eastAsia="仿宋_GB2312" w:cs="仿宋_GB2312"/>
          <w:bCs/>
          <w:color w:val="000000" w:themeColor="text1"/>
          <w:sz w:val="28"/>
          <w:szCs w:val="28"/>
          <w14:textFill>
            <w14:solidFill>
              <w14:schemeClr w14:val="tx1"/>
            </w14:solidFill>
          </w14:textFill>
        </w:rPr>
        <w:t>（2）</w:t>
      </w:r>
      <w:r>
        <w:rPr>
          <w:rFonts w:hint="eastAsia" w:ascii="仿宋_GB2312" w:hAnsi="仿宋_GB2312" w:eastAsia="仿宋_GB2312" w:cs="仿宋_GB2312"/>
          <w:bCs/>
          <w:color w:val="000000" w:themeColor="text1"/>
          <w:sz w:val="28"/>
          <w:szCs w:val="28"/>
          <w:lang w:val="en-US" w:eastAsia="zh-CN"/>
          <w14:textFill>
            <w14:solidFill>
              <w14:schemeClr w14:val="tx1"/>
            </w14:solidFill>
          </w14:textFill>
        </w:rPr>
        <w:t>投标人向对应的仪器提供延长质保服务。在本协议期内，招标人仪器主机故障需要更换备件时，投标人免费对备件进行更换。</w:t>
      </w:r>
    </w:p>
    <w:p>
      <w:pPr>
        <w:pStyle w:val="17"/>
        <w:rPr>
          <w:rFonts w:hint="eastAsia" w:ascii="仿宋_GB2312" w:hAnsi="仿宋_GB2312" w:eastAsia="仿宋_GB2312" w:cs="仿宋_GB2312"/>
          <w:bCs/>
          <w:color w:val="000000" w:themeColor="text1"/>
          <w:sz w:val="28"/>
          <w:szCs w:val="28"/>
          <w:lang w:val="en-US" w:eastAsia="zh-CN"/>
          <w14:textFill>
            <w14:solidFill>
              <w14:schemeClr w14:val="tx1"/>
            </w14:solidFill>
          </w14:textFill>
        </w:rPr>
      </w:pPr>
      <w:r>
        <w:rPr>
          <w:rFonts w:hint="eastAsia" w:ascii="仿宋_GB2312" w:hAnsi="仿宋_GB2312" w:eastAsia="仿宋_GB2312" w:cs="仿宋_GB2312"/>
          <w:bCs/>
          <w:color w:val="000000" w:themeColor="text1"/>
          <w:sz w:val="28"/>
          <w:szCs w:val="28"/>
          <w:lang w:val="en-US" w:eastAsia="zh-CN"/>
          <w14:textFill>
            <w14:solidFill>
              <w14:schemeClr w14:val="tx1"/>
            </w14:solidFill>
          </w14:textFill>
        </w:rPr>
        <w:t>（3）预防性维护保养：投标人定期提供主动性的仪器预防性维护和保养服务，包括全面的仪器功能测试及检查，耗材和试剂的更换（所需耗材试剂由招标人另行购买），潜在问题或故障的排除，仪器校验或校准等。</w:t>
      </w:r>
    </w:p>
    <w:p>
      <w:pPr>
        <w:pStyle w:val="17"/>
        <w:rPr>
          <w:rFonts w:hint="eastAsia" w:ascii="仿宋_GB2312" w:hAnsi="仿宋_GB2312" w:eastAsia="仿宋_GB2312" w:cs="仿宋_GB2312"/>
          <w:bCs/>
          <w:color w:val="000000" w:themeColor="text1"/>
          <w:sz w:val="28"/>
          <w:szCs w:val="28"/>
          <w:lang w:val="en-US" w:eastAsia="zh-CN"/>
          <w14:textFill>
            <w14:solidFill>
              <w14:schemeClr w14:val="tx1"/>
            </w14:solidFill>
          </w14:textFill>
        </w:rPr>
      </w:pPr>
      <w:r>
        <w:rPr>
          <w:rFonts w:hint="eastAsia" w:ascii="仿宋_GB2312" w:hAnsi="仿宋_GB2312" w:eastAsia="仿宋_GB2312" w:cs="仿宋_GB2312"/>
          <w:bCs/>
          <w:color w:val="000000" w:themeColor="text1"/>
          <w:sz w:val="28"/>
          <w:szCs w:val="28"/>
          <w:lang w:val="en-US" w:eastAsia="zh-CN"/>
          <w14:textFill>
            <w14:solidFill>
              <w14:schemeClr w14:val="tx1"/>
            </w14:solidFill>
          </w14:textFill>
        </w:rPr>
        <w:t>（4）优先服务响应：投标人接到招标人的服务请求后，优先安排服务工程师及备件库存供应进行最快速度的响应，并对服务过程进行跟踪和优化处理，及时向招标人报告服务进展情况。</w:t>
      </w:r>
    </w:p>
    <w:p>
      <w:pPr>
        <w:pStyle w:val="17"/>
        <w:rPr>
          <w:rFonts w:hint="eastAsia" w:ascii="仿宋_GB2312" w:hAnsi="仿宋_GB2312" w:eastAsia="仿宋_GB2312" w:cs="仿宋_GB2312"/>
          <w:bCs/>
          <w:color w:val="000000" w:themeColor="text1"/>
          <w:sz w:val="28"/>
          <w:szCs w:val="28"/>
          <w:lang w:val="en-US" w:eastAsia="zh-CN"/>
          <w14:textFill>
            <w14:solidFill>
              <w14:schemeClr w14:val="tx1"/>
            </w14:solidFill>
          </w14:textFill>
        </w:rPr>
      </w:pPr>
      <w:r>
        <w:rPr>
          <w:rFonts w:hint="eastAsia" w:ascii="仿宋_GB2312" w:hAnsi="仿宋_GB2312" w:eastAsia="仿宋_GB2312" w:cs="仿宋_GB2312"/>
          <w:bCs/>
          <w:color w:val="000000" w:themeColor="text1"/>
          <w:sz w:val="28"/>
          <w:szCs w:val="28"/>
          <w:lang w:val="en-US" w:eastAsia="zh-CN"/>
          <w14:textFill>
            <w14:solidFill>
              <w14:schemeClr w14:val="tx1"/>
            </w14:solidFill>
          </w14:textFill>
        </w:rPr>
        <w:t>（5）应急维修：投标人提供仪器的免费应急维修服务。投标人被告知仪器发生故障后，4 小时内提供电话技术支持响应；如需现场维修，投标人将在 72 小时内到达现场提供维修服务（偏远地区除外，节假日顺延）。</w:t>
      </w:r>
    </w:p>
    <w:p>
      <w:pPr>
        <w:ind w:right="480"/>
        <w:jc w:val="both"/>
        <w:outlineLvl w:val="0"/>
        <w:rPr>
          <w:rFonts w:ascii="Calibri" w:hAnsi="Calibri" w:eastAsia="宋体" w:cs="Times New Roman"/>
          <w:b/>
          <w:bCs/>
          <w:kern w:val="44"/>
          <w:sz w:val="36"/>
          <w:szCs w:val="44"/>
        </w:rPr>
      </w:pPr>
      <w:bookmarkStart w:id="33" w:name="_Toc14341849"/>
      <w:r>
        <w:rPr>
          <w:rFonts w:hint="eastAsia" w:ascii="楷体_GB2312" w:hAnsi="宋体" w:eastAsia="楷体_GB2312"/>
          <w:sz w:val="24"/>
        </w:rPr>
        <w:t xml:space="preserve">  </w:t>
      </w:r>
      <w:bookmarkEnd w:id="33"/>
      <w:r>
        <w:rPr>
          <w:rFonts w:hint="eastAsia" w:ascii="Calibri" w:hAnsi="Calibri" w:eastAsia="宋体" w:cs="Times New Roman"/>
          <w:b/>
          <w:bCs/>
          <w:kern w:val="44"/>
          <w:sz w:val="36"/>
          <w:szCs w:val="44"/>
        </w:rPr>
        <w:t>第</w:t>
      </w:r>
      <w:r>
        <w:rPr>
          <w:rFonts w:hint="eastAsia" w:ascii="Calibri" w:hAnsi="Calibri" w:eastAsia="宋体" w:cs="Times New Roman"/>
          <w:b/>
          <w:bCs/>
          <w:kern w:val="44"/>
          <w:sz w:val="36"/>
          <w:szCs w:val="44"/>
          <w:lang w:val="en-US" w:eastAsia="zh-CN"/>
        </w:rPr>
        <w:t>五</w:t>
      </w:r>
      <w:r>
        <w:rPr>
          <w:rFonts w:hint="eastAsia" w:ascii="Calibri" w:hAnsi="Calibri" w:eastAsia="宋体" w:cs="Times New Roman"/>
          <w:b/>
          <w:bCs/>
          <w:kern w:val="44"/>
          <w:sz w:val="36"/>
          <w:szCs w:val="44"/>
        </w:rPr>
        <w:t>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32"/>
    </w:p>
    <w:p>
      <w:pPr>
        <w:keepNext/>
        <w:keepLines/>
        <w:rPr>
          <w:rFonts w:ascii="Times New Roman" w:hAnsi="Times New Roman" w:eastAsia="宋体" w:cs="Times New Roman"/>
          <w:b/>
          <w:bCs/>
          <w:color w:val="000000"/>
          <w:sz w:val="24"/>
          <w:szCs w:val="24"/>
        </w:rPr>
      </w:pPr>
    </w:p>
    <w:p>
      <w:pPr>
        <w:pStyle w:val="21"/>
        <w:rPr>
          <w:rFonts w:ascii="Times New Roman" w:hAnsi="Times New Roman" w:eastAsia="宋体" w:cs="Times New Roman"/>
          <w:b/>
          <w:bCs/>
          <w:color w:val="000000"/>
          <w:sz w:val="24"/>
          <w:szCs w:val="24"/>
        </w:rPr>
      </w:pP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说明：</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1.投标人须认真填写和提交本部分中的附件文件；</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2.对附件文件中所要求的内容应给予明确的答复；</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3.附件文件的签字人应保证其对一切问题的答复、所做的声明及出具的资格资质文件、资料等具有真实性和准确性；</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4.招标人将对投标人提交的文件、资料等内容予以保密，但不退还；</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5.所有附件文件应以中文书写，作为投标文件的组成部分。</w:t>
      </w:r>
    </w:p>
    <w:p>
      <w:pPr>
        <w:pStyle w:val="21"/>
        <w:rPr>
          <w:rFonts w:ascii="Times New Roman" w:hAnsi="Times New Roman" w:eastAsia="宋体" w:cs="Times New Roman"/>
          <w:b/>
          <w:bCs/>
          <w:color w:val="000000"/>
          <w:sz w:val="24"/>
          <w:szCs w:val="24"/>
        </w:rPr>
        <w:sectPr>
          <w:footerReference r:id="rId11" w:type="first"/>
          <w:headerReference r:id="rId9" w:type="default"/>
          <w:footerReference r:id="rId10"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34" w:name="_Toc639004"/>
      <w:bookmarkStart w:id="35" w:name="_Toc353881012"/>
      <w:bookmarkStart w:id="36" w:name="_Toc25811"/>
      <w:bookmarkStart w:id="37" w:name="_Toc212369550"/>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34"/>
      <w:bookmarkEnd w:id="35"/>
      <w:bookmarkEnd w:id="36"/>
      <w:bookmarkEnd w:id="37"/>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致：中国重汽集团济南动力有限公司：</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宋体"/>
          <w:b/>
          <w:bCs/>
          <w:sz w:val="24"/>
          <w:szCs w:val="24"/>
          <w:u w:val="single"/>
        </w:rPr>
        <w:t>总镍在线监测设备维修保养服务项目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提交纸质投标文件：资质证明文件、商务文件和技术文件正本一份；电子版投标文件一份。</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电话（请填写手机号码）：</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 xml:space="preserve"> 传真：</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hint="eastAsia"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黑体" w:hAnsi="Calibri" w:eastAsia="黑体" w:cs="Times New Roman"/>
          <w:color w:val="000000"/>
          <w:sz w:val="24"/>
          <w:szCs w:val="24"/>
        </w:rPr>
      </w:pPr>
    </w:p>
    <w:p>
      <w:pPr>
        <w:rPr>
          <w:rFonts w:ascii="黑体" w:hAnsi="Calibri" w:eastAsia="黑体" w:cs="Times New Roman"/>
          <w:color w:val="000000"/>
          <w:sz w:val="24"/>
          <w:szCs w:val="24"/>
        </w:rPr>
      </w:pPr>
    </w:p>
    <w:p>
      <w:pPr>
        <w:pStyle w:val="21"/>
        <w:rPr>
          <w:rFonts w:ascii="黑体" w:hAnsi="Calibri" w:eastAsia="黑体" w:cs="Times New Roman"/>
          <w:color w:val="000000"/>
          <w:sz w:val="24"/>
          <w:szCs w:val="24"/>
        </w:rPr>
      </w:pPr>
    </w:p>
    <w:p>
      <w:pPr>
        <w:pStyle w:val="21"/>
        <w:rPr>
          <w:rFonts w:ascii="黑体" w:hAnsi="Calibri" w:eastAsia="黑体" w:cs="Times New Roman"/>
          <w:color w:val="000000"/>
          <w:sz w:val="24"/>
          <w:szCs w:val="24"/>
        </w:rPr>
      </w:pPr>
    </w:p>
    <w:p>
      <w:pPr>
        <w:pStyle w:val="21"/>
        <w:rPr>
          <w:rFonts w:ascii="黑体" w:hAnsi="Calibri" w:eastAsia="黑体" w:cs="Times New Roman"/>
          <w:color w:val="000000"/>
          <w:sz w:val="24"/>
          <w:szCs w:val="24"/>
        </w:rPr>
      </w:pPr>
    </w:p>
    <w:p>
      <w:pPr>
        <w:pStyle w:val="21"/>
        <w:rPr>
          <w:rFonts w:ascii="黑体" w:hAnsi="Calibri" w:eastAsia="黑体" w:cs="Times New Roman"/>
          <w:color w:val="000000"/>
          <w:sz w:val="24"/>
          <w:szCs w:val="24"/>
        </w:rPr>
      </w:pPr>
    </w:p>
    <w:p>
      <w:pPr>
        <w:rPr>
          <w:rFonts w:ascii="黑体" w:hAnsi="Calibri" w:eastAsia="黑体" w:cs="Times New Roman"/>
          <w:color w:val="000000"/>
          <w:sz w:val="24"/>
          <w:szCs w:val="24"/>
        </w:r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pPr>
        <w:adjustRightInd w:val="0"/>
        <w:snapToGrid w:val="0"/>
        <w:spacing w:before="93" w:beforeLines="30" w:line="240" w:lineRule="exact"/>
        <w:jc w:val="center"/>
        <w:rPr>
          <w:rFonts w:ascii="宋体" w:hAnsi="Calibri" w:eastAsia="宋体" w:cs="Times New Roman"/>
          <w:sz w:val="24"/>
          <w:szCs w:val="20"/>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hint="eastAsia" w:ascii="宋体" w:hAnsi="宋体" w:eastAsia="宋体" w:cs="宋体"/>
          <w:b/>
          <w:bCs/>
          <w:sz w:val="24"/>
          <w:szCs w:val="24"/>
          <w:highlight w:val="yellow"/>
          <w:u w:val="single"/>
        </w:rPr>
        <w:t>总镍在线监测设备维修保养服务项目</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9"/>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Calibri" w:hAnsi="Calibri" w:eastAsia="黑体" w:cs="Times New Roman"/>
          <w:b/>
          <w:bCs/>
          <w:color w:val="000000"/>
          <w:sz w:val="28"/>
          <w:szCs w:val="20"/>
        </w:rPr>
      </w:pPr>
    </w:p>
    <w:p>
      <w:pPr>
        <w:pStyle w:val="21"/>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pPr>
        <w:keepNext/>
        <w:keepLines/>
        <w:outlineLvl w:val="2"/>
        <w:rPr>
          <w:rFonts w:hint="eastAsia"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Times New Roman" w:hAnsi="Times New Roman" w:eastAsia="宋体" w:cs="Times New Roman"/>
          <w:b/>
          <w:bCs/>
          <w:color w:val="000000"/>
          <w:sz w:val="24"/>
          <w:szCs w:val="24"/>
        </w:rPr>
        <w:t>附件3 投标人基本情况表</w:t>
      </w:r>
    </w:p>
    <w:tbl>
      <w:tblPr>
        <w:tblStyle w:val="131"/>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pPr>
              <w:pStyle w:val="133"/>
              <w:spacing w:before="114"/>
              <w:ind w:left="720"/>
              <w:rPr>
                <w:rFonts w:hint="eastAsia"/>
              </w:rPr>
            </w:pPr>
            <w:r>
              <w:t xml:space="preserve">企业名称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3"/>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pPr>
              <w:pStyle w:val="133"/>
              <w:spacing w:before="114"/>
              <w:ind w:left="720"/>
              <w:rPr>
                <w:rFonts w:hint="eastAsia"/>
              </w:rPr>
            </w:pPr>
            <w:r>
              <w:t xml:space="preserve">企业地址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3"/>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pPr>
              <w:pStyle w:val="133"/>
              <w:spacing w:before="111"/>
              <w:ind w:left="720"/>
              <w:rPr>
                <w:rFonts w:hint="eastAsia"/>
              </w:rPr>
            </w:pPr>
            <w:r>
              <w:t xml:space="preserve">企业性质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3"/>
              <w:spacing w:before="103"/>
              <w:ind w:left="154" w:right="26"/>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pPr>
              <w:pStyle w:val="133"/>
              <w:spacing w:before="111"/>
              <w:ind w:left="509"/>
              <w:rPr>
                <w:rFonts w:hint="eastAsia"/>
                <w:highlight w:val="yellow"/>
              </w:rPr>
            </w:pPr>
            <w:r>
              <w:t xml:space="preserve">企业法人代表  </w:t>
            </w:r>
          </w:p>
        </w:tc>
        <w:tc>
          <w:tcPr>
            <w:tcW w:w="4680" w:type="dxa"/>
            <w:gridSpan w:val="4"/>
          </w:tcPr>
          <w:p>
            <w:pPr>
              <w:pStyle w:val="6"/>
              <w:keepNext w:val="0"/>
              <w:keepLines w:val="0"/>
              <w:widowControl/>
              <w:shd w:val="clear" w:color="auto" w:fill="FFFFFF"/>
              <w:spacing w:before="0" w:after="0" w:line="450" w:lineRule="atLeast"/>
              <w:rPr>
                <w:rFonts w:hint="eastAsia" w:ascii="宋体" w:hAnsi="宋体" w:cs="宋体"/>
                <w:color w:val="000000" w:themeColor="text1"/>
                <w14:textFill>
                  <w14:solidFill>
                    <w14:schemeClr w14:val="tx1"/>
                  </w14:solidFill>
                </w14:textFill>
              </w:rPr>
            </w:pPr>
          </w:p>
        </w:tc>
        <w:tc>
          <w:tcPr>
            <w:tcW w:w="1310" w:type="dxa"/>
          </w:tcPr>
          <w:p>
            <w:pPr>
              <w:pStyle w:val="133"/>
              <w:spacing w:before="103"/>
              <w:ind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3"/>
              <w:spacing w:before="114"/>
              <w:ind w:left="720"/>
              <w:rPr>
                <w:rFonts w:hint="eastAsia"/>
              </w:rPr>
            </w:pPr>
            <w:r>
              <w:t xml:space="preserve">品牌区分 </w:t>
            </w:r>
          </w:p>
        </w:tc>
        <w:tc>
          <w:tcPr>
            <w:tcW w:w="7500" w:type="dxa"/>
            <w:gridSpan w:val="6"/>
          </w:tcPr>
          <w:p>
            <w:pPr>
              <w:pStyle w:val="133"/>
              <w:spacing w:before="106"/>
              <w:ind w:left="401"/>
              <w:rPr>
                <w:rFonts w:hint="eastAsia"/>
              </w:rPr>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3"/>
              <w:spacing w:before="178"/>
              <w:ind w:left="720"/>
              <w:rPr>
                <w:rFonts w:hint="eastAsia"/>
              </w:rPr>
            </w:pPr>
            <w:r>
              <w:t xml:space="preserve">品牌名称 </w:t>
            </w:r>
          </w:p>
        </w:tc>
        <w:tc>
          <w:tcPr>
            <w:tcW w:w="3583" w:type="dxa"/>
            <w:gridSpan w:val="3"/>
            <w:vAlign w:val="center"/>
          </w:tcPr>
          <w:p>
            <w:pPr>
              <w:widowControl/>
              <w:rPr>
                <w:rFonts w:hint="eastAsia" w:ascii="宋体" w:hAnsi="宋体" w:eastAsia="仿宋_GB2312"/>
                <w:kern w:val="0"/>
                <w:szCs w:val="21"/>
                <w:lang w:bidi="ar"/>
              </w:rPr>
            </w:pPr>
          </w:p>
        </w:tc>
        <w:tc>
          <w:tcPr>
            <w:tcW w:w="1097" w:type="dxa"/>
          </w:tcPr>
          <w:p>
            <w:pPr>
              <w:pStyle w:val="133"/>
              <w:spacing w:before="15"/>
              <w:ind w:left="279"/>
              <w:rPr>
                <w:rFonts w:hint="eastAsia"/>
              </w:rPr>
            </w:pPr>
            <w:r>
              <w:rPr>
                <w:spacing w:val="-2"/>
              </w:rPr>
              <w:t>质量</w:t>
            </w:r>
            <w:r>
              <w:t xml:space="preserve"> </w:t>
            </w:r>
          </w:p>
          <w:p>
            <w:pPr>
              <w:pStyle w:val="133"/>
              <w:spacing w:before="30" w:line="277" w:lineRule="exact"/>
              <w:ind w:left="279"/>
              <w:rPr>
                <w:rFonts w:hint="eastAsia"/>
              </w:rPr>
            </w:pPr>
            <w:r>
              <w:rPr>
                <w:rFonts w:hint="eastAsia"/>
              </w:rPr>
              <w:t>体系</w:t>
            </w:r>
          </w:p>
        </w:tc>
        <w:tc>
          <w:tcPr>
            <w:tcW w:w="2820" w:type="dxa"/>
            <w:gridSpan w:val="2"/>
          </w:tcPr>
          <w:p>
            <w:pPr>
              <w:pStyle w:val="133"/>
              <w:spacing w:before="158"/>
              <w:jc w:val="center"/>
              <w:rPr>
                <w:rFonts w:hint="eastAsia"/>
                <w:sz w:val="24"/>
              </w:rPr>
            </w:pPr>
            <w:r>
              <w:rPr>
                <w:rFonts w:hint="eastAsia"/>
                <w:kern w:val="0"/>
                <w:szCs w:val="21"/>
                <w:lang w:bidi="ar"/>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pPr>
              <w:pStyle w:val="133"/>
              <w:spacing w:before="149"/>
              <w:ind w:left="3345" w:right="3223"/>
              <w:jc w:val="center"/>
              <w:rPr>
                <w:rFonts w:hint="eastAsia"/>
              </w:rPr>
            </w:pPr>
            <w:r>
              <w:rPr>
                <w:rFonts w:hint="eastAsia"/>
                <w:szCs w:val="21"/>
              </w:rPr>
              <w:t>单位概况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pPr>
              <w:widowControl/>
              <w:textAlignment w:val="center"/>
              <w:rPr>
                <w:rFonts w:hint="eastAsia" w:ascii="宋体" w:hAnsi="宋体" w:eastAsia="宋体" w:cs="宋体"/>
                <w:szCs w:val="21"/>
              </w:rPr>
            </w:pPr>
          </w:p>
        </w:tc>
        <w:tc>
          <w:tcPr>
            <w:tcW w:w="1530" w:type="dxa"/>
            <w:vAlign w:val="center"/>
          </w:tcPr>
          <w:p>
            <w:pPr>
              <w:widowControl/>
              <w:jc w:val="center"/>
              <w:textAlignment w:val="center"/>
              <w:rPr>
                <w:rFonts w:hint="eastAsia"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pPr>
              <w:widowControl/>
              <w:jc w:val="center"/>
              <w:textAlignment w:val="center"/>
              <w:rPr>
                <w:rFonts w:hint="eastAsia" w:ascii="宋体" w:hAnsi="宋体" w:eastAsia="宋体" w:cs="宋体"/>
                <w:szCs w:val="21"/>
              </w:rPr>
            </w:pPr>
          </w:p>
        </w:tc>
        <w:tc>
          <w:tcPr>
            <w:tcW w:w="1097" w:type="dxa"/>
            <w:vAlign w:val="center"/>
          </w:tcPr>
          <w:p>
            <w:pPr>
              <w:widowControl/>
              <w:textAlignment w:val="center"/>
              <w:rPr>
                <w:rFonts w:hint="eastAsia"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pPr>
              <w:widowControl/>
              <w:jc w:val="center"/>
              <w:textAlignment w:val="center"/>
              <w:rPr>
                <w:rFonts w:hint="eastAsia" w:ascii="宋体" w:hAnsi="宋体" w:eastAsia="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pPr>
              <w:widowControl/>
              <w:jc w:val="center"/>
              <w:textAlignment w:val="center"/>
              <w:rPr>
                <w:rFonts w:hint="eastAsia"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textAlignment w:val="center"/>
              <w:rPr>
                <w:rFonts w:hint="eastAsia"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pPr>
              <w:widowControl/>
              <w:jc w:val="left"/>
              <w:rPr>
                <w:rFonts w:hint="eastAsia" w:ascii="宋体" w:hAnsi="宋体" w:eastAsia="宋体" w:cs="宋体"/>
                <w:kern w:val="0"/>
                <w:szCs w:val="21"/>
                <w:lang w:bidi="ar"/>
              </w:rPr>
            </w:pPr>
          </w:p>
        </w:tc>
      </w:tr>
    </w:tbl>
    <w:p>
      <w:pPr>
        <w:pStyle w:val="21"/>
        <w:rPr>
          <w:rFonts w:ascii="Times New Roman" w:hAnsi="Times New Roman" w:eastAsia="宋体" w:cs="Times New Roman"/>
          <w:b/>
          <w:bCs/>
          <w:color w:val="000000"/>
          <w:sz w:val="24"/>
          <w:szCs w:val="24"/>
        </w:rPr>
      </w:pPr>
    </w:p>
    <w:p>
      <w:pPr>
        <w:pStyle w:val="21"/>
        <w:rPr>
          <w:rFonts w:ascii="Times New Roman" w:hAnsi="Times New Roman" w:eastAsia="宋体" w:cs="Times New Roman"/>
          <w:b/>
          <w:bCs/>
          <w:color w:val="000000"/>
          <w:sz w:val="24"/>
          <w:szCs w:val="24"/>
        </w:rPr>
      </w:pPr>
    </w:p>
    <w:p>
      <w:pPr>
        <w:pStyle w:val="21"/>
        <w:rPr>
          <w:rFonts w:ascii="Times New Roman" w:hAnsi="Times New Roman" w:eastAsia="宋体" w:cs="Times New Roman"/>
          <w:b/>
          <w:bCs/>
          <w:color w:val="000000"/>
          <w:sz w:val="24"/>
          <w:szCs w:val="24"/>
        </w:rPr>
      </w:pPr>
    </w:p>
    <w:p>
      <w:pPr>
        <w:pStyle w:val="21"/>
        <w:rPr>
          <w:rFonts w:ascii="Times New Roman" w:hAnsi="Times New Roman" w:eastAsia="宋体" w:cs="Times New Roman"/>
          <w:b/>
          <w:bCs/>
          <w:color w:val="000000"/>
          <w:sz w:val="24"/>
          <w:szCs w:val="24"/>
        </w:rPr>
      </w:pPr>
    </w:p>
    <w:p>
      <w:pPr>
        <w:pStyle w:val="21"/>
        <w:rPr>
          <w:rFonts w:ascii="Times New Roman" w:hAnsi="Times New Roman" w:eastAsia="宋体" w:cs="Times New Roman"/>
          <w:b/>
          <w:bCs/>
          <w:color w:val="000000"/>
          <w:sz w:val="24"/>
          <w:szCs w:val="24"/>
        </w:rPr>
      </w:pPr>
    </w:p>
    <w:p>
      <w:pPr>
        <w:pStyle w:val="21"/>
        <w:rPr>
          <w:rFonts w:ascii="Times New Roman" w:hAnsi="Times New Roman" w:eastAsia="宋体" w:cs="Times New Roman"/>
          <w:b/>
          <w:bCs/>
          <w:color w:val="000000"/>
          <w:sz w:val="24"/>
          <w:szCs w:val="24"/>
        </w:rPr>
        <w:sectPr>
          <w:footerReference r:id="rId13" w:type="first"/>
          <w:footerReference r:id="rId12" w:type="default"/>
          <w:pgSz w:w="11906" w:h="16838"/>
          <w:pgMar w:top="1588" w:right="1418" w:bottom="1134" w:left="1418" w:header="851" w:footer="992" w:gutter="0"/>
          <w:cols w:space="720" w:num="1"/>
          <w:titlePg/>
          <w:docGrid w:type="lines" w:linePitch="312" w:charSpace="0"/>
        </w:sectPr>
      </w:pPr>
    </w:p>
    <w:p>
      <w:pPr>
        <w:pStyle w:val="21"/>
        <w:rPr>
          <w:rFonts w:ascii="Times New Roman" w:hAnsi="Times New Roman" w:eastAsia="宋体" w:cs="Times New Roman"/>
          <w:b/>
          <w:bCs/>
          <w:color w:val="000000"/>
          <w:sz w:val="24"/>
          <w:szCs w:val="24"/>
        </w:r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pPr>
        <w:spacing w:line="240" w:lineRule="exact"/>
        <w:jc w:val="center"/>
        <w:rPr>
          <w:rFonts w:ascii="宋体" w:hAnsi="Calibri" w:eastAsia="宋体" w:cs="Times New Roman"/>
          <w:b/>
          <w:bCs/>
          <w:sz w:val="36"/>
          <w:szCs w:val="20"/>
        </w:rPr>
      </w:pPr>
    </w:p>
    <w:p>
      <w:pPr>
        <w:spacing w:line="360" w:lineRule="auto"/>
        <w:rPr>
          <w:rFonts w:ascii="宋体" w:hAnsi="Calibri" w:eastAsia="宋体" w:cs="Times New Roman"/>
          <w:sz w:val="24"/>
          <w:szCs w:val="20"/>
        </w:rPr>
      </w:pPr>
      <w:r>
        <w:rPr>
          <w:rFonts w:hint="eastAsia" w:ascii="宋体" w:hAnsi="宋体" w:eastAsia="宋体" w:cs="Times New Roman"/>
          <w:sz w:val="24"/>
          <w:szCs w:val="20"/>
        </w:rPr>
        <w:t>项目名称：</w:t>
      </w:r>
      <w:r>
        <w:rPr>
          <w:rFonts w:hint="eastAsia" w:ascii="宋体" w:hAnsi="宋体" w:eastAsia="宋体" w:cs="宋体"/>
          <w:b/>
          <w:bCs/>
          <w:sz w:val="24"/>
          <w:szCs w:val="24"/>
          <w:u w:val="single"/>
        </w:rPr>
        <w:t>总镍在线监测设备维修保养服务项目</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pPr>
        <w:spacing w:line="360" w:lineRule="auto"/>
        <w:ind w:left="479" w:leftChars="228"/>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sectPr>
          <w:footerReference r:id="rId15" w:type="first"/>
          <w:footerReference r:id="rId14"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附件5-1</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b/>
          <w:bCs/>
          <w:sz w:val="24"/>
          <w:szCs w:val="24"/>
          <w:u w:val="single"/>
        </w:rPr>
        <w:t>总镍在线监测设备维修保养服务项目</w:t>
      </w:r>
      <w:r>
        <w:rPr>
          <w:rFonts w:ascii="宋体" w:hAnsi="宋体" w:eastAsia="宋体" w:cs="Times New Roman"/>
          <w:color w:val="000000"/>
          <w:sz w:val="24"/>
          <w:szCs w:val="24"/>
        </w:rPr>
        <w:t xml:space="preserve">                                                       </w:t>
      </w:r>
    </w:p>
    <w:tbl>
      <w:tblPr>
        <w:tblStyle w:val="39"/>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449"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414"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08"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bl>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rPr>
          <w:rFonts w:ascii="宋体" w:hAnsi="Calibri" w:eastAsia="宋体" w:cs="宋体"/>
          <w:b/>
          <w:bCs/>
          <w:color w:val="000000"/>
          <w:sz w:val="28"/>
          <w:szCs w:val="20"/>
        </w:rPr>
      </w:pPr>
    </w:p>
    <w:p>
      <w:pPr>
        <w:rPr>
          <w:rFonts w:ascii="宋体" w:hAnsi="Calibri" w:eastAsia="宋体" w:cs="宋体"/>
          <w:b/>
          <w:bCs/>
          <w:color w:val="000000"/>
          <w:sz w:val="28"/>
          <w:szCs w:val="20"/>
        </w:rPr>
        <w:sectPr>
          <w:footerReference r:id="rId17" w:type="first"/>
          <w:footerReference r:id="rId16"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附件5-2</w:t>
      </w:r>
      <w:r>
        <w:rPr>
          <w:rFonts w:ascii="Times New Roman" w:hAnsi="Times New Roman" w:eastAsia="宋体" w:cs="宋体"/>
          <w:b/>
          <w:bCs/>
          <w:color w:val="000000"/>
          <w:sz w:val="24"/>
          <w:szCs w:val="24"/>
        </w:rPr>
        <w:t xml:space="preserve"> </w:t>
      </w: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highlight w:val="yellow"/>
          <w14:textOutline w14:w="5791" w14:cap="flat" w14:cmpd="sng" w14:algn="ctr">
            <w14:solidFill>
              <w14:srgbClr w14:val="000000"/>
            </w14:solidFill>
            <w14:prstDash w14:val="solid"/>
            <w14:miter w14:val="0"/>
          </w14:textOutline>
        </w:rPr>
        <w:t>配置</w:t>
      </w:r>
    </w:p>
    <w:p>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highlight w:val="yellow"/>
          <w14:textOutline w14:w="5791" w14:cap="flat" w14:cmpd="sng" w14:algn="ctr">
            <w14:solidFill>
              <w14:srgbClr w14:val="000000"/>
            </w14:solidFill>
            <w14:prstDash w14:val="solid"/>
            <w14:miter w14:val="0"/>
          </w14:textOutline>
        </w:rPr>
        <w:t>配置</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表</w:t>
      </w:r>
    </w:p>
    <w:p>
      <w:pPr>
        <w:spacing w:before="52" w:line="221" w:lineRule="auto"/>
        <w:ind w:left="9"/>
        <w:jc w:val="right"/>
        <w:rPr>
          <w:rFonts w:hint="eastAsia"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p>
    <w:tbl>
      <w:tblPr>
        <w:tblStyle w:val="131"/>
        <w:tblW w:w="1327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42"/>
        <w:gridCol w:w="2471"/>
        <w:gridCol w:w="2472"/>
        <w:gridCol w:w="1474"/>
        <w:gridCol w:w="2014"/>
        <w:gridCol w:w="2608"/>
        <w:gridCol w:w="1496"/>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742" w:type="dxa"/>
          </w:tcPr>
          <w:p>
            <w:pPr>
              <w:spacing w:before="97" w:line="186" w:lineRule="auto"/>
              <w:ind w:left="304"/>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471" w:type="dxa"/>
          </w:tcPr>
          <w:p>
            <w:pPr>
              <w:spacing w:before="98" w:line="185" w:lineRule="auto"/>
              <w:ind w:left="1071"/>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472" w:type="dxa"/>
          </w:tcPr>
          <w:p>
            <w:pPr>
              <w:spacing w:before="99" w:line="183" w:lineRule="auto"/>
              <w:ind w:left="107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474" w:type="dxa"/>
          </w:tcPr>
          <w:p>
            <w:pPr>
              <w:spacing w:before="98" w:line="185" w:lineRule="auto"/>
              <w:ind w:left="511"/>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014" w:type="dxa"/>
          </w:tcPr>
          <w:p>
            <w:pPr>
              <w:spacing w:before="100" w:line="182" w:lineRule="auto"/>
              <w:ind w:left="798"/>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2608" w:type="dxa"/>
            <w:tcBorders>
              <w:left w:val="single" w:color="000000" w:sz="4" w:space="0"/>
            </w:tcBorders>
          </w:tcPr>
          <w:p>
            <w:pPr>
              <w:spacing w:before="100" w:line="182" w:lineRule="auto"/>
              <w:ind w:left="1007"/>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496" w:type="dxa"/>
          </w:tcPr>
          <w:p>
            <w:pPr>
              <w:spacing w:before="99" w:line="183" w:lineRule="auto"/>
              <w:ind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7" w:hRule="atLeast"/>
        </w:trPr>
        <w:tc>
          <w:tcPr>
            <w:tcW w:w="742"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2471"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2472"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1474"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014"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2608" w:type="dxa"/>
            <w:tcBorders>
              <w:lef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149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tcPr>
          <w:p>
            <w:pPr>
              <w:pStyle w:val="128"/>
              <w:spacing w:before="60" w:after="60" w:line="240" w:lineRule="auto"/>
              <w:jc w:val="center"/>
              <w:rPr>
                <w:rFonts w:hint="eastAsia" w:ascii="宋体" w:hAnsi="宋体" w:eastAsia="宋体" w:cs="宋体"/>
                <w:b/>
                <w:bCs/>
                <w:sz w:val="24"/>
              </w:rPr>
            </w:pPr>
            <w:r>
              <w:rPr>
                <w:rFonts w:hint="eastAsia" w:ascii="宋体" w:hAnsi="宋体" w:eastAsia="宋体"/>
                <w:b/>
                <w:bCs/>
                <w:sz w:val="24"/>
              </w:rPr>
              <w:t>一</w:t>
            </w:r>
          </w:p>
        </w:tc>
        <w:tc>
          <w:tcPr>
            <w:tcW w:w="2471" w:type="dxa"/>
          </w:tcPr>
          <w:p>
            <w:pPr>
              <w:widowControl/>
              <w:jc w:val="center"/>
              <w:textAlignment w:val="center"/>
              <w:rPr>
                <w:rFonts w:hint="eastAsia" w:ascii="宋体" w:hAnsi="宋体" w:eastAsia="宋体" w:cs="宋体"/>
                <w:b/>
                <w:bCs/>
                <w:sz w:val="24"/>
                <w:szCs w:val="24"/>
              </w:rPr>
            </w:pPr>
            <w:r>
              <w:rPr>
                <w:rFonts w:hint="eastAsia" w:ascii="宋体" w:hAnsi="宋体" w:eastAsia="宋体"/>
                <w:b/>
                <w:bCs/>
                <w:sz w:val="24"/>
                <w:szCs w:val="24"/>
              </w:rPr>
              <w:t>总镍在线监测设备维修保养服务项目</w:t>
            </w:r>
          </w:p>
        </w:tc>
        <w:tc>
          <w:tcPr>
            <w:tcW w:w="2472" w:type="dxa"/>
          </w:tcPr>
          <w:p>
            <w:pPr>
              <w:jc w:val="center"/>
              <w:rPr>
                <w:rFonts w:hint="eastAsia" w:ascii="宋体" w:hAnsi="宋体" w:eastAsia="宋体" w:cs="宋体"/>
              </w:rPr>
            </w:pPr>
          </w:p>
        </w:tc>
        <w:tc>
          <w:tcPr>
            <w:tcW w:w="1474" w:type="dxa"/>
            <w:vAlign w:val="center"/>
          </w:tcPr>
          <w:p>
            <w:pPr>
              <w:jc w:val="center"/>
              <w:textAlignment w:val="center"/>
              <w:rPr>
                <w:rFonts w:hint="eastAsia" w:ascii="宋体" w:hAnsi="宋体" w:eastAsia="宋体" w:cs="宋体"/>
                <w:sz w:val="24"/>
                <w:szCs w:val="24"/>
              </w:rPr>
            </w:pPr>
          </w:p>
        </w:tc>
        <w:tc>
          <w:tcPr>
            <w:tcW w:w="2014" w:type="dxa"/>
            <w:vAlign w:val="center"/>
          </w:tcPr>
          <w:p>
            <w:pPr>
              <w:jc w:val="center"/>
              <w:textAlignment w:val="center"/>
              <w:rPr>
                <w:rFonts w:hint="eastAsia" w:ascii="宋体" w:hAnsi="宋体" w:eastAsia="宋体" w:cs="宋体"/>
                <w:sz w:val="24"/>
                <w:szCs w:val="24"/>
              </w:rPr>
            </w:pPr>
          </w:p>
        </w:tc>
        <w:tc>
          <w:tcPr>
            <w:tcW w:w="2608" w:type="dxa"/>
            <w:tcBorders>
              <w:left w:val="single" w:color="000000" w:sz="4" w:space="0"/>
            </w:tcBorders>
          </w:tcPr>
          <w:p>
            <w:pPr>
              <w:rPr>
                <w:rFonts w:hint="eastAsia" w:ascii="Arial"/>
              </w:rPr>
            </w:pPr>
          </w:p>
        </w:tc>
        <w:tc>
          <w:tcPr>
            <w:tcW w:w="1496" w:type="dxa"/>
            <w:vAlign w:val="center"/>
          </w:tcPr>
          <w:p>
            <w:pPr>
              <w:jc w:val="center"/>
              <w:textAlignment w:val="center"/>
              <w:rPr>
                <w:rFonts w:hint="eastAsia" w:ascii="宋体" w:hAnsi="宋体" w:eastAsia="宋体" w:cs="宋体"/>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pPr>
              <w:widowControl/>
              <w:jc w:val="center"/>
              <w:textAlignment w:val="center"/>
              <w:rPr>
                <w:rFonts w:hint="eastAsia" w:ascii="宋体" w:hAnsi="宋体" w:eastAsia="宋体" w:cs="宋体"/>
                <w:sz w:val="24"/>
                <w:szCs w:val="24"/>
              </w:rPr>
            </w:pPr>
          </w:p>
        </w:tc>
        <w:tc>
          <w:tcPr>
            <w:tcW w:w="2471" w:type="dxa"/>
            <w:vAlign w:val="center"/>
          </w:tcPr>
          <w:p>
            <w:pPr>
              <w:widowControl/>
              <w:jc w:val="center"/>
              <w:textAlignment w:val="center"/>
              <w:rPr>
                <w:rFonts w:hint="eastAsia" w:ascii="宋体" w:hAnsi="宋体" w:eastAsia="宋体" w:cs="宋体"/>
                <w:sz w:val="24"/>
                <w:szCs w:val="24"/>
              </w:rPr>
            </w:pPr>
          </w:p>
        </w:tc>
        <w:tc>
          <w:tcPr>
            <w:tcW w:w="2472" w:type="dxa"/>
          </w:tcPr>
          <w:p>
            <w:pPr>
              <w:jc w:val="center"/>
              <w:rPr>
                <w:rFonts w:hint="eastAsia" w:ascii="宋体" w:hAnsi="宋体" w:eastAsia="宋体" w:cs="宋体"/>
              </w:rPr>
            </w:pPr>
          </w:p>
        </w:tc>
        <w:tc>
          <w:tcPr>
            <w:tcW w:w="1474" w:type="dxa"/>
            <w:vAlign w:val="center"/>
          </w:tcPr>
          <w:p>
            <w:pPr>
              <w:jc w:val="center"/>
              <w:textAlignment w:val="center"/>
              <w:rPr>
                <w:rFonts w:hint="eastAsia" w:ascii="宋体" w:hAnsi="宋体" w:eastAsia="宋体" w:cs="宋体"/>
                <w:sz w:val="24"/>
                <w:szCs w:val="24"/>
              </w:rPr>
            </w:pPr>
          </w:p>
        </w:tc>
        <w:tc>
          <w:tcPr>
            <w:tcW w:w="2014" w:type="dxa"/>
            <w:vAlign w:val="center"/>
          </w:tcPr>
          <w:p>
            <w:pPr>
              <w:jc w:val="center"/>
              <w:textAlignment w:val="center"/>
              <w:rPr>
                <w:rFonts w:hint="eastAsia" w:ascii="宋体" w:hAnsi="宋体" w:eastAsia="宋体" w:cs="宋体"/>
                <w:sz w:val="24"/>
                <w:szCs w:val="24"/>
              </w:rPr>
            </w:pPr>
          </w:p>
        </w:tc>
        <w:tc>
          <w:tcPr>
            <w:tcW w:w="2608" w:type="dxa"/>
            <w:tcBorders>
              <w:left w:val="single" w:color="000000" w:sz="4" w:space="0"/>
            </w:tcBorders>
          </w:tcPr>
          <w:p>
            <w:pPr>
              <w:rPr>
                <w:rFonts w:hint="eastAsia" w:ascii="Arial"/>
              </w:rPr>
            </w:pPr>
          </w:p>
        </w:tc>
        <w:tc>
          <w:tcPr>
            <w:tcW w:w="1496" w:type="dxa"/>
            <w:vAlign w:val="center"/>
          </w:tcPr>
          <w:p>
            <w:pPr>
              <w:jc w:val="center"/>
              <w:textAlignment w:val="center"/>
              <w:rPr>
                <w:rFonts w:hint="eastAsia" w:ascii="宋体" w:hAnsi="宋体" w:eastAsia="宋体" w:cs="宋体"/>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pPr>
              <w:widowControl/>
              <w:jc w:val="center"/>
              <w:textAlignment w:val="center"/>
              <w:rPr>
                <w:rFonts w:hint="eastAsia" w:ascii="宋体" w:hAnsi="宋体" w:eastAsia="宋体" w:cs="宋体"/>
                <w:sz w:val="24"/>
                <w:szCs w:val="24"/>
              </w:rPr>
            </w:pPr>
          </w:p>
        </w:tc>
        <w:tc>
          <w:tcPr>
            <w:tcW w:w="2471" w:type="dxa"/>
            <w:vAlign w:val="center"/>
          </w:tcPr>
          <w:p>
            <w:pPr>
              <w:widowControl/>
              <w:jc w:val="center"/>
              <w:textAlignment w:val="center"/>
              <w:rPr>
                <w:rFonts w:hint="eastAsia" w:ascii="宋体" w:hAnsi="宋体" w:eastAsia="宋体" w:cs="宋体"/>
                <w:sz w:val="24"/>
                <w:szCs w:val="24"/>
              </w:rPr>
            </w:pPr>
          </w:p>
        </w:tc>
        <w:tc>
          <w:tcPr>
            <w:tcW w:w="2472" w:type="dxa"/>
          </w:tcPr>
          <w:p>
            <w:pPr>
              <w:jc w:val="center"/>
              <w:rPr>
                <w:rFonts w:hint="eastAsia" w:ascii="宋体" w:hAnsi="宋体" w:eastAsia="宋体" w:cs="宋体"/>
              </w:rPr>
            </w:pPr>
          </w:p>
        </w:tc>
        <w:tc>
          <w:tcPr>
            <w:tcW w:w="1474" w:type="dxa"/>
            <w:vAlign w:val="center"/>
          </w:tcPr>
          <w:p>
            <w:pPr>
              <w:jc w:val="center"/>
              <w:textAlignment w:val="center"/>
              <w:rPr>
                <w:rFonts w:hint="eastAsia" w:ascii="宋体" w:hAnsi="宋体" w:eastAsia="宋体" w:cs="宋体"/>
                <w:sz w:val="24"/>
                <w:szCs w:val="24"/>
              </w:rPr>
            </w:pPr>
          </w:p>
        </w:tc>
        <w:tc>
          <w:tcPr>
            <w:tcW w:w="2014" w:type="dxa"/>
            <w:vAlign w:val="center"/>
          </w:tcPr>
          <w:p>
            <w:pPr>
              <w:jc w:val="center"/>
              <w:textAlignment w:val="center"/>
              <w:rPr>
                <w:rFonts w:hint="eastAsia" w:ascii="宋体" w:hAnsi="宋体" w:eastAsia="宋体" w:cs="宋体"/>
                <w:sz w:val="24"/>
                <w:szCs w:val="24"/>
              </w:rPr>
            </w:pPr>
          </w:p>
        </w:tc>
        <w:tc>
          <w:tcPr>
            <w:tcW w:w="2608" w:type="dxa"/>
            <w:tcBorders>
              <w:left w:val="single" w:color="000000" w:sz="4" w:space="0"/>
            </w:tcBorders>
          </w:tcPr>
          <w:p>
            <w:pPr>
              <w:rPr>
                <w:rFonts w:hint="eastAsia" w:ascii="Arial"/>
              </w:rPr>
            </w:pPr>
          </w:p>
        </w:tc>
        <w:tc>
          <w:tcPr>
            <w:tcW w:w="1496" w:type="dxa"/>
            <w:vAlign w:val="center"/>
          </w:tcPr>
          <w:p>
            <w:pPr>
              <w:jc w:val="center"/>
              <w:textAlignment w:val="center"/>
              <w:rPr>
                <w:rFonts w:hint="eastAsia" w:ascii="宋体" w:hAnsi="宋体" w:eastAsia="宋体" w:cs="宋体"/>
                <w:sz w:val="24"/>
                <w:szCs w:val="24"/>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742" w:type="dxa"/>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sz w:val="24"/>
                <w:szCs w:val="24"/>
              </w:rPr>
              <w:t>...</w:t>
            </w:r>
          </w:p>
        </w:tc>
        <w:tc>
          <w:tcPr>
            <w:tcW w:w="2471" w:type="dxa"/>
            <w:vAlign w:val="center"/>
          </w:tcPr>
          <w:p>
            <w:pPr>
              <w:widowControl/>
              <w:jc w:val="left"/>
              <w:textAlignment w:val="center"/>
              <w:rPr>
                <w:rFonts w:hint="eastAsia" w:ascii="宋体" w:hAnsi="宋体" w:eastAsia="宋体" w:cs="宋体"/>
                <w:sz w:val="24"/>
                <w:szCs w:val="24"/>
              </w:rPr>
            </w:pPr>
            <w:r>
              <w:rPr>
                <w:rFonts w:ascii="宋体" w:hAnsi="宋体" w:eastAsia="宋体" w:cs="宋体"/>
                <w:sz w:val="24"/>
                <w:szCs w:val="24"/>
              </w:rPr>
              <w:t>如有其他，可根据技术方案特点自行添加</w:t>
            </w:r>
          </w:p>
        </w:tc>
        <w:tc>
          <w:tcPr>
            <w:tcW w:w="2472" w:type="dxa"/>
          </w:tcPr>
          <w:p>
            <w:pPr>
              <w:rPr>
                <w:rFonts w:hint="eastAsia" w:ascii="Arial"/>
              </w:rPr>
            </w:pPr>
          </w:p>
        </w:tc>
        <w:tc>
          <w:tcPr>
            <w:tcW w:w="1474" w:type="dxa"/>
          </w:tcPr>
          <w:p>
            <w:pPr>
              <w:rPr>
                <w:rFonts w:hint="eastAsia" w:ascii="Arial"/>
              </w:rPr>
            </w:pPr>
          </w:p>
        </w:tc>
        <w:tc>
          <w:tcPr>
            <w:tcW w:w="2014" w:type="dxa"/>
          </w:tcPr>
          <w:p>
            <w:pPr>
              <w:rPr>
                <w:rFonts w:hint="eastAsia" w:ascii="Arial"/>
              </w:rPr>
            </w:pPr>
          </w:p>
        </w:tc>
        <w:tc>
          <w:tcPr>
            <w:tcW w:w="2608" w:type="dxa"/>
            <w:tcBorders>
              <w:left w:val="single" w:color="000000" w:sz="4" w:space="0"/>
            </w:tcBorders>
          </w:tcPr>
          <w:p>
            <w:pPr>
              <w:rPr>
                <w:rFonts w:hint="eastAsia" w:ascii="Arial"/>
              </w:rPr>
            </w:pPr>
          </w:p>
        </w:tc>
        <w:tc>
          <w:tcPr>
            <w:tcW w:w="1496" w:type="dxa"/>
          </w:tcPr>
          <w:p>
            <w:pPr>
              <w:rPr>
                <w:rFonts w:hint="eastAsia" w:ascii="Arial"/>
              </w:rPr>
            </w:pPr>
          </w:p>
        </w:tc>
      </w:tr>
    </w:tbl>
    <w:p>
      <w:pPr>
        <w:spacing w:before="78" w:line="219" w:lineRule="auto"/>
        <w:ind w:left="431"/>
        <w:rPr>
          <w:rFonts w:hint="eastAsia" w:ascii="宋体" w:hAnsi="宋体" w:eastAsia="宋体" w:cs="宋体"/>
          <w:spacing w:val="-6"/>
          <w:szCs w:val="21"/>
        </w:rPr>
      </w:pPr>
      <w:r>
        <w:rPr>
          <w:rFonts w:ascii="宋体" w:hAnsi="宋体" w:eastAsia="宋体" w:cs="宋体"/>
          <w:spacing w:val="-8"/>
          <w:szCs w:val="21"/>
        </w:rPr>
        <w:t>注：</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1.该明细表所有信息均为必填项，不得删减，可细化可增加。</w:t>
      </w:r>
    </w:p>
    <w:p>
      <w:pPr>
        <w:spacing w:before="78" w:line="219" w:lineRule="auto"/>
        <w:ind w:left="431"/>
        <w:rPr>
          <w:rFonts w:hint="eastAsia" w:ascii="宋体" w:hAnsi="宋体" w:eastAsia="宋体" w:cs="宋体"/>
          <w:b/>
          <w:bCs/>
          <w:spacing w:val="-6"/>
          <w:szCs w:val="21"/>
          <w:highlight w:val="yellow"/>
        </w:rPr>
      </w:pPr>
      <w:r>
        <w:rPr>
          <w:rFonts w:hint="eastAsia" w:ascii="宋体" w:hAnsi="宋体" w:eastAsia="宋体" w:cs="宋体"/>
          <w:b/>
          <w:bCs/>
          <w:spacing w:val="-6"/>
          <w:szCs w:val="21"/>
          <w:highlight w:val="yellow"/>
        </w:rPr>
        <w:t>2.此表格需在技术标中体现，并明确规格型号、品牌等信息。</w:t>
      </w:r>
    </w:p>
    <w:p>
      <w:pPr>
        <w:spacing w:before="78" w:line="219" w:lineRule="auto"/>
        <w:ind w:left="431"/>
        <w:rPr>
          <w:rFonts w:hint="eastAsia" w:ascii="宋体" w:hAnsi="宋体" w:eastAsia="宋体" w:cs="宋体"/>
          <w:spacing w:val="-6"/>
          <w:szCs w:val="21"/>
          <w:highlight w:val="yellow"/>
        </w:rPr>
      </w:pPr>
      <w:r>
        <w:rPr>
          <w:rFonts w:hint="eastAsia" w:ascii="宋体" w:hAnsi="宋体" w:eastAsia="宋体" w:cs="宋体"/>
          <w:spacing w:val="-6"/>
          <w:szCs w:val="21"/>
          <w:highlight w:val="yellow"/>
        </w:rPr>
        <w:t>3.此表分项明细需要和附表9-1完全对应。</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4.因填写不规范造成废标及终止招标的，责任由投标人自负。</w:t>
      </w:r>
    </w:p>
    <w:p>
      <w:pPr>
        <w:spacing w:before="78" w:line="219" w:lineRule="auto"/>
        <w:ind w:left="431"/>
        <w:rPr>
          <w:rFonts w:hint="eastAsia" w:ascii="宋体" w:hAnsi="宋体" w:eastAsia="宋体" w:cs="宋体"/>
          <w:spacing w:val="-6"/>
          <w:szCs w:val="21"/>
        </w:rPr>
      </w:pPr>
    </w:p>
    <w:p>
      <w:pPr>
        <w:spacing w:line="105" w:lineRule="exact"/>
        <w:rPr>
          <w:rFonts w:hint="eastAsia"/>
        </w:rPr>
      </w:pPr>
    </w:p>
    <w:p>
      <w:pPr>
        <w:rPr>
          <w:rFonts w:hint="eastAsia" w:eastAsia="宋体"/>
        </w:rPr>
        <w:sectPr>
          <w:footerReference r:id="rId18" w:type="default"/>
          <w:pgSz w:w="16841" w:h="11907" w:orient="landscape"/>
          <w:pgMar w:top="400" w:right="1387" w:bottom="1168" w:left="1473" w:header="0" w:footer="990" w:gutter="0"/>
          <w:cols w:equalWidth="0" w:num="1">
            <w:col w:w="13980"/>
          </w:cols>
        </w:sectPr>
      </w:pPr>
      <w:r>
        <w:rPr>
          <w:rFonts w:hint="eastAsia" w:ascii="宋体" w:hAnsi="宋体" w:eastAsia="宋体" w:cs="宋体"/>
          <w:spacing w:val="-4"/>
          <w:sz w:val="24"/>
          <w:szCs w:val="24"/>
        </w:rPr>
        <w:t xml:space="preserve">投标人(章)：                            </w:t>
      </w: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附件5-3</w:t>
      </w:r>
      <w:r>
        <w:rPr>
          <w:rFonts w:ascii="Times New Roman" w:hAnsi="Times New Roman" w:eastAsia="宋体" w:cs="宋体"/>
          <w:b/>
          <w:bCs/>
          <w:color w:val="000000"/>
          <w:sz w:val="24"/>
          <w:szCs w:val="24"/>
        </w:rPr>
        <w:t xml:space="preserve"> </w:t>
      </w:r>
      <w:r>
        <w:rPr>
          <w:rFonts w:hint="eastAsia" w:ascii="Times New Roman" w:hAnsi="Times New Roman" w:eastAsia="宋体" w:cs="宋体"/>
          <w:b/>
          <w:bCs/>
          <w:color w:val="000000"/>
          <w:sz w:val="24"/>
          <w:szCs w:val="24"/>
        </w:rPr>
        <w:t>本项目全生命周期内备品备件、易损件和专用耗材明细表</w:t>
      </w:r>
    </w:p>
    <w:p>
      <w:pPr>
        <w:adjustRightInd w:val="0"/>
        <w:snapToGrid w:val="0"/>
        <w:spacing w:line="360" w:lineRule="auto"/>
        <w:rPr>
          <w:rFonts w:hint="eastAsia" w:ascii="宋体" w:hAnsi="宋体" w:eastAsia="宋体" w:cs="宋体"/>
          <w:b/>
          <w:bCs/>
          <w:sz w:val="24"/>
          <w:szCs w:val="24"/>
          <w:highlight w:val="yellow"/>
        </w:rPr>
      </w:pPr>
    </w:p>
    <w:p>
      <w:pPr>
        <w:adjustRightInd w:val="0"/>
        <w:snapToGrid w:val="0"/>
        <w:spacing w:line="420" w:lineRule="exact"/>
        <w:ind w:firstLine="1890" w:firstLineChars="900"/>
        <w:rPr>
          <w:rFonts w:hint="eastAsia" w:ascii="宋体" w:hAnsi="宋体" w:eastAsia="宋体" w:cs="宋体"/>
          <w:highlight w:val="yellow"/>
        </w:rPr>
      </w:pPr>
      <w:r>
        <w:rPr>
          <w:rFonts w:hint="eastAsia" w:ascii="宋体" w:hAnsi="宋体" w:eastAsia="宋体" w:cs="宋体"/>
          <w:highlight w:val="yellow"/>
        </w:rPr>
        <w:t>备品备件、易损件和专用耗材明细表             单位：元</w:t>
      </w:r>
    </w:p>
    <w:tbl>
      <w:tblPr>
        <w:tblStyle w:val="39"/>
        <w:tblW w:w="97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9"/>
        <w:gridCol w:w="1518"/>
        <w:gridCol w:w="899"/>
        <w:gridCol w:w="1387"/>
        <w:gridCol w:w="706"/>
        <w:gridCol w:w="847"/>
        <w:gridCol w:w="1646"/>
        <w:gridCol w:w="19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trPr>
        <w:tc>
          <w:tcPr>
            <w:tcW w:w="799"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序号</w:t>
            </w:r>
          </w:p>
        </w:tc>
        <w:tc>
          <w:tcPr>
            <w:tcW w:w="1518"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名称</w:t>
            </w:r>
          </w:p>
        </w:tc>
        <w:tc>
          <w:tcPr>
            <w:tcW w:w="899"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品牌</w:t>
            </w:r>
          </w:p>
        </w:tc>
        <w:tc>
          <w:tcPr>
            <w:tcW w:w="1387"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型号规格</w:t>
            </w:r>
          </w:p>
        </w:tc>
        <w:tc>
          <w:tcPr>
            <w:tcW w:w="706"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单位</w:t>
            </w:r>
          </w:p>
        </w:tc>
        <w:tc>
          <w:tcPr>
            <w:tcW w:w="847"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市场价</w:t>
            </w:r>
          </w:p>
        </w:tc>
        <w:tc>
          <w:tcPr>
            <w:tcW w:w="1646"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重汽折扣价</w:t>
            </w:r>
          </w:p>
        </w:tc>
        <w:tc>
          <w:tcPr>
            <w:tcW w:w="1978"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更换周期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trPr>
        <w:tc>
          <w:tcPr>
            <w:tcW w:w="799" w:type="dxa"/>
          </w:tcPr>
          <w:p>
            <w:pPr>
              <w:adjustRightInd w:val="0"/>
              <w:snapToGrid w:val="0"/>
              <w:spacing w:line="360" w:lineRule="exact"/>
              <w:jc w:val="center"/>
              <w:rPr>
                <w:rFonts w:hint="eastAsia" w:ascii="宋体" w:hAnsi="宋体" w:eastAsia="宋体" w:cs="宋体"/>
              </w:rPr>
            </w:pPr>
          </w:p>
        </w:tc>
        <w:tc>
          <w:tcPr>
            <w:tcW w:w="1518" w:type="dxa"/>
          </w:tcPr>
          <w:p>
            <w:pPr>
              <w:adjustRightInd w:val="0"/>
              <w:snapToGrid w:val="0"/>
              <w:spacing w:line="360" w:lineRule="exact"/>
              <w:rPr>
                <w:rFonts w:hint="eastAsia" w:ascii="宋体" w:hAnsi="宋体" w:eastAsia="宋体" w:cs="宋体"/>
              </w:rPr>
            </w:pPr>
          </w:p>
        </w:tc>
        <w:tc>
          <w:tcPr>
            <w:tcW w:w="899" w:type="dxa"/>
          </w:tcPr>
          <w:p>
            <w:pPr>
              <w:adjustRightInd w:val="0"/>
              <w:snapToGrid w:val="0"/>
              <w:spacing w:line="360" w:lineRule="exact"/>
              <w:rPr>
                <w:rFonts w:hint="eastAsia" w:ascii="宋体" w:hAnsi="宋体" w:eastAsia="宋体" w:cs="宋体"/>
              </w:rPr>
            </w:pPr>
          </w:p>
        </w:tc>
        <w:tc>
          <w:tcPr>
            <w:tcW w:w="1387" w:type="dxa"/>
          </w:tcPr>
          <w:p>
            <w:pPr>
              <w:adjustRightInd w:val="0"/>
              <w:snapToGrid w:val="0"/>
              <w:spacing w:line="360" w:lineRule="exact"/>
              <w:jc w:val="center"/>
              <w:rPr>
                <w:rFonts w:hint="eastAsia" w:ascii="宋体" w:hAnsi="宋体" w:eastAsia="宋体" w:cs="宋体"/>
              </w:rPr>
            </w:pPr>
          </w:p>
        </w:tc>
        <w:tc>
          <w:tcPr>
            <w:tcW w:w="706" w:type="dxa"/>
          </w:tcPr>
          <w:p>
            <w:pPr>
              <w:adjustRightInd w:val="0"/>
              <w:snapToGrid w:val="0"/>
              <w:spacing w:line="360" w:lineRule="exact"/>
              <w:jc w:val="center"/>
              <w:rPr>
                <w:rFonts w:hint="eastAsia" w:ascii="宋体" w:hAnsi="宋体" w:eastAsia="宋体" w:cs="宋体"/>
              </w:rPr>
            </w:pPr>
          </w:p>
        </w:tc>
        <w:tc>
          <w:tcPr>
            <w:tcW w:w="847" w:type="dxa"/>
          </w:tcPr>
          <w:p>
            <w:pPr>
              <w:adjustRightInd w:val="0"/>
              <w:snapToGrid w:val="0"/>
              <w:spacing w:line="360" w:lineRule="exact"/>
              <w:jc w:val="center"/>
              <w:rPr>
                <w:rFonts w:hint="eastAsia" w:ascii="宋体" w:hAnsi="宋体" w:eastAsia="宋体" w:cs="宋体"/>
              </w:rPr>
            </w:pPr>
          </w:p>
        </w:tc>
        <w:tc>
          <w:tcPr>
            <w:tcW w:w="1646" w:type="dxa"/>
          </w:tcPr>
          <w:p>
            <w:pPr>
              <w:adjustRightInd w:val="0"/>
              <w:snapToGrid w:val="0"/>
              <w:spacing w:line="360" w:lineRule="exact"/>
              <w:jc w:val="center"/>
              <w:rPr>
                <w:rFonts w:hint="eastAsia" w:ascii="宋体" w:hAnsi="宋体" w:eastAsia="宋体" w:cs="宋体"/>
              </w:rPr>
            </w:pPr>
          </w:p>
        </w:tc>
        <w:tc>
          <w:tcPr>
            <w:tcW w:w="1978" w:type="dxa"/>
          </w:tcPr>
          <w:p>
            <w:pPr>
              <w:adjustRightInd w:val="0"/>
              <w:snapToGrid w:val="0"/>
              <w:spacing w:line="360" w:lineRule="exact"/>
              <w:rPr>
                <w:rFonts w:hint="eastAsia"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trPr>
        <w:tc>
          <w:tcPr>
            <w:tcW w:w="799" w:type="dxa"/>
          </w:tcPr>
          <w:p>
            <w:pPr>
              <w:adjustRightInd w:val="0"/>
              <w:snapToGrid w:val="0"/>
              <w:spacing w:line="360" w:lineRule="exact"/>
              <w:jc w:val="center"/>
              <w:rPr>
                <w:rFonts w:hint="eastAsia" w:ascii="宋体" w:hAnsi="宋体" w:eastAsia="宋体" w:cs="宋体"/>
              </w:rPr>
            </w:pPr>
          </w:p>
        </w:tc>
        <w:tc>
          <w:tcPr>
            <w:tcW w:w="1518" w:type="dxa"/>
          </w:tcPr>
          <w:p>
            <w:pPr>
              <w:adjustRightInd w:val="0"/>
              <w:snapToGrid w:val="0"/>
              <w:spacing w:line="360" w:lineRule="exact"/>
              <w:rPr>
                <w:rFonts w:hint="eastAsia" w:ascii="宋体" w:hAnsi="宋体" w:eastAsia="宋体" w:cs="宋体"/>
              </w:rPr>
            </w:pPr>
          </w:p>
        </w:tc>
        <w:tc>
          <w:tcPr>
            <w:tcW w:w="899" w:type="dxa"/>
          </w:tcPr>
          <w:p>
            <w:pPr>
              <w:adjustRightInd w:val="0"/>
              <w:snapToGrid w:val="0"/>
              <w:spacing w:line="360" w:lineRule="exact"/>
              <w:rPr>
                <w:rFonts w:hint="eastAsia" w:ascii="宋体" w:hAnsi="宋体" w:eastAsia="宋体" w:cs="宋体"/>
              </w:rPr>
            </w:pPr>
          </w:p>
        </w:tc>
        <w:tc>
          <w:tcPr>
            <w:tcW w:w="1387" w:type="dxa"/>
          </w:tcPr>
          <w:p>
            <w:pPr>
              <w:adjustRightInd w:val="0"/>
              <w:snapToGrid w:val="0"/>
              <w:spacing w:line="360" w:lineRule="exact"/>
              <w:jc w:val="center"/>
              <w:rPr>
                <w:rFonts w:hint="eastAsia" w:ascii="宋体" w:hAnsi="宋体" w:eastAsia="宋体" w:cs="宋体"/>
              </w:rPr>
            </w:pPr>
          </w:p>
        </w:tc>
        <w:tc>
          <w:tcPr>
            <w:tcW w:w="706" w:type="dxa"/>
          </w:tcPr>
          <w:p>
            <w:pPr>
              <w:adjustRightInd w:val="0"/>
              <w:snapToGrid w:val="0"/>
              <w:spacing w:line="360" w:lineRule="exact"/>
              <w:jc w:val="center"/>
              <w:rPr>
                <w:rFonts w:hint="eastAsia" w:ascii="宋体" w:hAnsi="宋体" w:eastAsia="宋体" w:cs="宋体"/>
              </w:rPr>
            </w:pPr>
          </w:p>
        </w:tc>
        <w:tc>
          <w:tcPr>
            <w:tcW w:w="847" w:type="dxa"/>
          </w:tcPr>
          <w:p>
            <w:pPr>
              <w:adjustRightInd w:val="0"/>
              <w:snapToGrid w:val="0"/>
              <w:spacing w:line="360" w:lineRule="exact"/>
              <w:jc w:val="center"/>
              <w:rPr>
                <w:rFonts w:hint="eastAsia" w:ascii="宋体" w:hAnsi="宋体" w:eastAsia="宋体" w:cs="宋体"/>
              </w:rPr>
            </w:pPr>
          </w:p>
        </w:tc>
        <w:tc>
          <w:tcPr>
            <w:tcW w:w="1646" w:type="dxa"/>
          </w:tcPr>
          <w:p>
            <w:pPr>
              <w:adjustRightInd w:val="0"/>
              <w:snapToGrid w:val="0"/>
              <w:spacing w:line="360" w:lineRule="exact"/>
              <w:jc w:val="center"/>
              <w:rPr>
                <w:rFonts w:hint="eastAsia" w:ascii="宋体" w:hAnsi="宋体" w:eastAsia="宋体" w:cs="宋体"/>
              </w:rPr>
            </w:pPr>
          </w:p>
        </w:tc>
        <w:tc>
          <w:tcPr>
            <w:tcW w:w="1978" w:type="dxa"/>
          </w:tcPr>
          <w:p>
            <w:pPr>
              <w:adjustRightInd w:val="0"/>
              <w:snapToGrid w:val="0"/>
              <w:spacing w:line="360" w:lineRule="exact"/>
              <w:rPr>
                <w:rFonts w:hint="eastAsia"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trPr>
        <w:tc>
          <w:tcPr>
            <w:tcW w:w="799" w:type="dxa"/>
          </w:tcPr>
          <w:p>
            <w:pPr>
              <w:adjustRightInd w:val="0"/>
              <w:snapToGrid w:val="0"/>
              <w:spacing w:line="360" w:lineRule="exact"/>
              <w:jc w:val="center"/>
              <w:rPr>
                <w:rFonts w:hint="eastAsia" w:ascii="宋体" w:hAnsi="宋体" w:eastAsia="宋体" w:cs="宋体"/>
              </w:rPr>
            </w:pPr>
          </w:p>
        </w:tc>
        <w:tc>
          <w:tcPr>
            <w:tcW w:w="1518" w:type="dxa"/>
          </w:tcPr>
          <w:p>
            <w:pPr>
              <w:adjustRightInd w:val="0"/>
              <w:snapToGrid w:val="0"/>
              <w:spacing w:line="360" w:lineRule="exact"/>
              <w:rPr>
                <w:rFonts w:hint="eastAsia" w:ascii="宋体" w:hAnsi="宋体" w:eastAsia="宋体" w:cs="宋体"/>
              </w:rPr>
            </w:pPr>
          </w:p>
        </w:tc>
        <w:tc>
          <w:tcPr>
            <w:tcW w:w="899" w:type="dxa"/>
          </w:tcPr>
          <w:p>
            <w:pPr>
              <w:adjustRightInd w:val="0"/>
              <w:snapToGrid w:val="0"/>
              <w:spacing w:line="360" w:lineRule="exact"/>
              <w:rPr>
                <w:rFonts w:hint="eastAsia" w:ascii="宋体" w:hAnsi="宋体" w:eastAsia="宋体" w:cs="宋体"/>
              </w:rPr>
            </w:pPr>
          </w:p>
        </w:tc>
        <w:tc>
          <w:tcPr>
            <w:tcW w:w="1387" w:type="dxa"/>
          </w:tcPr>
          <w:p>
            <w:pPr>
              <w:adjustRightInd w:val="0"/>
              <w:snapToGrid w:val="0"/>
              <w:spacing w:line="360" w:lineRule="exact"/>
              <w:jc w:val="center"/>
              <w:rPr>
                <w:rFonts w:hint="eastAsia" w:ascii="宋体" w:hAnsi="宋体" w:eastAsia="宋体" w:cs="宋体"/>
              </w:rPr>
            </w:pPr>
          </w:p>
        </w:tc>
        <w:tc>
          <w:tcPr>
            <w:tcW w:w="706" w:type="dxa"/>
          </w:tcPr>
          <w:p>
            <w:pPr>
              <w:adjustRightInd w:val="0"/>
              <w:snapToGrid w:val="0"/>
              <w:spacing w:line="360" w:lineRule="exact"/>
              <w:jc w:val="center"/>
              <w:rPr>
                <w:rFonts w:hint="eastAsia" w:ascii="宋体" w:hAnsi="宋体" w:eastAsia="宋体" w:cs="宋体"/>
              </w:rPr>
            </w:pPr>
          </w:p>
        </w:tc>
        <w:tc>
          <w:tcPr>
            <w:tcW w:w="847" w:type="dxa"/>
          </w:tcPr>
          <w:p>
            <w:pPr>
              <w:adjustRightInd w:val="0"/>
              <w:snapToGrid w:val="0"/>
              <w:spacing w:line="360" w:lineRule="exact"/>
              <w:jc w:val="center"/>
              <w:rPr>
                <w:rFonts w:hint="eastAsia" w:ascii="宋体" w:hAnsi="宋体" w:eastAsia="宋体" w:cs="宋体"/>
              </w:rPr>
            </w:pPr>
          </w:p>
        </w:tc>
        <w:tc>
          <w:tcPr>
            <w:tcW w:w="1646" w:type="dxa"/>
          </w:tcPr>
          <w:p>
            <w:pPr>
              <w:adjustRightInd w:val="0"/>
              <w:snapToGrid w:val="0"/>
              <w:spacing w:line="360" w:lineRule="exact"/>
              <w:jc w:val="center"/>
              <w:rPr>
                <w:rFonts w:hint="eastAsia" w:ascii="宋体" w:hAnsi="宋体" w:eastAsia="宋体" w:cs="宋体"/>
              </w:rPr>
            </w:pPr>
          </w:p>
        </w:tc>
        <w:tc>
          <w:tcPr>
            <w:tcW w:w="1978" w:type="dxa"/>
          </w:tcPr>
          <w:p>
            <w:pPr>
              <w:adjustRightInd w:val="0"/>
              <w:snapToGrid w:val="0"/>
              <w:spacing w:line="360" w:lineRule="exact"/>
              <w:rPr>
                <w:rFonts w:hint="eastAsia"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trPr>
        <w:tc>
          <w:tcPr>
            <w:tcW w:w="799" w:type="dxa"/>
          </w:tcPr>
          <w:p>
            <w:pPr>
              <w:adjustRightInd w:val="0"/>
              <w:snapToGrid w:val="0"/>
              <w:spacing w:line="360" w:lineRule="exact"/>
              <w:jc w:val="center"/>
              <w:rPr>
                <w:rFonts w:hint="eastAsia" w:ascii="宋体" w:hAnsi="宋体" w:eastAsia="宋体" w:cs="宋体"/>
              </w:rPr>
            </w:pPr>
          </w:p>
        </w:tc>
        <w:tc>
          <w:tcPr>
            <w:tcW w:w="1518" w:type="dxa"/>
          </w:tcPr>
          <w:p>
            <w:pPr>
              <w:adjustRightInd w:val="0"/>
              <w:snapToGrid w:val="0"/>
              <w:spacing w:line="360" w:lineRule="exact"/>
              <w:rPr>
                <w:rFonts w:hint="eastAsia" w:ascii="宋体" w:hAnsi="宋体" w:eastAsia="宋体" w:cs="宋体"/>
              </w:rPr>
            </w:pPr>
          </w:p>
        </w:tc>
        <w:tc>
          <w:tcPr>
            <w:tcW w:w="899" w:type="dxa"/>
          </w:tcPr>
          <w:p>
            <w:pPr>
              <w:adjustRightInd w:val="0"/>
              <w:snapToGrid w:val="0"/>
              <w:spacing w:line="360" w:lineRule="exact"/>
              <w:rPr>
                <w:rFonts w:hint="eastAsia" w:ascii="宋体" w:hAnsi="宋体" w:eastAsia="宋体" w:cs="宋体"/>
              </w:rPr>
            </w:pPr>
          </w:p>
        </w:tc>
        <w:tc>
          <w:tcPr>
            <w:tcW w:w="1387" w:type="dxa"/>
          </w:tcPr>
          <w:p>
            <w:pPr>
              <w:adjustRightInd w:val="0"/>
              <w:snapToGrid w:val="0"/>
              <w:spacing w:line="360" w:lineRule="exact"/>
              <w:jc w:val="center"/>
              <w:rPr>
                <w:rFonts w:hint="eastAsia" w:ascii="宋体" w:hAnsi="宋体" w:eastAsia="宋体" w:cs="宋体"/>
              </w:rPr>
            </w:pPr>
          </w:p>
        </w:tc>
        <w:tc>
          <w:tcPr>
            <w:tcW w:w="706" w:type="dxa"/>
          </w:tcPr>
          <w:p>
            <w:pPr>
              <w:adjustRightInd w:val="0"/>
              <w:snapToGrid w:val="0"/>
              <w:spacing w:line="360" w:lineRule="exact"/>
              <w:jc w:val="center"/>
              <w:rPr>
                <w:rFonts w:hint="eastAsia" w:ascii="宋体" w:hAnsi="宋体" w:eastAsia="宋体" w:cs="宋体"/>
              </w:rPr>
            </w:pPr>
          </w:p>
        </w:tc>
        <w:tc>
          <w:tcPr>
            <w:tcW w:w="847" w:type="dxa"/>
          </w:tcPr>
          <w:p>
            <w:pPr>
              <w:adjustRightInd w:val="0"/>
              <w:snapToGrid w:val="0"/>
              <w:spacing w:line="360" w:lineRule="exact"/>
              <w:jc w:val="center"/>
              <w:rPr>
                <w:rFonts w:hint="eastAsia" w:ascii="宋体" w:hAnsi="宋体" w:eastAsia="宋体" w:cs="宋体"/>
              </w:rPr>
            </w:pPr>
          </w:p>
        </w:tc>
        <w:tc>
          <w:tcPr>
            <w:tcW w:w="1646" w:type="dxa"/>
          </w:tcPr>
          <w:p>
            <w:pPr>
              <w:adjustRightInd w:val="0"/>
              <w:snapToGrid w:val="0"/>
              <w:spacing w:line="360" w:lineRule="exact"/>
              <w:jc w:val="center"/>
              <w:rPr>
                <w:rFonts w:hint="eastAsia" w:ascii="宋体" w:hAnsi="宋体" w:eastAsia="宋体" w:cs="宋体"/>
              </w:rPr>
            </w:pPr>
          </w:p>
        </w:tc>
        <w:tc>
          <w:tcPr>
            <w:tcW w:w="1978" w:type="dxa"/>
          </w:tcPr>
          <w:p>
            <w:pPr>
              <w:adjustRightInd w:val="0"/>
              <w:snapToGrid w:val="0"/>
              <w:spacing w:line="360" w:lineRule="exact"/>
              <w:rPr>
                <w:rFonts w:hint="eastAsia"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trPr>
        <w:tc>
          <w:tcPr>
            <w:tcW w:w="799" w:type="dxa"/>
          </w:tcPr>
          <w:p>
            <w:pPr>
              <w:adjustRightInd w:val="0"/>
              <w:snapToGrid w:val="0"/>
              <w:spacing w:line="360" w:lineRule="exact"/>
              <w:jc w:val="center"/>
              <w:rPr>
                <w:rFonts w:hint="eastAsia" w:ascii="宋体" w:hAnsi="宋体" w:eastAsia="宋体" w:cs="宋体"/>
              </w:rPr>
            </w:pPr>
          </w:p>
        </w:tc>
        <w:tc>
          <w:tcPr>
            <w:tcW w:w="1518" w:type="dxa"/>
          </w:tcPr>
          <w:p>
            <w:pPr>
              <w:adjustRightInd w:val="0"/>
              <w:snapToGrid w:val="0"/>
              <w:spacing w:line="360" w:lineRule="exact"/>
              <w:rPr>
                <w:rFonts w:hint="eastAsia" w:ascii="宋体" w:hAnsi="宋体" w:eastAsia="宋体" w:cs="宋体"/>
              </w:rPr>
            </w:pPr>
          </w:p>
        </w:tc>
        <w:tc>
          <w:tcPr>
            <w:tcW w:w="899" w:type="dxa"/>
          </w:tcPr>
          <w:p>
            <w:pPr>
              <w:adjustRightInd w:val="0"/>
              <w:snapToGrid w:val="0"/>
              <w:spacing w:line="360" w:lineRule="exact"/>
              <w:rPr>
                <w:rFonts w:hint="eastAsia" w:ascii="宋体" w:hAnsi="宋体" w:eastAsia="宋体" w:cs="宋体"/>
              </w:rPr>
            </w:pPr>
          </w:p>
        </w:tc>
        <w:tc>
          <w:tcPr>
            <w:tcW w:w="1387" w:type="dxa"/>
          </w:tcPr>
          <w:p>
            <w:pPr>
              <w:adjustRightInd w:val="0"/>
              <w:snapToGrid w:val="0"/>
              <w:spacing w:line="360" w:lineRule="exact"/>
              <w:jc w:val="center"/>
              <w:rPr>
                <w:rFonts w:hint="eastAsia" w:ascii="宋体" w:hAnsi="宋体" w:eastAsia="宋体" w:cs="宋体"/>
              </w:rPr>
            </w:pPr>
          </w:p>
        </w:tc>
        <w:tc>
          <w:tcPr>
            <w:tcW w:w="706" w:type="dxa"/>
          </w:tcPr>
          <w:p>
            <w:pPr>
              <w:adjustRightInd w:val="0"/>
              <w:snapToGrid w:val="0"/>
              <w:spacing w:line="360" w:lineRule="exact"/>
              <w:jc w:val="center"/>
              <w:rPr>
                <w:rFonts w:hint="eastAsia" w:ascii="宋体" w:hAnsi="宋体" w:eastAsia="宋体" w:cs="宋体"/>
              </w:rPr>
            </w:pPr>
          </w:p>
        </w:tc>
        <w:tc>
          <w:tcPr>
            <w:tcW w:w="847" w:type="dxa"/>
          </w:tcPr>
          <w:p>
            <w:pPr>
              <w:adjustRightInd w:val="0"/>
              <w:snapToGrid w:val="0"/>
              <w:spacing w:line="360" w:lineRule="exact"/>
              <w:jc w:val="center"/>
              <w:rPr>
                <w:rFonts w:hint="eastAsia" w:ascii="宋体" w:hAnsi="宋体" w:eastAsia="宋体" w:cs="宋体"/>
              </w:rPr>
            </w:pPr>
          </w:p>
        </w:tc>
        <w:tc>
          <w:tcPr>
            <w:tcW w:w="1646" w:type="dxa"/>
          </w:tcPr>
          <w:p>
            <w:pPr>
              <w:adjustRightInd w:val="0"/>
              <w:snapToGrid w:val="0"/>
              <w:spacing w:line="360" w:lineRule="exact"/>
              <w:jc w:val="center"/>
              <w:rPr>
                <w:rFonts w:hint="eastAsia" w:ascii="宋体" w:hAnsi="宋体" w:eastAsia="宋体" w:cs="宋体"/>
              </w:rPr>
            </w:pPr>
          </w:p>
        </w:tc>
        <w:tc>
          <w:tcPr>
            <w:tcW w:w="1978" w:type="dxa"/>
          </w:tcPr>
          <w:p>
            <w:pPr>
              <w:adjustRightInd w:val="0"/>
              <w:snapToGrid w:val="0"/>
              <w:spacing w:line="360" w:lineRule="exact"/>
              <w:rPr>
                <w:rFonts w:hint="eastAsia"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1" w:hRule="atLeast"/>
        </w:trPr>
        <w:tc>
          <w:tcPr>
            <w:tcW w:w="799" w:type="dxa"/>
          </w:tcPr>
          <w:p>
            <w:pPr>
              <w:adjustRightInd w:val="0"/>
              <w:snapToGrid w:val="0"/>
              <w:spacing w:line="360" w:lineRule="exact"/>
              <w:jc w:val="center"/>
              <w:rPr>
                <w:rFonts w:hint="eastAsia" w:ascii="宋体" w:hAnsi="宋体" w:eastAsia="宋体" w:cs="宋体"/>
              </w:rPr>
            </w:pPr>
          </w:p>
        </w:tc>
        <w:tc>
          <w:tcPr>
            <w:tcW w:w="1518" w:type="dxa"/>
          </w:tcPr>
          <w:p>
            <w:pPr>
              <w:adjustRightInd w:val="0"/>
              <w:snapToGrid w:val="0"/>
              <w:spacing w:line="360" w:lineRule="exact"/>
              <w:rPr>
                <w:rFonts w:hint="eastAsia" w:ascii="宋体" w:hAnsi="宋体" w:eastAsia="宋体" w:cs="宋体"/>
              </w:rPr>
            </w:pPr>
          </w:p>
        </w:tc>
        <w:tc>
          <w:tcPr>
            <w:tcW w:w="899" w:type="dxa"/>
          </w:tcPr>
          <w:p>
            <w:pPr>
              <w:adjustRightInd w:val="0"/>
              <w:snapToGrid w:val="0"/>
              <w:spacing w:line="360" w:lineRule="exact"/>
              <w:rPr>
                <w:rFonts w:hint="eastAsia" w:ascii="宋体" w:hAnsi="宋体" w:eastAsia="宋体" w:cs="宋体"/>
              </w:rPr>
            </w:pPr>
          </w:p>
        </w:tc>
        <w:tc>
          <w:tcPr>
            <w:tcW w:w="1387" w:type="dxa"/>
          </w:tcPr>
          <w:p>
            <w:pPr>
              <w:adjustRightInd w:val="0"/>
              <w:snapToGrid w:val="0"/>
              <w:spacing w:line="360" w:lineRule="exact"/>
              <w:jc w:val="center"/>
              <w:rPr>
                <w:rFonts w:hint="eastAsia" w:ascii="宋体" w:hAnsi="宋体" w:eastAsia="宋体" w:cs="宋体"/>
              </w:rPr>
            </w:pPr>
          </w:p>
        </w:tc>
        <w:tc>
          <w:tcPr>
            <w:tcW w:w="706" w:type="dxa"/>
          </w:tcPr>
          <w:p>
            <w:pPr>
              <w:adjustRightInd w:val="0"/>
              <w:snapToGrid w:val="0"/>
              <w:spacing w:line="360" w:lineRule="exact"/>
              <w:jc w:val="center"/>
              <w:rPr>
                <w:rFonts w:hint="eastAsia" w:ascii="宋体" w:hAnsi="宋体" w:eastAsia="宋体" w:cs="宋体"/>
              </w:rPr>
            </w:pPr>
          </w:p>
        </w:tc>
        <w:tc>
          <w:tcPr>
            <w:tcW w:w="847" w:type="dxa"/>
          </w:tcPr>
          <w:p>
            <w:pPr>
              <w:adjustRightInd w:val="0"/>
              <w:snapToGrid w:val="0"/>
              <w:spacing w:line="360" w:lineRule="exact"/>
              <w:jc w:val="center"/>
              <w:rPr>
                <w:rFonts w:hint="eastAsia" w:ascii="宋体" w:hAnsi="宋体" w:eastAsia="宋体" w:cs="宋体"/>
              </w:rPr>
            </w:pPr>
          </w:p>
        </w:tc>
        <w:tc>
          <w:tcPr>
            <w:tcW w:w="1646" w:type="dxa"/>
          </w:tcPr>
          <w:p>
            <w:pPr>
              <w:adjustRightInd w:val="0"/>
              <w:snapToGrid w:val="0"/>
              <w:spacing w:line="360" w:lineRule="exact"/>
              <w:jc w:val="center"/>
              <w:rPr>
                <w:rFonts w:hint="eastAsia" w:ascii="宋体" w:hAnsi="宋体" w:eastAsia="宋体" w:cs="宋体"/>
              </w:rPr>
            </w:pPr>
          </w:p>
        </w:tc>
        <w:tc>
          <w:tcPr>
            <w:tcW w:w="1978" w:type="dxa"/>
          </w:tcPr>
          <w:p>
            <w:pPr>
              <w:adjustRightInd w:val="0"/>
              <w:snapToGrid w:val="0"/>
              <w:spacing w:line="360" w:lineRule="exact"/>
              <w:rPr>
                <w:rFonts w:hint="eastAsia" w:ascii="宋体" w:hAnsi="宋体" w:eastAsia="宋体" w:cs="宋体"/>
              </w:rPr>
            </w:pPr>
          </w:p>
        </w:tc>
      </w:tr>
    </w:tbl>
    <w:p>
      <w:pPr>
        <w:spacing w:before="78" w:line="219" w:lineRule="auto"/>
        <w:ind w:left="431"/>
        <w:rPr>
          <w:rFonts w:hint="eastAsia" w:ascii="宋体" w:hAnsi="宋体" w:eastAsia="宋体" w:cs="宋体"/>
          <w:spacing w:val="-6"/>
          <w:szCs w:val="21"/>
        </w:rPr>
      </w:pPr>
    </w:p>
    <w:p>
      <w:pPr>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注：必须提供本项目生命周期内所涉及到所有备品备件、易损件和专用耗材明细表，以便于质保期外，招标人能够根据清单快速找到同规格产品。</w:t>
      </w:r>
    </w:p>
    <w:p>
      <w:pPr>
        <w:spacing w:line="660" w:lineRule="exact"/>
        <w:rPr>
          <w:rFonts w:hint="eastAsia" w:ascii="宋体" w:hAnsi="宋体" w:eastAsia="宋体" w:cs="Times New Roman"/>
          <w:sz w:val="24"/>
          <w:szCs w:val="20"/>
        </w:rPr>
      </w:pP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宋体"/>
          <w:b/>
          <w:bCs/>
          <w:color w:val="000000"/>
          <w:sz w:val="28"/>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br w:type="page"/>
      </w:r>
    </w:p>
    <w:p>
      <w:pPr>
        <w:rPr>
          <w:rFonts w:ascii="Times New Roman" w:hAnsi="Times New Roman" w:eastAsia="宋体" w:cs="Times New Roman"/>
          <w:b/>
          <w:bCs/>
          <w:color w:val="000000"/>
          <w:sz w:val="24"/>
          <w:szCs w:val="24"/>
        </w:r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附件6</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2023年8月1日至今同类项目业绩一览表</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b/>
          <w:bCs/>
          <w:sz w:val="24"/>
          <w:szCs w:val="24"/>
          <w:u w:val="single"/>
        </w:rPr>
        <w:t>总镍在线监测设备维修保养服务项目</w:t>
      </w:r>
      <w:r>
        <w:rPr>
          <w:rFonts w:ascii="宋体" w:hAnsi="宋体" w:eastAsia="宋体" w:cs="Times New Roman"/>
          <w:color w:val="000000"/>
          <w:sz w:val="24"/>
          <w:szCs w:val="24"/>
        </w:rPr>
        <w:t xml:space="preserve">                                                           </w:t>
      </w:r>
    </w:p>
    <w:tbl>
      <w:tblPr>
        <w:tblStyle w:val="39"/>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vAlign w:val="center"/>
          </w:tcPr>
          <w:p>
            <w:pPr>
              <w:jc w:val="center"/>
              <w:rPr>
                <w:rFonts w:hint="eastAsia" w:ascii="宋体" w:hAnsi="宋体" w:eastAsia="宋体" w:cs="宋体"/>
                <w:spacing w:val="-1"/>
                <w:sz w:val="24"/>
                <w:szCs w:val="24"/>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vAlign w:val="center"/>
          </w:tcPr>
          <w:p>
            <w:pPr>
              <w:pStyle w:val="128"/>
              <w:spacing w:beforeLines="0" w:afterLines="0" w:line="240" w:lineRule="auto"/>
              <w:jc w:val="center"/>
              <w:rPr>
                <w:rFonts w:hint="eastAsia" w:ascii="宋体" w:hAnsi="宋体" w:eastAsia="宋体" w:cs="宋体"/>
                <w:spacing w:val="-1"/>
                <w:sz w:val="24"/>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vAlign w:val="center"/>
          </w:tcPr>
          <w:p>
            <w:pPr>
              <w:pStyle w:val="128"/>
              <w:spacing w:beforeLines="0" w:afterLines="0" w:line="240" w:lineRule="auto"/>
              <w:jc w:val="center"/>
              <w:rPr>
                <w:rFonts w:hint="eastAsia" w:ascii="宋体" w:hAnsi="宋体" w:eastAsia="宋体" w:cs="宋体"/>
                <w:bCs/>
                <w:sz w:val="24"/>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vAlign w:val="center"/>
          </w:tcPr>
          <w:p>
            <w:pPr>
              <w:pStyle w:val="128"/>
              <w:spacing w:beforeLines="0" w:afterLines="0" w:line="240" w:lineRule="auto"/>
              <w:jc w:val="center"/>
              <w:rPr>
                <w:rFonts w:hint="eastAsia" w:ascii="宋体" w:hAnsi="宋体" w:eastAsia="宋体" w:cs="宋体"/>
                <w:spacing w:val="-1"/>
                <w:sz w:val="24"/>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vAlign w:val="center"/>
          </w:tcPr>
          <w:p>
            <w:pPr>
              <w:pStyle w:val="128"/>
              <w:spacing w:beforeLines="0" w:afterLines="0" w:line="240" w:lineRule="auto"/>
              <w:jc w:val="center"/>
              <w:rPr>
                <w:rFonts w:hint="eastAsia" w:ascii="宋体" w:hAnsi="宋体" w:eastAsia="宋体" w:cs="宋体"/>
                <w:sz w:val="24"/>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vAlign w:val="center"/>
          </w:tcPr>
          <w:p>
            <w:pPr>
              <w:pStyle w:val="128"/>
              <w:spacing w:beforeLines="0" w:afterLines="0" w:line="240" w:lineRule="auto"/>
              <w:jc w:val="center"/>
              <w:rPr>
                <w:rFonts w:hint="eastAsia" w:ascii="宋体" w:hAnsi="宋体" w:eastAsia="宋体" w:cs="宋体"/>
                <w:sz w:val="24"/>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pPr>
              <w:ind w:left="420" w:hanging="420"/>
              <w:rPr>
                <w:rFonts w:ascii="宋体" w:hAnsi="Times New Roman" w:eastAsia="宋体" w:cs="Times New Roman"/>
                <w:b/>
                <w:szCs w:val="20"/>
              </w:rPr>
            </w:pPr>
            <w:r>
              <w:rPr>
                <w:rFonts w:ascii="宋体" w:hAnsi="宋体" w:eastAsia="宋体" w:cs="宋体"/>
                <w:sz w:val="24"/>
                <w:szCs w:val="24"/>
                <w:highlight w:val="yellow"/>
              </w:rPr>
              <w:t>20</w:t>
            </w:r>
            <w:r>
              <w:rPr>
                <w:rFonts w:hint="eastAsia" w:ascii="宋体" w:hAnsi="宋体" w:eastAsia="宋体" w:cs="宋体"/>
                <w:sz w:val="24"/>
                <w:szCs w:val="24"/>
                <w:highlight w:val="yellow"/>
              </w:rPr>
              <w:t>23</w:t>
            </w:r>
            <w:r>
              <w:rPr>
                <w:rFonts w:ascii="宋体" w:hAnsi="宋体" w:eastAsia="宋体" w:cs="宋体"/>
                <w:sz w:val="24"/>
                <w:szCs w:val="24"/>
                <w:highlight w:val="yellow"/>
              </w:rPr>
              <w:t>年</w:t>
            </w:r>
            <w:r>
              <w:rPr>
                <w:rFonts w:hint="eastAsia" w:ascii="宋体" w:hAnsi="宋体" w:eastAsia="宋体" w:cs="宋体"/>
                <w:sz w:val="24"/>
                <w:szCs w:val="24"/>
                <w:highlight w:val="yellow"/>
              </w:rPr>
              <w:t>8</w:t>
            </w:r>
            <w:r>
              <w:rPr>
                <w:rFonts w:ascii="宋体" w:hAnsi="宋体" w:eastAsia="宋体" w:cs="宋体"/>
                <w:sz w:val="24"/>
                <w:szCs w:val="24"/>
                <w:highlight w:val="yellow"/>
              </w:rPr>
              <w:t>月1日至今所有业绩合同总额汇总（必填</w:t>
            </w:r>
            <w:r>
              <w:rPr>
                <w:rFonts w:hint="eastAsia" w:ascii="宋体" w:hAnsi="宋体" w:eastAsia="宋体" w:cs="宋体"/>
                <w:sz w:val="24"/>
                <w:szCs w:val="24"/>
                <w:highlight w:val="yellow"/>
              </w:rPr>
              <w:t>）</w:t>
            </w: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bl>
    <w:p>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提供2023年8月1日以来同类产品的制造销售业绩（用户名单、联系方式）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pPr>
        <w:tabs>
          <w:tab w:val="left" w:pos="1578"/>
          <w:tab w:val="left" w:pos="10083"/>
        </w:tabs>
        <w:spacing w:line="500" w:lineRule="exact"/>
        <w:rPr>
          <w:rFonts w:ascii="宋体" w:hAnsi="Calibri" w:eastAsia="宋体" w:cs="Times New Roman"/>
          <w:sz w:val="24"/>
          <w:szCs w:val="20"/>
        </w:rPr>
      </w:pP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宋体"/>
          <w:b/>
          <w:bCs/>
          <w:color w:val="000000"/>
          <w:sz w:val="28"/>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rPr>
        <w:sectPr>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pPr>
        <w:spacing w:line="240" w:lineRule="exact"/>
        <w:rPr>
          <w:rFonts w:hint="eastAsia" w:ascii="宋体" w:hAnsi="宋体" w:eastAsia="宋体" w:cs="Times New Roman"/>
          <w:szCs w:val="20"/>
        </w:rPr>
      </w:pPr>
      <w:r>
        <w:rPr>
          <w:rFonts w:ascii="宋体" w:hAnsi="宋体" w:eastAsia="宋体" w:cs="Times New Roman"/>
          <w:szCs w:val="20"/>
        </w:rPr>
        <w:t xml:space="preserve">                                               </w:t>
      </w:r>
    </w:p>
    <w:p>
      <w:pPr>
        <w:spacing w:line="360" w:lineRule="auto"/>
        <w:rPr>
          <w:rFonts w:hint="eastAsia" w:ascii="宋体" w:hAnsi="宋体" w:eastAsia="宋体" w:cs="宋体"/>
          <w:b/>
          <w:bCs/>
          <w:sz w:val="24"/>
          <w:szCs w:val="24"/>
          <w:u w:val="single"/>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宋体"/>
          <w:b/>
          <w:bCs/>
          <w:sz w:val="24"/>
          <w:szCs w:val="24"/>
          <w:u w:val="single"/>
        </w:rPr>
        <w:t>总镍在线监测设备维修保养服务项目</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投标人名称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left="480"/>
        <w:rPr>
          <w:rFonts w:hint="eastAsia" w:ascii="宋体" w:hAnsi="宋体" w:eastAsia="宋体" w:cs="Times New Roman"/>
          <w:sz w:val="24"/>
          <w:szCs w:val="20"/>
        </w:rPr>
      </w:pPr>
      <w:r>
        <w:rPr>
          <w:rFonts w:ascii="宋体" w:hAnsi="宋体" w:eastAsia="宋体" w:cs="Times New Roman"/>
          <w:sz w:val="24"/>
          <w:szCs w:val="20"/>
        </w:rPr>
        <w:t xml:space="preserve">                           </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20" w:type="first"/>
          <w:footerReference r:id="rId19"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pPr>
        <w:spacing w:line="360" w:lineRule="auto"/>
        <w:ind w:firstLine="482" w:firstLineChars="200"/>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b/>
          <w:bCs/>
          <w:sz w:val="24"/>
          <w:szCs w:val="24"/>
          <w:u w:val="single"/>
        </w:rPr>
        <w:t>总镍在线监测设备维修保养服务项目</w:t>
      </w:r>
      <w:r>
        <w:rPr>
          <w:rFonts w:ascii="宋体" w:hAnsi="宋体" w:eastAsia="宋体" w:cs="Times New Roman"/>
          <w:color w:val="000000"/>
          <w:sz w:val="24"/>
          <w:szCs w:val="24"/>
        </w:rPr>
        <w:t xml:space="preserve">                                                        </w:t>
      </w:r>
    </w:p>
    <w:tbl>
      <w:tblPr>
        <w:tblStyle w:val="39"/>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43"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5" w:type="dxa"/>
            <w:vAlign w:val="center"/>
          </w:tcPr>
          <w:p>
            <w:pPr>
              <w:jc w:val="center"/>
              <w:rPr>
                <w:rFonts w:ascii="Times New Roman" w:hAnsi="Times New Roman" w:eastAsia="宋体" w:cs="Times New Roman"/>
                <w:b/>
                <w:szCs w:val="20"/>
              </w:rPr>
            </w:pPr>
            <w:r>
              <w:rPr>
                <w:rFonts w:hint="eastAsia" w:ascii="等线" w:hAnsi="等线" w:eastAsia="等线" w:cs="Times New Roman"/>
                <w:b/>
                <w:szCs w:val="20"/>
              </w:rPr>
              <w:t>付款方式及比例如何响应</w:t>
            </w:r>
          </w:p>
        </w:tc>
        <w:tc>
          <w:tcPr>
            <w:tcW w:w="699" w:type="dxa"/>
            <w:vAlign w:val="center"/>
          </w:tcPr>
          <w:p>
            <w:pPr>
              <w:jc w:val="center"/>
              <w:rPr>
                <w:rFonts w:hint="eastAsia" w:ascii="等线" w:hAnsi="等线" w:eastAsia="等线" w:cs="Times New Roman"/>
                <w:b/>
                <w:szCs w:val="20"/>
              </w:rPr>
            </w:pPr>
            <w:r>
              <w:rPr>
                <w:rFonts w:hint="eastAsia" w:ascii="等线" w:hAnsi="等线" w:eastAsia="等线" w:cs="Times New Roman"/>
                <w:b/>
                <w:szCs w:val="20"/>
              </w:rPr>
              <w:t>付款方式及比例是否偏离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67" w:hRule="atLeast"/>
          <w:jc w:val="center"/>
        </w:trPr>
        <w:tc>
          <w:tcPr>
            <w:tcW w:w="677"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1</w:t>
            </w:r>
          </w:p>
        </w:tc>
        <w:tc>
          <w:tcPr>
            <w:tcW w:w="1518" w:type="dxa"/>
            <w:vAlign w:val="center"/>
          </w:tcPr>
          <w:p>
            <w:pPr>
              <w:jc w:val="center"/>
              <w:rPr>
                <w:rFonts w:ascii="Times New Roman" w:hAnsi="Times New Roman" w:eastAsia="宋体" w:cs="Times New Roman"/>
                <w:b/>
                <w:szCs w:val="20"/>
              </w:rPr>
            </w:pPr>
            <w:r>
              <w:rPr>
                <w:rFonts w:hint="eastAsia" w:ascii="宋体" w:hAnsi="宋体" w:eastAsia="宋体" w:cs="宋体"/>
                <w:b/>
                <w:bCs/>
                <w:sz w:val="24"/>
                <w:szCs w:val="24"/>
                <w:u w:val="single"/>
              </w:rPr>
              <w:t>总镍在线监测设备维修保养服务项目</w:t>
            </w:r>
          </w:p>
        </w:tc>
        <w:tc>
          <w:tcPr>
            <w:tcW w:w="84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1套</w:t>
            </w:r>
          </w:p>
        </w:tc>
        <w:tc>
          <w:tcPr>
            <w:tcW w:w="2270" w:type="dxa"/>
            <w:vAlign w:val="center"/>
          </w:tcPr>
          <w:p>
            <w:pPr>
              <w:jc w:val="center"/>
              <w:rPr>
                <w:rFonts w:hint="eastAsia" w:ascii="等线" w:hAnsi="等线" w:eastAsia="等线" w:cs="Times New Roman"/>
                <w:b/>
                <w:szCs w:val="20"/>
              </w:rPr>
            </w:pPr>
            <w:r>
              <w:rPr>
                <w:rFonts w:hint="eastAsia" w:ascii="等线" w:hAnsi="等线" w:eastAsia="等线" w:cs="Times New Roman"/>
                <w:b/>
                <w:szCs w:val="20"/>
              </w:rPr>
              <w:t>不含税价：</w:t>
            </w:r>
          </w:p>
          <w:p>
            <w:pPr>
              <w:jc w:val="center"/>
              <w:rPr>
                <w:rFonts w:hint="eastAsia"/>
              </w:rPr>
            </w:pPr>
            <w:r>
              <w:rPr>
                <w:rFonts w:hint="eastAsia" w:ascii="等线" w:hAnsi="等线" w:eastAsia="等线" w:cs="Times New Roman"/>
                <w:b/>
                <w:szCs w:val="20"/>
              </w:rPr>
              <w:t>含税价格：</w:t>
            </w:r>
            <w:r>
              <w:rPr>
                <w:rFonts w:hint="eastAsia" w:ascii="等线" w:hAnsi="等线" w:eastAsia="等线" w:cs="Times New Roman"/>
                <w:b/>
                <w:szCs w:val="20"/>
                <w:u w:val="single"/>
              </w:rPr>
              <w:t xml:space="preserve">    （大写：    ）</w:t>
            </w:r>
          </w:p>
          <w:p>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1100" w:type="dxa"/>
            <w:vAlign w:val="center"/>
          </w:tcPr>
          <w:p>
            <w:pPr>
              <w:jc w:val="center"/>
              <w:rPr>
                <w:rFonts w:ascii="Times New Roman" w:hAnsi="Times New Roman" w:eastAsia="宋体" w:cs="Times New Roman"/>
                <w:b/>
                <w:szCs w:val="20"/>
              </w:rPr>
            </w:pPr>
          </w:p>
        </w:tc>
        <w:tc>
          <w:tcPr>
            <w:tcW w:w="1243" w:type="dxa"/>
            <w:vAlign w:val="center"/>
          </w:tcPr>
          <w:p>
            <w:pPr>
              <w:jc w:val="center"/>
              <w:rPr>
                <w:rFonts w:ascii="Times New Roman" w:hAnsi="Times New Roman" w:eastAsia="宋体" w:cs="Times New Roman"/>
                <w:b/>
                <w:szCs w:val="20"/>
              </w:rPr>
            </w:pPr>
          </w:p>
        </w:tc>
        <w:tc>
          <w:tcPr>
            <w:tcW w:w="705" w:type="dxa"/>
            <w:vAlign w:val="center"/>
          </w:tcPr>
          <w:p>
            <w:pPr>
              <w:jc w:val="center"/>
              <w:rPr>
                <w:rFonts w:ascii="Times New Roman" w:hAnsi="Times New Roman" w:eastAsia="宋体" w:cs="Times New Roman"/>
                <w:b/>
                <w:szCs w:val="20"/>
              </w:rPr>
            </w:pPr>
          </w:p>
        </w:tc>
        <w:tc>
          <w:tcPr>
            <w:tcW w:w="699" w:type="dxa"/>
            <w:vAlign w:val="center"/>
          </w:tcPr>
          <w:p>
            <w:pPr>
              <w:jc w:val="center"/>
              <w:rPr>
                <w:rFonts w:ascii="Times New Roman" w:hAnsi="Times New Roman" w:eastAsia="宋体" w:cs="Times New Roman"/>
                <w:b/>
                <w:szCs w:val="20"/>
              </w:rPr>
            </w:pPr>
          </w:p>
        </w:tc>
      </w:tr>
    </w:tbl>
    <w:p>
      <w:pPr>
        <w:rPr>
          <w:rFonts w:ascii="宋体" w:hAnsi="Arial" w:eastAsia="宋体" w:cs="Times New Roman"/>
          <w:sz w:val="24"/>
          <w:szCs w:val="24"/>
        </w:rPr>
      </w:pPr>
    </w:p>
    <w:p>
      <w:pPr>
        <w:spacing w:line="400" w:lineRule="exact"/>
        <w:rPr>
          <w:rFonts w:ascii="宋体" w:hAnsi="Calibri" w:eastAsia="宋体" w:cs="Times New Roman"/>
          <w:szCs w:val="21"/>
        </w:rPr>
      </w:pPr>
      <w:r>
        <w:rPr>
          <w:rFonts w:hint="eastAsia" w:ascii="宋体" w:hAnsi="宋体" w:eastAsia="宋体" w:cs="Times New Roman"/>
          <w:b/>
          <w:bCs/>
          <w:szCs w:val="21"/>
        </w:rPr>
        <w:t>注：</w:t>
      </w:r>
    </w:p>
    <w:p>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pPr>
        <w:spacing w:line="300" w:lineRule="auto"/>
        <w:rPr>
          <w:rFonts w:hint="eastAsia" w:ascii="宋体" w:hAnsi="宋体" w:eastAsia="宋体" w:cs="宋体"/>
          <w:b/>
          <w:szCs w:val="20"/>
        </w:rPr>
      </w:pPr>
      <w:r>
        <w:rPr>
          <w:rFonts w:hint="eastAsia" w:ascii="宋体" w:hAnsi="宋体" w:eastAsia="宋体" w:cs="宋体"/>
          <w:b/>
          <w:szCs w:val="20"/>
        </w:rPr>
        <w:t>3.需写明含税价、不含税价格、税率。</w:t>
      </w:r>
    </w:p>
    <w:p>
      <w:pPr>
        <w:pStyle w:val="21"/>
        <w:rPr>
          <w:rFonts w:hint="eastAsia" w:hAnsi="宋体" w:eastAsia="宋体" w:cs="Times New Roman"/>
          <w:b/>
          <w:bCs/>
          <w:szCs w:val="21"/>
          <w:highlight w:val="yellow"/>
        </w:rPr>
      </w:pPr>
      <w:r>
        <w:rPr>
          <w:rFonts w:hint="eastAsia" w:hAnsi="宋体" w:eastAsia="宋体" w:cs="宋体"/>
          <w:b/>
          <w:szCs w:val="20"/>
          <w:highlight w:val="yellow"/>
        </w:rPr>
        <w:t>4.</w:t>
      </w:r>
      <w:r>
        <w:rPr>
          <w:rFonts w:hint="eastAsia" w:hAnsi="宋体" w:eastAsia="宋体" w:cs="Times New Roman"/>
          <w:b/>
          <w:bCs/>
          <w:szCs w:val="21"/>
          <w:highlight w:val="yellow"/>
        </w:rPr>
        <w:t>投标总价包括设备费、调试费、备品备件、特殊工具、运杂费、装卸费、技术服务费、保险费及增值税和其它税费。</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ind w:firstLine="480"/>
        <w:rPr>
          <w:rFonts w:ascii="宋体" w:hAnsi="Calibri" w:eastAsia="宋体" w:cs="Times New Roman"/>
          <w:color w:val="000000"/>
          <w:sz w:val="24"/>
          <w:szCs w:val="24"/>
        </w:rPr>
      </w:pPr>
    </w:p>
    <w:p>
      <w:pPr>
        <w:pStyle w:val="21"/>
        <w:sectPr>
          <w:pgSz w:w="11906" w:h="16838"/>
          <w:pgMar w:top="1588" w:right="1418" w:bottom="1134" w:left="1418" w:header="851" w:footer="992" w:gutter="0"/>
          <w:cols w:space="720" w:num="1"/>
          <w:titlePg/>
          <w:docGrid w:type="lines" w:linePitch="312" w:charSpace="0"/>
        </w:sectPr>
      </w:pPr>
    </w:p>
    <w:p>
      <w:pPr>
        <w:rPr>
          <w:rFonts w:hint="eastAsia" w:ascii="宋体" w:hAnsi="宋体" w:cs="宋体"/>
          <w:color w:val="000000"/>
          <w:sz w:val="24"/>
          <w:szCs w:val="24"/>
        </w:rPr>
      </w:pPr>
    </w:p>
    <w:p>
      <w:pPr>
        <w:pStyle w:val="6"/>
        <w:jc w:val="left"/>
        <w:rPr>
          <w:rFonts w:hint="eastAsia"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pPr>
        <w:pStyle w:val="7"/>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9</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p>
    <w:p>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pPr>
        <w:spacing w:before="52" w:line="221" w:lineRule="auto"/>
        <w:rPr>
          <w:rFonts w:hint="eastAsia"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1"/>
        <w:tblW w:w="1509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2"/>
        <w:gridCol w:w="2238"/>
        <w:gridCol w:w="2239"/>
        <w:gridCol w:w="1120"/>
        <w:gridCol w:w="1120"/>
        <w:gridCol w:w="1682"/>
        <w:gridCol w:w="2519"/>
        <w:gridCol w:w="2435"/>
        <w:gridCol w:w="106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672" w:type="dxa"/>
          </w:tcPr>
          <w:p>
            <w:pPr>
              <w:spacing w:before="97" w:line="186" w:lineRule="auto"/>
              <w:ind w:left="304"/>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238" w:type="dxa"/>
          </w:tcPr>
          <w:p>
            <w:pPr>
              <w:spacing w:before="98" w:line="185" w:lineRule="auto"/>
              <w:ind w:left="1071"/>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239" w:type="dxa"/>
          </w:tcPr>
          <w:p>
            <w:pPr>
              <w:spacing w:before="99" w:line="183" w:lineRule="auto"/>
              <w:ind w:left="107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120" w:type="dxa"/>
          </w:tcPr>
          <w:p>
            <w:pPr>
              <w:spacing w:before="98" w:line="185" w:lineRule="auto"/>
              <w:ind w:left="511"/>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1120" w:type="dxa"/>
          </w:tcPr>
          <w:p>
            <w:pPr>
              <w:spacing w:before="100" w:line="182"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682" w:type="dxa"/>
          </w:tcPr>
          <w:p>
            <w:pPr>
              <w:spacing w:before="98" w:line="185"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2519" w:type="dxa"/>
            <w:tcBorders>
              <w:right w:val="single" w:color="000000" w:sz="4" w:space="0"/>
            </w:tcBorders>
          </w:tcPr>
          <w:p>
            <w:pPr>
              <w:spacing w:before="98" w:line="185" w:lineRule="auto"/>
              <w:jc w:val="center"/>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7</w:t>
            </w:r>
          </w:p>
        </w:tc>
        <w:tc>
          <w:tcPr>
            <w:tcW w:w="2435" w:type="dxa"/>
            <w:tcBorders>
              <w:left w:val="single" w:color="000000" w:sz="4" w:space="0"/>
            </w:tcBorders>
          </w:tcPr>
          <w:p>
            <w:pPr>
              <w:spacing w:before="100" w:line="182" w:lineRule="auto"/>
              <w:jc w:val="center"/>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8</w:t>
            </w:r>
          </w:p>
        </w:tc>
        <w:tc>
          <w:tcPr>
            <w:tcW w:w="1069" w:type="dxa"/>
          </w:tcPr>
          <w:p>
            <w:pPr>
              <w:spacing w:before="99" w:line="183" w:lineRule="auto"/>
              <w:ind w:firstLine="422" w:firstLineChars="200"/>
              <w:rPr>
                <w:rFonts w:hint="eastAsia" w:ascii="宋体" w:hAnsi="宋体" w:eastAsia="宋体" w:cs="宋体"/>
                <w:szCs w:val="21"/>
              </w:rPr>
            </w:pPr>
            <w:r>
              <w:rPr>
                <w:rFonts w:hint="eastAsia" w:ascii="宋体" w:hAnsi="宋体" w:eastAsia="宋体" w:cs="宋体"/>
                <w:b/>
                <w:bCs/>
                <w:szCs w:val="21"/>
              </w:rPr>
              <w:t>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672"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223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2239"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112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单位</w:t>
            </w:r>
          </w:p>
        </w:tc>
        <w:tc>
          <w:tcPr>
            <w:tcW w:w="112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682"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2519" w:type="dxa"/>
            <w:tcBorders>
              <w:righ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435" w:type="dxa"/>
            <w:tcBorders>
              <w:lef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总价[5×8]（不含税）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069"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widowControl/>
              <w:jc w:val="center"/>
              <w:textAlignment w:val="center"/>
              <w:rPr>
                <w:rFonts w:hint="eastAsia" w:ascii="宋体" w:hAnsi="宋体" w:eastAsia="宋体" w:cs="宋体"/>
                <w:sz w:val="24"/>
                <w:szCs w:val="24"/>
              </w:rPr>
            </w:pPr>
          </w:p>
        </w:tc>
        <w:tc>
          <w:tcPr>
            <w:tcW w:w="2238" w:type="dxa"/>
            <w:vAlign w:val="center"/>
          </w:tcPr>
          <w:p>
            <w:pPr>
              <w:widowControl/>
              <w:jc w:val="center"/>
              <w:textAlignment w:val="center"/>
              <w:rPr>
                <w:rFonts w:hint="eastAsia" w:ascii="宋体" w:hAnsi="宋体" w:eastAsia="宋体" w:cs="宋体"/>
                <w:sz w:val="24"/>
                <w:szCs w:val="24"/>
              </w:rPr>
            </w:pPr>
          </w:p>
        </w:tc>
        <w:tc>
          <w:tcPr>
            <w:tcW w:w="2239" w:type="dxa"/>
          </w:tcPr>
          <w:p>
            <w:pPr>
              <w:rPr>
                <w:rFonts w:hint="eastAsia" w:ascii="宋体" w:hAnsi="宋体" w:eastAsia="宋体" w:cs="宋体"/>
              </w:rPr>
            </w:pPr>
          </w:p>
        </w:tc>
        <w:tc>
          <w:tcPr>
            <w:tcW w:w="1120" w:type="dxa"/>
          </w:tcPr>
          <w:p>
            <w:pPr>
              <w:rPr>
                <w:rFonts w:hint="eastAsia" w:ascii="宋体" w:hAnsi="宋体" w:eastAsia="宋体" w:cs="宋体"/>
              </w:rPr>
            </w:pPr>
          </w:p>
        </w:tc>
        <w:tc>
          <w:tcPr>
            <w:tcW w:w="1120" w:type="dxa"/>
          </w:tcPr>
          <w:p>
            <w:pPr>
              <w:rPr>
                <w:rFonts w:hint="eastAsia" w:ascii="宋体" w:hAnsi="宋体" w:eastAsia="宋体" w:cs="宋体"/>
              </w:rPr>
            </w:pPr>
          </w:p>
        </w:tc>
        <w:tc>
          <w:tcPr>
            <w:tcW w:w="1682" w:type="dxa"/>
          </w:tcPr>
          <w:p>
            <w:pPr>
              <w:rPr>
                <w:rFonts w:hint="eastAsia" w:ascii="Arial"/>
              </w:rPr>
            </w:pPr>
          </w:p>
        </w:tc>
        <w:tc>
          <w:tcPr>
            <w:tcW w:w="2519" w:type="dxa"/>
            <w:tcBorders>
              <w:right w:val="single" w:color="000000" w:sz="4" w:space="0"/>
            </w:tcBorders>
          </w:tcPr>
          <w:p>
            <w:pPr>
              <w:rPr>
                <w:rFonts w:hint="eastAsia" w:ascii="Arial"/>
              </w:rPr>
            </w:pPr>
          </w:p>
        </w:tc>
        <w:tc>
          <w:tcPr>
            <w:tcW w:w="2435" w:type="dxa"/>
            <w:tcBorders>
              <w:left w:val="single" w:color="000000" w:sz="4" w:space="0"/>
            </w:tcBorders>
          </w:tcPr>
          <w:p>
            <w:pPr>
              <w:rPr>
                <w:rFonts w:hint="eastAsia" w:ascii="Arial"/>
              </w:rPr>
            </w:pPr>
          </w:p>
        </w:tc>
        <w:tc>
          <w:tcPr>
            <w:tcW w:w="1069"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widowControl/>
              <w:jc w:val="center"/>
              <w:textAlignment w:val="center"/>
              <w:rPr>
                <w:rFonts w:hint="eastAsia" w:ascii="宋体" w:hAnsi="宋体" w:eastAsia="宋体" w:cs="宋体"/>
                <w:sz w:val="24"/>
                <w:szCs w:val="24"/>
              </w:rPr>
            </w:pPr>
          </w:p>
        </w:tc>
        <w:tc>
          <w:tcPr>
            <w:tcW w:w="2238" w:type="dxa"/>
            <w:vAlign w:val="center"/>
          </w:tcPr>
          <w:p>
            <w:pPr>
              <w:widowControl/>
              <w:jc w:val="center"/>
              <w:textAlignment w:val="center"/>
              <w:rPr>
                <w:rFonts w:hint="eastAsia" w:ascii="宋体" w:hAnsi="宋体" w:eastAsia="宋体" w:cs="宋体"/>
                <w:sz w:val="24"/>
                <w:szCs w:val="24"/>
              </w:rPr>
            </w:pPr>
          </w:p>
        </w:tc>
        <w:tc>
          <w:tcPr>
            <w:tcW w:w="2239" w:type="dxa"/>
          </w:tcPr>
          <w:p>
            <w:pPr>
              <w:rPr>
                <w:rFonts w:hint="eastAsia" w:ascii="宋体" w:hAnsi="宋体" w:eastAsia="宋体" w:cs="宋体"/>
              </w:rPr>
            </w:pPr>
          </w:p>
        </w:tc>
        <w:tc>
          <w:tcPr>
            <w:tcW w:w="1120" w:type="dxa"/>
          </w:tcPr>
          <w:p>
            <w:pPr>
              <w:rPr>
                <w:rFonts w:hint="eastAsia" w:ascii="宋体" w:hAnsi="宋体" w:eastAsia="宋体" w:cs="宋体"/>
              </w:rPr>
            </w:pPr>
          </w:p>
        </w:tc>
        <w:tc>
          <w:tcPr>
            <w:tcW w:w="1120" w:type="dxa"/>
          </w:tcPr>
          <w:p>
            <w:pPr>
              <w:rPr>
                <w:rFonts w:hint="eastAsia" w:ascii="宋体" w:hAnsi="宋体" w:eastAsia="宋体" w:cs="宋体"/>
              </w:rPr>
            </w:pPr>
          </w:p>
        </w:tc>
        <w:tc>
          <w:tcPr>
            <w:tcW w:w="1682" w:type="dxa"/>
          </w:tcPr>
          <w:p>
            <w:pPr>
              <w:rPr>
                <w:rFonts w:hint="eastAsia" w:ascii="Arial"/>
              </w:rPr>
            </w:pPr>
          </w:p>
        </w:tc>
        <w:tc>
          <w:tcPr>
            <w:tcW w:w="2519" w:type="dxa"/>
            <w:tcBorders>
              <w:right w:val="single" w:color="000000" w:sz="4" w:space="0"/>
            </w:tcBorders>
          </w:tcPr>
          <w:p>
            <w:pPr>
              <w:rPr>
                <w:rFonts w:hint="eastAsia" w:ascii="Arial"/>
              </w:rPr>
            </w:pPr>
          </w:p>
        </w:tc>
        <w:tc>
          <w:tcPr>
            <w:tcW w:w="2435" w:type="dxa"/>
            <w:tcBorders>
              <w:left w:val="single" w:color="000000" w:sz="4" w:space="0"/>
            </w:tcBorders>
          </w:tcPr>
          <w:p>
            <w:pPr>
              <w:rPr>
                <w:rFonts w:hint="eastAsia" w:ascii="Arial"/>
              </w:rPr>
            </w:pPr>
          </w:p>
        </w:tc>
        <w:tc>
          <w:tcPr>
            <w:tcW w:w="1069"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vAlign w:val="center"/>
          </w:tcPr>
          <w:p>
            <w:pPr>
              <w:widowControl/>
              <w:jc w:val="center"/>
              <w:textAlignment w:val="center"/>
              <w:rPr>
                <w:rFonts w:hint="eastAsia" w:ascii="宋体" w:hAnsi="宋体" w:eastAsia="宋体" w:cs="宋体"/>
                <w:sz w:val="24"/>
                <w:szCs w:val="24"/>
              </w:rPr>
            </w:pPr>
            <w:r>
              <w:rPr>
                <w:rFonts w:hint="eastAsia" w:ascii="宋体" w:hAnsi="宋体" w:eastAsia="宋体" w:cs="宋体"/>
                <w:sz w:val="24"/>
                <w:szCs w:val="24"/>
              </w:rPr>
              <w:t>...</w:t>
            </w:r>
          </w:p>
        </w:tc>
        <w:tc>
          <w:tcPr>
            <w:tcW w:w="2238" w:type="dxa"/>
            <w:vAlign w:val="center"/>
          </w:tcPr>
          <w:p>
            <w:pPr>
              <w:widowControl/>
              <w:jc w:val="left"/>
              <w:textAlignment w:val="center"/>
              <w:rPr>
                <w:rFonts w:hint="eastAsia" w:ascii="宋体" w:hAnsi="宋体" w:eastAsia="宋体" w:cs="宋体"/>
                <w:sz w:val="24"/>
                <w:szCs w:val="24"/>
              </w:rPr>
            </w:pPr>
            <w:r>
              <w:rPr>
                <w:rFonts w:ascii="宋体" w:hAnsi="宋体" w:eastAsia="宋体" w:cs="宋体"/>
                <w:sz w:val="24"/>
                <w:szCs w:val="24"/>
              </w:rPr>
              <w:t>如有其他，可根据技术方案特点自行添加</w:t>
            </w:r>
          </w:p>
        </w:tc>
        <w:tc>
          <w:tcPr>
            <w:tcW w:w="2239" w:type="dxa"/>
          </w:tcPr>
          <w:p>
            <w:pPr>
              <w:rPr>
                <w:rFonts w:hint="eastAsia" w:ascii="宋体" w:hAnsi="宋体" w:eastAsia="宋体" w:cs="宋体"/>
              </w:rPr>
            </w:pPr>
          </w:p>
        </w:tc>
        <w:tc>
          <w:tcPr>
            <w:tcW w:w="1120" w:type="dxa"/>
          </w:tcPr>
          <w:p>
            <w:pPr>
              <w:rPr>
                <w:rFonts w:hint="eastAsia" w:ascii="宋体" w:hAnsi="宋体" w:eastAsia="宋体" w:cs="宋体"/>
              </w:rPr>
            </w:pPr>
          </w:p>
        </w:tc>
        <w:tc>
          <w:tcPr>
            <w:tcW w:w="1120" w:type="dxa"/>
          </w:tcPr>
          <w:p>
            <w:pPr>
              <w:rPr>
                <w:rFonts w:hint="eastAsia" w:ascii="宋体" w:hAnsi="宋体" w:eastAsia="宋体" w:cs="宋体"/>
              </w:rPr>
            </w:pPr>
          </w:p>
        </w:tc>
        <w:tc>
          <w:tcPr>
            <w:tcW w:w="1682" w:type="dxa"/>
          </w:tcPr>
          <w:p>
            <w:pPr>
              <w:rPr>
                <w:rFonts w:hint="eastAsia" w:ascii="Arial"/>
              </w:rPr>
            </w:pPr>
          </w:p>
        </w:tc>
        <w:tc>
          <w:tcPr>
            <w:tcW w:w="2519" w:type="dxa"/>
            <w:tcBorders>
              <w:right w:val="single" w:color="000000" w:sz="4" w:space="0"/>
            </w:tcBorders>
          </w:tcPr>
          <w:p>
            <w:pPr>
              <w:rPr>
                <w:rFonts w:hint="eastAsia" w:ascii="Arial"/>
              </w:rPr>
            </w:pPr>
          </w:p>
        </w:tc>
        <w:tc>
          <w:tcPr>
            <w:tcW w:w="2435" w:type="dxa"/>
            <w:tcBorders>
              <w:left w:val="single" w:color="000000" w:sz="4" w:space="0"/>
            </w:tcBorders>
          </w:tcPr>
          <w:p>
            <w:pPr>
              <w:rPr>
                <w:rFonts w:hint="eastAsia" w:ascii="Arial"/>
              </w:rPr>
            </w:pPr>
          </w:p>
        </w:tc>
        <w:tc>
          <w:tcPr>
            <w:tcW w:w="1069"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11590" w:type="dxa"/>
            <w:gridSpan w:val="7"/>
            <w:tcBorders>
              <w:right w:val="single" w:color="000000" w:sz="4" w:space="0"/>
            </w:tcBorders>
          </w:tcPr>
          <w:p>
            <w:pPr>
              <w:jc w:val="center"/>
              <w:rPr>
                <w:rFonts w:hint="eastAsia" w:ascii="Arial"/>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2435" w:type="dxa"/>
            <w:tcBorders>
              <w:left w:val="single" w:color="000000" w:sz="4" w:space="0"/>
            </w:tcBorders>
          </w:tcPr>
          <w:p>
            <w:pPr>
              <w:rPr>
                <w:rFonts w:hint="eastAsia" w:ascii="Arial"/>
              </w:rPr>
            </w:pPr>
          </w:p>
        </w:tc>
        <w:tc>
          <w:tcPr>
            <w:tcW w:w="1069" w:type="dxa"/>
          </w:tcPr>
          <w:p>
            <w:pPr>
              <w:rPr>
                <w:rFonts w:hint="eastAsia" w:ascii="Arial"/>
              </w:rPr>
            </w:pPr>
          </w:p>
        </w:tc>
      </w:tr>
    </w:tbl>
    <w:p>
      <w:pPr>
        <w:spacing w:before="58" w:line="219" w:lineRule="auto"/>
        <w:ind w:left="8"/>
        <w:rPr>
          <w:rFonts w:hint="eastAsia"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pPr>
        <w:spacing w:before="78" w:line="219" w:lineRule="auto"/>
        <w:ind w:left="431"/>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pPr>
        <w:spacing w:before="85" w:line="198" w:lineRule="auto"/>
        <w:ind w:left="432"/>
        <w:rPr>
          <w:rFonts w:hint="eastAsia"/>
        </w:rPr>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line="105" w:lineRule="exact"/>
        <w:rPr>
          <w:rFonts w:hint="eastAsia"/>
        </w:rPr>
      </w:pPr>
    </w:p>
    <w:p>
      <w:pPr>
        <w:rPr>
          <w:rFonts w:hint="eastAsia"/>
        </w:rPr>
        <w:sectPr>
          <w:footerReference r:id="rId21" w:type="default"/>
          <w:pgSz w:w="16841" w:h="11907" w:orient="landscape"/>
          <w:pgMar w:top="400" w:right="1387" w:bottom="1168" w:left="1473" w:header="0" w:footer="990" w:gutter="0"/>
          <w:cols w:equalWidth="0" w:num="1">
            <w:col w:w="13980"/>
          </w:cols>
        </w:sectPr>
      </w:pPr>
    </w:p>
    <w:p>
      <w:pPr>
        <w:spacing w:before="85" w:line="198" w:lineRule="auto"/>
        <w:ind w:left="432"/>
        <w:rPr>
          <w:rFonts w:hint="eastAsia" w:ascii="宋体" w:hAnsi="宋体" w:eastAsia="宋体" w:cs="宋体"/>
          <w:spacing w:val="-4"/>
          <w:sz w:val="24"/>
          <w:szCs w:val="24"/>
        </w:rPr>
      </w:pPr>
      <w:r>
        <w:rPr>
          <w:rFonts w:hint="eastAsia" w:ascii="宋体" w:hAnsi="宋体" w:eastAsia="宋体" w:cs="宋体"/>
          <w:spacing w:val="-4"/>
          <w:sz w:val="24"/>
          <w:szCs w:val="24"/>
        </w:rPr>
        <w:t>投标人(章)：</w:t>
      </w:r>
    </w:p>
    <w:p>
      <w:pPr>
        <w:spacing w:line="14" w:lineRule="auto"/>
        <w:rPr>
          <w:rFonts w:hint="eastAsia" w:ascii="宋体" w:hAnsi="宋体" w:eastAsia="宋体" w:cs="宋体"/>
          <w:sz w:val="24"/>
          <w:szCs w:val="24"/>
        </w:rPr>
      </w:pPr>
      <w:r>
        <w:rPr>
          <w:rFonts w:hint="eastAsia" w:ascii="宋体" w:hAnsi="宋体" w:eastAsia="宋体" w:cs="宋体"/>
          <w:sz w:val="24"/>
          <w:szCs w:val="24"/>
        </w:rPr>
        <w:br w:type="column"/>
      </w:r>
    </w:p>
    <w:p>
      <w:pPr>
        <w:spacing w:before="40" w:line="186" w:lineRule="auto"/>
        <w:rPr>
          <w:rFonts w:hint="eastAsia"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pPr>
        <w:rPr>
          <w:rFonts w:hint="eastAsia"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pPr>
        <w:pStyle w:val="7"/>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9-2</w:t>
      </w:r>
    </w:p>
    <w:p>
      <w:pPr>
        <w:spacing w:before="186" w:line="224" w:lineRule="auto"/>
        <w:ind w:left="5342"/>
        <w:rPr>
          <w:rFonts w:hint="eastAsia"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pPr>
        <w:spacing w:before="132" w:line="221" w:lineRule="auto"/>
        <w:ind w:left="310"/>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rPr>
          <w:rFonts w:hint="eastAsia"/>
        </w:rPr>
      </w:pPr>
    </w:p>
    <w:tbl>
      <w:tblPr>
        <w:tblStyle w:val="131"/>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pPr>
              <w:spacing w:line="296" w:lineRule="auto"/>
              <w:rPr>
                <w:rFonts w:hint="eastAsia" w:ascii="Arial"/>
              </w:rPr>
            </w:pPr>
          </w:p>
          <w:p>
            <w:pPr>
              <w:spacing w:before="68" w:line="222" w:lineRule="auto"/>
              <w:ind w:left="194"/>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pPr>
              <w:spacing w:line="295" w:lineRule="auto"/>
              <w:rPr>
                <w:rFonts w:hint="eastAsia" w:ascii="Arial"/>
              </w:rPr>
            </w:pPr>
          </w:p>
          <w:p>
            <w:pPr>
              <w:spacing w:before="68" w:line="221" w:lineRule="auto"/>
              <w:ind w:left="147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pPr>
              <w:spacing w:before="130" w:line="221" w:lineRule="auto"/>
              <w:ind w:left="76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596" w:type="dxa"/>
          </w:tcPr>
          <w:p>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164" w:type="dxa"/>
          </w:tcPr>
          <w:p>
            <w:pPr>
              <w:spacing w:before="130" w:line="222" w:lineRule="auto"/>
              <w:ind w:left="770"/>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pPr>
              <w:rPr>
                <w:rFonts w:hint="eastAsia" w:ascii="Arial"/>
              </w:rPr>
            </w:pPr>
          </w:p>
        </w:tc>
        <w:tc>
          <w:tcPr>
            <w:tcW w:w="3530" w:type="dxa"/>
            <w:vMerge w:val="continue"/>
            <w:tcBorders>
              <w:top w:val="nil"/>
            </w:tcBorders>
          </w:tcPr>
          <w:p>
            <w:pPr>
              <w:rPr>
                <w:rFonts w:hint="eastAsia" w:ascii="Arial"/>
              </w:rPr>
            </w:pPr>
          </w:p>
        </w:tc>
        <w:tc>
          <w:tcPr>
            <w:tcW w:w="2159" w:type="dxa"/>
          </w:tcPr>
          <w:p>
            <w:pPr>
              <w:spacing w:before="160" w:line="186" w:lineRule="auto"/>
              <w:ind w:left="1044"/>
              <w:rPr>
                <w:rFonts w:hint="eastAsia" w:ascii="宋体" w:hAnsi="宋体" w:eastAsia="宋体" w:cs="宋体"/>
                <w:szCs w:val="21"/>
              </w:rPr>
            </w:pPr>
            <w:r>
              <w:rPr>
                <w:rFonts w:ascii="宋体" w:hAnsi="宋体" w:eastAsia="宋体" w:cs="宋体"/>
                <w:szCs w:val="21"/>
              </w:rPr>
              <w:t>1</w:t>
            </w:r>
          </w:p>
        </w:tc>
        <w:tc>
          <w:tcPr>
            <w:tcW w:w="2186" w:type="dxa"/>
          </w:tcPr>
          <w:p>
            <w:pPr>
              <w:spacing w:before="161" w:line="185" w:lineRule="auto"/>
              <w:ind w:left="1047"/>
              <w:rPr>
                <w:rFonts w:hint="eastAsia" w:ascii="宋体" w:hAnsi="宋体" w:eastAsia="宋体" w:cs="宋体"/>
                <w:szCs w:val="21"/>
              </w:rPr>
            </w:pPr>
            <w:r>
              <w:rPr>
                <w:rFonts w:ascii="宋体" w:hAnsi="宋体" w:eastAsia="宋体" w:cs="宋体"/>
                <w:szCs w:val="21"/>
              </w:rPr>
              <w:t>2</w:t>
            </w:r>
          </w:p>
        </w:tc>
        <w:tc>
          <w:tcPr>
            <w:tcW w:w="2596" w:type="dxa"/>
          </w:tcPr>
          <w:p>
            <w:pPr>
              <w:spacing w:before="126" w:line="223" w:lineRule="auto"/>
              <w:ind w:left="835"/>
              <w:rPr>
                <w:rFonts w:hint="eastAsia"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pPr>
              <w:spacing w:before="161" w:line="185" w:lineRule="auto"/>
              <w:ind w:left="1031"/>
              <w:rPr>
                <w:rFonts w:hint="eastAsia" w:ascii="宋体" w:hAnsi="宋体" w:eastAsia="宋体" w:cs="宋体"/>
                <w:szCs w:val="21"/>
              </w:rPr>
            </w:pPr>
            <w:r>
              <w:rPr>
                <w:rFonts w:ascii="宋体" w:hAnsi="宋体" w:eastAsia="宋体" w:cs="宋体"/>
                <w:szCs w:val="21"/>
              </w:rPr>
              <w:t>4</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4" w:line="185" w:lineRule="auto"/>
              <w:ind w:left="353"/>
              <w:rPr>
                <w:rFonts w:hint="eastAsia" w:ascii="宋体" w:hAnsi="宋体" w:eastAsia="宋体" w:cs="宋体"/>
                <w:szCs w:val="21"/>
              </w:rPr>
            </w:pPr>
            <w:r>
              <w:rPr>
                <w:rFonts w:hint="eastAsia" w:ascii="宋体" w:hAnsi="宋体" w:eastAsia="宋体" w:cs="宋体"/>
                <w:szCs w:val="21"/>
              </w:rPr>
              <w:t>1</w:t>
            </w:r>
          </w:p>
        </w:tc>
        <w:tc>
          <w:tcPr>
            <w:tcW w:w="3530" w:type="dxa"/>
          </w:tcPr>
          <w:p>
            <w:pPr>
              <w:spacing w:before="209" w:line="221" w:lineRule="auto"/>
              <w:ind w:left="1450"/>
              <w:rPr>
                <w:rFonts w:hint="eastAsia"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5" w:line="183" w:lineRule="auto"/>
              <w:ind w:left="355"/>
              <w:rPr>
                <w:rFonts w:hint="eastAsia" w:ascii="宋体" w:hAnsi="宋体" w:eastAsia="宋体" w:cs="宋体"/>
                <w:szCs w:val="21"/>
              </w:rPr>
            </w:pPr>
            <w:r>
              <w:rPr>
                <w:rFonts w:hint="eastAsia" w:ascii="宋体" w:hAnsi="宋体" w:eastAsia="宋体" w:cs="宋体"/>
                <w:szCs w:val="21"/>
              </w:rPr>
              <w:t>2</w:t>
            </w:r>
          </w:p>
        </w:tc>
        <w:tc>
          <w:tcPr>
            <w:tcW w:w="3530" w:type="dxa"/>
          </w:tcPr>
          <w:p>
            <w:pPr>
              <w:spacing w:before="209" w:line="221" w:lineRule="auto"/>
              <w:ind w:left="1450"/>
              <w:rPr>
                <w:rFonts w:hint="eastAsia"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vMerge w:val="restart"/>
            <w:tcBorders>
              <w:bottom w:val="nil"/>
            </w:tcBorders>
          </w:tcPr>
          <w:p>
            <w:pPr>
              <w:spacing w:line="295" w:lineRule="auto"/>
              <w:rPr>
                <w:rFonts w:hint="eastAsia" w:ascii="Arial"/>
              </w:rPr>
            </w:pPr>
          </w:p>
          <w:p>
            <w:pPr>
              <w:spacing w:before="68" w:line="300" w:lineRule="auto"/>
              <w:ind w:left="873" w:right="133" w:hanging="734"/>
              <w:rPr>
                <w:rFonts w:hint="eastAsia"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pPr>
              <w:spacing w:before="248" w:line="185" w:lineRule="auto"/>
              <w:ind w:left="350"/>
              <w:rPr>
                <w:rFonts w:hint="eastAsia" w:ascii="宋体" w:hAnsi="宋体" w:eastAsia="宋体" w:cs="宋体"/>
                <w:szCs w:val="21"/>
              </w:rPr>
            </w:pPr>
            <w:r>
              <w:rPr>
                <w:rFonts w:hint="eastAsia" w:ascii="宋体" w:hAnsi="宋体" w:eastAsia="宋体" w:cs="宋体"/>
                <w:szCs w:val="21"/>
              </w:rPr>
              <w:t>3</w:t>
            </w:r>
          </w:p>
        </w:tc>
        <w:tc>
          <w:tcPr>
            <w:tcW w:w="3530" w:type="dxa"/>
          </w:tcPr>
          <w:p>
            <w:pPr>
              <w:spacing w:before="212" w:line="221" w:lineRule="auto"/>
              <w:ind w:left="1241"/>
              <w:rPr>
                <w:rFonts w:hint="eastAsia" w:ascii="宋体" w:hAnsi="宋体" w:eastAsia="宋体" w:cs="宋体"/>
                <w:szCs w:val="21"/>
              </w:rPr>
            </w:pPr>
            <w:r>
              <w:rPr>
                <w:rFonts w:ascii="宋体" w:hAnsi="宋体" w:eastAsia="宋体" w:cs="宋体"/>
                <w:spacing w:val="-1"/>
                <w:szCs w:val="21"/>
              </w:rPr>
              <w:t>运输保险费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vMerge w:val="continue"/>
            <w:tcBorders>
              <w:top w:val="nil"/>
            </w:tcBorders>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2" w:lineRule="auto"/>
              <w:ind w:left="355"/>
              <w:rPr>
                <w:rFonts w:hint="eastAsia" w:ascii="宋体" w:hAnsi="宋体" w:eastAsia="宋体" w:cs="宋体"/>
                <w:szCs w:val="21"/>
              </w:rPr>
            </w:pPr>
            <w:r>
              <w:rPr>
                <w:rFonts w:hint="eastAsia" w:ascii="宋体" w:hAnsi="宋体" w:eastAsia="宋体" w:cs="宋体"/>
                <w:szCs w:val="21"/>
              </w:rPr>
              <w:t>4</w:t>
            </w:r>
          </w:p>
        </w:tc>
        <w:tc>
          <w:tcPr>
            <w:tcW w:w="3530" w:type="dxa"/>
          </w:tcPr>
          <w:p>
            <w:pPr>
              <w:spacing w:before="210" w:line="221" w:lineRule="auto"/>
              <w:ind w:left="1450"/>
              <w:rPr>
                <w:rFonts w:hint="eastAsia"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spacing w:before="210" w:line="221" w:lineRule="auto"/>
              <w:ind w:left="457"/>
              <w:rPr>
                <w:rFonts w:hint="eastAsia"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3" w:lineRule="auto"/>
              <w:ind w:left="352"/>
              <w:rPr>
                <w:rFonts w:hint="eastAsia" w:ascii="宋体" w:hAnsi="宋体" w:eastAsia="宋体" w:cs="宋体"/>
                <w:szCs w:val="21"/>
              </w:rPr>
            </w:pPr>
            <w:r>
              <w:rPr>
                <w:rFonts w:hint="eastAsia" w:ascii="宋体" w:hAnsi="宋体" w:eastAsia="宋体" w:cs="宋体"/>
                <w:szCs w:val="21"/>
              </w:rPr>
              <w:t>5</w:t>
            </w:r>
          </w:p>
        </w:tc>
        <w:tc>
          <w:tcPr>
            <w:tcW w:w="3530" w:type="dxa"/>
          </w:tcPr>
          <w:p>
            <w:pPr>
              <w:spacing w:before="211" w:line="221" w:lineRule="auto"/>
              <w:ind w:left="1557"/>
              <w:rPr>
                <w:rFonts w:hint="eastAsia" w:ascii="宋体" w:hAnsi="宋体" w:eastAsia="宋体" w:cs="宋体"/>
                <w:szCs w:val="21"/>
              </w:rPr>
            </w:pPr>
            <w:r>
              <w:rPr>
                <w:rFonts w:ascii="宋体" w:hAnsi="宋体" w:eastAsia="宋体" w:cs="宋体"/>
                <w:spacing w:val="-2"/>
                <w:szCs w:val="21"/>
              </w:rPr>
              <w:t>其他</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spacing w:before="210" w:line="221" w:lineRule="auto"/>
              <w:ind w:left="456"/>
              <w:rPr>
                <w:rFonts w:hint="eastAsia"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pPr>
              <w:spacing w:before="211" w:line="219" w:lineRule="auto"/>
              <w:ind w:left="3008"/>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pPr>
              <w:spacing w:before="211"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59" w:line="219" w:lineRule="auto"/>
        <w:ind w:left="211"/>
        <w:rPr>
          <w:rFonts w:hint="eastAsia"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pPr>
        <w:spacing w:before="77"/>
        <w:ind w:left="633"/>
        <w:rPr>
          <w:rFonts w:hint="eastAsia"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pPr>
        <w:spacing w:before="64" w:line="198" w:lineRule="auto"/>
        <w:ind w:firstLine="606" w:firstLineChars="300"/>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594" w:firstLineChars="300"/>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pPr>
        <w:spacing w:before="140" w:line="220" w:lineRule="auto"/>
        <w:ind w:left="2" w:firstLine="464" w:firstLineChars="200"/>
        <w:rPr>
          <w:rFonts w:hint="eastAsia"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pPr>
        <w:rPr>
          <w:rFonts w:hint="eastAsia"/>
          <w:sz w:val="24"/>
          <w:szCs w:val="24"/>
        </w:rPr>
        <w:sectPr>
          <w:footerReference r:id="rId22" w:type="default"/>
          <w:pgSz w:w="16841" w:h="11907"/>
          <w:pgMar w:top="400" w:right="1699" w:bottom="1184" w:left="1481" w:header="0" w:footer="1022" w:gutter="0"/>
          <w:cols w:space="720" w:num="1"/>
        </w:sectPr>
      </w:pPr>
    </w:p>
    <w:p>
      <w:pPr>
        <w:pStyle w:val="7"/>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9-3</w:t>
      </w:r>
    </w:p>
    <w:p>
      <w:pPr>
        <w:spacing w:before="104" w:line="224" w:lineRule="auto"/>
        <w:ind w:left="5024"/>
        <w:rPr>
          <w:rFonts w:hint="eastAsia"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pPr>
        <w:spacing w:before="134" w:line="221" w:lineRule="auto"/>
        <w:ind w:left="212"/>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rPr>
          <w:rFonts w:hint="eastAsia"/>
        </w:rPr>
      </w:pPr>
    </w:p>
    <w:p>
      <w:pPr>
        <w:spacing w:line="20" w:lineRule="exact"/>
        <w:rPr>
          <w:rFonts w:hint="eastAsia"/>
        </w:rPr>
      </w:pPr>
    </w:p>
    <w:tbl>
      <w:tblPr>
        <w:tblStyle w:val="131"/>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13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单价(元)（不含税）</w:t>
            </w:r>
          </w:p>
        </w:tc>
        <w:tc>
          <w:tcPr>
            <w:tcW w:w="113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449"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价格(元)（不含税）</w:t>
            </w:r>
          </w:p>
        </w:tc>
        <w:tc>
          <w:tcPr>
            <w:tcW w:w="332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pPr>
              <w:spacing w:before="300" w:line="186" w:lineRule="auto"/>
              <w:jc w:val="center"/>
              <w:rPr>
                <w:rFonts w:hint="eastAsia" w:ascii="宋体" w:hAnsi="宋体" w:eastAsia="宋体" w:cs="宋体"/>
                <w:szCs w:val="21"/>
              </w:rPr>
            </w:pPr>
            <w:r>
              <w:rPr>
                <w:rFonts w:ascii="宋体" w:hAnsi="宋体" w:eastAsia="宋体" w:cs="宋体"/>
                <w:szCs w:val="21"/>
              </w:rPr>
              <w:t>1</w:t>
            </w:r>
          </w:p>
        </w:tc>
        <w:tc>
          <w:tcPr>
            <w:tcW w:w="3625" w:type="dxa"/>
          </w:tcPr>
          <w:p>
            <w:pPr>
              <w:spacing w:before="266" w:line="221" w:lineRule="auto"/>
              <w:jc w:val="center"/>
              <w:rPr>
                <w:rFonts w:hint="eastAsia" w:ascii="宋体" w:hAnsi="宋体" w:eastAsia="宋体" w:cs="宋体"/>
                <w:szCs w:val="21"/>
                <w:highlight w:val="yellow"/>
              </w:rPr>
            </w:pPr>
            <w:r>
              <w:rPr>
                <w:rFonts w:hint="eastAsia" w:ascii="宋体" w:hAnsi="宋体" w:eastAsia="宋体" w:cs="宋体"/>
                <w:sz w:val="24"/>
                <w:szCs w:val="24"/>
              </w:rPr>
              <w:t>加工、组装</w:t>
            </w:r>
          </w:p>
        </w:tc>
        <w:tc>
          <w:tcPr>
            <w:tcW w:w="1126" w:type="dxa"/>
          </w:tcPr>
          <w:p>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tcPr>
          <w:p>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pPr>
              <w:spacing w:before="301" w:line="185" w:lineRule="auto"/>
              <w:jc w:val="center"/>
              <w:rPr>
                <w:rFonts w:hint="eastAsia" w:ascii="宋体" w:hAnsi="宋体" w:eastAsia="宋体" w:cs="宋体"/>
                <w:szCs w:val="21"/>
              </w:rPr>
            </w:pPr>
            <w:r>
              <w:rPr>
                <w:rFonts w:hint="eastAsia" w:ascii="宋体" w:hAnsi="宋体" w:eastAsia="宋体" w:cs="宋体"/>
                <w:szCs w:val="21"/>
              </w:rPr>
              <w:t>2</w:t>
            </w:r>
          </w:p>
        </w:tc>
        <w:tc>
          <w:tcPr>
            <w:tcW w:w="3625" w:type="dxa"/>
          </w:tcPr>
          <w:p>
            <w:pPr>
              <w:spacing w:before="266" w:line="221" w:lineRule="auto"/>
              <w:jc w:val="center"/>
              <w:rPr>
                <w:rFonts w:hint="eastAsia" w:ascii="宋体" w:hAnsi="宋体" w:eastAsia="宋体" w:cs="宋体"/>
                <w:szCs w:val="21"/>
                <w:highlight w:val="yellow"/>
              </w:rPr>
            </w:pPr>
            <w:r>
              <w:rPr>
                <w:rFonts w:hint="eastAsia" w:ascii="宋体" w:hAnsi="宋体" w:eastAsia="宋体" w:cs="宋体"/>
                <w:spacing w:val="-1"/>
                <w:szCs w:val="21"/>
                <w:highlight w:val="yellow"/>
              </w:rPr>
              <w:t>现场安装调试、验收</w:t>
            </w:r>
          </w:p>
        </w:tc>
        <w:tc>
          <w:tcPr>
            <w:tcW w:w="1126" w:type="dxa"/>
          </w:tcPr>
          <w:p>
            <w:pPr>
              <w:spacing w:before="266" w:line="221" w:lineRule="auto"/>
              <w:jc w:val="center"/>
              <w:rPr>
                <w:rFonts w:hint="eastAsia" w:ascii="宋体" w:hAnsi="宋体" w:eastAsia="宋体" w:cs="宋体"/>
                <w:spacing w:val="-2"/>
                <w:szCs w:val="21"/>
              </w:rPr>
            </w:pPr>
            <w:r>
              <w:rPr>
                <w:rFonts w:hint="eastAsia" w:ascii="宋体" w:hAnsi="宋体" w:eastAsia="宋体" w:cs="宋体"/>
                <w:spacing w:val="-1"/>
                <w:szCs w:val="21"/>
              </w:rPr>
              <w:t>套</w:t>
            </w:r>
          </w:p>
        </w:tc>
        <w:tc>
          <w:tcPr>
            <w:tcW w:w="1138" w:type="dxa"/>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tcPr>
          <w:p>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pPr>
              <w:spacing w:before="301" w:line="185" w:lineRule="auto"/>
              <w:jc w:val="center"/>
              <w:rPr>
                <w:rFonts w:hint="eastAsia" w:ascii="宋体" w:hAnsi="宋体" w:eastAsia="宋体" w:cs="宋体"/>
                <w:szCs w:val="21"/>
              </w:rPr>
            </w:pPr>
            <w:r>
              <w:rPr>
                <w:rFonts w:hint="eastAsia" w:ascii="宋体" w:hAnsi="宋体" w:eastAsia="宋体" w:cs="宋体"/>
                <w:szCs w:val="21"/>
              </w:rPr>
              <w:t>3</w:t>
            </w:r>
          </w:p>
        </w:tc>
        <w:tc>
          <w:tcPr>
            <w:tcW w:w="3625" w:type="dxa"/>
          </w:tcPr>
          <w:p>
            <w:pPr>
              <w:spacing w:before="266" w:line="221" w:lineRule="auto"/>
              <w:jc w:val="center"/>
              <w:rPr>
                <w:rFonts w:hint="eastAsia" w:ascii="宋体" w:hAnsi="宋体" w:eastAsia="宋体" w:cs="宋体"/>
                <w:szCs w:val="21"/>
                <w:highlight w:val="yellow"/>
              </w:rPr>
            </w:pPr>
            <w:r>
              <w:rPr>
                <w:rFonts w:hint="eastAsia" w:ascii="宋体" w:hAnsi="宋体" w:eastAsia="宋体" w:cs="宋体"/>
                <w:spacing w:val="-2"/>
                <w:szCs w:val="21"/>
                <w:highlight w:val="yellow"/>
              </w:rPr>
              <w:t>技术培训材料</w:t>
            </w:r>
          </w:p>
        </w:tc>
        <w:tc>
          <w:tcPr>
            <w:tcW w:w="1126" w:type="dxa"/>
          </w:tcPr>
          <w:p>
            <w:pPr>
              <w:spacing w:before="266" w:line="221" w:lineRule="auto"/>
              <w:jc w:val="center"/>
              <w:rPr>
                <w:rFonts w:hint="eastAsia" w:ascii="宋体" w:hAnsi="宋体" w:eastAsia="宋体" w:cs="宋体"/>
                <w:spacing w:val="-1"/>
                <w:szCs w:val="21"/>
              </w:rPr>
            </w:pPr>
          </w:p>
        </w:tc>
        <w:tc>
          <w:tcPr>
            <w:tcW w:w="1138" w:type="dxa"/>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tcPr>
          <w:p>
            <w:pPr>
              <w:spacing w:before="266" w:line="221" w:lineRule="auto"/>
              <w:jc w:val="center"/>
              <w:rPr>
                <w:rFonts w:hint="eastAsia" w:ascii="宋体" w:hAnsi="宋体" w:eastAsia="宋体" w:cs="宋体"/>
                <w:spacing w:val="-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pPr>
              <w:spacing w:before="301" w:line="185" w:lineRule="auto"/>
              <w:jc w:val="center"/>
              <w:rPr>
                <w:rFonts w:hint="eastAsia" w:ascii="宋体" w:hAnsi="宋体" w:eastAsia="宋体" w:cs="宋体"/>
                <w:szCs w:val="21"/>
              </w:rPr>
            </w:pPr>
            <w:r>
              <w:rPr>
                <w:rFonts w:hint="eastAsia" w:ascii="宋体" w:hAnsi="宋体" w:eastAsia="宋体" w:cs="宋体"/>
                <w:szCs w:val="21"/>
              </w:rPr>
              <w:t>4</w:t>
            </w:r>
          </w:p>
        </w:tc>
        <w:tc>
          <w:tcPr>
            <w:tcW w:w="3625" w:type="dxa"/>
          </w:tcPr>
          <w:p>
            <w:pPr>
              <w:spacing w:before="266" w:line="221" w:lineRule="auto"/>
              <w:jc w:val="center"/>
              <w:rPr>
                <w:rFonts w:hint="eastAsia" w:ascii="宋体" w:hAnsi="宋体" w:eastAsia="宋体" w:cs="宋体"/>
                <w:sz w:val="24"/>
                <w:szCs w:val="24"/>
              </w:rPr>
            </w:pPr>
            <w:r>
              <w:rPr>
                <w:rFonts w:hint="eastAsia" w:ascii="宋体" w:hAnsi="宋体" w:eastAsia="宋体" w:cs="宋体"/>
                <w:sz w:val="24"/>
                <w:szCs w:val="24"/>
              </w:rPr>
              <w:t>管理费用</w:t>
            </w:r>
          </w:p>
        </w:tc>
        <w:tc>
          <w:tcPr>
            <w:tcW w:w="1126" w:type="dxa"/>
          </w:tcPr>
          <w:p>
            <w:pPr>
              <w:spacing w:before="266" w:line="221" w:lineRule="auto"/>
              <w:jc w:val="center"/>
              <w:rPr>
                <w:rFonts w:hint="eastAsia" w:ascii="宋体" w:hAnsi="宋体" w:eastAsia="宋体" w:cs="宋体"/>
                <w:spacing w:val="-1"/>
                <w:szCs w:val="21"/>
              </w:rPr>
            </w:pPr>
          </w:p>
        </w:tc>
        <w:tc>
          <w:tcPr>
            <w:tcW w:w="1138" w:type="dxa"/>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tcPr>
          <w:p>
            <w:pPr>
              <w:spacing w:before="266" w:line="221" w:lineRule="auto"/>
              <w:jc w:val="center"/>
              <w:rPr>
                <w:rFonts w:hint="eastAsia" w:ascii="宋体" w:hAnsi="宋体" w:eastAsia="宋体" w:cs="宋体"/>
                <w:spacing w:val="-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pPr>
              <w:spacing w:before="301" w:line="185" w:lineRule="auto"/>
              <w:jc w:val="center"/>
              <w:rPr>
                <w:rFonts w:hint="eastAsia" w:ascii="宋体" w:hAnsi="宋体" w:eastAsia="宋体" w:cs="宋体"/>
                <w:szCs w:val="21"/>
              </w:rPr>
            </w:pPr>
            <w:r>
              <w:rPr>
                <w:rFonts w:hint="eastAsia" w:ascii="宋体" w:hAnsi="宋体" w:eastAsia="宋体" w:cs="宋体"/>
                <w:szCs w:val="21"/>
              </w:rPr>
              <w:t>5</w:t>
            </w:r>
          </w:p>
        </w:tc>
        <w:tc>
          <w:tcPr>
            <w:tcW w:w="3625" w:type="dxa"/>
          </w:tcPr>
          <w:p>
            <w:pPr>
              <w:spacing w:before="266" w:line="221" w:lineRule="auto"/>
              <w:jc w:val="center"/>
              <w:rPr>
                <w:rFonts w:hint="eastAsia" w:ascii="宋体" w:hAnsi="宋体" w:eastAsia="宋体" w:cs="宋体"/>
                <w:sz w:val="24"/>
                <w:szCs w:val="24"/>
              </w:rPr>
            </w:pPr>
            <w:r>
              <w:rPr>
                <w:rFonts w:hint="eastAsia" w:ascii="宋体" w:hAnsi="宋体" w:eastAsia="宋体" w:cs="宋体"/>
                <w:sz w:val="24"/>
                <w:szCs w:val="24"/>
              </w:rPr>
              <w:t>利润、税费、杂费</w:t>
            </w:r>
          </w:p>
        </w:tc>
        <w:tc>
          <w:tcPr>
            <w:tcW w:w="1126" w:type="dxa"/>
          </w:tcPr>
          <w:p>
            <w:pPr>
              <w:spacing w:before="266" w:line="221" w:lineRule="auto"/>
              <w:jc w:val="center"/>
              <w:rPr>
                <w:rFonts w:hint="eastAsia" w:ascii="宋体" w:hAnsi="宋体" w:eastAsia="宋体" w:cs="宋体"/>
                <w:spacing w:val="-1"/>
                <w:szCs w:val="21"/>
              </w:rPr>
            </w:pPr>
          </w:p>
        </w:tc>
        <w:tc>
          <w:tcPr>
            <w:tcW w:w="1138" w:type="dxa"/>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tcPr>
          <w:p>
            <w:pPr>
              <w:spacing w:before="266" w:line="221" w:lineRule="auto"/>
              <w:jc w:val="center"/>
              <w:rPr>
                <w:rFonts w:hint="eastAsia" w:ascii="宋体" w:hAnsi="宋体" w:eastAsia="宋体" w:cs="宋体"/>
                <w:spacing w:val="-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pPr>
              <w:spacing w:before="301" w:line="185" w:lineRule="auto"/>
              <w:jc w:val="center"/>
              <w:rPr>
                <w:rFonts w:hint="eastAsia" w:ascii="宋体" w:hAnsi="宋体" w:eastAsia="宋体" w:cs="宋体"/>
                <w:szCs w:val="21"/>
              </w:rPr>
            </w:pPr>
            <w:r>
              <w:rPr>
                <w:rFonts w:hint="eastAsia" w:ascii="宋体" w:hAnsi="宋体" w:eastAsia="宋体" w:cs="宋体"/>
                <w:szCs w:val="21"/>
              </w:rPr>
              <w:t>6</w:t>
            </w:r>
          </w:p>
        </w:tc>
        <w:tc>
          <w:tcPr>
            <w:tcW w:w="3625" w:type="dxa"/>
          </w:tcPr>
          <w:p>
            <w:pPr>
              <w:spacing w:before="266" w:line="221" w:lineRule="auto"/>
              <w:jc w:val="center"/>
              <w:rPr>
                <w:rFonts w:hint="eastAsia" w:ascii="宋体" w:hAnsi="宋体" w:eastAsia="宋体" w:cs="宋体"/>
                <w:spacing w:val="-2"/>
                <w:szCs w:val="21"/>
                <w:highlight w:val="yellow"/>
              </w:rPr>
            </w:pPr>
            <w:r>
              <w:rPr>
                <w:rFonts w:hint="eastAsia" w:ascii="宋体" w:hAnsi="宋体" w:eastAsia="宋体" w:cs="宋体"/>
                <w:sz w:val="24"/>
                <w:szCs w:val="24"/>
              </w:rPr>
              <w:t>设备图纸及说明书</w:t>
            </w:r>
          </w:p>
        </w:tc>
        <w:tc>
          <w:tcPr>
            <w:tcW w:w="1126" w:type="dxa"/>
          </w:tcPr>
          <w:p>
            <w:pPr>
              <w:spacing w:before="266" w:line="221" w:lineRule="auto"/>
              <w:jc w:val="center"/>
              <w:rPr>
                <w:rFonts w:hint="eastAsia" w:ascii="宋体" w:hAnsi="宋体" w:eastAsia="宋体" w:cs="宋体"/>
                <w:spacing w:val="-1"/>
                <w:szCs w:val="21"/>
              </w:rPr>
            </w:pPr>
            <w:r>
              <w:rPr>
                <w:rFonts w:hint="eastAsia" w:ascii="宋体" w:hAnsi="宋体" w:eastAsia="宋体" w:cs="宋体"/>
                <w:spacing w:val="-1"/>
                <w:szCs w:val="21"/>
              </w:rPr>
              <w:t>套</w:t>
            </w:r>
          </w:p>
        </w:tc>
        <w:tc>
          <w:tcPr>
            <w:tcW w:w="1138" w:type="dxa"/>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tcPr>
          <w:p>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p>
        </w:tc>
        <w:tc>
          <w:tcPr>
            <w:tcW w:w="3328" w:type="dxa"/>
            <w:tcBorders>
              <w:lef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bl>
    <w:p>
      <w:pPr>
        <w:spacing w:before="78" w:line="224" w:lineRule="auto"/>
        <w:ind w:firstLine="178" w:firstLineChars="100"/>
        <w:rPr>
          <w:rFonts w:hint="eastAsia"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pPr>
        <w:spacing w:before="75" w:line="219" w:lineRule="auto"/>
        <w:ind w:left="409" w:firstLine="396" w:firstLineChars="200"/>
        <w:rPr>
          <w:rFonts w:hint="eastAsia"/>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35" w:line="239" w:lineRule="auto"/>
        <w:ind w:firstLine="824" w:firstLineChars="400"/>
        <w:rPr>
          <w:rFonts w:hint="eastAsia"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rPr>
          <w:rFonts w:hint="eastAsia"/>
        </w:rPr>
      </w:pPr>
    </w:p>
    <w:p>
      <w:pPr>
        <w:pStyle w:val="21"/>
      </w:pPr>
    </w:p>
    <w:p>
      <w:pPr>
        <w:spacing w:before="35" w:line="239" w:lineRule="auto"/>
        <w:ind w:left="724"/>
        <w:rPr>
          <w:rFonts w:hint="eastAsia"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pPr>
        <w:spacing w:before="35" w:line="239" w:lineRule="auto"/>
        <w:ind w:left="724"/>
        <w:rPr>
          <w:rFonts w:hint="eastAsia" w:ascii="宋体" w:hAnsi="宋体" w:eastAsia="宋体" w:cs="宋体"/>
          <w:spacing w:val="-1"/>
          <w:sz w:val="24"/>
          <w:szCs w:val="24"/>
        </w:rPr>
        <w:sectPr>
          <w:footerReference r:id="rId23" w:type="default"/>
          <w:pgSz w:w="16841" w:h="11907"/>
          <w:pgMar w:top="400" w:right="1699" w:bottom="1184" w:left="1481" w:header="0" w:footer="1022" w:gutter="0"/>
          <w:cols w:space="720" w:num="1"/>
        </w:sectPr>
      </w:pPr>
    </w:p>
    <w:p>
      <w:pPr>
        <w:pStyle w:val="7"/>
        <w:jc w:val="left"/>
        <w:rPr>
          <w:rFonts w:hint="eastAsia"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4</w:t>
      </w:r>
    </w:p>
    <w:p>
      <w:pPr>
        <w:spacing w:before="125" w:line="294" w:lineRule="auto"/>
        <w:ind w:left="6150" w:right="1626" w:hanging="4500"/>
        <w:rPr>
          <w:rFonts w:hint="eastAsia"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pPr>
        <w:spacing w:line="220" w:lineRule="auto"/>
        <w:ind w:left="1"/>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rPr>
          <w:rFonts w:hint="eastAsia"/>
        </w:rPr>
      </w:pPr>
    </w:p>
    <w:tbl>
      <w:tblPr>
        <w:tblStyle w:val="131"/>
        <w:tblW w:w="1467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840"/>
        <w:gridCol w:w="2239"/>
        <w:gridCol w:w="1498"/>
        <w:gridCol w:w="1861"/>
        <w:gridCol w:w="1120"/>
        <w:gridCol w:w="112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09" w:type="dxa"/>
          </w:tcPr>
          <w:p>
            <w:pPr>
              <w:spacing w:before="100" w:line="186" w:lineRule="auto"/>
              <w:ind w:left="223"/>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543" w:type="dxa"/>
          </w:tcPr>
          <w:p>
            <w:pPr>
              <w:spacing w:before="101" w:line="185" w:lineRule="auto"/>
              <w:ind w:left="122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100" w:type="dxa"/>
          </w:tcPr>
          <w:p>
            <w:pPr>
              <w:spacing w:before="102" w:line="183" w:lineRule="auto"/>
              <w:ind w:left="100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840" w:type="dxa"/>
          </w:tcPr>
          <w:p>
            <w:pPr>
              <w:spacing w:before="101" w:line="185" w:lineRule="auto"/>
              <w:ind w:left="371"/>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840" w:type="dxa"/>
          </w:tcPr>
          <w:p>
            <w:pPr>
              <w:spacing w:before="101" w:line="185" w:lineRule="auto"/>
              <w:ind w:left="371"/>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5</w:t>
            </w:r>
          </w:p>
        </w:tc>
        <w:tc>
          <w:tcPr>
            <w:tcW w:w="2239" w:type="dxa"/>
          </w:tcPr>
          <w:p>
            <w:pPr>
              <w:spacing w:before="103" w:line="182" w:lineRule="auto"/>
              <w:ind w:left="1075"/>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6</w:t>
            </w:r>
          </w:p>
        </w:tc>
        <w:tc>
          <w:tcPr>
            <w:tcW w:w="1498" w:type="dxa"/>
          </w:tcPr>
          <w:p>
            <w:pPr>
              <w:spacing w:before="102" w:line="183" w:lineRule="auto"/>
              <w:ind w:left="585"/>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7</w:t>
            </w:r>
          </w:p>
        </w:tc>
        <w:tc>
          <w:tcPr>
            <w:tcW w:w="1861" w:type="dxa"/>
          </w:tcPr>
          <w:p>
            <w:pPr>
              <w:spacing w:before="103" w:line="182" w:lineRule="auto"/>
              <w:ind w:left="1010"/>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8</w:t>
            </w:r>
          </w:p>
        </w:tc>
        <w:tc>
          <w:tcPr>
            <w:tcW w:w="1120" w:type="dxa"/>
          </w:tcPr>
          <w:p>
            <w:pPr>
              <w:spacing w:before="102" w:line="183" w:lineRule="auto"/>
              <w:ind w:left="516"/>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9</w:t>
            </w:r>
          </w:p>
        </w:tc>
        <w:tc>
          <w:tcPr>
            <w:tcW w:w="1125" w:type="dxa"/>
          </w:tcPr>
          <w:p>
            <w:pPr>
              <w:spacing w:before="102" w:line="183" w:lineRule="auto"/>
              <w:ind w:left="515"/>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10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textDirection w:val="tbRlV"/>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 号</w:t>
            </w:r>
          </w:p>
        </w:tc>
        <w:tc>
          <w:tcPr>
            <w:tcW w:w="2543"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21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84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84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239"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9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861"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5×7]（不含税）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2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更换</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12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pPr>
              <w:spacing w:before="237" w:line="186" w:lineRule="auto"/>
              <w:ind w:left="223"/>
              <w:rPr>
                <w:rFonts w:hint="eastAsia" w:ascii="宋体" w:hAnsi="宋体" w:eastAsia="宋体" w:cs="宋体"/>
                <w:szCs w:val="21"/>
              </w:rPr>
            </w:pPr>
            <w:r>
              <w:rPr>
                <w:rFonts w:ascii="宋体" w:hAnsi="宋体" w:eastAsia="宋体" w:cs="宋体"/>
                <w:szCs w:val="21"/>
              </w:rPr>
              <w:t>1</w:t>
            </w:r>
          </w:p>
        </w:tc>
        <w:tc>
          <w:tcPr>
            <w:tcW w:w="2543" w:type="dxa"/>
          </w:tcPr>
          <w:p>
            <w:pPr>
              <w:rPr>
                <w:rFonts w:hint="eastAsia" w:ascii="Arial"/>
              </w:rPr>
            </w:pPr>
          </w:p>
        </w:tc>
        <w:tc>
          <w:tcPr>
            <w:tcW w:w="2100" w:type="dxa"/>
          </w:tcPr>
          <w:p>
            <w:pPr>
              <w:rPr>
                <w:rFonts w:hint="eastAsia" w:ascii="Arial"/>
              </w:rPr>
            </w:pPr>
          </w:p>
        </w:tc>
        <w:tc>
          <w:tcPr>
            <w:tcW w:w="840" w:type="dxa"/>
          </w:tcPr>
          <w:p>
            <w:pPr>
              <w:rPr>
                <w:rFonts w:hint="eastAsia" w:ascii="Arial"/>
              </w:rPr>
            </w:pPr>
          </w:p>
        </w:tc>
        <w:tc>
          <w:tcPr>
            <w:tcW w:w="840" w:type="dxa"/>
          </w:tcPr>
          <w:p>
            <w:pPr>
              <w:rPr>
                <w:rFonts w:hint="eastAsia" w:ascii="Arial"/>
              </w:rPr>
            </w:pPr>
          </w:p>
        </w:tc>
        <w:tc>
          <w:tcPr>
            <w:tcW w:w="2239" w:type="dxa"/>
          </w:tcPr>
          <w:p>
            <w:pPr>
              <w:rPr>
                <w:rFonts w:hint="eastAsia" w:ascii="Arial"/>
              </w:rPr>
            </w:pPr>
          </w:p>
        </w:tc>
        <w:tc>
          <w:tcPr>
            <w:tcW w:w="1498" w:type="dxa"/>
          </w:tcPr>
          <w:p>
            <w:pPr>
              <w:rPr>
                <w:rFonts w:hint="eastAsia" w:ascii="Arial"/>
              </w:rPr>
            </w:pPr>
          </w:p>
        </w:tc>
        <w:tc>
          <w:tcPr>
            <w:tcW w:w="1861" w:type="dxa"/>
          </w:tcPr>
          <w:p>
            <w:pPr>
              <w:rPr>
                <w:rFonts w:hint="eastAsia" w:ascii="Arial"/>
              </w:rPr>
            </w:pPr>
          </w:p>
        </w:tc>
        <w:tc>
          <w:tcPr>
            <w:tcW w:w="1120" w:type="dxa"/>
          </w:tcPr>
          <w:p>
            <w:pPr>
              <w:rPr>
                <w:rFonts w:hint="eastAsia" w:ascii="Arial"/>
              </w:rPr>
            </w:pPr>
          </w:p>
        </w:tc>
        <w:tc>
          <w:tcPr>
            <w:tcW w:w="1125"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pPr>
              <w:spacing w:before="239" w:line="185" w:lineRule="auto"/>
              <w:ind w:left="210"/>
              <w:rPr>
                <w:rFonts w:hint="eastAsia" w:ascii="宋体" w:hAnsi="宋体" w:eastAsia="宋体" w:cs="宋体"/>
                <w:szCs w:val="21"/>
              </w:rPr>
            </w:pPr>
            <w:r>
              <w:rPr>
                <w:rFonts w:ascii="宋体" w:hAnsi="宋体" w:eastAsia="宋体" w:cs="宋体"/>
                <w:szCs w:val="21"/>
              </w:rPr>
              <w:t>2</w:t>
            </w:r>
          </w:p>
        </w:tc>
        <w:tc>
          <w:tcPr>
            <w:tcW w:w="2543" w:type="dxa"/>
          </w:tcPr>
          <w:p>
            <w:pPr>
              <w:rPr>
                <w:rFonts w:hint="eastAsia" w:ascii="Arial"/>
              </w:rPr>
            </w:pPr>
          </w:p>
        </w:tc>
        <w:tc>
          <w:tcPr>
            <w:tcW w:w="2100" w:type="dxa"/>
          </w:tcPr>
          <w:p>
            <w:pPr>
              <w:rPr>
                <w:rFonts w:hint="eastAsia" w:ascii="Arial"/>
              </w:rPr>
            </w:pPr>
          </w:p>
        </w:tc>
        <w:tc>
          <w:tcPr>
            <w:tcW w:w="840" w:type="dxa"/>
          </w:tcPr>
          <w:p>
            <w:pPr>
              <w:rPr>
                <w:rFonts w:hint="eastAsia" w:ascii="Arial"/>
              </w:rPr>
            </w:pPr>
          </w:p>
        </w:tc>
        <w:tc>
          <w:tcPr>
            <w:tcW w:w="840" w:type="dxa"/>
          </w:tcPr>
          <w:p>
            <w:pPr>
              <w:rPr>
                <w:rFonts w:hint="eastAsia" w:ascii="Arial"/>
              </w:rPr>
            </w:pPr>
          </w:p>
        </w:tc>
        <w:tc>
          <w:tcPr>
            <w:tcW w:w="2239" w:type="dxa"/>
          </w:tcPr>
          <w:p>
            <w:pPr>
              <w:rPr>
                <w:rFonts w:hint="eastAsia" w:ascii="Arial"/>
              </w:rPr>
            </w:pPr>
          </w:p>
        </w:tc>
        <w:tc>
          <w:tcPr>
            <w:tcW w:w="1498" w:type="dxa"/>
          </w:tcPr>
          <w:p>
            <w:pPr>
              <w:rPr>
                <w:rFonts w:hint="eastAsia" w:ascii="Arial"/>
              </w:rPr>
            </w:pPr>
          </w:p>
        </w:tc>
        <w:tc>
          <w:tcPr>
            <w:tcW w:w="1861" w:type="dxa"/>
          </w:tcPr>
          <w:p>
            <w:pPr>
              <w:rPr>
                <w:rFonts w:hint="eastAsia" w:ascii="Arial"/>
              </w:rPr>
            </w:pPr>
          </w:p>
        </w:tc>
        <w:tc>
          <w:tcPr>
            <w:tcW w:w="1120" w:type="dxa"/>
          </w:tcPr>
          <w:p>
            <w:pPr>
              <w:rPr>
                <w:rFonts w:hint="eastAsia" w:ascii="Arial"/>
              </w:rPr>
            </w:pPr>
          </w:p>
        </w:tc>
        <w:tc>
          <w:tcPr>
            <w:tcW w:w="1125"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pPr>
              <w:rPr>
                <w:rFonts w:hint="eastAsia" w:ascii="Arial"/>
              </w:rPr>
            </w:pPr>
          </w:p>
        </w:tc>
        <w:tc>
          <w:tcPr>
            <w:tcW w:w="2543" w:type="dxa"/>
          </w:tcPr>
          <w:p>
            <w:pPr>
              <w:rPr>
                <w:rFonts w:hint="eastAsia" w:ascii="Arial"/>
              </w:rPr>
            </w:pPr>
          </w:p>
        </w:tc>
        <w:tc>
          <w:tcPr>
            <w:tcW w:w="2100" w:type="dxa"/>
          </w:tcPr>
          <w:p>
            <w:pPr>
              <w:rPr>
                <w:rFonts w:hint="eastAsia" w:ascii="Arial"/>
              </w:rPr>
            </w:pPr>
          </w:p>
        </w:tc>
        <w:tc>
          <w:tcPr>
            <w:tcW w:w="840" w:type="dxa"/>
          </w:tcPr>
          <w:p>
            <w:pPr>
              <w:rPr>
                <w:rFonts w:hint="eastAsia" w:ascii="Arial"/>
              </w:rPr>
            </w:pPr>
          </w:p>
        </w:tc>
        <w:tc>
          <w:tcPr>
            <w:tcW w:w="840" w:type="dxa"/>
          </w:tcPr>
          <w:p>
            <w:pPr>
              <w:rPr>
                <w:rFonts w:hint="eastAsia" w:ascii="Arial"/>
              </w:rPr>
            </w:pPr>
          </w:p>
        </w:tc>
        <w:tc>
          <w:tcPr>
            <w:tcW w:w="2239" w:type="dxa"/>
          </w:tcPr>
          <w:p>
            <w:pPr>
              <w:rPr>
                <w:rFonts w:hint="eastAsia" w:ascii="Arial"/>
              </w:rPr>
            </w:pPr>
          </w:p>
        </w:tc>
        <w:tc>
          <w:tcPr>
            <w:tcW w:w="1498" w:type="dxa"/>
          </w:tcPr>
          <w:p>
            <w:pPr>
              <w:rPr>
                <w:rFonts w:hint="eastAsia" w:ascii="Arial"/>
              </w:rPr>
            </w:pPr>
          </w:p>
        </w:tc>
        <w:tc>
          <w:tcPr>
            <w:tcW w:w="1861" w:type="dxa"/>
          </w:tcPr>
          <w:p>
            <w:pPr>
              <w:rPr>
                <w:rFonts w:hint="eastAsia" w:ascii="Arial"/>
              </w:rPr>
            </w:pPr>
          </w:p>
        </w:tc>
        <w:tc>
          <w:tcPr>
            <w:tcW w:w="1120" w:type="dxa"/>
          </w:tcPr>
          <w:p>
            <w:pPr>
              <w:rPr>
                <w:rFonts w:hint="eastAsia" w:ascii="Arial"/>
              </w:rPr>
            </w:pPr>
          </w:p>
        </w:tc>
        <w:tc>
          <w:tcPr>
            <w:tcW w:w="1125"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pPr>
              <w:rPr>
                <w:rFonts w:hint="eastAsia" w:ascii="Arial"/>
              </w:rPr>
            </w:pPr>
          </w:p>
        </w:tc>
        <w:tc>
          <w:tcPr>
            <w:tcW w:w="2543" w:type="dxa"/>
          </w:tcPr>
          <w:p>
            <w:pPr>
              <w:rPr>
                <w:rFonts w:hint="eastAsia" w:ascii="Arial"/>
              </w:rPr>
            </w:pPr>
          </w:p>
        </w:tc>
        <w:tc>
          <w:tcPr>
            <w:tcW w:w="2100" w:type="dxa"/>
          </w:tcPr>
          <w:p>
            <w:pPr>
              <w:rPr>
                <w:rFonts w:hint="eastAsia" w:ascii="Arial"/>
              </w:rPr>
            </w:pPr>
          </w:p>
        </w:tc>
        <w:tc>
          <w:tcPr>
            <w:tcW w:w="840" w:type="dxa"/>
          </w:tcPr>
          <w:p>
            <w:pPr>
              <w:rPr>
                <w:rFonts w:hint="eastAsia" w:ascii="Arial"/>
              </w:rPr>
            </w:pPr>
          </w:p>
        </w:tc>
        <w:tc>
          <w:tcPr>
            <w:tcW w:w="840" w:type="dxa"/>
          </w:tcPr>
          <w:p>
            <w:pPr>
              <w:rPr>
                <w:rFonts w:hint="eastAsia" w:ascii="Arial"/>
              </w:rPr>
            </w:pPr>
          </w:p>
        </w:tc>
        <w:tc>
          <w:tcPr>
            <w:tcW w:w="2239" w:type="dxa"/>
          </w:tcPr>
          <w:p>
            <w:pPr>
              <w:rPr>
                <w:rFonts w:hint="eastAsia" w:ascii="Arial"/>
              </w:rPr>
            </w:pPr>
          </w:p>
        </w:tc>
        <w:tc>
          <w:tcPr>
            <w:tcW w:w="1498" w:type="dxa"/>
          </w:tcPr>
          <w:p>
            <w:pPr>
              <w:rPr>
                <w:rFonts w:hint="eastAsia" w:ascii="Arial"/>
              </w:rPr>
            </w:pPr>
          </w:p>
        </w:tc>
        <w:tc>
          <w:tcPr>
            <w:tcW w:w="1861" w:type="dxa"/>
          </w:tcPr>
          <w:p>
            <w:pPr>
              <w:rPr>
                <w:rFonts w:hint="eastAsia" w:ascii="Arial"/>
              </w:rPr>
            </w:pPr>
          </w:p>
        </w:tc>
        <w:tc>
          <w:tcPr>
            <w:tcW w:w="1120" w:type="dxa"/>
          </w:tcPr>
          <w:p>
            <w:pPr>
              <w:rPr>
                <w:rFonts w:hint="eastAsia" w:ascii="Arial"/>
              </w:rPr>
            </w:pPr>
          </w:p>
        </w:tc>
        <w:tc>
          <w:tcPr>
            <w:tcW w:w="1125"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pPr>
              <w:rPr>
                <w:rFonts w:hint="eastAsia" w:ascii="Arial"/>
              </w:rPr>
            </w:pPr>
          </w:p>
        </w:tc>
        <w:tc>
          <w:tcPr>
            <w:tcW w:w="2543" w:type="dxa"/>
          </w:tcPr>
          <w:p>
            <w:pPr>
              <w:rPr>
                <w:rFonts w:hint="eastAsia" w:ascii="Arial"/>
              </w:rPr>
            </w:pPr>
          </w:p>
        </w:tc>
        <w:tc>
          <w:tcPr>
            <w:tcW w:w="2100" w:type="dxa"/>
          </w:tcPr>
          <w:p>
            <w:pPr>
              <w:rPr>
                <w:rFonts w:hint="eastAsia" w:ascii="Arial"/>
              </w:rPr>
            </w:pPr>
          </w:p>
        </w:tc>
        <w:tc>
          <w:tcPr>
            <w:tcW w:w="840" w:type="dxa"/>
          </w:tcPr>
          <w:p>
            <w:pPr>
              <w:rPr>
                <w:rFonts w:hint="eastAsia" w:ascii="Arial"/>
              </w:rPr>
            </w:pPr>
          </w:p>
        </w:tc>
        <w:tc>
          <w:tcPr>
            <w:tcW w:w="840" w:type="dxa"/>
          </w:tcPr>
          <w:p>
            <w:pPr>
              <w:rPr>
                <w:rFonts w:hint="eastAsia" w:ascii="Arial"/>
              </w:rPr>
            </w:pPr>
          </w:p>
        </w:tc>
        <w:tc>
          <w:tcPr>
            <w:tcW w:w="2239" w:type="dxa"/>
          </w:tcPr>
          <w:p>
            <w:pPr>
              <w:rPr>
                <w:rFonts w:hint="eastAsia" w:ascii="Arial"/>
              </w:rPr>
            </w:pPr>
          </w:p>
        </w:tc>
        <w:tc>
          <w:tcPr>
            <w:tcW w:w="1498" w:type="dxa"/>
          </w:tcPr>
          <w:p>
            <w:pPr>
              <w:rPr>
                <w:rFonts w:hint="eastAsia" w:ascii="Arial"/>
              </w:rPr>
            </w:pPr>
          </w:p>
        </w:tc>
        <w:tc>
          <w:tcPr>
            <w:tcW w:w="1861" w:type="dxa"/>
          </w:tcPr>
          <w:p>
            <w:pPr>
              <w:rPr>
                <w:rFonts w:hint="eastAsia" w:ascii="Arial"/>
              </w:rPr>
            </w:pPr>
          </w:p>
        </w:tc>
        <w:tc>
          <w:tcPr>
            <w:tcW w:w="1120" w:type="dxa"/>
          </w:tcPr>
          <w:p>
            <w:pPr>
              <w:rPr>
                <w:rFonts w:hint="eastAsia" w:ascii="Arial"/>
              </w:rPr>
            </w:pPr>
          </w:p>
        </w:tc>
        <w:tc>
          <w:tcPr>
            <w:tcW w:w="1125"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10569" w:type="dxa"/>
            <w:gridSpan w:val="7"/>
          </w:tcPr>
          <w:p>
            <w:pPr>
              <w:spacing w:before="207" w:line="219" w:lineRule="auto"/>
              <w:ind w:left="3416"/>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106" w:type="dxa"/>
            <w:gridSpan w:val="3"/>
          </w:tcPr>
          <w:p>
            <w:pPr>
              <w:spacing w:before="207"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69" w:line="219" w:lineRule="auto"/>
        <w:rPr>
          <w:rFonts w:hint="eastAsia"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pPr>
        <w:spacing w:before="75" w:line="219" w:lineRule="auto"/>
        <w:ind w:left="409"/>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87" w:line="198" w:lineRule="auto"/>
        <w:ind w:left="411"/>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87" w:line="198" w:lineRule="auto"/>
        <w:ind w:left="411"/>
        <w:rPr>
          <w:rFonts w:hint="eastAsia"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pPr>
        <w:spacing w:before="253" w:line="224" w:lineRule="auto"/>
        <w:ind w:left="6488"/>
        <w:rPr>
          <w:rFonts w:hint="eastAsia" w:ascii="宋体" w:hAnsi="宋体" w:eastAsia="宋体" w:cs="宋体"/>
          <w:spacing w:val="9"/>
          <w:sz w:val="24"/>
          <w:szCs w:val="24"/>
          <w14:textOutline w14:w="5791" w14:cap="flat" w14:cmpd="sng" w14:algn="ctr">
            <w14:solidFill>
              <w14:srgbClr w14:val="000000"/>
            </w14:solidFill>
            <w14:prstDash w14:val="solid"/>
            <w14:miter w14:val="0"/>
          </w14:textOutline>
        </w:rPr>
      </w:pPr>
    </w:p>
    <w:p>
      <w:pPr>
        <w:pStyle w:val="7"/>
        <w:jc w:val="left"/>
        <w:rPr>
          <w:rFonts w:hint="eastAsia"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5</w:t>
      </w:r>
    </w:p>
    <w:p>
      <w:pPr>
        <w:spacing w:before="253" w:line="224" w:lineRule="auto"/>
        <w:ind w:left="6488"/>
        <w:rPr>
          <w:rFonts w:hint="eastAsia"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pPr>
        <w:spacing w:before="24" w:line="221" w:lineRule="auto"/>
        <w:ind w:left="211"/>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27" w:lineRule="exact"/>
        <w:rPr>
          <w:rFonts w:hint="eastAsia"/>
        </w:rPr>
      </w:pPr>
    </w:p>
    <w:tbl>
      <w:tblPr>
        <w:tblStyle w:val="131"/>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276" w:line="222" w:lineRule="auto"/>
              <w:ind w:left="334"/>
              <w:rPr>
                <w:rFonts w:hint="eastAsia"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pPr>
              <w:spacing w:before="276" w:line="221" w:lineRule="auto"/>
              <w:ind w:left="2544"/>
              <w:rPr>
                <w:rFonts w:hint="eastAsia"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pPr>
              <w:spacing w:before="276" w:line="219" w:lineRule="auto"/>
              <w:jc w:val="center"/>
              <w:rPr>
                <w:rFonts w:hint="eastAsia"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tc>
        <w:tc>
          <w:tcPr>
            <w:tcW w:w="3362" w:type="dxa"/>
          </w:tcPr>
          <w:p>
            <w:pPr>
              <w:spacing w:before="276" w:line="222" w:lineRule="auto"/>
              <w:ind w:left="1215"/>
              <w:rPr>
                <w:rFonts w:hint="eastAsia"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 w:hRule="atLeast"/>
        </w:trPr>
        <w:tc>
          <w:tcPr>
            <w:tcW w:w="1080" w:type="dxa"/>
          </w:tcPr>
          <w:p>
            <w:pPr>
              <w:jc w:val="center"/>
              <w:rPr>
                <w:rFonts w:hint="eastAsia" w:ascii="宋体" w:hAnsi="宋体" w:eastAsia="宋体" w:cs="宋体"/>
                <w:spacing w:val="-4"/>
                <w:szCs w:val="21"/>
              </w:rPr>
            </w:pPr>
            <w:r>
              <w:rPr>
                <w:rFonts w:hint="eastAsia" w:ascii="宋体" w:hAnsi="宋体" w:eastAsia="宋体" w:cs="宋体"/>
                <w:spacing w:val="-4"/>
                <w:szCs w:val="21"/>
              </w:rPr>
              <w:t>1</w:t>
            </w:r>
          </w:p>
        </w:tc>
        <w:tc>
          <w:tcPr>
            <w:tcW w:w="5765" w:type="dxa"/>
          </w:tcPr>
          <w:p>
            <w:pPr>
              <w:jc w:val="center"/>
              <w:rPr>
                <w:rFonts w:hint="eastAsia" w:ascii="宋体" w:hAnsi="宋体" w:eastAsia="宋体" w:cs="宋体"/>
                <w:spacing w:val="-4"/>
                <w:szCs w:val="21"/>
              </w:rPr>
            </w:pPr>
            <w:r>
              <w:rPr>
                <w:rFonts w:hint="eastAsia" w:ascii="宋体" w:hAnsi="宋体" w:eastAsia="宋体" w:cs="宋体"/>
                <w:spacing w:val="-4"/>
                <w:szCs w:val="21"/>
              </w:rPr>
              <w:t>表 9-1 总计</w:t>
            </w:r>
          </w:p>
        </w:tc>
        <w:tc>
          <w:tcPr>
            <w:tcW w:w="3354" w:type="dxa"/>
          </w:tcPr>
          <w:p>
            <w:pPr>
              <w:jc w:val="center"/>
              <w:rPr>
                <w:rFonts w:hint="eastAsia" w:ascii="宋体" w:hAnsi="宋体" w:eastAsia="宋体" w:cs="宋体"/>
                <w:spacing w:val="-4"/>
                <w:szCs w:val="21"/>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9" w:hRule="atLeast"/>
        </w:trPr>
        <w:tc>
          <w:tcPr>
            <w:tcW w:w="1080" w:type="dxa"/>
          </w:tcPr>
          <w:p>
            <w:pPr>
              <w:jc w:val="center"/>
              <w:rPr>
                <w:rFonts w:hint="eastAsia" w:ascii="宋体" w:hAnsi="宋体" w:eastAsia="宋体" w:cs="宋体"/>
                <w:spacing w:val="-4"/>
                <w:szCs w:val="21"/>
              </w:rPr>
            </w:pPr>
            <w:r>
              <w:rPr>
                <w:rFonts w:hint="eastAsia" w:ascii="宋体" w:hAnsi="宋体" w:eastAsia="宋体" w:cs="宋体"/>
                <w:spacing w:val="-4"/>
                <w:szCs w:val="21"/>
              </w:rPr>
              <w:t>2</w:t>
            </w:r>
          </w:p>
        </w:tc>
        <w:tc>
          <w:tcPr>
            <w:tcW w:w="5765" w:type="dxa"/>
          </w:tcPr>
          <w:p>
            <w:pPr>
              <w:jc w:val="center"/>
              <w:rPr>
                <w:rFonts w:hint="eastAsia" w:ascii="宋体" w:hAnsi="宋体" w:eastAsia="宋体" w:cs="宋体"/>
                <w:spacing w:val="-4"/>
                <w:szCs w:val="21"/>
              </w:rPr>
            </w:pPr>
            <w:r>
              <w:rPr>
                <w:rFonts w:hint="eastAsia" w:ascii="宋体" w:hAnsi="宋体" w:eastAsia="宋体" w:cs="宋体"/>
                <w:spacing w:val="-4"/>
                <w:szCs w:val="21"/>
              </w:rPr>
              <w:t>表 9-2 总计</w:t>
            </w:r>
          </w:p>
        </w:tc>
        <w:tc>
          <w:tcPr>
            <w:tcW w:w="3354" w:type="dxa"/>
          </w:tcPr>
          <w:p>
            <w:pPr>
              <w:jc w:val="center"/>
              <w:rPr>
                <w:rFonts w:hint="eastAsia" w:ascii="宋体" w:hAnsi="宋体" w:eastAsia="宋体" w:cs="宋体"/>
                <w:spacing w:val="-4"/>
                <w:szCs w:val="21"/>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3" w:hRule="atLeast"/>
        </w:trPr>
        <w:tc>
          <w:tcPr>
            <w:tcW w:w="1080" w:type="dxa"/>
          </w:tcPr>
          <w:p>
            <w:pPr>
              <w:jc w:val="center"/>
              <w:rPr>
                <w:rFonts w:hint="eastAsia" w:ascii="宋体" w:hAnsi="宋体" w:eastAsia="宋体" w:cs="宋体"/>
                <w:spacing w:val="-4"/>
                <w:szCs w:val="21"/>
              </w:rPr>
            </w:pPr>
            <w:r>
              <w:rPr>
                <w:rFonts w:hint="eastAsia" w:ascii="宋体" w:hAnsi="宋体" w:eastAsia="宋体" w:cs="宋体"/>
                <w:spacing w:val="-4"/>
                <w:szCs w:val="21"/>
              </w:rPr>
              <w:t>3</w:t>
            </w:r>
          </w:p>
        </w:tc>
        <w:tc>
          <w:tcPr>
            <w:tcW w:w="5765" w:type="dxa"/>
          </w:tcPr>
          <w:p>
            <w:pPr>
              <w:jc w:val="center"/>
              <w:rPr>
                <w:rFonts w:hint="eastAsia" w:ascii="宋体" w:hAnsi="宋体" w:eastAsia="宋体" w:cs="宋体"/>
                <w:spacing w:val="-4"/>
                <w:szCs w:val="21"/>
              </w:rPr>
            </w:pPr>
            <w:r>
              <w:rPr>
                <w:rFonts w:hint="eastAsia" w:ascii="宋体" w:hAnsi="宋体" w:eastAsia="宋体" w:cs="宋体"/>
                <w:spacing w:val="-4"/>
                <w:szCs w:val="21"/>
              </w:rPr>
              <w:t>表 9-3 总计</w:t>
            </w:r>
          </w:p>
        </w:tc>
        <w:tc>
          <w:tcPr>
            <w:tcW w:w="3354" w:type="dxa"/>
          </w:tcPr>
          <w:p>
            <w:pPr>
              <w:jc w:val="center"/>
              <w:rPr>
                <w:rFonts w:hint="eastAsia" w:ascii="宋体" w:hAnsi="宋体" w:eastAsia="宋体" w:cs="宋体"/>
                <w:spacing w:val="-4"/>
                <w:szCs w:val="21"/>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6" w:hRule="atLeast"/>
        </w:trPr>
        <w:tc>
          <w:tcPr>
            <w:tcW w:w="1080" w:type="dxa"/>
          </w:tcPr>
          <w:p>
            <w:pPr>
              <w:jc w:val="center"/>
              <w:rPr>
                <w:rFonts w:hint="eastAsia" w:ascii="宋体" w:hAnsi="宋体" w:eastAsia="宋体" w:cs="宋体"/>
                <w:spacing w:val="-4"/>
                <w:szCs w:val="21"/>
              </w:rPr>
            </w:pPr>
            <w:r>
              <w:rPr>
                <w:rFonts w:hint="eastAsia" w:ascii="宋体" w:hAnsi="宋体" w:eastAsia="宋体" w:cs="宋体"/>
                <w:spacing w:val="-4"/>
                <w:szCs w:val="21"/>
              </w:rPr>
              <w:t>4</w:t>
            </w:r>
          </w:p>
        </w:tc>
        <w:tc>
          <w:tcPr>
            <w:tcW w:w="5765" w:type="dxa"/>
          </w:tcPr>
          <w:p>
            <w:pPr>
              <w:jc w:val="center"/>
              <w:rPr>
                <w:rFonts w:hint="eastAsia" w:ascii="宋体" w:hAnsi="宋体" w:eastAsia="宋体" w:cs="宋体"/>
                <w:spacing w:val="-4"/>
                <w:szCs w:val="21"/>
              </w:rPr>
            </w:pPr>
            <w:r>
              <w:rPr>
                <w:rFonts w:hint="eastAsia" w:ascii="宋体" w:hAnsi="宋体" w:eastAsia="宋体" w:cs="宋体"/>
                <w:spacing w:val="-4"/>
                <w:szCs w:val="21"/>
              </w:rPr>
              <w:t>表 9-4 总计</w:t>
            </w:r>
          </w:p>
        </w:tc>
        <w:tc>
          <w:tcPr>
            <w:tcW w:w="3354" w:type="dxa"/>
          </w:tcPr>
          <w:p>
            <w:pPr>
              <w:jc w:val="center"/>
              <w:rPr>
                <w:rFonts w:hint="eastAsia" w:ascii="宋体" w:hAnsi="宋体" w:eastAsia="宋体" w:cs="宋体"/>
                <w:spacing w:val="-4"/>
                <w:szCs w:val="21"/>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 w:hRule="atLeast"/>
        </w:trPr>
        <w:tc>
          <w:tcPr>
            <w:tcW w:w="1080" w:type="dxa"/>
          </w:tcPr>
          <w:p>
            <w:pPr>
              <w:jc w:val="center"/>
              <w:rPr>
                <w:rFonts w:hint="eastAsia" w:ascii="宋体" w:hAnsi="宋体" w:eastAsia="宋体" w:cs="宋体"/>
                <w:spacing w:val="-4"/>
                <w:szCs w:val="21"/>
              </w:rPr>
            </w:pPr>
            <w:r>
              <w:rPr>
                <w:rFonts w:hint="eastAsia" w:ascii="宋体" w:hAnsi="宋体" w:eastAsia="宋体" w:cs="宋体"/>
                <w:spacing w:val="-4"/>
                <w:szCs w:val="21"/>
              </w:rPr>
              <w:t>5</w:t>
            </w:r>
          </w:p>
        </w:tc>
        <w:tc>
          <w:tcPr>
            <w:tcW w:w="5765" w:type="dxa"/>
          </w:tcPr>
          <w:p>
            <w:pPr>
              <w:jc w:val="center"/>
              <w:rPr>
                <w:rFonts w:hint="eastAsia" w:ascii="宋体" w:hAnsi="宋体" w:eastAsia="宋体" w:cs="宋体"/>
                <w:spacing w:val="-4"/>
                <w:szCs w:val="21"/>
              </w:rPr>
            </w:pPr>
            <w:r>
              <w:rPr>
                <w:rFonts w:hint="eastAsia" w:ascii="宋体" w:hAnsi="宋体" w:eastAsia="宋体" w:cs="宋体"/>
                <w:spacing w:val="-4"/>
                <w:szCs w:val="21"/>
              </w:rPr>
              <w:t>总计</w:t>
            </w:r>
          </w:p>
        </w:tc>
        <w:tc>
          <w:tcPr>
            <w:tcW w:w="3354" w:type="dxa"/>
          </w:tcPr>
          <w:p>
            <w:pPr>
              <w:jc w:val="center"/>
              <w:rPr>
                <w:rFonts w:hint="eastAsia" w:ascii="宋体" w:hAnsi="宋体" w:eastAsia="宋体" w:cs="宋体"/>
                <w:spacing w:val="-4"/>
                <w:szCs w:val="21"/>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p>
        </w:tc>
      </w:tr>
    </w:tbl>
    <w:p>
      <w:pPr>
        <w:spacing w:line="291" w:lineRule="auto"/>
        <w:rPr>
          <w:rFonts w:hint="eastAsia" w:ascii="Arial"/>
        </w:rPr>
      </w:pPr>
    </w:p>
    <w:p>
      <w:pPr>
        <w:spacing w:before="78" w:line="198" w:lineRule="auto"/>
        <w:ind w:left="211" w:firstLine="202" w:firstLineChars="100"/>
        <w:rPr>
          <w:rFonts w:hint="eastAsia"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pPr>
        <w:pStyle w:val="21"/>
      </w:pPr>
    </w:p>
    <w:p>
      <w:pPr>
        <w:pStyle w:val="21"/>
      </w:pPr>
    </w:p>
    <w:p>
      <w:pPr>
        <w:spacing w:before="140" w:line="220" w:lineRule="auto"/>
        <w:ind w:left="2" w:firstLine="464" w:firstLineChars="200"/>
        <w:rPr>
          <w:rFonts w:hint="eastAsia" w:ascii="宋体" w:hAnsi="宋体" w:eastAsia="宋体" w:cs="宋体"/>
          <w:spacing w:val="-2"/>
          <w:szCs w:val="21"/>
        </w:rPr>
        <w:sectPr>
          <w:footerReference r:id="rId24" w:type="default"/>
          <w:pgSz w:w="16841" w:h="11907"/>
          <w:pgMar w:top="400" w:right="1699" w:bottom="1168" w:left="1481" w:header="0" w:footer="990" w:gutter="0"/>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pPr>
        <w:rPr>
          <w:rFonts w:ascii="Calibri" w:hAnsi="Calibri" w:eastAsia="宋体" w:cs="Times New Roman"/>
          <w:szCs w:val="20"/>
        </w:rPr>
      </w:pPr>
    </w:p>
    <w:tbl>
      <w:tblPr>
        <w:tblStyle w:val="39"/>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bCs/>
                <w:sz w:val="24"/>
                <w:szCs w:val="24"/>
                <w:u w:val="single"/>
              </w:rPr>
              <w:t>总镍在线监测设备维修保养服务项目</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p>
            <w:pPr>
              <w:jc w:val="center"/>
              <w:rPr>
                <w:rFonts w:ascii="Times New Roman" w:hAnsi="Times New Roman" w:eastAsia="宋体" w:cs="Times New Roman"/>
                <w:b/>
                <w:szCs w:val="20"/>
              </w:rPr>
            </w:pPr>
            <w:r>
              <w:rPr>
                <w:rFonts w:hint="eastAsia" w:ascii="宋体" w:hAnsi="宋体" w:eastAsia="宋体" w:cs="宋体"/>
                <w:b/>
                <w:szCs w:val="20"/>
              </w:rPr>
              <w:t>（提供说明）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pPr>
        <w:rPr>
          <w:rFonts w:ascii="宋体" w:hAnsi="Calibri" w:eastAsia="宋体" w:cs="Times New Roman"/>
          <w:szCs w:val="20"/>
        </w:rPr>
      </w:pPr>
    </w:p>
    <w:p>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pPr>
        <w:spacing w:before="110" w:line="227" w:lineRule="auto"/>
        <w:ind w:left="29"/>
        <w:outlineLvl w:val="2"/>
        <w:rPr>
          <w:rFonts w:hint="eastAsia"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pPr>
        <w:spacing w:line="272" w:lineRule="auto"/>
        <w:rPr>
          <w:rFonts w:hint="eastAsia" w:ascii="Arial"/>
        </w:rPr>
      </w:pPr>
    </w:p>
    <w:p>
      <w:pPr>
        <w:spacing w:before="75" w:line="228" w:lineRule="auto"/>
        <w:ind w:left="134"/>
        <w:rPr>
          <w:rFonts w:hint="eastAsia" w:ascii="宋体" w:hAnsi="宋体" w:eastAsia="宋体" w:cs="宋体"/>
          <w:b/>
          <w:bCs/>
          <w:sz w:val="24"/>
          <w:szCs w:val="24"/>
          <w:u w:val="single"/>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宋体"/>
          <w:b/>
          <w:bCs/>
          <w:sz w:val="24"/>
          <w:szCs w:val="24"/>
          <w:u w:val="single"/>
        </w:rPr>
        <w:t>总镍在线监测设备维修保养服务项目</w:t>
      </w:r>
    </w:p>
    <w:p>
      <w:pPr>
        <w:spacing w:before="306" w:line="227" w:lineRule="auto"/>
        <w:ind w:left="205"/>
        <w:rPr>
          <w:rFonts w:hint="eastAsia"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pPr>
        <w:rPr>
          <w:rFonts w:hint="eastAsia"/>
        </w:rPr>
      </w:pPr>
    </w:p>
    <w:p>
      <w:pPr>
        <w:spacing w:line="109" w:lineRule="exact"/>
        <w:rPr>
          <w:rFonts w:hint="eastAsia"/>
        </w:rPr>
      </w:pPr>
    </w:p>
    <w:tbl>
      <w:tblPr>
        <w:tblStyle w:val="131"/>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pPr>
              <w:spacing w:before="52" w:line="227" w:lineRule="auto"/>
              <w:ind w:left="128"/>
              <w:rPr>
                <w:rFonts w:hint="eastAsia"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pPr>
              <w:spacing w:before="48" w:line="391" w:lineRule="auto"/>
              <w:ind w:left="125" w:right="115" w:firstLine="491"/>
              <w:rPr>
                <w:rFonts w:hint="eastAsia"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pPr>
        <w:keepNext/>
        <w:keepLines/>
        <w:rPr>
          <w:rFonts w:ascii="Times New Roman" w:hAnsi="Times New Roman" w:eastAsia="宋体" w:cs="Times New Roman"/>
          <w:b/>
          <w:bCs/>
          <w:color w:val="000000"/>
          <w:sz w:val="24"/>
          <w:szCs w:val="24"/>
        </w:rPr>
      </w:pPr>
    </w:p>
    <w:p>
      <w:pPr>
        <w:spacing w:before="75" w:line="227" w:lineRule="auto"/>
        <w:ind w:left="135"/>
        <w:rPr>
          <w:rFonts w:hint="eastAsia" w:ascii="宋体" w:hAnsi="宋体" w:eastAsia="宋体" w:cs="宋体"/>
          <w:spacing w:val="-2"/>
          <w:sz w:val="24"/>
          <w:szCs w:val="24"/>
        </w:rPr>
      </w:pPr>
    </w:p>
    <w:p>
      <w:pPr>
        <w:spacing w:before="75" w:line="227" w:lineRule="auto"/>
        <w:ind w:left="135"/>
        <w:rPr>
          <w:rFonts w:hint="eastAsia" w:ascii="宋体" w:hAnsi="宋体" w:eastAsia="宋体" w:cs="宋体"/>
          <w:spacing w:val="-2"/>
          <w:sz w:val="24"/>
          <w:szCs w:val="24"/>
        </w:rPr>
      </w:pPr>
    </w:p>
    <w:p>
      <w:pPr>
        <w:spacing w:before="75" w:line="227" w:lineRule="auto"/>
        <w:rPr>
          <w:rFonts w:hint="eastAsia" w:ascii="宋体" w:hAnsi="宋体" w:eastAsia="宋体" w:cs="宋体"/>
          <w:sz w:val="24"/>
          <w:szCs w:val="24"/>
        </w:r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pPr>
        <w:pStyle w:val="21"/>
        <w:rPr>
          <w:rFonts w:hint="eastAsia" w:hAnsi="宋体" w:eastAsia="宋体" w:cs="宋体"/>
          <w:sz w:val="24"/>
          <w:szCs w:val="24"/>
        </w:rPr>
      </w:pPr>
    </w:p>
    <w:p>
      <w:pPr>
        <w:pStyle w:val="21"/>
        <w:rPr>
          <w:rFonts w:hint="eastAsia" w:hAnsi="宋体" w:eastAsia="宋体" w:cs="宋体"/>
          <w:sz w:val="24"/>
          <w:szCs w:val="24"/>
        </w:rPr>
      </w:pPr>
    </w:p>
    <w:p>
      <w:pPr>
        <w:spacing w:line="360" w:lineRule="auto"/>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pStyle w:val="21"/>
        <w:rPr>
          <w:rFonts w:hint="eastAsia" w:hAnsi="宋体" w:eastAsia="宋体" w:cs="宋体"/>
          <w:sz w:val="24"/>
          <w:szCs w:val="24"/>
        </w:rPr>
        <w:sectPr>
          <w:footerReference r:id="rId25" w:type="default"/>
          <w:pgSz w:w="11906" w:h="16839"/>
          <w:pgMar w:top="1431" w:right="1417" w:bottom="1179" w:left="1304" w:header="850" w:footer="992" w:gutter="0"/>
          <w:cols w:space="720" w:num="1"/>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pPr>
        <w:spacing w:line="240" w:lineRule="exact"/>
        <w:jc w:val="center"/>
        <w:rPr>
          <w:rFonts w:ascii="宋体" w:hAnsi="Calibri" w:eastAsia="宋体" w:cs="Times New Roman"/>
          <w:b/>
          <w:bCs/>
          <w:sz w:val="36"/>
          <w:szCs w:val="20"/>
        </w:rPr>
      </w:pPr>
    </w:p>
    <w:p>
      <w:pPr>
        <w:spacing w:line="360" w:lineRule="auto"/>
        <w:rPr>
          <w:rFonts w:ascii="宋体" w:hAnsi="Calibri" w:eastAsia="宋体" w:cs="Times New Roman"/>
          <w:sz w:val="24"/>
          <w:szCs w:val="20"/>
        </w:rPr>
      </w:pPr>
      <w:r>
        <w:rPr>
          <w:rFonts w:hint="eastAsia" w:ascii="宋体" w:hAnsi="宋体" w:eastAsia="宋体" w:cs="Times New Roman"/>
          <w:sz w:val="24"/>
          <w:szCs w:val="20"/>
        </w:rPr>
        <w:t>项目名称：</w:t>
      </w:r>
      <w:r>
        <w:rPr>
          <w:rFonts w:hint="eastAsia" w:ascii="宋体" w:hAnsi="宋体" w:eastAsia="宋体" w:cs="宋体"/>
          <w:b/>
          <w:bCs/>
          <w:sz w:val="24"/>
          <w:szCs w:val="24"/>
          <w:u w:val="single"/>
        </w:rPr>
        <w:t>总镍在线监测设备维修保养服务项目</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我代表（投标人名称）对中标合同产品的服务作如下承诺：</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pPr>
    </w:p>
    <w:p>
      <w:pPr>
        <w:pStyle w:val="21"/>
        <w:rPr>
          <w:rFonts w:hAnsi="Calibri" w:eastAsia="宋体" w:cs="宋体"/>
          <w:b/>
          <w:bCs/>
          <w:color w:val="000000"/>
          <w:sz w:val="28"/>
          <w:szCs w:val="20"/>
        </w:rPr>
      </w:pPr>
    </w:p>
    <w:p>
      <w:pPr>
        <w:rPr>
          <w:rFonts w:ascii="宋体" w:hAnsi="Calibri" w:eastAsia="宋体" w:cs="宋体"/>
          <w:b/>
          <w:bCs/>
          <w:color w:val="000000"/>
          <w:sz w:val="28"/>
          <w:szCs w:val="20"/>
        </w:rPr>
      </w:pPr>
    </w:p>
    <w:p>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39"/>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pPr>
              <w:jc w:val="center"/>
              <w:rPr>
                <w:rFonts w:ascii="Times New Roman" w:hAnsi="Times New Roman" w:eastAsia="宋体" w:cs="Times New Roman"/>
                <w:b/>
                <w:szCs w:val="20"/>
              </w:rPr>
            </w:pPr>
          </w:p>
          <w:p>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pPr>
              <w:rPr>
                <w:rFonts w:ascii="Times New Roman" w:hAnsi="Times New Roman" w:eastAsia="等线" w:cs="Times New Roman"/>
                <w:b/>
                <w:sz w:val="30"/>
                <w:szCs w:val="30"/>
              </w:rPr>
            </w:pPr>
          </w:p>
          <w:p>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r>
              <w:rPr>
                <w:rFonts w:ascii="Times New Roman" w:hAnsi="Times New Roman" w:eastAsia="宋体" w:cs="Times New Roman"/>
                <w:b/>
                <w:sz w:val="30"/>
                <w:szCs w:val="30"/>
              </w:rPr>
              <w:t>/</w:t>
            </w:r>
            <w:r>
              <w:rPr>
                <w:rFonts w:ascii="等线" w:hAnsi="等线" w:eastAsia="等线" w:cs="Times New Roman"/>
                <w:b/>
                <w:sz w:val="30"/>
                <w:szCs w:val="30"/>
                <w:u w:val="single"/>
              </w:rPr>
              <w:t xml:space="preserve"> </w:t>
            </w:r>
            <w:r>
              <w:rPr>
                <w:rFonts w:hint="eastAsia" w:ascii="等线" w:hAnsi="等线" w:eastAsia="等线" w:cs="Times New Roman"/>
                <w:b/>
                <w:sz w:val="30"/>
                <w:szCs w:val="30"/>
                <w:u w:val="single"/>
              </w:rPr>
              <w:t>0</w:t>
            </w:r>
            <w:r>
              <w:rPr>
                <w:rFonts w:ascii="等线" w:hAnsi="等线" w:eastAsia="等线" w:cs="Times New Roman"/>
                <w:b/>
                <w:sz w:val="30"/>
                <w:szCs w:val="30"/>
                <w:u w:val="single"/>
              </w:rPr>
              <w:t xml:space="preserve"> </w:t>
            </w:r>
            <w:r>
              <w:rPr>
                <w:rFonts w:hint="eastAsia" w:ascii="宋体" w:hAnsi="宋体" w:eastAsia="宋体" w:cs="宋体"/>
                <w:b/>
                <w:sz w:val="30"/>
                <w:szCs w:val="30"/>
              </w:rPr>
              <w:t>副本）</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p>
            <w:pPr>
              <w:jc w:val="center"/>
              <w:rPr>
                <w:rFonts w:hint="eastAsia" w:ascii="宋体" w:hAnsi="宋体" w:eastAsia="宋体" w:cs="宋体"/>
                <w:b/>
                <w:bCs/>
                <w:sz w:val="24"/>
                <w:szCs w:val="24"/>
                <w:u w:val="single"/>
              </w:rPr>
            </w:pPr>
            <w:r>
              <w:rPr>
                <w:rFonts w:hint="eastAsia" w:ascii="宋体" w:hAnsi="宋体" w:eastAsia="宋体" w:cs="宋体"/>
                <w:b/>
                <w:szCs w:val="20"/>
              </w:rPr>
              <w:t>项目名称：</w:t>
            </w:r>
            <w:r>
              <w:rPr>
                <w:rFonts w:hint="eastAsia" w:ascii="宋体" w:hAnsi="宋体" w:eastAsia="宋体" w:cs="宋体"/>
                <w:b/>
                <w:bCs/>
                <w:sz w:val="24"/>
                <w:szCs w:val="24"/>
                <w:u w:val="single"/>
              </w:rPr>
              <w:t>总镍在线监测设备维修保养服务项目</w:t>
            </w:r>
          </w:p>
          <w:p>
            <w:pPr>
              <w:jc w:val="center"/>
              <w:rPr>
                <w:rFonts w:ascii="Times New Roman" w:hAnsi="Times New Roman" w:eastAsia="宋体" w:cs="Times New Roman"/>
                <w:b/>
                <w:szCs w:val="20"/>
              </w:rPr>
            </w:pPr>
            <w:r>
              <w:rPr>
                <w:rFonts w:hint="eastAsia" w:ascii="宋体" w:hAnsi="宋体" w:eastAsia="宋体" w:cs="宋体"/>
                <w:b/>
                <w:szCs w:val="20"/>
              </w:rPr>
              <w:t>投标人名称（公章）：</w:t>
            </w:r>
          </w:p>
          <w:p>
            <w:pPr>
              <w:jc w:val="center"/>
              <w:rPr>
                <w:rFonts w:ascii="Times New Roman" w:hAnsi="Times New Roman" w:eastAsia="宋体" w:cs="Times New Roman"/>
                <w:b/>
                <w:szCs w:val="20"/>
              </w:rPr>
            </w:pPr>
            <w:r>
              <w:rPr>
                <w:rFonts w:hint="eastAsia" w:ascii="宋体" w:hAnsi="宋体" w:eastAsia="宋体" w:cs="宋体"/>
                <w:b/>
                <w:szCs w:val="20"/>
              </w:rPr>
              <w:t>地址：</w:t>
            </w:r>
          </w:p>
          <w:p>
            <w:pPr>
              <w:jc w:val="center"/>
              <w:rPr>
                <w:rFonts w:ascii="Times New Roman" w:hAnsi="Times New Roman" w:eastAsia="宋体" w:cs="Times New Roman"/>
                <w:b/>
                <w:szCs w:val="20"/>
              </w:rPr>
            </w:pPr>
            <w:r>
              <w:rPr>
                <w:rFonts w:hint="eastAsia" w:ascii="宋体" w:hAnsi="宋体" w:eastAsia="宋体" w:cs="宋体"/>
                <w:b/>
                <w:szCs w:val="20"/>
              </w:rPr>
              <w:t>授权代表电话：</w:t>
            </w:r>
          </w:p>
          <w:p>
            <w:pPr>
              <w:jc w:val="center"/>
              <w:rPr>
                <w:rFonts w:ascii="Times New Roman" w:hAnsi="Times New Roman" w:eastAsia="宋体" w:cs="Times New Roman"/>
                <w:b/>
                <w:szCs w:val="20"/>
              </w:rPr>
            </w:pPr>
            <w:r>
              <w:rPr>
                <w:rFonts w:hint="eastAsia" w:ascii="宋体" w:hAnsi="宋体" w:eastAsia="宋体" w:cs="宋体"/>
                <w:b/>
                <w:szCs w:val="20"/>
              </w:rPr>
              <w:t>传真：</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pStyle w:val="21"/>
      </w:pPr>
    </w:p>
    <w:p>
      <w:pPr>
        <w:jc w:val="right"/>
        <w:rPr>
          <w:rFonts w:hint="eastAsia" w:asciiTheme="minorEastAsia" w:hAnsiTheme="minorEastAsia" w:cstheme="minorEastAsia"/>
          <w:sz w:val="20"/>
          <w:szCs w:val="20"/>
        </w:rPr>
        <w:sectPr>
          <w:pgSz w:w="11906" w:h="16838"/>
          <w:pgMar w:top="1588" w:right="1418" w:bottom="1134" w:left="1418" w:header="851" w:footer="992" w:gutter="0"/>
          <w:cols w:space="720" w:num="1"/>
          <w:titlePg/>
          <w:docGrid w:type="lines" w:linePitch="312" w:charSpace="0"/>
        </w:sectPr>
      </w:pPr>
    </w:p>
    <w:p>
      <w:pPr>
        <w:pStyle w:val="21"/>
        <w:outlineLvl w:val="2"/>
        <w:rPr>
          <w:rFonts w:hint="eastAsia" w:hAnsi="宋体" w:eastAsia="宋体" w:cs="宋体"/>
          <w:b/>
          <w:bCs/>
          <w:color w:val="000000"/>
          <w:sz w:val="24"/>
          <w:szCs w:val="24"/>
        </w:rPr>
      </w:pPr>
      <w:r>
        <w:rPr>
          <w:rFonts w:hint="eastAsia" w:hAnsi="宋体" w:eastAsia="宋体" w:cs="宋体"/>
          <w:b/>
          <w:bCs/>
          <w:color w:val="000000"/>
          <w:sz w:val="24"/>
          <w:szCs w:val="24"/>
        </w:rPr>
        <w:t>附件15 SRM非生产供应商注册操作手册</w:t>
      </w:r>
    </w:p>
    <w:p>
      <w:pPr>
        <w:adjustRightInd w:val="0"/>
        <w:snapToGrid w:val="0"/>
        <w:jc w:val="left"/>
        <w:rPr>
          <w:rFonts w:hint="eastAsia" w:ascii="宋体" w:hAnsi="宋体" w:eastAsia="宋体" w:cs="宋体"/>
          <w:sz w:val="24"/>
          <w:szCs w:val="24"/>
        </w:rPr>
      </w:pP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浏览器中输入地址;</w:t>
      </w:r>
    </w:p>
    <w:p>
      <w:pPr>
        <w:adjustRightInd w:val="0"/>
        <w:snapToGrid w:val="0"/>
        <w:spacing w:line="360" w:lineRule="auto"/>
        <w:jc w:val="left"/>
        <w:rPr>
          <w:rFonts w:hint="eastAsia"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pPr>
        <w:snapToGrid w:val="0"/>
        <w:spacing w:line="312" w:lineRule="auto"/>
        <w:rPr>
          <w:rFonts w:hint="eastAsia"/>
        </w:rPr>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32"/>
                    <a:stretch>
                      <a:fillRect/>
                    </a:stretch>
                  </pic:blipFill>
                  <pic:spPr>
                    <a:xfrm>
                      <a:off x="0" y="0"/>
                      <a:ext cx="5760085" cy="293337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pPr>
        <w:snapToGrid w:val="0"/>
        <w:spacing w:line="312" w:lineRule="auto"/>
        <w:rPr>
          <w:rFonts w:hint="eastAsia"/>
        </w:rPr>
      </w:pPr>
      <w:r>
        <w:drawing>
          <wp:inline distT="0" distB="0" distL="0" distR="0">
            <wp:extent cx="5760085" cy="2766695"/>
            <wp:effectExtent l="0" t="0" r="12065" b="146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33"/>
                    <a:stretch>
                      <a:fillRect/>
                    </a:stretch>
                  </pic:blipFill>
                  <pic:spPr>
                    <a:xfrm>
                      <a:off x="0" y="0"/>
                      <a:ext cx="5760085" cy="276670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pPr>
        <w:snapToGrid w:val="0"/>
        <w:spacing w:line="312" w:lineRule="auto"/>
        <w:rPr>
          <w:rFonts w:hint="eastAsia"/>
        </w:rPr>
      </w:pPr>
      <w:r>
        <w:drawing>
          <wp:inline distT="0" distB="0" distL="0" distR="0">
            <wp:extent cx="5760085" cy="2869565"/>
            <wp:effectExtent l="0" t="0" r="12065" b="698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34"/>
                    <a:stretch>
                      <a:fillRect/>
                    </a:stretch>
                  </pic:blipFill>
                  <pic:spPr>
                    <a:xfrm>
                      <a:off x="0" y="0"/>
                      <a:ext cx="5760085" cy="2870054"/>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pPr>
        <w:snapToGrid w:val="0"/>
        <w:spacing w:line="312" w:lineRule="auto"/>
        <w:rPr>
          <w:rFonts w:hint="eastAsia"/>
        </w:rPr>
      </w:pPr>
      <w:r>
        <w:drawing>
          <wp:inline distT="0" distB="0" distL="0" distR="0">
            <wp:extent cx="5760085" cy="2853055"/>
            <wp:effectExtent l="0" t="0" r="1206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35"/>
                    <a:stretch>
                      <a:fillRect/>
                    </a:stretch>
                  </pic:blipFill>
                  <pic:spPr>
                    <a:xfrm>
                      <a:off x="0" y="0"/>
                      <a:ext cx="5760085" cy="2853375"/>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pPr>
        <w:spacing w:line="360" w:lineRule="auto"/>
        <w:rPr>
          <w:rFonts w:hint="eastAsia" w:ascii="宋体" w:hAnsi="宋体" w:eastAsia="宋体" w:cs="宋体"/>
          <w:color w:val="000000"/>
          <w:sz w:val="24"/>
          <w:szCs w:val="28"/>
        </w:rPr>
      </w:pPr>
      <w:r>
        <w:rPr>
          <w:rFonts w:hint="eastAsia" w:ascii="宋体" w:hAnsi="宋体" w:eastAsia="宋体" w:cs="宋体"/>
          <w:color w:val="000000"/>
          <w:sz w:val="24"/>
          <w:szCs w:val="28"/>
        </w:rPr>
        <w:t>审批通过后，注意记录本单位的“供应商代码”，代码用于登录系统后应标。登录信息如下：</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详见手机短信</w:t>
      </w:r>
    </w:p>
    <w:p>
      <w:pPr>
        <w:rPr>
          <w:rFonts w:hint="eastAsia" w:ascii="宋体" w:hAnsi="宋体" w:eastAsia="宋体" w:cs="宋体"/>
          <w:color w:val="000000"/>
        </w:rPr>
      </w:pPr>
    </w:p>
    <w:p>
      <w:pPr>
        <w:rPr>
          <w:rFonts w:hint="eastAsia"/>
        </w:rPr>
      </w:pPr>
      <w:r>
        <w:drawing>
          <wp:inline distT="0" distB="0" distL="0" distR="0">
            <wp:extent cx="5760085" cy="2809875"/>
            <wp:effectExtent l="0" t="0" r="1206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36"/>
                    <a:stretch>
                      <a:fillRect/>
                    </a:stretch>
                  </pic:blipFill>
                  <pic:spPr>
                    <a:xfrm>
                      <a:off x="0" y="0"/>
                      <a:ext cx="5760085" cy="2810122"/>
                    </a:xfrm>
                    <a:prstGeom prst="rect">
                      <a:avLst/>
                    </a:prstGeom>
                  </pic:spPr>
                </pic:pic>
              </a:graphicData>
            </a:graphic>
          </wp:inline>
        </w:drawing>
      </w:r>
    </w:p>
    <w:p>
      <w:pPr>
        <w:pStyle w:val="21"/>
      </w:pPr>
      <w: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37"/>
                    <a:stretch>
                      <a:fillRect/>
                    </a:stretch>
                  </pic:blipFill>
                  <pic:spPr>
                    <a:xfrm>
                      <a:off x="0" y="0"/>
                      <a:ext cx="5760085" cy="2820042"/>
                    </a:xfrm>
                    <a:prstGeom prst="rect">
                      <a:avLst/>
                    </a:prstGeom>
                  </pic:spPr>
                </pic:pic>
              </a:graphicData>
            </a:graphic>
          </wp:inline>
        </w:drawing>
      </w:r>
    </w:p>
    <w:p>
      <w:pPr>
        <w:pStyle w:val="21"/>
      </w:pP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pPr>
        <w:pStyle w:val="21"/>
      </w:pPr>
      <w:r>
        <w:rPr>
          <w:rFonts w:hint="eastAsia" w:hAnsi="宋体" w:eastAsia="宋体" w:cs="宋体"/>
          <w:b/>
          <w:bCs/>
          <w:color w:val="000000"/>
          <w:sz w:val="24"/>
          <w:szCs w:val="28"/>
          <w:highlight w:val="yellow"/>
        </w:rPr>
        <w:t>2.配套能力“供货类别”选“非生产招标→研发试验设备→产品试验检测中心”，业务主管部门为“产品试验检测中心”。</w:t>
      </w:r>
    </w:p>
    <w:p>
      <w:pPr>
        <w:pStyle w:val="21"/>
        <w:sectPr>
          <w:footerReference r:id="rId26" w:type="default"/>
          <w:pgSz w:w="11906" w:h="16838"/>
          <w:pgMar w:top="1588" w:right="1418" w:bottom="1134" w:left="1418" w:header="851" w:footer="992" w:gutter="0"/>
          <w:cols w:space="720" w:num="1"/>
          <w:titlePg/>
          <w:docGrid w:type="lines" w:linePitch="312" w:charSpace="0"/>
        </w:sectPr>
      </w:pPr>
    </w:p>
    <w:p>
      <w:pPr>
        <w:pStyle w:val="21"/>
        <w:outlineLvl w:val="2"/>
        <w:rPr>
          <w:rFonts w:hint="eastAsia" w:hAnsi="宋体" w:eastAsia="宋体" w:cs="Times New Roman"/>
          <w:b/>
          <w:color w:val="000000"/>
          <w:sz w:val="24"/>
          <w:szCs w:val="24"/>
        </w:rPr>
      </w:pPr>
      <w:r>
        <w:rPr>
          <w:rFonts w:hint="eastAsia" w:hAnsi="宋体" w:eastAsia="宋体" w:cs="宋体"/>
          <w:b/>
          <w:bCs/>
          <w:color w:val="000000"/>
          <w:sz w:val="24"/>
          <w:szCs w:val="24"/>
        </w:rPr>
        <w:t xml:space="preserve">附件16 </w:t>
      </w:r>
      <w:r>
        <w:rPr>
          <w:rFonts w:hint="eastAsia" w:hAnsi="宋体" w:eastAsia="宋体" w:cs="Times New Roman"/>
          <w:b/>
          <w:color w:val="000000"/>
          <w:sz w:val="24"/>
          <w:szCs w:val="24"/>
        </w:rPr>
        <w:t>SRM系统供应商用户手册</w:t>
      </w:r>
    </w:p>
    <w:p>
      <w:pPr>
        <w:spacing w:line="360" w:lineRule="auto"/>
        <w:rPr>
          <w:rStyle w:val="47"/>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47"/>
          <w:rFonts w:hint="eastAsia" w:ascii="宋体" w:hAnsi="宋体" w:eastAsia="宋体" w:cs="宋体"/>
          <w:sz w:val="24"/>
          <w:szCs w:val="24"/>
        </w:rPr>
        <w:t>https://ecaitong.sinotruk.com:8012/</w:t>
      </w:r>
      <w:r>
        <w:rPr>
          <w:rStyle w:val="47"/>
          <w:rFonts w:hint="eastAsia" w:ascii="宋体" w:hAnsi="宋体" w:eastAsia="宋体" w:cs="宋体"/>
          <w:sz w:val="24"/>
          <w:szCs w:val="24"/>
        </w:rPr>
        <w:fldChar w:fldCharType="end"/>
      </w:r>
      <w:r>
        <w:rPr>
          <w:rStyle w:val="47"/>
          <w:rFonts w:hint="eastAsia" w:ascii="宋体" w:hAnsi="宋体" w:eastAsia="宋体" w:cs="宋体"/>
          <w:sz w:val="24"/>
          <w:szCs w:val="24"/>
        </w:rPr>
        <w:t>（以下内容可能非最新版本，仅供参考，请登录系统网址后，点检查看最新版供应商手册）</w:t>
      </w:r>
    </w:p>
    <w:p>
      <w:pPr>
        <w:spacing w:line="360" w:lineRule="auto"/>
        <w:rPr>
          <w:rFonts w:hint="eastAsia"/>
        </w:rPr>
      </w:pPr>
      <w:r>
        <mc:AlternateContent>
          <mc:Choice Requires="wps">
            <w:drawing>
              <wp:anchor distT="0" distB="0" distL="114300" distR="114300" simplePos="0" relativeHeight="251677696" behindDoc="0" locked="0" layoutInCell="1" allowOverlap="1">
                <wp:simplePos x="0" y="0"/>
                <wp:positionH relativeFrom="column">
                  <wp:posOffset>1597025</wp:posOffset>
                </wp:positionH>
                <wp:positionV relativeFrom="paragraph">
                  <wp:posOffset>3650615</wp:posOffset>
                </wp:positionV>
                <wp:extent cx="2153920" cy="321945"/>
                <wp:effectExtent l="6350" t="6350" r="11430" b="14605"/>
                <wp:wrapNone/>
                <wp:docPr id="31" name="流程图: 过程 31"/>
                <wp:cNvGraphicFramePr/>
                <a:graphic xmlns:a="http://schemas.openxmlformats.org/drawingml/2006/main">
                  <a:graphicData uri="http://schemas.microsoft.com/office/word/2010/wordprocessingShape">
                    <wps:wsp>
                      <wps:cNvSpPr/>
                      <wps:spPr>
                        <a:xfrm>
                          <a:off x="2497455" y="5451475"/>
                          <a:ext cx="2153920" cy="321945"/>
                        </a:xfrm>
                        <a:prstGeom prst="flowChartProcess">
                          <a:avLst/>
                        </a:prstGeom>
                        <a:solidFill>
                          <a:srgbClr val="FA3A14">
                            <a:alpha val="38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25.75pt;margin-top:287.45pt;height:25.35pt;width:169.6pt;z-index:251677696;v-text-anchor:middle;mso-width-relative:page;mso-height-relative:page;" fillcolor="#FA3A14" filled="t" stroked="t" coordsize="21600,21600" o:gfxdata="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">
                <v:fill on="t" opacity="24903f" focussize="0,0"/>
                <v:stroke weight="1pt" color="#41719C [3204]" miterlimit="8" joinstyle="miter"/>
                <v:imagedata o:title=""/>
                <o:lock v:ext="edit" aspectratio="f"/>
              </v:shape>
            </w:pict>
          </mc:Fallback>
        </mc:AlternateContent>
      </w:r>
      <w:r>
        <w:drawing>
          <wp:inline distT="0" distB="0" distL="114300" distR="114300">
            <wp:extent cx="4067175" cy="4876800"/>
            <wp:effectExtent l="0" t="0" r="9525" b="0"/>
            <wp:docPr id="1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
                    <pic:cNvPicPr>
                      <a:picLocks noChangeAspect="1"/>
                    </pic:cNvPicPr>
                  </pic:nvPicPr>
                  <pic:blipFill>
                    <a:blip r:embed="rId38"/>
                    <a:stretch>
                      <a:fillRect/>
                    </a:stretch>
                  </pic:blipFill>
                  <pic:spPr>
                    <a:xfrm>
                      <a:off x="0" y="0"/>
                      <a:ext cx="4067175" cy="4876800"/>
                    </a:xfrm>
                    <a:prstGeom prst="rect">
                      <a:avLst/>
                    </a:prstGeom>
                    <a:noFill/>
                    <a:ln>
                      <a:noFill/>
                    </a:ln>
                  </pic:spPr>
                </pic:pic>
              </a:graphicData>
            </a:graphic>
          </wp:inline>
        </w:drawing>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pPr>
        <w:rPr>
          <w:rFonts w:hint="eastAsia"/>
        </w:rPr>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39"/>
                    <a:stretch>
                      <a:fillRect/>
                    </a:stretch>
                  </pic:blipFill>
                  <pic:spPr>
                    <a:xfrm>
                      <a:off x="0" y="0"/>
                      <a:ext cx="5760085" cy="2269864"/>
                    </a:xfrm>
                    <a:prstGeom prst="rect">
                      <a:avLst/>
                    </a:prstGeom>
                  </pic:spPr>
                </pic:pic>
              </a:graphicData>
            </a:graphic>
          </wp:inline>
        </w:drawing>
      </w:r>
    </w:p>
    <w:p>
      <w:pPr>
        <w:rPr>
          <w:rFonts w:hint="eastAsia"/>
        </w:rPr>
      </w:pP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40"/>
                    <a:stretch>
                      <a:fillRect/>
                    </a:stretch>
                  </pic:blipFill>
                  <pic:spPr>
                    <a:xfrm>
                      <a:off x="0" y="0"/>
                      <a:ext cx="5760085" cy="2125673"/>
                    </a:xfrm>
                    <a:prstGeom prst="rect">
                      <a:avLst/>
                    </a:prstGeom>
                  </pic:spPr>
                </pic:pic>
              </a:graphicData>
            </a:graphic>
          </wp:inline>
        </w:drawing>
      </w:r>
    </w:p>
    <w:p>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pPr>
        <w:pStyle w:val="21"/>
      </w:pPr>
      <w:r>
        <w:rPr>
          <w:rFonts w:hint="eastAsia" w:hAnsi="宋体" w:eastAsia="宋体" w:cs="宋体"/>
          <w:b/>
          <w:bCs/>
          <w:color w:val="000000"/>
          <w:sz w:val="24"/>
          <w:szCs w:val="28"/>
          <w:highlight w:val="yellow"/>
        </w:rPr>
        <w:t>注意：系统内的投标报价单位为“万元”，如开标现场发现填错报价，即直接淘汰。</w:t>
      </w:r>
    </w:p>
    <w:p>
      <w:pPr>
        <w:spacing w:before="280" w:after="290" w:line="372" w:lineRule="auto"/>
        <w:ind w:left="425" w:hanging="425"/>
        <w:rPr>
          <w:rFonts w:ascii="Arial" w:hAnsi="Arial" w:eastAsia="Arial" w:cs="Arial"/>
          <w:color w:val="000000"/>
          <w:sz w:val="28"/>
        </w:rPr>
      </w:pPr>
      <w:r>
        <w:rPr>
          <w:rFonts w:ascii="Arial" w:hAnsi="Arial" w:eastAsia="Arial" w:cs="Arial"/>
          <w:color w:val="000000"/>
          <w:sz w:val="28"/>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41"/>
                    <a:stretch>
                      <a:fillRect/>
                    </a:stretch>
                  </pic:blipFill>
                  <pic:spPr>
                    <a:xfrm>
                      <a:off x="0" y="0"/>
                      <a:ext cx="5490210" cy="2669498"/>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w:t>
      </w:r>
      <w:r>
        <w:rPr>
          <w:rFonts w:hint="eastAsia" w:ascii="宋体" w:hAnsi="宋体" w:eastAsia="宋体" w:cs="宋体"/>
          <w:color w:val="000000"/>
          <w:sz w:val="24"/>
          <w:szCs w:val="24"/>
        </w:rPr>
        <w:t>编辑</w:t>
      </w:r>
      <w:r>
        <w:rPr>
          <w:rFonts w:ascii="宋体" w:hAnsi="宋体" w:eastAsia="宋体" w:cs="宋体"/>
          <w:color w:val="000000"/>
          <w:sz w:val="24"/>
          <w:szCs w:val="24"/>
        </w:rPr>
        <w:t>技术标澄清函</w:t>
      </w:r>
      <w:r>
        <w:rPr>
          <w:rFonts w:hint="eastAsia" w:ascii="宋体" w:hAnsi="宋体" w:eastAsia="宋体" w:cs="宋体"/>
          <w:color w:val="000000"/>
          <w:sz w:val="24"/>
          <w:szCs w:val="24"/>
        </w:rPr>
        <w:t>最后填写授权代表姓名及电话</w:t>
      </w:r>
      <w:r>
        <w:rPr>
          <w:rFonts w:ascii="宋体" w:hAnsi="宋体" w:eastAsia="宋体" w:cs="宋体"/>
          <w:color w:val="000000"/>
          <w:sz w:val="24"/>
          <w:szCs w:val="24"/>
        </w:rPr>
        <w:t>。</w:t>
      </w:r>
    </w:p>
    <w:p>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42"/>
                    <a:stretch>
                      <a:fillRect/>
                    </a:stretch>
                  </pic:blipFill>
                  <pic:spPr>
                    <a:xfrm>
                      <a:off x="0" y="0"/>
                      <a:ext cx="5490210" cy="1992743"/>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w:t>
      </w:r>
      <w:r>
        <w:rPr>
          <w:rFonts w:hint="eastAsia" w:ascii="宋体" w:hAnsi="宋体" w:eastAsia="宋体" w:cs="宋体"/>
          <w:color w:val="000000"/>
          <w:sz w:val="24"/>
          <w:szCs w:val="24"/>
        </w:rPr>
        <w:t>并填写商务澄清内容（最后填写授权代表姓名、电话）</w:t>
      </w:r>
      <w:r>
        <w:rPr>
          <w:rFonts w:ascii="宋体" w:hAnsi="宋体" w:eastAsia="宋体" w:cs="宋体"/>
          <w:color w:val="000000"/>
          <w:sz w:val="24"/>
          <w:szCs w:val="24"/>
        </w:rPr>
        <w:t>，之后点击提交。</w:t>
      </w:r>
    </w:p>
    <w:p>
      <w:pPr>
        <w:spacing w:before="280" w:after="290" w:line="372" w:lineRule="auto"/>
        <w:ind w:left="425" w:hanging="425"/>
        <w:rPr>
          <w:rFonts w:ascii="Arial" w:hAnsi="Arial" w:eastAsia="Arial" w:cs="Arial"/>
          <w:color w:val="000000"/>
          <w:sz w:val="28"/>
        </w:rPr>
      </w:pPr>
      <w:r>
        <w:rPr>
          <w:rFonts w:ascii="Arial" w:hAnsi="Arial" w:eastAsia="Arial" w:cs="Arial"/>
          <w:color w:val="000000"/>
          <w:sz w:val="28"/>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43"/>
                    <a:stretch>
                      <a:fillRect/>
                    </a:stretch>
                  </pic:blipFill>
                  <pic:spPr>
                    <a:xfrm>
                      <a:off x="0" y="0"/>
                      <a:ext cx="5490210" cy="2544669"/>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pPr>
        <w:rPr>
          <w:rFonts w:hint="eastAsia"/>
        </w:rPr>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44"/>
                    <a:stretch>
                      <a:fillRect/>
                    </a:stretch>
                  </pic:blipFill>
                  <pic:spPr>
                    <a:xfrm>
                      <a:off x="0" y="0"/>
                      <a:ext cx="5760085" cy="1956600"/>
                    </a:xfrm>
                    <a:prstGeom prst="rect">
                      <a:avLst/>
                    </a:prstGeom>
                  </pic:spPr>
                </pic:pic>
              </a:graphicData>
            </a:graphic>
          </wp:inline>
        </w:drawing>
      </w:r>
    </w:p>
    <w:p>
      <w:pPr>
        <w:rPr>
          <w:rFonts w:hint="eastAsia"/>
        </w:rPr>
      </w:pPr>
    </w:p>
    <w:p>
      <w:pPr>
        <w:rPr>
          <w:rFonts w:hint="eastAsia"/>
        </w:rPr>
      </w:pPr>
    </w:p>
    <w:p>
      <w:pPr>
        <w:rPr>
          <w:rFonts w:hint="eastAsia"/>
        </w:rPr>
      </w:pPr>
    </w:p>
    <w:sectPr>
      <w:headerReference r:id="rId28" w:type="first"/>
      <w:footerReference r:id="rId30" w:type="first"/>
      <w:headerReference r:id="rId27" w:type="default"/>
      <w:footerReference r:id="rId29" w:type="default"/>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_GB2312">
    <w:panose1 w:val="02010609030101010101"/>
    <w:charset w:val="86"/>
    <w:family w:val="modern"/>
    <w:pitch w:val="default"/>
    <w:sig w:usb0="00000001" w:usb1="080E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0000000000000000000"/>
    <w:charset w:val="86"/>
    <w:family w:val="modern"/>
    <w:pitch w:val="default"/>
    <w:sig w:usb0="00000000" w:usb1="0000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Wingdings 2">
    <w:panose1 w:val="05020102010507070707"/>
    <w:charset w:val="02"/>
    <w:family w:val="roman"/>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rPr>
        <w:rFonts w:hint="eastAsia"/>
      </w:rPr>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55</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55</w:t>
                    </w:r>
                    <w:r>
                      <w:rPr>
                        <w:rFonts w:hint="eastAsia"/>
                        <w:sz w:val="18"/>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rPr>
        <w:rFonts w:hint="eastAsia"/>
      </w:rP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rPr>
        <w:rFonts w:hint="eastAsia"/>
      </w:rPr>
    </w:pPr>
    <w: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pGcYw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aRnGMKwIAAFcEAAAOAAAAAAAAAAEAIAAAAB8BAABkcnMvZTJvRG9jLnhtbFBLBQYAAAAABgAG&#10;AFkBAAC8BQ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66"/>
      <w:rPr>
        <w:rFonts w:hint="eastAsia" w:ascii="宋体" w:hAnsi="宋体" w:eastAsia="宋体" w:cs="宋体"/>
        <w:sz w:val="18"/>
        <w:szCs w:val="18"/>
      </w:rP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rPr>
        <w:rFonts w:hint="eastAsia"/>
      </w:rP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rPr>
        <w:rFonts w:hint="eastAsia"/>
      </w:rP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80</w:t>
                    </w:r>
                    <w:r>
                      <w:rPr>
                        <w:rFonts w:hint="eastAsia"/>
                        <w:sz w:val="18"/>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66"/>
      <w:rPr>
        <w:rFonts w:hint="eastAsia" w:ascii="宋体" w:hAnsi="宋体" w:eastAsia="宋体" w:cs="宋体"/>
        <w:sz w:val="18"/>
        <w:szCs w:val="18"/>
      </w:rPr>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57"/>
      <w:rPr>
        <w:rFonts w:hint="eastAsia" w:ascii="宋体" w:hAnsi="宋体" w:eastAsia="宋体" w:cs="宋体"/>
        <w:sz w:val="18"/>
        <w:szCs w:val="18"/>
      </w:rPr>
    </w:pPr>
    <w:r>
      <w:rPr>
        <w:rFonts w:ascii="宋体" w:hAnsi="宋体" w:eastAsia="宋体" w:cs="宋体"/>
        <w:spacing w:val="-3"/>
        <w:sz w:val="18"/>
        <w:szCs w:val="18"/>
      </w:rPr>
      <w:t>3</w:t>
    </w:r>
    <w:r>
      <w:rPr>
        <w:rFonts w:ascii="宋体" w:hAnsi="宋体" w:eastAsia="宋体" w:cs="宋体"/>
        <w:spacing w:val="-2"/>
        <w:sz w:val="18"/>
        <w:szCs w:val="18"/>
      </w:rPr>
      <w:t>7</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- 25 -</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- 25 -</w:t>
                    </w:r>
                    <w:r>
                      <w:rPr>
                        <w:rFonts w:hint="eastAsia"/>
                        <w:sz w:val="18"/>
                      </w:rP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ind w:left="6868"/>
      <w:rPr>
        <w:rFonts w:hint="eastAsia" w:ascii="宋体" w:hAnsi="宋体" w:eastAsia="宋体" w:cs="宋体"/>
        <w:sz w:val="17"/>
        <w:szCs w:val="17"/>
      </w:rPr>
    </w:pPr>
    <w:r>
      <w:rPr>
        <w:sz w:val="17"/>
      </w:rP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6"/>
                            <w:rPr>
                              <w:rFonts w:hint="eastAsia"/>
                            </w:rPr>
                          </w:pPr>
                          <w:r>
                            <w:fldChar w:fldCharType="begin"/>
                          </w:r>
                          <w:r>
                            <w:instrText xml:space="preserve"> PAGE  \* MERGEFORMAT </w:instrText>
                          </w:r>
                          <w:r>
                            <w:fldChar w:fldCharType="separate"/>
                          </w:r>
                          <w:r>
                            <w:t>82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pPr>
                      <w:pStyle w:val="26"/>
                      <w:rPr>
                        <w:rFonts w:hint="eastAsia"/>
                      </w:rPr>
                    </w:pPr>
                    <w:r>
                      <w:fldChar w:fldCharType="begin"/>
                    </w:r>
                    <w:r>
                      <w:instrText xml:space="preserve"> PAGE  \* MERGEFORMAT </w:instrText>
                    </w:r>
                    <w:r>
                      <w:fldChar w:fldCharType="separate"/>
                    </w:r>
                    <w:r>
                      <w:t>82</w:t>
                    </w:r>
                    <w: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rPr>
        <w:rFonts w:hint="eastAsia"/>
      </w:rPr>
    </w:pPr>
    <w: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46" name="文本框 4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BlB9vIzAgAAZQQAAA4AAAAAAAAAAQAgAAAAHwEAAGRycy9lMm9Eb2MueG1sUEsF&#10;BgAAAAAGAAYAWQEAAMQ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89</w:t>
                    </w:r>
                    <w:r>
                      <w:rPr>
                        <w:rFonts w:hint="eastAsia"/>
                        <w:sz w:val="18"/>
                      </w:rP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6"/>
                            <w:rPr>
                              <w:rFonts w:hint="eastAsia"/>
                            </w:rPr>
                          </w:pPr>
                          <w:r>
                            <w:fldChar w:fldCharType="begin"/>
                          </w:r>
                          <w:r>
                            <w:instrText xml:space="preserve"> PAGE  \* MERGEFORMAT </w:instrText>
                          </w:r>
                          <w:r>
                            <w:fldChar w:fldCharType="separate"/>
                          </w:r>
                          <w:r>
                            <w:t>85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pPr>
                      <w:pStyle w:val="26"/>
                      <w:rPr>
                        <w:rFonts w:hint="eastAsia"/>
                      </w:rPr>
                    </w:pPr>
                    <w:r>
                      <w:fldChar w:fldCharType="begin"/>
                    </w:r>
                    <w:r>
                      <w:instrText xml:space="preserve"> PAGE  \* MERGEFORMAT </w:instrText>
                    </w:r>
                    <w:r>
                      <w:fldChar w:fldCharType="separate"/>
                    </w:r>
                    <w:r>
                      <w:t>85</w:t>
                    </w:r>
                    <w: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rPr>
        <w:rFonts w:hint="eastAsia"/>
      </w:rP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83</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83</w:t>
                    </w:r>
                    <w:r>
                      <w:rPr>
                        <w:rFonts w:hint="eastAsia"/>
                        <w:sz w:val="18"/>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tabs>
        <w:tab w:val="clear" w:pos="4153"/>
      </w:tabs>
      <w:jc w:val="center"/>
      <w:rPr>
        <w:rFonts w:hint="eastAsia"/>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6"/>
                            <w:rPr>
                              <w:rFonts w:hint="eastAsia"/>
                            </w:rPr>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pPr>
                      <w:pStyle w:val="26"/>
                      <w:rPr>
                        <w:rFonts w:hint="eastAsia"/>
                      </w:rPr>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17</w:t>
                    </w:r>
                    <w:r>
                      <w:rPr>
                        <w:rFonts w:hint="eastAsia"/>
                        <w:sz w:val="18"/>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rPr>
        <w:rFonts w:hint="eastAsia"/>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53</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53</w:t>
                    </w:r>
                    <w:r>
                      <w:rPr>
                        <w:rFonts w:hint="eastAsia"/>
                        <w:sz w:val="18"/>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rPr>
        <w:rFonts w:hint="eastAsia"/>
      </w:rP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52</w:t>
                    </w:r>
                    <w:r>
                      <w:rPr>
                        <w:rFonts w:hint="eastAsia"/>
                        <w:sz w:val="18"/>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rPr>
        <w:rFonts w:hint="eastAsia"/>
      </w:rP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rPr>
        <w:rFonts w:hint="eastAsia"/>
      </w:rP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54</w:t>
                    </w:r>
                    <w:r>
                      <w:rPr>
                        <w:rFonts w:hint="eastAsia"/>
                        <w:sz w:val="18"/>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rPr>
        <w:rFonts w:hint="eastAsia"/>
      </w:rP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pBdr>
        <w:bottom w:val="none" w:color="auto" w:sz="0" w:space="1"/>
      </w:pBdr>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pBdr>
        <w:bottom w:val="none" w:color="auto" w:sz="0" w:space="0"/>
      </w:pBdr>
      <w:rPr>
        <w:rFonts w:hint="eastAsi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pBdr>
        <w:bottom w:val="none" w:color="auto" w:sz="0" w:space="1"/>
      </w:pBdr>
      <w:rPr>
        <w:rFonts w:hint="eastAsia"/>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p>
  <w:p>
    <w:pPr>
      <w:pStyle w:val="27"/>
      <w:rPr>
        <w:rFonts w:hint="eastAsia"/>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849FB6"/>
    <w:multiLevelType w:val="singleLevel"/>
    <w:tmpl w:val="A6849FB6"/>
    <w:lvl w:ilvl="0" w:tentative="0">
      <w:start w:val="2"/>
      <w:numFmt w:val="chineseCounting"/>
      <w:suff w:val="nothing"/>
      <w:lvlText w:val="%1、"/>
      <w:lvlJc w:val="left"/>
      <w:rPr>
        <w:rFonts w:hint="eastAsia"/>
      </w:rPr>
    </w:lvl>
  </w:abstractNum>
  <w:abstractNum w:abstractNumId="1">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2">
    <w:nsid w:val="1EFA108E"/>
    <w:multiLevelType w:val="singleLevel"/>
    <w:tmpl w:val="1EFA108E"/>
    <w:lvl w:ilvl="0" w:tentative="0">
      <w:start w:val="1"/>
      <w:numFmt w:val="bullet"/>
      <w:lvlText w:val=""/>
      <w:lvlJc w:val="left"/>
      <w:pPr>
        <w:ind w:left="420" w:hanging="420"/>
      </w:pPr>
      <w:rPr>
        <w:rFonts w:hint="default" w:ascii="Wingdings" w:hAnsi="Wingdings"/>
      </w:rPr>
    </w:lvl>
  </w:abstractNum>
  <w:abstractNum w:abstractNumId="3">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4">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5">
    <w:nsid w:val="646260FA"/>
    <w:multiLevelType w:val="multilevel"/>
    <w:tmpl w:val="646260FA"/>
    <w:lvl w:ilvl="0" w:tentative="0">
      <w:start w:val="1"/>
      <w:numFmt w:val="decimal"/>
      <w:pStyle w:val="138"/>
      <w:suff w:val="nothing"/>
      <w:lvlText w:val="表%1　"/>
      <w:lvlJc w:val="left"/>
      <w:pPr>
        <w:ind w:left="0" w:firstLine="0"/>
      </w:pPr>
      <w:rPr>
        <w:rFonts w:hint="eastAsia" w:ascii="黑体" w:hAnsi="Times New Roman" w:eastAsia="黑体"/>
        <w:b w:val="0"/>
        <w:i w:val="0"/>
        <w:color w:val="000000"/>
        <w:sz w:val="21"/>
        <w:lang w:val="en-US"/>
      </w:rPr>
    </w:lvl>
    <w:lvl w:ilvl="1" w:tentative="0">
      <w:start w:val="1"/>
      <w:numFmt w:val="decimal"/>
      <w:lvlText w:val="%1.%2"/>
      <w:lvlJc w:val="left"/>
      <w:pPr>
        <w:tabs>
          <w:tab w:val="left" w:pos="992"/>
        </w:tabs>
        <w:ind w:left="992" w:hanging="567"/>
      </w:pPr>
      <w:rPr>
        <w:rFonts w:hint="eastAsia"/>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1.%2.%3.%4"/>
      <w:lvlJc w:val="left"/>
      <w:pPr>
        <w:tabs>
          <w:tab w:val="left" w:pos="1984"/>
        </w:tabs>
        <w:ind w:left="1984" w:hanging="708"/>
      </w:pPr>
      <w:rPr>
        <w:rFonts w:hint="eastAsia"/>
      </w:rPr>
    </w:lvl>
    <w:lvl w:ilvl="4" w:tentative="0">
      <w:start w:val="1"/>
      <w:numFmt w:val="decimal"/>
      <w:lvlText w:val="%1.%2.%3.%4.%5"/>
      <w:lvlJc w:val="left"/>
      <w:pPr>
        <w:tabs>
          <w:tab w:val="left" w:pos="255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6">
    <w:nsid w:val="6E8C6948"/>
    <w:multiLevelType w:val="singleLevel"/>
    <w:tmpl w:val="6E8C6948"/>
    <w:lvl w:ilvl="0" w:tentative="0">
      <w:start w:val="1"/>
      <w:numFmt w:val="chineseCounting"/>
      <w:suff w:val="space"/>
      <w:lvlText w:val="第%1部分"/>
      <w:lvlJc w:val="left"/>
      <w:rPr>
        <w:rFonts w:hint="eastAsia"/>
      </w:rPr>
    </w:lvl>
  </w:abstractNum>
  <w:abstractNum w:abstractNumId="7">
    <w:nsid w:val="7A612DE2"/>
    <w:multiLevelType w:val="singleLevel"/>
    <w:tmpl w:val="7A612DE2"/>
    <w:lvl w:ilvl="0" w:tentative="0">
      <w:start w:val="2"/>
      <w:numFmt w:val="decimal"/>
      <w:lvlText w:val="%1."/>
      <w:lvlJc w:val="left"/>
      <w:pPr>
        <w:tabs>
          <w:tab w:val="left" w:pos="312"/>
        </w:tabs>
      </w:pPr>
    </w:lvl>
  </w:abstractNum>
  <w:num w:numId="1">
    <w:abstractNumId w:val="5"/>
  </w:num>
  <w:num w:numId="2">
    <w:abstractNumId w:val="6"/>
  </w:num>
  <w:num w:numId="3">
    <w:abstractNumId w:val="0"/>
  </w:num>
  <w:num w:numId="4">
    <w:abstractNumId w:val="7"/>
  </w:num>
  <w:num w:numId="5">
    <w:abstractNumId w:val="3"/>
  </w:num>
  <w:num w:numId="6">
    <w:abstractNumId w:val="1"/>
  </w:num>
  <w:num w:numId="7">
    <w:abstractNumId w:val="4"/>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M4YzFjOWU0Nzg0NmRkMzI1ZDk2YmYxNGU0NmE0YTUifQ=="/>
    <w:docVar w:name="KSO_WPS_MARK_KEY" w:val="5ec1ab8f-2730-43b1-a770-54aa6eb65cb0"/>
  </w:docVars>
  <w:rsids>
    <w:rsidRoot w:val="0056018A"/>
    <w:rsid w:val="000139F5"/>
    <w:rsid w:val="000225D1"/>
    <w:rsid w:val="00022B06"/>
    <w:rsid w:val="00036836"/>
    <w:rsid w:val="0005777A"/>
    <w:rsid w:val="00065382"/>
    <w:rsid w:val="00080223"/>
    <w:rsid w:val="000A5309"/>
    <w:rsid w:val="000D6A51"/>
    <w:rsid w:val="000F45A3"/>
    <w:rsid w:val="001076E5"/>
    <w:rsid w:val="001C1EE3"/>
    <w:rsid w:val="001C713C"/>
    <w:rsid w:val="001D75B9"/>
    <w:rsid w:val="00200F05"/>
    <w:rsid w:val="00220056"/>
    <w:rsid w:val="002626ED"/>
    <w:rsid w:val="00265A40"/>
    <w:rsid w:val="00282FDE"/>
    <w:rsid w:val="0028615B"/>
    <w:rsid w:val="0029130A"/>
    <w:rsid w:val="002F49D4"/>
    <w:rsid w:val="00304629"/>
    <w:rsid w:val="00306AB3"/>
    <w:rsid w:val="003A4540"/>
    <w:rsid w:val="003B4D7D"/>
    <w:rsid w:val="003E0AB3"/>
    <w:rsid w:val="00401C42"/>
    <w:rsid w:val="004076DE"/>
    <w:rsid w:val="00460AFB"/>
    <w:rsid w:val="00470130"/>
    <w:rsid w:val="00483B0A"/>
    <w:rsid w:val="0048779A"/>
    <w:rsid w:val="00495476"/>
    <w:rsid w:val="004B5126"/>
    <w:rsid w:val="004D0330"/>
    <w:rsid w:val="004D0838"/>
    <w:rsid w:val="004F7838"/>
    <w:rsid w:val="004F7F0F"/>
    <w:rsid w:val="00503391"/>
    <w:rsid w:val="00552960"/>
    <w:rsid w:val="00553B27"/>
    <w:rsid w:val="0056018A"/>
    <w:rsid w:val="00567344"/>
    <w:rsid w:val="005829DC"/>
    <w:rsid w:val="005B1856"/>
    <w:rsid w:val="005C0B4E"/>
    <w:rsid w:val="005C421F"/>
    <w:rsid w:val="005D3BBC"/>
    <w:rsid w:val="005F16F0"/>
    <w:rsid w:val="006505D3"/>
    <w:rsid w:val="0065185D"/>
    <w:rsid w:val="00680629"/>
    <w:rsid w:val="00686C52"/>
    <w:rsid w:val="006D6075"/>
    <w:rsid w:val="006F1414"/>
    <w:rsid w:val="006F15E0"/>
    <w:rsid w:val="007432BF"/>
    <w:rsid w:val="007525BF"/>
    <w:rsid w:val="0077033B"/>
    <w:rsid w:val="007800DC"/>
    <w:rsid w:val="007838AA"/>
    <w:rsid w:val="00783D5E"/>
    <w:rsid w:val="00785FD6"/>
    <w:rsid w:val="007B212D"/>
    <w:rsid w:val="007F4254"/>
    <w:rsid w:val="00806A61"/>
    <w:rsid w:val="008153DE"/>
    <w:rsid w:val="00824BFD"/>
    <w:rsid w:val="008453B3"/>
    <w:rsid w:val="00866678"/>
    <w:rsid w:val="008D3B56"/>
    <w:rsid w:val="008D5CEF"/>
    <w:rsid w:val="008F16FB"/>
    <w:rsid w:val="00927F74"/>
    <w:rsid w:val="009360F9"/>
    <w:rsid w:val="00964F00"/>
    <w:rsid w:val="0097676D"/>
    <w:rsid w:val="009B511E"/>
    <w:rsid w:val="009E0F5E"/>
    <w:rsid w:val="009E321E"/>
    <w:rsid w:val="00A03FB0"/>
    <w:rsid w:val="00A21EB2"/>
    <w:rsid w:val="00A31561"/>
    <w:rsid w:val="00A54E95"/>
    <w:rsid w:val="00A80564"/>
    <w:rsid w:val="00A960B2"/>
    <w:rsid w:val="00AE6633"/>
    <w:rsid w:val="00B01FF1"/>
    <w:rsid w:val="00B12C29"/>
    <w:rsid w:val="00B4611C"/>
    <w:rsid w:val="00B72516"/>
    <w:rsid w:val="00B92C97"/>
    <w:rsid w:val="00BA3C70"/>
    <w:rsid w:val="00BB4E42"/>
    <w:rsid w:val="00C01073"/>
    <w:rsid w:val="00C32A8D"/>
    <w:rsid w:val="00C855F6"/>
    <w:rsid w:val="00C92F53"/>
    <w:rsid w:val="00CD5223"/>
    <w:rsid w:val="00CE5010"/>
    <w:rsid w:val="00CE6E17"/>
    <w:rsid w:val="00D0528A"/>
    <w:rsid w:val="00D11B37"/>
    <w:rsid w:val="00D408EF"/>
    <w:rsid w:val="00D5145C"/>
    <w:rsid w:val="00D535A8"/>
    <w:rsid w:val="00D53EB2"/>
    <w:rsid w:val="00D64DAE"/>
    <w:rsid w:val="00D729A1"/>
    <w:rsid w:val="00DB5225"/>
    <w:rsid w:val="00DD1E5E"/>
    <w:rsid w:val="00DE6417"/>
    <w:rsid w:val="00E1627A"/>
    <w:rsid w:val="00E34C35"/>
    <w:rsid w:val="00E650A8"/>
    <w:rsid w:val="00E878B4"/>
    <w:rsid w:val="00EB3D00"/>
    <w:rsid w:val="00F71720"/>
    <w:rsid w:val="00FE040F"/>
    <w:rsid w:val="00FE42B3"/>
    <w:rsid w:val="0133784E"/>
    <w:rsid w:val="014832F2"/>
    <w:rsid w:val="014D51C1"/>
    <w:rsid w:val="01714809"/>
    <w:rsid w:val="01C52478"/>
    <w:rsid w:val="02184C85"/>
    <w:rsid w:val="027408EE"/>
    <w:rsid w:val="02963F39"/>
    <w:rsid w:val="02BA7274"/>
    <w:rsid w:val="03251978"/>
    <w:rsid w:val="0325718A"/>
    <w:rsid w:val="039E25ED"/>
    <w:rsid w:val="03A10C87"/>
    <w:rsid w:val="042921B6"/>
    <w:rsid w:val="04AD02B8"/>
    <w:rsid w:val="04DF17D4"/>
    <w:rsid w:val="05151950"/>
    <w:rsid w:val="05412745"/>
    <w:rsid w:val="05491761"/>
    <w:rsid w:val="05A351AD"/>
    <w:rsid w:val="05C234EE"/>
    <w:rsid w:val="05D95918"/>
    <w:rsid w:val="05DF009E"/>
    <w:rsid w:val="05F9748A"/>
    <w:rsid w:val="06032214"/>
    <w:rsid w:val="060B4B7B"/>
    <w:rsid w:val="06132F28"/>
    <w:rsid w:val="06160D68"/>
    <w:rsid w:val="06266F78"/>
    <w:rsid w:val="063E7B7A"/>
    <w:rsid w:val="06582413"/>
    <w:rsid w:val="067E33B8"/>
    <w:rsid w:val="069C2954"/>
    <w:rsid w:val="06C11211"/>
    <w:rsid w:val="06E82FCB"/>
    <w:rsid w:val="06F34B95"/>
    <w:rsid w:val="06F7064A"/>
    <w:rsid w:val="07571DAC"/>
    <w:rsid w:val="078A0D17"/>
    <w:rsid w:val="08000695"/>
    <w:rsid w:val="08332819"/>
    <w:rsid w:val="08E64121"/>
    <w:rsid w:val="090D5816"/>
    <w:rsid w:val="0942017F"/>
    <w:rsid w:val="09BA1FBB"/>
    <w:rsid w:val="09CB139F"/>
    <w:rsid w:val="09D73678"/>
    <w:rsid w:val="0A0106F5"/>
    <w:rsid w:val="0A112AB7"/>
    <w:rsid w:val="0A447F32"/>
    <w:rsid w:val="0AD71BC7"/>
    <w:rsid w:val="0ADB7197"/>
    <w:rsid w:val="0AF420EB"/>
    <w:rsid w:val="0B2B2BF5"/>
    <w:rsid w:val="0B2F3908"/>
    <w:rsid w:val="0B3F6206"/>
    <w:rsid w:val="0BDB06E0"/>
    <w:rsid w:val="0BE12DB6"/>
    <w:rsid w:val="0C345AD1"/>
    <w:rsid w:val="0C626CE4"/>
    <w:rsid w:val="0D0C2B7B"/>
    <w:rsid w:val="0D9308F8"/>
    <w:rsid w:val="0E1A1D85"/>
    <w:rsid w:val="0E2350DD"/>
    <w:rsid w:val="0E696120"/>
    <w:rsid w:val="0E750568"/>
    <w:rsid w:val="0EB93A32"/>
    <w:rsid w:val="0F2D7A80"/>
    <w:rsid w:val="0F4277E5"/>
    <w:rsid w:val="0F6B7381"/>
    <w:rsid w:val="0FA75561"/>
    <w:rsid w:val="0FB83603"/>
    <w:rsid w:val="0FCA77F1"/>
    <w:rsid w:val="0FCD5DCC"/>
    <w:rsid w:val="10270545"/>
    <w:rsid w:val="108A1D4B"/>
    <w:rsid w:val="10A10111"/>
    <w:rsid w:val="10BE093E"/>
    <w:rsid w:val="110F6D60"/>
    <w:rsid w:val="111B0FE9"/>
    <w:rsid w:val="115F67A8"/>
    <w:rsid w:val="119A7465"/>
    <w:rsid w:val="11C07DA5"/>
    <w:rsid w:val="12491386"/>
    <w:rsid w:val="12746E74"/>
    <w:rsid w:val="12E60579"/>
    <w:rsid w:val="13695B36"/>
    <w:rsid w:val="1372609F"/>
    <w:rsid w:val="13CE1569"/>
    <w:rsid w:val="13DF3855"/>
    <w:rsid w:val="14092DB2"/>
    <w:rsid w:val="145A6A37"/>
    <w:rsid w:val="1467440F"/>
    <w:rsid w:val="148D59E6"/>
    <w:rsid w:val="14F73019"/>
    <w:rsid w:val="15433A9B"/>
    <w:rsid w:val="15D13671"/>
    <w:rsid w:val="15FC2F04"/>
    <w:rsid w:val="15FD3709"/>
    <w:rsid w:val="16181FAC"/>
    <w:rsid w:val="166050EB"/>
    <w:rsid w:val="168756A0"/>
    <w:rsid w:val="16F94849"/>
    <w:rsid w:val="17001571"/>
    <w:rsid w:val="17045E51"/>
    <w:rsid w:val="172011D4"/>
    <w:rsid w:val="17252C3B"/>
    <w:rsid w:val="173F0A2E"/>
    <w:rsid w:val="17770BC2"/>
    <w:rsid w:val="17860E2F"/>
    <w:rsid w:val="17A119AA"/>
    <w:rsid w:val="17AF1095"/>
    <w:rsid w:val="17C55E7C"/>
    <w:rsid w:val="18586F2B"/>
    <w:rsid w:val="192F3CC4"/>
    <w:rsid w:val="1935690C"/>
    <w:rsid w:val="19516138"/>
    <w:rsid w:val="19A766B9"/>
    <w:rsid w:val="19BE4F9F"/>
    <w:rsid w:val="19CE76BA"/>
    <w:rsid w:val="19F26070"/>
    <w:rsid w:val="19F97C8B"/>
    <w:rsid w:val="1A1523CE"/>
    <w:rsid w:val="1A21343D"/>
    <w:rsid w:val="1AA730BD"/>
    <w:rsid w:val="1ABD4410"/>
    <w:rsid w:val="1B333D5D"/>
    <w:rsid w:val="1B587618"/>
    <w:rsid w:val="1B5F19C7"/>
    <w:rsid w:val="1C1C709B"/>
    <w:rsid w:val="1C9F6814"/>
    <w:rsid w:val="1D5C514E"/>
    <w:rsid w:val="1D834723"/>
    <w:rsid w:val="1D85395E"/>
    <w:rsid w:val="1D865D14"/>
    <w:rsid w:val="1D8705EC"/>
    <w:rsid w:val="1E43150B"/>
    <w:rsid w:val="1EA93E80"/>
    <w:rsid w:val="1EC024D4"/>
    <w:rsid w:val="1ED33FB6"/>
    <w:rsid w:val="1EE81332"/>
    <w:rsid w:val="1EED2D98"/>
    <w:rsid w:val="1F32415A"/>
    <w:rsid w:val="1F5A4199"/>
    <w:rsid w:val="1F7E2174"/>
    <w:rsid w:val="1FC32513"/>
    <w:rsid w:val="20107567"/>
    <w:rsid w:val="207870A4"/>
    <w:rsid w:val="208717DB"/>
    <w:rsid w:val="20AB56C6"/>
    <w:rsid w:val="217640E4"/>
    <w:rsid w:val="2176507C"/>
    <w:rsid w:val="21BA10C4"/>
    <w:rsid w:val="21BE35AF"/>
    <w:rsid w:val="21C11174"/>
    <w:rsid w:val="22244B28"/>
    <w:rsid w:val="22467FD4"/>
    <w:rsid w:val="22784511"/>
    <w:rsid w:val="229451FD"/>
    <w:rsid w:val="22A12DB6"/>
    <w:rsid w:val="22AE028B"/>
    <w:rsid w:val="234E7F91"/>
    <w:rsid w:val="236356D1"/>
    <w:rsid w:val="23A91C83"/>
    <w:rsid w:val="23C962E8"/>
    <w:rsid w:val="247E4FED"/>
    <w:rsid w:val="24B30BE8"/>
    <w:rsid w:val="24C6643F"/>
    <w:rsid w:val="24E34060"/>
    <w:rsid w:val="24EF2718"/>
    <w:rsid w:val="253A0491"/>
    <w:rsid w:val="253D4C0F"/>
    <w:rsid w:val="25CF2B74"/>
    <w:rsid w:val="25E036B2"/>
    <w:rsid w:val="25E9082A"/>
    <w:rsid w:val="25F42473"/>
    <w:rsid w:val="26AF2D79"/>
    <w:rsid w:val="26B34B91"/>
    <w:rsid w:val="270D66E8"/>
    <w:rsid w:val="27514612"/>
    <w:rsid w:val="27597388"/>
    <w:rsid w:val="278B0DAB"/>
    <w:rsid w:val="279C6B0E"/>
    <w:rsid w:val="27A64735"/>
    <w:rsid w:val="27CC4DF2"/>
    <w:rsid w:val="281864F2"/>
    <w:rsid w:val="28290B8D"/>
    <w:rsid w:val="28316337"/>
    <w:rsid w:val="286903EF"/>
    <w:rsid w:val="287F5DD3"/>
    <w:rsid w:val="288047CB"/>
    <w:rsid w:val="289E62FA"/>
    <w:rsid w:val="291E2CA6"/>
    <w:rsid w:val="29331862"/>
    <w:rsid w:val="299E147F"/>
    <w:rsid w:val="29C32A87"/>
    <w:rsid w:val="29CF26DC"/>
    <w:rsid w:val="2A0A1B37"/>
    <w:rsid w:val="2A1C5DA0"/>
    <w:rsid w:val="2A200D39"/>
    <w:rsid w:val="2A507EFF"/>
    <w:rsid w:val="2ADC05A4"/>
    <w:rsid w:val="2B0423C1"/>
    <w:rsid w:val="2B6F0D7F"/>
    <w:rsid w:val="2B797443"/>
    <w:rsid w:val="2B8716BD"/>
    <w:rsid w:val="2B8B76FF"/>
    <w:rsid w:val="2BC22DD1"/>
    <w:rsid w:val="2BD5034F"/>
    <w:rsid w:val="2C0B6845"/>
    <w:rsid w:val="2C9E432B"/>
    <w:rsid w:val="2CAC08A7"/>
    <w:rsid w:val="2D025012"/>
    <w:rsid w:val="2D4178F0"/>
    <w:rsid w:val="2DA535EC"/>
    <w:rsid w:val="2DAE631A"/>
    <w:rsid w:val="2DD877E0"/>
    <w:rsid w:val="2DE616C9"/>
    <w:rsid w:val="2DFC2451"/>
    <w:rsid w:val="2E296762"/>
    <w:rsid w:val="2E3422F8"/>
    <w:rsid w:val="2E392F37"/>
    <w:rsid w:val="2E6D31FB"/>
    <w:rsid w:val="2E6E566D"/>
    <w:rsid w:val="2E7F188E"/>
    <w:rsid w:val="2EBC0905"/>
    <w:rsid w:val="2EC73739"/>
    <w:rsid w:val="2EFB1B0E"/>
    <w:rsid w:val="2F5C684F"/>
    <w:rsid w:val="303A20E7"/>
    <w:rsid w:val="307776D1"/>
    <w:rsid w:val="30862574"/>
    <w:rsid w:val="30B631E1"/>
    <w:rsid w:val="311933AA"/>
    <w:rsid w:val="317D15BB"/>
    <w:rsid w:val="31A67308"/>
    <w:rsid w:val="31D07E6C"/>
    <w:rsid w:val="323F65DA"/>
    <w:rsid w:val="32412074"/>
    <w:rsid w:val="325B63D6"/>
    <w:rsid w:val="32A0644D"/>
    <w:rsid w:val="32DE0199"/>
    <w:rsid w:val="32E26B1D"/>
    <w:rsid w:val="335B2774"/>
    <w:rsid w:val="33A4642E"/>
    <w:rsid w:val="33A877AB"/>
    <w:rsid w:val="33D4039C"/>
    <w:rsid w:val="33D47E05"/>
    <w:rsid w:val="340017FF"/>
    <w:rsid w:val="3413677D"/>
    <w:rsid w:val="342B544B"/>
    <w:rsid w:val="343839A4"/>
    <w:rsid w:val="345E036E"/>
    <w:rsid w:val="34DE1E4F"/>
    <w:rsid w:val="34F07DB1"/>
    <w:rsid w:val="358D07D1"/>
    <w:rsid w:val="35B0692A"/>
    <w:rsid w:val="35D354B8"/>
    <w:rsid w:val="35D4025C"/>
    <w:rsid w:val="35F516ED"/>
    <w:rsid w:val="35FC2392"/>
    <w:rsid w:val="362666BC"/>
    <w:rsid w:val="363E0457"/>
    <w:rsid w:val="368A6B11"/>
    <w:rsid w:val="36A77DAA"/>
    <w:rsid w:val="37085B1F"/>
    <w:rsid w:val="372E04CB"/>
    <w:rsid w:val="37742729"/>
    <w:rsid w:val="37C85FF9"/>
    <w:rsid w:val="383557ED"/>
    <w:rsid w:val="38D55634"/>
    <w:rsid w:val="38E070F2"/>
    <w:rsid w:val="390B0AC4"/>
    <w:rsid w:val="390D33AB"/>
    <w:rsid w:val="391E6D06"/>
    <w:rsid w:val="396D6DE6"/>
    <w:rsid w:val="39CE5179"/>
    <w:rsid w:val="3A074847"/>
    <w:rsid w:val="3AA90FE6"/>
    <w:rsid w:val="3AA9318F"/>
    <w:rsid w:val="3AB62DA0"/>
    <w:rsid w:val="3AC61BD3"/>
    <w:rsid w:val="3B273268"/>
    <w:rsid w:val="3B7D3FD5"/>
    <w:rsid w:val="3B823DDF"/>
    <w:rsid w:val="3BE4369A"/>
    <w:rsid w:val="3C084B3D"/>
    <w:rsid w:val="3C237ED3"/>
    <w:rsid w:val="3C91192E"/>
    <w:rsid w:val="3CAA596A"/>
    <w:rsid w:val="3CB1587B"/>
    <w:rsid w:val="3CB735F2"/>
    <w:rsid w:val="3D186684"/>
    <w:rsid w:val="3D363C36"/>
    <w:rsid w:val="3D4C7C96"/>
    <w:rsid w:val="3D8B2178"/>
    <w:rsid w:val="3DB34909"/>
    <w:rsid w:val="3DD115F5"/>
    <w:rsid w:val="3DE435F0"/>
    <w:rsid w:val="3DE5122C"/>
    <w:rsid w:val="3DF37E53"/>
    <w:rsid w:val="3E3761F9"/>
    <w:rsid w:val="3E3A1504"/>
    <w:rsid w:val="3E401B6A"/>
    <w:rsid w:val="3ED26DE9"/>
    <w:rsid w:val="3EED17D0"/>
    <w:rsid w:val="3F0C0304"/>
    <w:rsid w:val="3FE25AA0"/>
    <w:rsid w:val="3FEC147E"/>
    <w:rsid w:val="4024153A"/>
    <w:rsid w:val="403703F1"/>
    <w:rsid w:val="40376375"/>
    <w:rsid w:val="40EF47EC"/>
    <w:rsid w:val="412732B7"/>
    <w:rsid w:val="4127791F"/>
    <w:rsid w:val="41281794"/>
    <w:rsid w:val="413C1FDF"/>
    <w:rsid w:val="41806A69"/>
    <w:rsid w:val="41B0259C"/>
    <w:rsid w:val="41BC6F1C"/>
    <w:rsid w:val="41EF2363"/>
    <w:rsid w:val="41F77860"/>
    <w:rsid w:val="424A4B98"/>
    <w:rsid w:val="42581D3A"/>
    <w:rsid w:val="4262787F"/>
    <w:rsid w:val="42B90260"/>
    <w:rsid w:val="42FE0080"/>
    <w:rsid w:val="43315D2E"/>
    <w:rsid w:val="43824A1C"/>
    <w:rsid w:val="4390486D"/>
    <w:rsid w:val="43D110E1"/>
    <w:rsid w:val="43E873C9"/>
    <w:rsid w:val="441540A8"/>
    <w:rsid w:val="44250817"/>
    <w:rsid w:val="445E7E37"/>
    <w:rsid w:val="44905B1F"/>
    <w:rsid w:val="45007767"/>
    <w:rsid w:val="45316885"/>
    <w:rsid w:val="4567010B"/>
    <w:rsid w:val="4577147D"/>
    <w:rsid w:val="45A95EE9"/>
    <w:rsid w:val="45FB0F21"/>
    <w:rsid w:val="46167166"/>
    <w:rsid w:val="461A2194"/>
    <w:rsid w:val="465E515F"/>
    <w:rsid w:val="46AE7548"/>
    <w:rsid w:val="47200EE3"/>
    <w:rsid w:val="47435AC2"/>
    <w:rsid w:val="47544B78"/>
    <w:rsid w:val="47587AF7"/>
    <w:rsid w:val="47745A86"/>
    <w:rsid w:val="47E239AC"/>
    <w:rsid w:val="480C3F11"/>
    <w:rsid w:val="480F4B73"/>
    <w:rsid w:val="48334AEC"/>
    <w:rsid w:val="48380650"/>
    <w:rsid w:val="48422874"/>
    <w:rsid w:val="48DB38E3"/>
    <w:rsid w:val="49001B5E"/>
    <w:rsid w:val="490552B7"/>
    <w:rsid w:val="49376DB0"/>
    <w:rsid w:val="49804BB7"/>
    <w:rsid w:val="49826DCB"/>
    <w:rsid w:val="499013E7"/>
    <w:rsid w:val="49C8088A"/>
    <w:rsid w:val="49CB3D06"/>
    <w:rsid w:val="4A301C93"/>
    <w:rsid w:val="4A3302AB"/>
    <w:rsid w:val="4A7F3A12"/>
    <w:rsid w:val="4AC85D49"/>
    <w:rsid w:val="4AE308A9"/>
    <w:rsid w:val="4B294DDA"/>
    <w:rsid w:val="4B9A1456"/>
    <w:rsid w:val="4BA32C82"/>
    <w:rsid w:val="4BB072A9"/>
    <w:rsid w:val="4BC62B76"/>
    <w:rsid w:val="4BD73978"/>
    <w:rsid w:val="4BE70627"/>
    <w:rsid w:val="4BED4059"/>
    <w:rsid w:val="4C0A5AE1"/>
    <w:rsid w:val="4C130AB8"/>
    <w:rsid w:val="4C391ADB"/>
    <w:rsid w:val="4C5A284D"/>
    <w:rsid w:val="4C63431C"/>
    <w:rsid w:val="4CB96B43"/>
    <w:rsid w:val="4CC75FCC"/>
    <w:rsid w:val="4CD63947"/>
    <w:rsid w:val="4CFC49F4"/>
    <w:rsid w:val="4D073D73"/>
    <w:rsid w:val="4D1E27BA"/>
    <w:rsid w:val="4D23574A"/>
    <w:rsid w:val="4D4C4DB0"/>
    <w:rsid w:val="4D6238ED"/>
    <w:rsid w:val="4D7322D5"/>
    <w:rsid w:val="4DD7034C"/>
    <w:rsid w:val="4DE312CB"/>
    <w:rsid w:val="4DF5318E"/>
    <w:rsid w:val="4E1F4862"/>
    <w:rsid w:val="4E2E4393"/>
    <w:rsid w:val="4E535EF2"/>
    <w:rsid w:val="4EF11A75"/>
    <w:rsid w:val="4F08773C"/>
    <w:rsid w:val="4F31409F"/>
    <w:rsid w:val="4F5E670E"/>
    <w:rsid w:val="4F846A83"/>
    <w:rsid w:val="50070E2C"/>
    <w:rsid w:val="504B57F2"/>
    <w:rsid w:val="508229B7"/>
    <w:rsid w:val="509A4341"/>
    <w:rsid w:val="50C62BC7"/>
    <w:rsid w:val="50F72A66"/>
    <w:rsid w:val="5123368C"/>
    <w:rsid w:val="5130747C"/>
    <w:rsid w:val="515C765A"/>
    <w:rsid w:val="516610D8"/>
    <w:rsid w:val="518A1B56"/>
    <w:rsid w:val="51905BB3"/>
    <w:rsid w:val="51946FCB"/>
    <w:rsid w:val="51DD796B"/>
    <w:rsid w:val="51DF373B"/>
    <w:rsid w:val="52EF4CB5"/>
    <w:rsid w:val="52F959F0"/>
    <w:rsid w:val="5302488E"/>
    <w:rsid w:val="53136173"/>
    <w:rsid w:val="539A4AC7"/>
    <w:rsid w:val="53A454FB"/>
    <w:rsid w:val="53D004E8"/>
    <w:rsid w:val="542631B6"/>
    <w:rsid w:val="545F0C78"/>
    <w:rsid w:val="54647343"/>
    <w:rsid w:val="54A61722"/>
    <w:rsid w:val="54B31FAF"/>
    <w:rsid w:val="54E26C0B"/>
    <w:rsid w:val="54FB4092"/>
    <w:rsid w:val="55326D63"/>
    <w:rsid w:val="555D1A10"/>
    <w:rsid w:val="55AF4990"/>
    <w:rsid w:val="55CE2B4A"/>
    <w:rsid w:val="56AC4A78"/>
    <w:rsid w:val="56DB16B9"/>
    <w:rsid w:val="574436DA"/>
    <w:rsid w:val="57772F69"/>
    <w:rsid w:val="577A3463"/>
    <w:rsid w:val="57F967AD"/>
    <w:rsid w:val="58052975"/>
    <w:rsid w:val="5895693C"/>
    <w:rsid w:val="58AC510A"/>
    <w:rsid w:val="58BC4D39"/>
    <w:rsid w:val="58E525CA"/>
    <w:rsid w:val="58FD43FD"/>
    <w:rsid w:val="59080439"/>
    <w:rsid w:val="593D045A"/>
    <w:rsid w:val="5960739E"/>
    <w:rsid w:val="59896D0A"/>
    <w:rsid w:val="59B72684"/>
    <w:rsid w:val="59CC6E29"/>
    <w:rsid w:val="59CE7D0B"/>
    <w:rsid w:val="5A082249"/>
    <w:rsid w:val="5A8613E6"/>
    <w:rsid w:val="5A9579AE"/>
    <w:rsid w:val="5AC468CD"/>
    <w:rsid w:val="5AD813C2"/>
    <w:rsid w:val="5AEE6358"/>
    <w:rsid w:val="5B342B9A"/>
    <w:rsid w:val="5B5953B0"/>
    <w:rsid w:val="5B5B1AB4"/>
    <w:rsid w:val="5B630802"/>
    <w:rsid w:val="5B807F68"/>
    <w:rsid w:val="5B9F5D96"/>
    <w:rsid w:val="5BFB631F"/>
    <w:rsid w:val="5C034D53"/>
    <w:rsid w:val="5C903B7A"/>
    <w:rsid w:val="5E1D6F56"/>
    <w:rsid w:val="5E52187F"/>
    <w:rsid w:val="5E6A13CD"/>
    <w:rsid w:val="5E705D15"/>
    <w:rsid w:val="5E92274E"/>
    <w:rsid w:val="5E93326C"/>
    <w:rsid w:val="5E9F1A7A"/>
    <w:rsid w:val="5EAA6F51"/>
    <w:rsid w:val="5EFB4BA4"/>
    <w:rsid w:val="5F5F46B5"/>
    <w:rsid w:val="5F895CFD"/>
    <w:rsid w:val="5FB25360"/>
    <w:rsid w:val="5FBA3CC0"/>
    <w:rsid w:val="5FD90D61"/>
    <w:rsid w:val="60177697"/>
    <w:rsid w:val="602329DB"/>
    <w:rsid w:val="602C13CC"/>
    <w:rsid w:val="607777D6"/>
    <w:rsid w:val="60911000"/>
    <w:rsid w:val="60BC76A1"/>
    <w:rsid w:val="610B7637"/>
    <w:rsid w:val="615F5624"/>
    <w:rsid w:val="61847970"/>
    <w:rsid w:val="61BE4076"/>
    <w:rsid w:val="61D215CF"/>
    <w:rsid w:val="622C5484"/>
    <w:rsid w:val="625C563D"/>
    <w:rsid w:val="626A1704"/>
    <w:rsid w:val="62AD7E76"/>
    <w:rsid w:val="62B362C8"/>
    <w:rsid w:val="62C1330E"/>
    <w:rsid w:val="630C5A29"/>
    <w:rsid w:val="6342085E"/>
    <w:rsid w:val="636F415C"/>
    <w:rsid w:val="64785A9C"/>
    <w:rsid w:val="64917820"/>
    <w:rsid w:val="64AA1CC5"/>
    <w:rsid w:val="651D5BE5"/>
    <w:rsid w:val="655F1E1A"/>
    <w:rsid w:val="656B2909"/>
    <w:rsid w:val="65914A0B"/>
    <w:rsid w:val="65A3045D"/>
    <w:rsid w:val="65D97752"/>
    <w:rsid w:val="65E25E59"/>
    <w:rsid w:val="661047DD"/>
    <w:rsid w:val="66307F76"/>
    <w:rsid w:val="66580EAF"/>
    <w:rsid w:val="66694D0D"/>
    <w:rsid w:val="667700C4"/>
    <w:rsid w:val="667B4472"/>
    <w:rsid w:val="66F041A8"/>
    <w:rsid w:val="67056EA1"/>
    <w:rsid w:val="671109C3"/>
    <w:rsid w:val="6721178A"/>
    <w:rsid w:val="6739399A"/>
    <w:rsid w:val="673F39DE"/>
    <w:rsid w:val="674C5D22"/>
    <w:rsid w:val="67663AF8"/>
    <w:rsid w:val="67762CFD"/>
    <w:rsid w:val="6777598C"/>
    <w:rsid w:val="677A678D"/>
    <w:rsid w:val="67936CBD"/>
    <w:rsid w:val="68011379"/>
    <w:rsid w:val="68252C37"/>
    <w:rsid w:val="68817BAC"/>
    <w:rsid w:val="689A5E59"/>
    <w:rsid w:val="68E91861"/>
    <w:rsid w:val="68EE72DF"/>
    <w:rsid w:val="690F0B4D"/>
    <w:rsid w:val="692E2EB0"/>
    <w:rsid w:val="69485FEA"/>
    <w:rsid w:val="694C7BCA"/>
    <w:rsid w:val="69677DC0"/>
    <w:rsid w:val="69937EC7"/>
    <w:rsid w:val="69D64558"/>
    <w:rsid w:val="6A042548"/>
    <w:rsid w:val="6A471EFD"/>
    <w:rsid w:val="6A7F64C7"/>
    <w:rsid w:val="6A90616B"/>
    <w:rsid w:val="6AB51A05"/>
    <w:rsid w:val="6AB57116"/>
    <w:rsid w:val="6AE73176"/>
    <w:rsid w:val="6B17424A"/>
    <w:rsid w:val="6B2218FA"/>
    <w:rsid w:val="6B691672"/>
    <w:rsid w:val="6BC8641A"/>
    <w:rsid w:val="6BE97F42"/>
    <w:rsid w:val="6BEF3E88"/>
    <w:rsid w:val="6C296590"/>
    <w:rsid w:val="6C58423F"/>
    <w:rsid w:val="6C5E6A51"/>
    <w:rsid w:val="6C65048B"/>
    <w:rsid w:val="6C6513C3"/>
    <w:rsid w:val="6C744268"/>
    <w:rsid w:val="6CD62D03"/>
    <w:rsid w:val="6CD97FB6"/>
    <w:rsid w:val="6D4B22B8"/>
    <w:rsid w:val="6D4F2026"/>
    <w:rsid w:val="6D930013"/>
    <w:rsid w:val="6DDA16D9"/>
    <w:rsid w:val="6E1A1656"/>
    <w:rsid w:val="6E231DD6"/>
    <w:rsid w:val="6E5A5288"/>
    <w:rsid w:val="6E5D2F46"/>
    <w:rsid w:val="6EE013EE"/>
    <w:rsid w:val="6EE079F1"/>
    <w:rsid w:val="6EE42C42"/>
    <w:rsid w:val="6F7F7CB0"/>
    <w:rsid w:val="6FE0165C"/>
    <w:rsid w:val="6FE6309C"/>
    <w:rsid w:val="6FF0551E"/>
    <w:rsid w:val="70222744"/>
    <w:rsid w:val="706D2B21"/>
    <w:rsid w:val="707B1384"/>
    <w:rsid w:val="70857A34"/>
    <w:rsid w:val="70985D3C"/>
    <w:rsid w:val="70F40FA1"/>
    <w:rsid w:val="71047C73"/>
    <w:rsid w:val="7109004F"/>
    <w:rsid w:val="71103167"/>
    <w:rsid w:val="712E56F7"/>
    <w:rsid w:val="71642194"/>
    <w:rsid w:val="71691ABB"/>
    <w:rsid w:val="7169386A"/>
    <w:rsid w:val="71AE1AEA"/>
    <w:rsid w:val="71CF3B6C"/>
    <w:rsid w:val="71F80F33"/>
    <w:rsid w:val="722013F6"/>
    <w:rsid w:val="722922C6"/>
    <w:rsid w:val="722A49B5"/>
    <w:rsid w:val="728121EC"/>
    <w:rsid w:val="732D4B5D"/>
    <w:rsid w:val="73393C88"/>
    <w:rsid w:val="7362513F"/>
    <w:rsid w:val="7372081D"/>
    <w:rsid w:val="73740A39"/>
    <w:rsid w:val="73771D49"/>
    <w:rsid w:val="73A1354E"/>
    <w:rsid w:val="74A11E7D"/>
    <w:rsid w:val="74B25745"/>
    <w:rsid w:val="74C12F49"/>
    <w:rsid w:val="74F97739"/>
    <w:rsid w:val="750E2D70"/>
    <w:rsid w:val="75590B0A"/>
    <w:rsid w:val="7582279F"/>
    <w:rsid w:val="75843EB5"/>
    <w:rsid w:val="75BB71AF"/>
    <w:rsid w:val="75F01962"/>
    <w:rsid w:val="75F86E00"/>
    <w:rsid w:val="75FC2261"/>
    <w:rsid w:val="76037E52"/>
    <w:rsid w:val="760E19DF"/>
    <w:rsid w:val="761B75CE"/>
    <w:rsid w:val="76676A53"/>
    <w:rsid w:val="76B620A1"/>
    <w:rsid w:val="76F20814"/>
    <w:rsid w:val="77462524"/>
    <w:rsid w:val="7754544E"/>
    <w:rsid w:val="77A21064"/>
    <w:rsid w:val="77E34EB2"/>
    <w:rsid w:val="781564B8"/>
    <w:rsid w:val="78224ACF"/>
    <w:rsid w:val="783D4D66"/>
    <w:rsid w:val="788A2AAC"/>
    <w:rsid w:val="789645EE"/>
    <w:rsid w:val="78CD6DCC"/>
    <w:rsid w:val="78D07CAF"/>
    <w:rsid w:val="78DE12D7"/>
    <w:rsid w:val="78FC2038"/>
    <w:rsid w:val="78FC33D7"/>
    <w:rsid w:val="79210683"/>
    <w:rsid w:val="792417A2"/>
    <w:rsid w:val="798810B6"/>
    <w:rsid w:val="799C3465"/>
    <w:rsid w:val="79B14EC4"/>
    <w:rsid w:val="79BE1ECC"/>
    <w:rsid w:val="79C95345"/>
    <w:rsid w:val="7A2A6B4A"/>
    <w:rsid w:val="7A681070"/>
    <w:rsid w:val="7A860C7C"/>
    <w:rsid w:val="7AAD79E7"/>
    <w:rsid w:val="7AB879FE"/>
    <w:rsid w:val="7B3264DD"/>
    <w:rsid w:val="7B7374F2"/>
    <w:rsid w:val="7B81188A"/>
    <w:rsid w:val="7B9E2902"/>
    <w:rsid w:val="7BA434D7"/>
    <w:rsid w:val="7BC854E2"/>
    <w:rsid w:val="7C0562EC"/>
    <w:rsid w:val="7C27683F"/>
    <w:rsid w:val="7C8B6DF3"/>
    <w:rsid w:val="7CB14B4D"/>
    <w:rsid w:val="7CF26969"/>
    <w:rsid w:val="7D25523C"/>
    <w:rsid w:val="7DB23041"/>
    <w:rsid w:val="7DFE3170"/>
    <w:rsid w:val="7E5F7809"/>
    <w:rsid w:val="7EB22415"/>
    <w:rsid w:val="7ED56C53"/>
    <w:rsid w:val="7EEA1BAF"/>
    <w:rsid w:val="7F5460D4"/>
    <w:rsid w:val="7F552892"/>
    <w:rsid w:val="7FFD78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9" w:semiHidden="0" w:name="heading 3"/>
    <w:lsdException w:qFormat="1" w:uiPriority="9" w:semiHidden="0" w:name="heading 4"/>
    <w:lsdException w:qFormat="1" w:uiPriority="0" w:semiHidden="0" w:name="heading 5"/>
    <w:lsdException w:qFormat="1" w:uiPriority="0" w:semiHidden="0" w:name="heading 6"/>
    <w:lsdException w:qFormat="1" w:uiPriority="9"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qFormat="1" w:unhideWhenUsed="0" w:uiPriority="0" w:semiHidden="0"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4">
    <w:name w:val="heading 1"/>
    <w:basedOn w:val="1"/>
    <w:next w:val="1"/>
    <w:link w:val="49"/>
    <w:qFormat/>
    <w:uiPriority w:val="0"/>
    <w:pPr>
      <w:keepNext/>
      <w:keepLines/>
      <w:jc w:val="center"/>
      <w:outlineLvl w:val="0"/>
    </w:pPr>
    <w:rPr>
      <w:b/>
      <w:bCs/>
      <w:kern w:val="44"/>
      <w:sz w:val="36"/>
      <w:szCs w:val="44"/>
    </w:rPr>
  </w:style>
  <w:style w:type="paragraph" w:styleId="5">
    <w:name w:val="heading 2"/>
    <w:basedOn w:val="1"/>
    <w:next w:val="1"/>
    <w:link w:val="50"/>
    <w:qFormat/>
    <w:uiPriority w:val="9"/>
    <w:pPr>
      <w:keepNext/>
      <w:keepLines/>
      <w:spacing w:line="360" w:lineRule="auto"/>
      <w:outlineLvl w:val="1"/>
    </w:pPr>
    <w:rPr>
      <w:rFonts w:ascii="Arial" w:hAnsi="Arial" w:eastAsia="宋体" w:cs="Times New Roman"/>
      <w:b/>
      <w:bCs/>
      <w:sz w:val="24"/>
      <w:szCs w:val="32"/>
    </w:rPr>
  </w:style>
  <w:style w:type="paragraph" w:styleId="6">
    <w:name w:val="heading 3"/>
    <w:basedOn w:val="1"/>
    <w:next w:val="1"/>
    <w:link w:val="51"/>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7">
    <w:name w:val="heading 4"/>
    <w:basedOn w:val="1"/>
    <w:next w:val="1"/>
    <w:unhideWhenUsed/>
    <w:qFormat/>
    <w:uiPriority w:val="9"/>
    <w:pPr>
      <w:keepNext/>
      <w:keepLines/>
      <w:spacing w:before="280" w:after="290" w:line="372" w:lineRule="auto"/>
      <w:outlineLvl w:val="3"/>
    </w:pPr>
    <w:rPr>
      <w:rFonts w:ascii="Arial" w:hAnsi="Arial" w:eastAsia="黑体"/>
      <w:b/>
      <w:sz w:val="28"/>
    </w:rPr>
  </w:style>
  <w:style w:type="paragraph" w:styleId="8">
    <w:name w:val="heading 5"/>
    <w:basedOn w:val="1"/>
    <w:next w:val="1"/>
    <w:unhideWhenUsed/>
    <w:qFormat/>
    <w:uiPriority w:val="0"/>
    <w:pPr>
      <w:keepNext/>
      <w:keepLines/>
      <w:spacing w:before="280" w:after="290" w:line="376" w:lineRule="auto"/>
      <w:outlineLvl w:val="4"/>
    </w:pPr>
    <w:rPr>
      <w:rFonts w:ascii="Times New Roman" w:hAnsi="Times New Roman" w:eastAsia="宋体" w:cs="Times New Roman"/>
      <w:b/>
      <w:bCs/>
      <w:sz w:val="28"/>
      <w:szCs w:val="28"/>
    </w:rPr>
  </w:style>
  <w:style w:type="paragraph" w:styleId="9">
    <w:name w:val="heading 6"/>
    <w:basedOn w:val="1"/>
    <w:next w:val="1"/>
    <w:unhideWhenUsed/>
    <w:qFormat/>
    <w:uiPriority w:val="0"/>
    <w:pPr>
      <w:keepNext/>
      <w:keepLines/>
      <w:spacing w:before="240" w:after="64" w:line="320" w:lineRule="auto"/>
      <w:outlineLvl w:val="5"/>
    </w:pPr>
    <w:rPr>
      <w:rFonts w:ascii="等线 Light" w:hAnsi="等线 Light" w:eastAsia="等线 Light" w:cs="Times New Roman"/>
      <w:b/>
      <w:bCs/>
      <w:sz w:val="24"/>
      <w:szCs w:val="24"/>
    </w:rPr>
  </w:style>
  <w:style w:type="character" w:default="1" w:styleId="41">
    <w:name w:val="Default Paragraph Font"/>
    <w:semiHidden/>
    <w:unhideWhenUsed/>
    <w:qFormat/>
    <w:uiPriority w:val="1"/>
  </w:style>
  <w:style w:type="table" w:default="1" w:styleId="39">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1"/>
    <w:semiHidden/>
    <w:qFormat/>
    <w:uiPriority w:val="99"/>
    <w:pPr>
      <w:spacing w:line="276" w:lineRule="auto"/>
      <w:ind w:firstLine="420" w:firstLineChars="200"/>
      <w:jc w:val="left"/>
    </w:pPr>
  </w:style>
  <w:style w:type="paragraph" w:styleId="3">
    <w:name w:val="Body Text Indent"/>
    <w:basedOn w:val="1"/>
    <w:link w:val="81"/>
    <w:qFormat/>
    <w:uiPriority w:val="99"/>
    <w:pPr>
      <w:spacing w:after="120"/>
      <w:ind w:left="420" w:leftChars="200"/>
    </w:pPr>
    <w:rPr>
      <w:rFonts w:ascii="Calibri" w:hAnsi="Calibri" w:eastAsia="宋体" w:cs="Times New Roman"/>
      <w:szCs w:val="20"/>
    </w:rPr>
  </w:style>
  <w:style w:type="paragraph" w:styleId="10">
    <w:name w:val="toc 7"/>
    <w:basedOn w:val="1"/>
    <w:next w:val="1"/>
    <w:qFormat/>
    <w:uiPriority w:val="39"/>
    <w:pPr>
      <w:ind w:left="1440"/>
      <w:jc w:val="left"/>
    </w:pPr>
    <w:rPr>
      <w:rFonts w:ascii="Calibri" w:hAnsi="Calibri" w:eastAsia="宋体" w:cs="Times New Roman"/>
      <w:sz w:val="18"/>
      <w:szCs w:val="18"/>
    </w:rPr>
  </w:style>
  <w:style w:type="paragraph" w:styleId="11">
    <w:name w:val="Normal Indent"/>
    <w:basedOn w:val="1"/>
    <w:qFormat/>
    <w:uiPriority w:val="0"/>
    <w:pPr>
      <w:ind w:firstLine="420"/>
    </w:pPr>
    <w:rPr>
      <w:rFonts w:ascii="Times New Roman" w:hAnsi="Times New Roman"/>
      <w:kern w:val="0"/>
      <w:sz w:val="20"/>
      <w:szCs w:val="20"/>
    </w:rPr>
  </w:style>
  <w:style w:type="paragraph" w:styleId="12">
    <w:name w:val="caption"/>
    <w:basedOn w:val="1"/>
    <w:next w:val="1"/>
    <w:qFormat/>
    <w:uiPriority w:val="35"/>
    <w:pPr>
      <w:spacing w:before="152" w:after="160"/>
    </w:pPr>
    <w:rPr>
      <w:rFonts w:ascii="Arial" w:hAnsi="Arial" w:eastAsia="黑体" w:cs="Arial"/>
      <w:sz w:val="20"/>
      <w:szCs w:val="20"/>
    </w:rPr>
  </w:style>
  <w:style w:type="paragraph" w:styleId="13">
    <w:name w:val="Document Map"/>
    <w:basedOn w:val="1"/>
    <w:link w:val="72"/>
    <w:qFormat/>
    <w:uiPriority w:val="0"/>
    <w:pPr>
      <w:shd w:val="clear" w:color="auto" w:fill="000080"/>
    </w:pPr>
    <w:rPr>
      <w:sz w:val="24"/>
    </w:rPr>
  </w:style>
  <w:style w:type="paragraph" w:styleId="14">
    <w:name w:val="toa heading"/>
    <w:basedOn w:val="1"/>
    <w:next w:val="1"/>
    <w:qFormat/>
    <w:uiPriority w:val="99"/>
    <w:pPr>
      <w:spacing w:before="120"/>
    </w:pPr>
    <w:rPr>
      <w:rFonts w:ascii="Arial" w:hAnsi="Arial" w:eastAsia="宋体" w:cs="Arial"/>
      <w:sz w:val="24"/>
      <w:szCs w:val="24"/>
    </w:rPr>
  </w:style>
  <w:style w:type="paragraph" w:styleId="15">
    <w:name w:val="annotation text"/>
    <w:basedOn w:val="1"/>
    <w:link w:val="63"/>
    <w:qFormat/>
    <w:uiPriority w:val="0"/>
    <w:pPr>
      <w:jc w:val="left"/>
    </w:pPr>
  </w:style>
  <w:style w:type="paragraph" w:styleId="16">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17">
    <w:name w:val="Body Text"/>
    <w:basedOn w:val="1"/>
    <w:link w:val="84"/>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18">
    <w:name w:val="index 4"/>
    <w:basedOn w:val="1"/>
    <w:next w:val="1"/>
    <w:qFormat/>
    <w:uiPriority w:val="0"/>
    <w:pPr>
      <w:ind w:left="600" w:leftChars="600"/>
    </w:pPr>
  </w:style>
  <w:style w:type="paragraph" w:styleId="19">
    <w:name w:val="toc 5"/>
    <w:basedOn w:val="1"/>
    <w:next w:val="1"/>
    <w:qFormat/>
    <w:uiPriority w:val="39"/>
    <w:pPr>
      <w:ind w:left="960"/>
      <w:jc w:val="left"/>
    </w:pPr>
    <w:rPr>
      <w:rFonts w:ascii="Calibri" w:hAnsi="Calibri" w:eastAsia="宋体" w:cs="Times New Roman"/>
      <w:sz w:val="18"/>
      <w:szCs w:val="18"/>
    </w:rPr>
  </w:style>
  <w:style w:type="paragraph" w:styleId="20">
    <w:name w:val="toc 3"/>
    <w:basedOn w:val="1"/>
    <w:next w:val="1"/>
    <w:qFormat/>
    <w:uiPriority w:val="39"/>
    <w:pPr>
      <w:ind w:left="480"/>
      <w:jc w:val="left"/>
    </w:pPr>
    <w:rPr>
      <w:rFonts w:ascii="Calibri" w:hAnsi="Calibri" w:eastAsia="宋体" w:cs="Times New Roman"/>
      <w:i/>
      <w:iCs/>
      <w:sz w:val="20"/>
      <w:szCs w:val="20"/>
    </w:rPr>
  </w:style>
  <w:style w:type="paragraph" w:styleId="21">
    <w:name w:val="Plain Text"/>
    <w:basedOn w:val="1"/>
    <w:link w:val="74"/>
    <w:qFormat/>
    <w:uiPriority w:val="0"/>
    <w:rPr>
      <w:rFonts w:ascii="宋体" w:hAnsi="Courier New"/>
    </w:rPr>
  </w:style>
  <w:style w:type="paragraph" w:styleId="22">
    <w:name w:val="toc 8"/>
    <w:basedOn w:val="1"/>
    <w:next w:val="1"/>
    <w:qFormat/>
    <w:uiPriority w:val="39"/>
    <w:pPr>
      <w:ind w:left="1680"/>
      <w:jc w:val="left"/>
    </w:pPr>
    <w:rPr>
      <w:rFonts w:ascii="Calibri" w:hAnsi="Calibri" w:eastAsia="宋体" w:cs="Times New Roman"/>
      <w:sz w:val="18"/>
      <w:szCs w:val="18"/>
    </w:rPr>
  </w:style>
  <w:style w:type="paragraph" w:styleId="23">
    <w:name w:val="Date"/>
    <w:basedOn w:val="1"/>
    <w:next w:val="1"/>
    <w:link w:val="65"/>
    <w:qFormat/>
    <w:uiPriority w:val="0"/>
    <w:pPr>
      <w:ind w:left="100" w:leftChars="2500"/>
    </w:pPr>
    <w:rPr>
      <w:sz w:val="24"/>
    </w:rPr>
  </w:style>
  <w:style w:type="paragraph" w:styleId="24">
    <w:name w:val="Body Text Indent 2"/>
    <w:basedOn w:val="1"/>
    <w:link w:val="53"/>
    <w:qFormat/>
    <w:uiPriority w:val="0"/>
    <w:pPr>
      <w:spacing w:after="120" w:line="480" w:lineRule="auto"/>
      <w:ind w:left="420" w:leftChars="200"/>
    </w:pPr>
  </w:style>
  <w:style w:type="paragraph" w:styleId="25">
    <w:name w:val="Balloon Text"/>
    <w:basedOn w:val="1"/>
    <w:link w:val="69"/>
    <w:qFormat/>
    <w:uiPriority w:val="0"/>
    <w:rPr>
      <w:sz w:val="18"/>
    </w:rPr>
  </w:style>
  <w:style w:type="paragraph" w:styleId="26">
    <w:name w:val="footer"/>
    <w:basedOn w:val="1"/>
    <w:link w:val="75"/>
    <w:qFormat/>
    <w:uiPriority w:val="99"/>
    <w:pPr>
      <w:tabs>
        <w:tab w:val="center" w:pos="4153"/>
        <w:tab w:val="right" w:pos="8306"/>
      </w:tabs>
      <w:snapToGrid w:val="0"/>
      <w:jc w:val="left"/>
    </w:pPr>
    <w:rPr>
      <w:sz w:val="18"/>
    </w:rPr>
  </w:style>
  <w:style w:type="paragraph" w:styleId="27">
    <w:name w:val="header"/>
    <w:basedOn w:val="1"/>
    <w:link w:val="61"/>
    <w:qFormat/>
    <w:uiPriority w:val="0"/>
    <w:pPr>
      <w:pBdr>
        <w:bottom w:val="single" w:color="auto" w:sz="6" w:space="1"/>
      </w:pBdr>
      <w:tabs>
        <w:tab w:val="center" w:pos="4153"/>
        <w:tab w:val="right" w:pos="8306"/>
      </w:tabs>
      <w:snapToGrid w:val="0"/>
      <w:jc w:val="center"/>
    </w:pPr>
    <w:rPr>
      <w:sz w:val="18"/>
    </w:rPr>
  </w:style>
  <w:style w:type="paragraph" w:styleId="28">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29">
    <w:name w:val="toc 4"/>
    <w:basedOn w:val="1"/>
    <w:next w:val="1"/>
    <w:qFormat/>
    <w:uiPriority w:val="39"/>
    <w:pPr>
      <w:ind w:left="720"/>
      <w:jc w:val="left"/>
    </w:pPr>
    <w:rPr>
      <w:rFonts w:ascii="Calibri" w:hAnsi="Calibri" w:eastAsia="宋体" w:cs="Times New Roman"/>
      <w:sz w:val="18"/>
      <w:szCs w:val="18"/>
    </w:rPr>
  </w:style>
  <w:style w:type="paragraph" w:styleId="30">
    <w:name w:val="List"/>
    <w:basedOn w:val="1"/>
    <w:qFormat/>
    <w:uiPriority w:val="99"/>
    <w:pPr>
      <w:ind w:left="420" w:hanging="420"/>
    </w:pPr>
    <w:rPr>
      <w:rFonts w:ascii="Times New Roman" w:hAnsi="Times New Roman" w:eastAsia="宋体" w:cs="Times New Roman"/>
      <w:szCs w:val="20"/>
    </w:rPr>
  </w:style>
  <w:style w:type="paragraph" w:styleId="31">
    <w:name w:val="toc 6"/>
    <w:basedOn w:val="1"/>
    <w:next w:val="1"/>
    <w:qFormat/>
    <w:uiPriority w:val="39"/>
    <w:pPr>
      <w:ind w:left="1200"/>
      <w:jc w:val="left"/>
    </w:pPr>
    <w:rPr>
      <w:rFonts w:ascii="Calibri" w:hAnsi="Calibri" w:eastAsia="宋体" w:cs="Times New Roman"/>
      <w:sz w:val="18"/>
      <w:szCs w:val="18"/>
    </w:rPr>
  </w:style>
  <w:style w:type="paragraph" w:styleId="32">
    <w:name w:val="Body Text Indent 3"/>
    <w:basedOn w:val="1"/>
    <w:link w:val="55"/>
    <w:qFormat/>
    <w:uiPriority w:val="0"/>
    <w:pPr>
      <w:spacing w:after="120"/>
      <w:ind w:left="420" w:leftChars="200"/>
    </w:pPr>
    <w:rPr>
      <w:sz w:val="16"/>
    </w:rPr>
  </w:style>
  <w:style w:type="paragraph" w:styleId="33">
    <w:name w:val="toc 2"/>
    <w:basedOn w:val="1"/>
    <w:next w:val="1"/>
    <w:unhideWhenUsed/>
    <w:qFormat/>
    <w:uiPriority w:val="39"/>
    <w:pPr>
      <w:ind w:left="420" w:leftChars="200"/>
    </w:pPr>
    <w:rPr>
      <w:rFonts w:ascii="Calibri" w:hAnsi="Calibri" w:eastAsia="宋体" w:cs="Times New Roman"/>
      <w:szCs w:val="20"/>
    </w:rPr>
  </w:style>
  <w:style w:type="paragraph" w:styleId="34">
    <w:name w:val="toc 9"/>
    <w:basedOn w:val="1"/>
    <w:next w:val="1"/>
    <w:qFormat/>
    <w:uiPriority w:val="39"/>
    <w:pPr>
      <w:ind w:left="1920"/>
      <w:jc w:val="left"/>
    </w:pPr>
    <w:rPr>
      <w:rFonts w:ascii="Calibri" w:hAnsi="Calibri" w:eastAsia="宋体" w:cs="Times New Roman"/>
      <w:sz w:val="18"/>
      <w:szCs w:val="18"/>
    </w:rPr>
  </w:style>
  <w:style w:type="paragraph" w:styleId="35">
    <w:name w:val="Normal (Web)"/>
    <w:basedOn w:val="1"/>
    <w:qFormat/>
    <w:uiPriority w:val="99"/>
    <w:rPr>
      <w:rFonts w:ascii="Calibri" w:hAnsi="Calibri" w:eastAsia="宋体" w:cs="Times New Roman"/>
      <w:sz w:val="24"/>
      <w:szCs w:val="20"/>
    </w:rPr>
  </w:style>
  <w:style w:type="paragraph" w:styleId="36">
    <w:name w:val="index 1"/>
    <w:basedOn w:val="1"/>
    <w:next w:val="1"/>
    <w:qFormat/>
    <w:uiPriority w:val="99"/>
    <w:rPr>
      <w:rFonts w:ascii="Calibri" w:hAnsi="Calibri" w:eastAsia="宋体" w:cs="Times New Roman"/>
      <w:sz w:val="24"/>
      <w:szCs w:val="24"/>
    </w:rPr>
  </w:style>
  <w:style w:type="paragraph" w:styleId="37">
    <w:name w:val="Title"/>
    <w:basedOn w:val="1"/>
    <w:next w:val="1"/>
    <w:link w:val="64"/>
    <w:qFormat/>
    <w:uiPriority w:val="0"/>
    <w:pPr>
      <w:spacing w:before="160" w:after="40" w:line="240" w:lineRule="atLeast"/>
      <w:ind w:left="425" w:hanging="425"/>
      <w:jc w:val="center"/>
      <w:outlineLvl w:val="0"/>
    </w:pPr>
    <w:rPr>
      <w:rFonts w:ascii="Arial" w:hAnsi="Arial"/>
      <w:b/>
      <w:sz w:val="32"/>
    </w:rPr>
  </w:style>
  <w:style w:type="paragraph" w:styleId="38">
    <w:name w:val="annotation subject"/>
    <w:basedOn w:val="15"/>
    <w:next w:val="15"/>
    <w:link w:val="54"/>
    <w:qFormat/>
    <w:uiPriority w:val="0"/>
    <w:rPr>
      <w:b/>
    </w:rPr>
  </w:style>
  <w:style w:type="table" w:styleId="40">
    <w:name w:val="Table Grid"/>
    <w:basedOn w:val="39"/>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2">
    <w:name w:val="Strong"/>
    <w:basedOn w:val="41"/>
    <w:qFormat/>
    <w:uiPriority w:val="22"/>
    <w:rPr>
      <w:b/>
    </w:rPr>
  </w:style>
  <w:style w:type="character" w:styleId="43">
    <w:name w:val="page number"/>
    <w:basedOn w:val="41"/>
    <w:qFormat/>
    <w:uiPriority w:val="99"/>
    <w:rPr>
      <w:rFonts w:cs="Times New Roman"/>
    </w:rPr>
  </w:style>
  <w:style w:type="character" w:styleId="44">
    <w:name w:val="FollowedHyperlink"/>
    <w:basedOn w:val="41"/>
    <w:qFormat/>
    <w:uiPriority w:val="99"/>
    <w:rPr>
      <w:color w:val="800080"/>
      <w:u w:val="single"/>
    </w:rPr>
  </w:style>
  <w:style w:type="character" w:styleId="45">
    <w:name w:val="Emphasis"/>
    <w:qFormat/>
    <w:uiPriority w:val="99"/>
    <w:rPr>
      <w:rFonts w:cs="Times New Roman"/>
      <w:color w:val="auto"/>
    </w:rPr>
  </w:style>
  <w:style w:type="character" w:styleId="46">
    <w:name w:val="HTML Acronym"/>
    <w:basedOn w:val="41"/>
    <w:qFormat/>
    <w:uiPriority w:val="99"/>
  </w:style>
  <w:style w:type="character" w:styleId="47">
    <w:name w:val="Hyperlink"/>
    <w:basedOn w:val="41"/>
    <w:qFormat/>
    <w:uiPriority w:val="99"/>
    <w:rPr>
      <w:color w:val="1F4F88"/>
      <w:u w:val="none"/>
    </w:rPr>
  </w:style>
  <w:style w:type="character" w:styleId="48">
    <w:name w:val="annotation reference"/>
    <w:basedOn w:val="41"/>
    <w:qFormat/>
    <w:uiPriority w:val="99"/>
    <w:rPr>
      <w:sz w:val="21"/>
    </w:rPr>
  </w:style>
  <w:style w:type="character" w:customStyle="1" w:styleId="49">
    <w:name w:val="标题 1 字符"/>
    <w:basedOn w:val="41"/>
    <w:link w:val="4"/>
    <w:qFormat/>
    <w:uiPriority w:val="0"/>
    <w:rPr>
      <w:rFonts w:ascii="Calibri" w:hAnsi="Calibri" w:eastAsia="宋体" w:cs="Times New Roman"/>
      <w:b/>
      <w:bCs/>
      <w:kern w:val="44"/>
      <w:sz w:val="36"/>
      <w:szCs w:val="44"/>
    </w:rPr>
  </w:style>
  <w:style w:type="character" w:customStyle="1" w:styleId="50">
    <w:name w:val="标题 2 字符"/>
    <w:basedOn w:val="41"/>
    <w:link w:val="5"/>
    <w:qFormat/>
    <w:uiPriority w:val="9"/>
    <w:rPr>
      <w:rFonts w:ascii="Arial" w:hAnsi="Arial" w:eastAsia="宋体" w:cs="Times New Roman"/>
      <w:b/>
      <w:bCs/>
      <w:sz w:val="24"/>
      <w:szCs w:val="32"/>
    </w:rPr>
  </w:style>
  <w:style w:type="character" w:customStyle="1" w:styleId="51">
    <w:name w:val="标题 3 字符"/>
    <w:basedOn w:val="41"/>
    <w:link w:val="6"/>
    <w:semiHidden/>
    <w:qFormat/>
    <w:uiPriority w:val="9"/>
    <w:rPr>
      <w:rFonts w:ascii="Calibri" w:hAnsi="Calibri" w:eastAsia="宋体" w:cs="Times New Roman"/>
      <w:b/>
      <w:bCs/>
      <w:sz w:val="32"/>
      <w:szCs w:val="32"/>
    </w:rPr>
  </w:style>
  <w:style w:type="character" w:customStyle="1" w:styleId="52">
    <w:name w:val="Char Char3"/>
    <w:qFormat/>
    <w:uiPriority w:val="0"/>
    <w:rPr>
      <w:rFonts w:ascii="宋体" w:hAnsi="Courier New" w:eastAsia="宋体"/>
      <w:kern w:val="2"/>
      <w:sz w:val="21"/>
      <w:lang w:val="en-US" w:eastAsia="zh-CN"/>
    </w:rPr>
  </w:style>
  <w:style w:type="character" w:customStyle="1" w:styleId="53">
    <w:name w:val="正文文本缩进 2 字符"/>
    <w:link w:val="24"/>
    <w:qFormat/>
    <w:locked/>
    <w:uiPriority w:val="0"/>
  </w:style>
  <w:style w:type="character" w:customStyle="1" w:styleId="54">
    <w:name w:val="批注主题 字符"/>
    <w:link w:val="38"/>
    <w:qFormat/>
    <w:locked/>
    <w:uiPriority w:val="0"/>
    <w:rPr>
      <w:b/>
    </w:rPr>
  </w:style>
  <w:style w:type="character" w:customStyle="1" w:styleId="55">
    <w:name w:val="正文文本缩进 3 字符"/>
    <w:link w:val="32"/>
    <w:qFormat/>
    <w:locked/>
    <w:uiPriority w:val="0"/>
    <w:rPr>
      <w:sz w:val="16"/>
    </w:rPr>
  </w:style>
  <w:style w:type="character" w:customStyle="1" w:styleId="56">
    <w:name w:val="纯文本 Char"/>
    <w:qFormat/>
    <w:uiPriority w:val="0"/>
    <w:rPr>
      <w:rFonts w:ascii="宋体" w:hAnsi="Courier New" w:eastAsia="宋体"/>
      <w:kern w:val="2"/>
      <w:sz w:val="21"/>
      <w:lang w:val="en-US" w:eastAsia="zh-CN"/>
    </w:rPr>
  </w:style>
  <w:style w:type="character" w:customStyle="1" w:styleId="57">
    <w:name w:val="Char Char2"/>
    <w:qFormat/>
    <w:uiPriority w:val="0"/>
    <w:rPr>
      <w:rFonts w:ascii="宋体" w:hAnsi="Courier New"/>
      <w:kern w:val="2"/>
      <w:sz w:val="21"/>
    </w:rPr>
  </w:style>
  <w:style w:type="character" w:customStyle="1" w:styleId="58">
    <w:name w:val="列出段落 字符"/>
    <w:link w:val="59"/>
    <w:qFormat/>
    <w:locked/>
    <w:uiPriority w:val="34"/>
    <w:rPr>
      <w:sz w:val="22"/>
    </w:rPr>
  </w:style>
  <w:style w:type="paragraph" w:customStyle="1" w:styleId="59">
    <w:name w:val="列出段落1"/>
    <w:basedOn w:val="1"/>
    <w:link w:val="58"/>
    <w:qFormat/>
    <w:uiPriority w:val="34"/>
    <w:pPr>
      <w:ind w:firstLine="420" w:firstLineChars="200"/>
    </w:pPr>
    <w:rPr>
      <w:sz w:val="22"/>
    </w:rPr>
  </w:style>
  <w:style w:type="character" w:customStyle="1" w:styleId="60">
    <w:name w:val="apple-converted-space"/>
    <w:basedOn w:val="41"/>
    <w:qFormat/>
    <w:uiPriority w:val="0"/>
    <w:rPr>
      <w:rFonts w:cs="Times New Roman"/>
    </w:rPr>
  </w:style>
  <w:style w:type="character" w:customStyle="1" w:styleId="61">
    <w:name w:val="页眉 字符"/>
    <w:link w:val="27"/>
    <w:qFormat/>
    <w:locked/>
    <w:uiPriority w:val="0"/>
    <w:rPr>
      <w:sz w:val="18"/>
    </w:rPr>
  </w:style>
  <w:style w:type="character" w:customStyle="1" w:styleId="62">
    <w:name w:val="BODY TEXT Char"/>
    <w:qFormat/>
    <w:locked/>
    <w:uiPriority w:val="0"/>
    <w:rPr>
      <w:rFonts w:eastAsia="新宋体"/>
      <w:kern w:val="2"/>
      <w:sz w:val="21"/>
    </w:rPr>
  </w:style>
  <w:style w:type="character" w:customStyle="1" w:styleId="63">
    <w:name w:val="批注文字 字符"/>
    <w:link w:val="15"/>
    <w:qFormat/>
    <w:locked/>
    <w:uiPriority w:val="0"/>
  </w:style>
  <w:style w:type="character" w:customStyle="1" w:styleId="64">
    <w:name w:val="标题 字符"/>
    <w:link w:val="37"/>
    <w:qFormat/>
    <w:locked/>
    <w:uiPriority w:val="0"/>
    <w:rPr>
      <w:rFonts w:ascii="Arial" w:hAnsi="Arial"/>
      <w:b/>
      <w:sz w:val="32"/>
    </w:rPr>
  </w:style>
  <w:style w:type="character" w:customStyle="1" w:styleId="65">
    <w:name w:val="日期 字符"/>
    <w:link w:val="23"/>
    <w:qFormat/>
    <w:locked/>
    <w:uiPriority w:val="0"/>
    <w:rPr>
      <w:sz w:val="24"/>
    </w:rPr>
  </w:style>
  <w:style w:type="character" w:customStyle="1" w:styleId="66">
    <w:name w:val="ATXT_Bullets Zchn"/>
    <w:link w:val="67"/>
    <w:qFormat/>
    <w:locked/>
    <w:uiPriority w:val="99"/>
    <w:rPr>
      <w:rFonts w:ascii="Arial" w:hAnsi="Arial"/>
      <w:lang w:val="de-AT" w:eastAsia="zh-CN"/>
    </w:rPr>
  </w:style>
  <w:style w:type="paragraph" w:customStyle="1" w:styleId="67">
    <w:name w:val="ATXT_Bullets"/>
    <w:link w:val="66"/>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68">
    <w:name w:val="Char Char5"/>
    <w:qFormat/>
    <w:uiPriority w:val="0"/>
    <w:rPr>
      <w:rFonts w:ascii="宋体" w:hAnsi="Courier New" w:eastAsia="宋体"/>
      <w:kern w:val="2"/>
      <w:sz w:val="21"/>
      <w:lang w:val="en-US" w:eastAsia="zh-CN"/>
    </w:rPr>
  </w:style>
  <w:style w:type="character" w:customStyle="1" w:styleId="69">
    <w:name w:val="批注框文本 字符"/>
    <w:link w:val="25"/>
    <w:qFormat/>
    <w:locked/>
    <w:uiPriority w:val="0"/>
    <w:rPr>
      <w:sz w:val="18"/>
    </w:rPr>
  </w:style>
  <w:style w:type="character" w:customStyle="1" w:styleId="70">
    <w:name w:val="批注文字 Char"/>
    <w:qFormat/>
    <w:uiPriority w:val="0"/>
    <w:rPr>
      <w:kern w:val="2"/>
    </w:rPr>
  </w:style>
  <w:style w:type="character" w:customStyle="1" w:styleId="71">
    <w:name w:val="批注主题 Char"/>
    <w:qFormat/>
    <w:uiPriority w:val="0"/>
    <w:rPr>
      <w:b/>
      <w:kern w:val="2"/>
    </w:rPr>
  </w:style>
  <w:style w:type="character" w:customStyle="1" w:styleId="72">
    <w:name w:val="文档结构图 字符"/>
    <w:link w:val="13"/>
    <w:qFormat/>
    <w:locked/>
    <w:uiPriority w:val="0"/>
    <w:rPr>
      <w:sz w:val="24"/>
      <w:shd w:val="clear" w:color="auto" w:fill="000080"/>
    </w:rPr>
  </w:style>
  <w:style w:type="character" w:customStyle="1" w:styleId="73">
    <w:name w:val="HTML Markup"/>
    <w:qFormat/>
    <w:uiPriority w:val="0"/>
    <w:rPr>
      <w:vanish/>
      <w:color w:val="FF0000"/>
    </w:rPr>
  </w:style>
  <w:style w:type="character" w:customStyle="1" w:styleId="74">
    <w:name w:val="纯文本 字符"/>
    <w:link w:val="21"/>
    <w:qFormat/>
    <w:locked/>
    <w:uiPriority w:val="0"/>
    <w:rPr>
      <w:rFonts w:ascii="宋体" w:hAnsi="Courier New"/>
    </w:rPr>
  </w:style>
  <w:style w:type="character" w:customStyle="1" w:styleId="75">
    <w:name w:val="页脚 字符"/>
    <w:link w:val="26"/>
    <w:qFormat/>
    <w:locked/>
    <w:uiPriority w:val="99"/>
    <w:rPr>
      <w:sz w:val="18"/>
    </w:rPr>
  </w:style>
  <w:style w:type="character" w:customStyle="1" w:styleId="76">
    <w:name w:val="Default Char"/>
    <w:link w:val="77"/>
    <w:qFormat/>
    <w:locked/>
    <w:uiPriority w:val="0"/>
    <w:rPr>
      <w:rFonts w:ascii="仿宋_GB2312" w:eastAsia="仿宋_GB2312"/>
      <w:color w:val="000000"/>
      <w:sz w:val="24"/>
    </w:rPr>
  </w:style>
  <w:style w:type="paragraph" w:customStyle="1" w:styleId="77">
    <w:name w:val="Default"/>
    <w:link w:val="76"/>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78">
    <w:name w:val="页脚 Char"/>
    <w:qFormat/>
    <w:locked/>
    <w:uiPriority w:val="99"/>
    <w:rPr>
      <w:sz w:val="18"/>
    </w:rPr>
  </w:style>
  <w:style w:type="character" w:customStyle="1" w:styleId="79">
    <w:name w:val="批注文字 字符1"/>
    <w:basedOn w:val="41"/>
    <w:semiHidden/>
    <w:qFormat/>
    <w:uiPriority w:val="99"/>
  </w:style>
  <w:style w:type="character" w:customStyle="1" w:styleId="80">
    <w:name w:val="批注文字 字符11"/>
    <w:basedOn w:val="41"/>
    <w:qFormat/>
    <w:uiPriority w:val="0"/>
    <w:rPr>
      <w:rFonts w:cs="Times New Roman"/>
      <w:kern w:val="2"/>
      <w:sz w:val="21"/>
    </w:rPr>
  </w:style>
  <w:style w:type="character" w:customStyle="1" w:styleId="81">
    <w:name w:val="正文文本缩进 字符"/>
    <w:basedOn w:val="41"/>
    <w:link w:val="3"/>
    <w:qFormat/>
    <w:uiPriority w:val="99"/>
    <w:rPr>
      <w:rFonts w:ascii="Calibri" w:hAnsi="Calibri" w:eastAsia="宋体" w:cs="Times New Roman"/>
      <w:szCs w:val="20"/>
    </w:rPr>
  </w:style>
  <w:style w:type="character" w:customStyle="1" w:styleId="82">
    <w:name w:val="文档结构图 字符1"/>
    <w:basedOn w:val="41"/>
    <w:semiHidden/>
    <w:qFormat/>
    <w:uiPriority w:val="99"/>
    <w:rPr>
      <w:rFonts w:ascii="Microsoft YaHei UI" w:eastAsia="Microsoft YaHei UI"/>
      <w:sz w:val="18"/>
      <w:szCs w:val="18"/>
    </w:rPr>
  </w:style>
  <w:style w:type="character" w:customStyle="1" w:styleId="83">
    <w:name w:val="文档结构图 字符11"/>
    <w:basedOn w:val="41"/>
    <w:semiHidden/>
    <w:qFormat/>
    <w:uiPriority w:val="99"/>
    <w:rPr>
      <w:rFonts w:ascii="Microsoft YaHei UI" w:eastAsia="Microsoft YaHei UI" w:cs="Times New Roman"/>
      <w:kern w:val="2"/>
      <w:sz w:val="18"/>
      <w:szCs w:val="18"/>
    </w:rPr>
  </w:style>
  <w:style w:type="character" w:customStyle="1" w:styleId="84">
    <w:name w:val="正文文本 字符"/>
    <w:basedOn w:val="41"/>
    <w:link w:val="17"/>
    <w:qFormat/>
    <w:uiPriority w:val="99"/>
    <w:rPr>
      <w:rFonts w:ascii="Calibri" w:hAnsi="Calibri" w:eastAsia="新宋体" w:cs="Times New Roman"/>
      <w:szCs w:val="21"/>
    </w:rPr>
  </w:style>
  <w:style w:type="character" w:customStyle="1" w:styleId="85">
    <w:name w:val="纯文本 字符1"/>
    <w:basedOn w:val="41"/>
    <w:semiHidden/>
    <w:qFormat/>
    <w:uiPriority w:val="99"/>
    <w:rPr>
      <w:rFonts w:hAnsi="Courier New" w:cs="Courier New" w:asciiTheme="minorEastAsia"/>
    </w:rPr>
  </w:style>
  <w:style w:type="character" w:customStyle="1" w:styleId="86">
    <w:name w:val="纯文本 字符11"/>
    <w:basedOn w:val="41"/>
    <w:qFormat/>
    <w:uiPriority w:val="0"/>
    <w:rPr>
      <w:rFonts w:hAnsi="Courier New" w:cs="Courier New" w:asciiTheme="minorEastAsia" w:eastAsiaTheme="minorEastAsia"/>
      <w:kern w:val="2"/>
      <w:sz w:val="21"/>
    </w:rPr>
  </w:style>
  <w:style w:type="character" w:customStyle="1" w:styleId="87">
    <w:name w:val="页眉 字符1"/>
    <w:basedOn w:val="41"/>
    <w:semiHidden/>
    <w:qFormat/>
    <w:uiPriority w:val="99"/>
    <w:rPr>
      <w:sz w:val="18"/>
      <w:szCs w:val="18"/>
    </w:rPr>
  </w:style>
  <w:style w:type="character" w:customStyle="1" w:styleId="88">
    <w:name w:val="页眉 字符11"/>
    <w:basedOn w:val="41"/>
    <w:semiHidden/>
    <w:qFormat/>
    <w:uiPriority w:val="99"/>
    <w:rPr>
      <w:rFonts w:cs="Times New Roman"/>
      <w:kern w:val="2"/>
      <w:sz w:val="18"/>
      <w:szCs w:val="18"/>
    </w:rPr>
  </w:style>
  <w:style w:type="character" w:customStyle="1" w:styleId="89">
    <w:name w:val="批注框文本 字符1"/>
    <w:basedOn w:val="41"/>
    <w:semiHidden/>
    <w:qFormat/>
    <w:uiPriority w:val="99"/>
    <w:rPr>
      <w:sz w:val="18"/>
      <w:szCs w:val="18"/>
    </w:rPr>
  </w:style>
  <w:style w:type="character" w:customStyle="1" w:styleId="90">
    <w:name w:val="批注框文本 字符11"/>
    <w:basedOn w:val="41"/>
    <w:semiHidden/>
    <w:qFormat/>
    <w:uiPriority w:val="99"/>
    <w:rPr>
      <w:rFonts w:cs="Times New Roman"/>
      <w:kern w:val="2"/>
      <w:sz w:val="18"/>
      <w:szCs w:val="18"/>
    </w:rPr>
  </w:style>
  <w:style w:type="character" w:customStyle="1" w:styleId="91">
    <w:name w:val="日期 字符1"/>
    <w:basedOn w:val="41"/>
    <w:semiHidden/>
    <w:qFormat/>
    <w:uiPriority w:val="99"/>
  </w:style>
  <w:style w:type="character" w:customStyle="1" w:styleId="92">
    <w:name w:val="日期 字符11"/>
    <w:basedOn w:val="41"/>
    <w:semiHidden/>
    <w:qFormat/>
    <w:uiPriority w:val="99"/>
    <w:rPr>
      <w:rFonts w:cs="Times New Roman"/>
      <w:kern w:val="2"/>
      <w:sz w:val="21"/>
    </w:rPr>
  </w:style>
  <w:style w:type="character" w:customStyle="1" w:styleId="93">
    <w:name w:val="页脚 字符1"/>
    <w:basedOn w:val="41"/>
    <w:semiHidden/>
    <w:qFormat/>
    <w:uiPriority w:val="99"/>
    <w:rPr>
      <w:sz w:val="18"/>
      <w:szCs w:val="18"/>
    </w:rPr>
  </w:style>
  <w:style w:type="character" w:customStyle="1" w:styleId="94">
    <w:name w:val="页脚 字符11"/>
    <w:basedOn w:val="41"/>
    <w:semiHidden/>
    <w:qFormat/>
    <w:uiPriority w:val="99"/>
    <w:rPr>
      <w:rFonts w:cs="Times New Roman"/>
      <w:kern w:val="2"/>
      <w:sz w:val="18"/>
      <w:szCs w:val="18"/>
    </w:rPr>
  </w:style>
  <w:style w:type="character" w:customStyle="1" w:styleId="95">
    <w:name w:val="正文文本缩进 2 字符1"/>
    <w:basedOn w:val="41"/>
    <w:semiHidden/>
    <w:qFormat/>
    <w:uiPriority w:val="99"/>
  </w:style>
  <w:style w:type="character" w:customStyle="1" w:styleId="96">
    <w:name w:val="正文文本缩进 2 字符11"/>
    <w:basedOn w:val="41"/>
    <w:semiHidden/>
    <w:qFormat/>
    <w:uiPriority w:val="99"/>
    <w:rPr>
      <w:rFonts w:cs="Times New Roman"/>
      <w:kern w:val="2"/>
      <w:sz w:val="21"/>
    </w:rPr>
  </w:style>
  <w:style w:type="character" w:customStyle="1" w:styleId="97">
    <w:name w:val="正文文本缩进 3 字符1"/>
    <w:basedOn w:val="41"/>
    <w:semiHidden/>
    <w:qFormat/>
    <w:uiPriority w:val="99"/>
    <w:rPr>
      <w:sz w:val="16"/>
      <w:szCs w:val="16"/>
    </w:rPr>
  </w:style>
  <w:style w:type="character" w:customStyle="1" w:styleId="98">
    <w:name w:val="正文文本缩进 3 字符11"/>
    <w:basedOn w:val="41"/>
    <w:semiHidden/>
    <w:qFormat/>
    <w:uiPriority w:val="99"/>
    <w:rPr>
      <w:rFonts w:cs="Times New Roman"/>
      <w:kern w:val="2"/>
      <w:sz w:val="16"/>
      <w:szCs w:val="16"/>
    </w:rPr>
  </w:style>
  <w:style w:type="character" w:customStyle="1" w:styleId="99">
    <w:name w:val="批注主题 字符1"/>
    <w:basedOn w:val="79"/>
    <w:semiHidden/>
    <w:qFormat/>
    <w:uiPriority w:val="99"/>
    <w:rPr>
      <w:b/>
      <w:bCs/>
    </w:rPr>
  </w:style>
  <w:style w:type="character" w:customStyle="1" w:styleId="100">
    <w:name w:val="批注主题 字符11"/>
    <w:basedOn w:val="80"/>
    <w:semiHidden/>
    <w:qFormat/>
    <w:uiPriority w:val="99"/>
    <w:rPr>
      <w:rFonts w:cs="Times New Roman"/>
      <w:b/>
      <w:bCs/>
      <w:kern w:val="2"/>
      <w:sz w:val="21"/>
    </w:rPr>
  </w:style>
  <w:style w:type="character" w:customStyle="1" w:styleId="101">
    <w:name w:val="标题 字符1"/>
    <w:basedOn w:val="41"/>
    <w:qFormat/>
    <w:uiPriority w:val="10"/>
    <w:rPr>
      <w:rFonts w:asciiTheme="majorHAnsi" w:hAnsiTheme="majorHAnsi" w:eastAsiaTheme="majorEastAsia" w:cstheme="majorBidi"/>
      <w:b/>
      <w:bCs/>
      <w:sz w:val="32"/>
      <w:szCs w:val="32"/>
    </w:rPr>
  </w:style>
  <w:style w:type="character" w:customStyle="1" w:styleId="102">
    <w:name w:val="标题 字符11"/>
    <w:basedOn w:val="41"/>
    <w:qFormat/>
    <w:uiPriority w:val="10"/>
    <w:rPr>
      <w:rFonts w:cs="Times New Roman" w:asciiTheme="majorHAnsi" w:hAnsiTheme="majorHAnsi" w:eastAsiaTheme="majorEastAsia"/>
      <w:b/>
      <w:bCs/>
      <w:kern w:val="2"/>
      <w:sz w:val="32"/>
      <w:szCs w:val="32"/>
    </w:rPr>
  </w:style>
  <w:style w:type="paragraph" w:customStyle="1" w:styleId="103">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4">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5">
    <w:name w:val="二级列表 Char"/>
    <w:basedOn w:val="1"/>
    <w:qFormat/>
    <w:uiPriority w:val="0"/>
    <w:rPr>
      <w:rFonts w:ascii="Calibri" w:hAnsi="Calibri" w:eastAsia="宋体" w:cs="Times New Roman"/>
      <w:szCs w:val="20"/>
    </w:rPr>
  </w:style>
  <w:style w:type="paragraph" w:customStyle="1" w:styleId="106">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7">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08">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09">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10">
    <w:name w:val="Char Char Char Char Char Char Char"/>
    <w:basedOn w:val="1"/>
    <w:qFormat/>
    <w:uiPriority w:val="0"/>
    <w:rPr>
      <w:rFonts w:ascii="Verdana" w:hAnsi="Verdana" w:eastAsia="宋体" w:cs="Times New Roman"/>
      <w:kern w:val="0"/>
      <w:sz w:val="20"/>
      <w:szCs w:val="20"/>
      <w:lang w:eastAsia="en-US"/>
    </w:rPr>
  </w:style>
  <w:style w:type="paragraph" w:customStyle="1" w:styleId="111">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12">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3">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4">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5">
    <w:name w:val="标书正文格式"/>
    <w:basedOn w:val="21"/>
    <w:link w:val="117"/>
    <w:qFormat/>
    <w:uiPriority w:val="0"/>
    <w:pPr>
      <w:spacing w:line="360" w:lineRule="auto"/>
      <w:ind w:firstLine="200" w:firstLineChars="200"/>
    </w:pPr>
    <w:rPr>
      <w:rFonts w:hAnsi="宋体"/>
      <w:color w:val="000000"/>
      <w:sz w:val="24"/>
      <w:szCs w:val="24"/>
    </w:rPr>
  </w:style>
  <w:style w:type="paragraph" w:customStyle="1" w:styleId="116">
    <w:name w:val="标书二级标题"/>
    <w:basedOn w:val="5"/>
    <w:link w:val="119"/>
    <w:qFormat/>
    <w:uiPriority w:val="0"/>
    <w:pPr>
      <w:spacing w:line="240" w:lineRule="auto"/>
      <w:jc w:val="left"/>
    </w:pPr>
    <w:rPr>
      <w:rFonts w:ascii="宋体" w:hAnsi="宋体" w:eastAsia="黑体"/>
      <w:b w:val="0"/>
      <w:sz w:val="28"/>
      <w:szCs w:val="30"/>
    </w:rPr>
  </w:style>
  <w:style w:type="character" w:customStyle="1" w:styleId="117">
    <w:name w:val="标书正文格式 字符"/>
    <w:link w:val="115"/>
    <w:qFormat/>
    <w:locked/>
    <w:uiPriority w:val="0"/>
    <w:rPr>
      <w:rFonts w:ascii="宋体" w:hAnsi="宋体"/>
      <w:color w:val="000000"/>
      <w:sz w:val="24"/>
      <w:szCs w:val="24"/>
    </w:rPr>
  </w:style>
  <w:style w:type="paragraph" w:customStyle="1" w:styleId="118">
    <w:name w:val="标书表格"/>
    <w:basedOn w:val="1"/>
    <w:link w:val="120"/>
    <w:qFormat/>
    <w:uiPriority w:val="0"/>
    <w:pPr>
      <w:jc w:val="center"/>
    </w:pPr>
    <w:rPr>
      <w:rFonts w:ascii="Times New Roman" w:hAnsi="Times New Roman" w:eastAsia="宋体" w:cs="Times New Roman"/>
      <w:b/>
      <w:szCs w:val="20"/>
    </w:rPr>
  </w:style>
  <w:style w:type="character" w:customStyle="1" w:styleId="119">
    <w:name w:val="标书二级标题 字符"/>
    <w:link w:val="116"/>
    <w:qFormat/>
    <w:locked/>
    <w:uiPriority w:val="0"/>
    <w:rPr>
      <w:rFonts w:ascii="宋体" w:hAnsi="宋体" w:eastAsia="黑体" w:cs="Times New Roman"/>
      <w:bCs/>
      <w:sz w:val="28"/>
      <w:szCs w:val="30"/>
    </w:rPr>
  </w:style>
  <w:style w:type="character" w:customStyle="1" w:styleId="120">
    <w:name w:val="标书表格 字符"/>
    <w:link w:val="118"/>
    <w:qFormat/>
    <w:locked/>
    <w:uiPriority w:val="0"/>
    <w:rPr>
      <w:rFonts w:ascii="Times New Roman" w:hAnsi="Times New Roman" w:eastAsia="宋体" w:cs="Times New Roman"/>
      <w:b/>
      <w:szCs w:val="20"/>
    </w:rPr>
  </w:style>
  <w:style w:type="paragraph" w:customStyle="1" w:styleId="121">
    <w:name w:val="标书三级标题"/>
    <w:basedOn w:val="6"/>
    <w:next w:val="115"/>
    <w:link w:val="122"/>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2">
    <w:name w:val="标书三级标题 字符"/>
    <w:link w:val="121"/>
    <w:qFormat/>
    <w:locked/>
    <w:uiPriority w:val="0"/>
    <w:rPr>
      <w:rFonts w:ascii="Times New Roman" w:hAnsi="Times New Roman" w:eastAsia="宋体" w:cs="Times New Roman"/>
      <w:b/>
      <w:bCs/>
      <w:color w:val="000000"/>
      <w:sz w:val="24"/>
      <w:szCs w:val="24"/>
    </w:rPr>
  </w:style>
  <w:style w:type="character" w:customStyle="1" w:styleId="123">
    <w:name w:val="标三级标题 字符"/>
    <w:link w:val="124"/>
    <w:qFormat/>
    <w:locked/>
    <w:uiPriority w:val="0"/>
    <w:rPr>
      <w:b/>
      <w:color w:val="000000"/>
      <w:sz w:val="24"/>
    </w:rPr>
  </w:style>
  <w:style w:type="paragraph" w:customStyle="1" w:styleId="124">
    <w:name w:val="标三级标题"/>
    <w:basedOn w:val="121"/>
    <w:link w:val="123"/>
    <w:qFormat/>
    <w:uiPriority w:val="0"/>
    <w:rPr>
      <w:rFonts w:asciiTheme="minorHAnsi" w:hAnsiTheme="minorHAnsi" w:eastAsiaTheme="minorEastAsia" w:cstheme="minorBidi"/>
      <w:bCs w:val="0"/>
      <w:szCs w:val="22"/>
    </w:rPr>
  </w:style>
  <w:style w:type="character" w:customStyle="1" w:styleId="125">
    <w:name w:val="标正文 字符"/>
    <w:link w:val="126"/>
    <w:qFormat/>
    <w:locked/>
    <w:uiPriority w:val="0"/>
    <w:rPr>
      <w:rFonts w:ascii="宋体" w:eastAsia="宋体"/>
      <w:color w:val="000000"/>
      <w:sz w:val="24"/>
    </w:rPr>
  </w:style>
  <w:style w:type="paragraph" w:customStyle="1" w:styleId="126">
    <w:name w:val="标正文"/>
    <w:basedOn w:val="115"/>
    <w:link w:val="125"/>
    <w:qFormat/>
    <w:uiPriority w:val="0"/>
    <w:pPr>
      <w:ind w:firstLine="480"/>
    </w:pPr>
    <w:rPr>
      <w:rFonts w:eastAsia="宋体" w:hAnsiTheme="minorHAnsi"/>
      <w:szCs w:val="22"/>
    </w:rPr>
  </w:style>
  <w:style w:type="paragraph" w:customStyle="1" w:styleId="127">
    <w:name w:val="TOC 标题1"/>
    <w:basedOn w:val="4"/>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28">
    <w:name w:val="HR正文表格"/>
    <w:basedOn w:val="1"/>
    <w:qFormat/>
    <w:uiPriority w:val="0"/>
    <w:pPr>
      <w:spacing w:beforeLines="25" w:afterLines="25" w:line="300" w:lineRule="auto"/>
    </w:pPr>
    <w:rPr>
      <w:szCs w:val="24"/>
    </w:rPr>
  </w:style>
  <w:style w:type="paragraph" w:styleId="129">
    <w:name w:val="List Paragraph"/>
    <w:basedOn w:val="1"/>
    <w:qFormat/>
    <w:uiPriority w:val="99"/>
    <w:pPr>
      <w:ind w:firstLine="420" w:firstLineChars="200"/>
    </w:pPr>
  </w:style>
  <w:style w:type="paragraph" w:customStyle="1" w:styleId="130">
    <w:name w:val="WPSOffice手动目录 1"/>
    <w:qFormat/>
    <w:uiPriority w:val="0"/>
    <w:rPr>
      <w:rFonts w:ascii="Times New Roman" w:hAnsi="Times New Roman" w:eastAsia="宋体" w:cs="Times New Roman"/>
      <w:lang w:val="en-US" w:eastAsia="zh-CN" w:bidi="ar-SA"/>
    </w:rPr>
  </w:style>
  <w:style w:type="table" w:customStyle="1" w:styleId="131">
    <w:name w:val="Table Normal"/>
    <w:semiHidden/>
    <w:unhideWhenUsed/>
    <w:qFormat/>
    <w:uiPriority w:val="0"/>
    <w:tblPr>
      <w:tblCellMar>
        <w:top w:w="0" w:type="dxa"/>
        <w:left w:w="0" w:type="dxa"/>
        <w:bottom w:w="0" w:type="dxa"/>
        <w:right w:w="0" w:type="dxa"/>
      </w:tblCellMar>
    </w:tblPr>
  </w:style>
  <w:style w:type="character" w:customStyle="1" w:styleId="132">
    <w:name w:val="NormalCharacter"/>
    <w:qFormat/>
    <w:uiPriority w:val="0"/>
  </w:style>
  <w:style w:type="paragraph" w:customStyle="1" w:styleId="133">
    <w:name w:val="Table Paragraph"/>
    <w:basedOn w:val="1"/>
    <w:qFormat/>
    <w:uiPriority w:val="1"/>
    <w:rPr>
      <w:rFonts w:ascii="宋体" w:hAnsi="宋体" w:eastAsia="宋体" w:cs="宋体"/>
    </w:rPr>
  </w:style>
  <w:style w:type="paragraph" w:customStyle="1" w:styleId="134">
    <w:name w:val="标书一级标题"/>
    <w:basedOn w:val="4"/>
    <w:link w:val="143"/>
    <w:qFormat/>
    <w:uiPriority w:val="0"/>
    <w:rPr>
      <w:rFonts w:eastAsia="黑体"/>
      <w:b w:val="0"/>
      <w:color w:val="000000"/>
      <w:sz w:val="30"/>
      <w:szCs w:val="24"/>
    </w:rPr>
  </w:style>
  <w:style w:type="paragraph" w:customStyle="1" w:styleId="135">
    <w:name w:val="首行缩进"/>
    <w:basedOn w:val="1"/>
    <w:qFormat/>
    <w:uiPriority w:val="0"/>
    <w:pPr>
      <w:ind w:firstLine="480" w:firstLineChars="200"/>
    </w:pPr>
    <w:rPr>
      <w:lang w:val="zh-CN"/>
    </w:rPr>
  </w:style>
  <w:style w:type="paragraph" w:customStyle="1" w:styleId="136">
    <w:name w:val="编号行"/>
    <w:basedOn w:val="1"/>
    <w:qFormat/>
    <w:uiPriority w:val="0"/>
    <w:pPr>
      <w:adjustRightInd w:val="0"/>
      <w:spacing w:before="156" w:beforeLines="50" w:after="156" w:afterLines="50" w:line="360" w:lineRule="auto"/>
      <w:textAlignment w:val="baseline"/>
    </w:pPr>
    <w:rPr>
      <w:rFonts w:ascii="黑体" w:hAnsi="宋体" w:eastAsia="黑体"/>
      <w:b/>
      <w:kern w:val="0"/>
      <w:sz w:val="24"/>
      <w:szCs w:val="20"/>
    </w:rPr>
  </w:style>
  <w:style w:type="paragraph" w:customStyle="1" w:styleId="137">
    <w:name w:val="段"/>
    <w:qFormat/>
    <w:uiPriority w:val="0"/>
    <w:pPr>
      <w:ind w:firstLine="200" w:firstLineChars="200"/>
      <w:jc w:val="both"/>
    </w:pPr>
    <w:rPr>
      <w:rFonts w:ascii="Times New Roman" w:hAnsi="Times New Roman" w:eastAsia="宋体" w:cs="Times New Roman"/>
      <w:sz w:val="21"/>
      <w:lang w:val="en-US" w:eastAsia="zh-CN" w:bidi="ar-SA"/>
    </w:rPr>
  </w:style>
  <w:style w:type="paragraph" w:customStyle="1" w:styleId="138">
    <w:name w:val="正文表标题"/>
    <w:next w:val="137"/>
    <w:qFormat/>
    <w:uiPriority w:val="0"/>
    <w:pPr>
      <w:numPr>
        <w:ilvl w:val="0"/>
        <w:numId w:val="1"/>
      </w:numPr>
      <w:spacing w:beforeLines="50" w:afterLines="50"/>
      <w:jc w:val="center"/>
    </w:pPr>
    <w:rPr>
      <w:rFonts w:ascii="黑体" w:hAnsi="Times New Roman" w:eastAsia="黑体" w:cs="Times New Roman"/>
      <w:sz w:val="21"/>
      <w:lang w:val="en-US" w:eastAsia="zh-CN" w:bidi="ar-SA"/>
    </w:rPr>
  </w:style>
  <w:style w:type="paragraph" w:customStyle="1" w:styleId="139">
    <w:name w:val="Table Text"/>
    <w:basedOn w:val="1"/>
    <w:qFormat/>
    <w:uiPriority w:val="0"/>
    <w:pPr>
      <w:widowControl/>
      <w:kinsoku w:val="0"/>
      <w:autoSpaceDE w:val="0"/>
      <w:autoSpaceDN w:val="0"/>
      <w:adjustRightInd w:val="0"/>
      <w:snapToGrid w:val="0"/>
      <w:jc w:val="left"/>
      <w:textAlignment w:val="baseline"/>
    </w:pPr>
    <w:rPr>
      <w:rFonts w:ascii="宋体" w:hAnsi="宋体" w:cs="宋体"/>
      <w:snapToGrid w:val="0"/>
      <w:color w:val="000000"/>
      <w:kern w:val="0"/>
      <w:szCs w:val="21"/>
      <w:lang w:eastAsia="en-US"/>
    </w:rPr>
  </w:style>
  <w:style w:type="character" w:customStyle="1" w:styleId="140">
    <w:name w:val="font11"/>
    <w:basedOn w:val="41"/>
    <w:qFormat/>
    <w:uiPriority w:val="0"/>
    <w:rPr>
      <w:rFonts w:hint="eastAsia" w:ascii="宋体" w:hAnsi="宋体" w:eastAsia="宋体" w:cs="宋体"/>
      <w:color w:val="000000"/>
      <w:sz w:val="32"/>
      <w:szCs w:val="32"/>
      <w:u w:val="none"/>
    </w:rPr>
  </w:style>
  <w:style w:type="character" w:customStyle="1" w:styleId="141">
    <w:name w:val="font21"/>
    <w:basedOn w:val="41"/>
    <w:qFormat/>
    <w:uiPriority w:val="0"/>
    <w:rPr>
      <w:rFonts w:hint="eastAsia" w:ascii="宋体" w:hAnsi="宋体" w:eastAsia="宋体" w:cs="宋体"/>
      <w:color w:val="000000"/>
      <w:sz w:val="21"/>
      <w:szCs w:val="21"/>
      <w:u w:val="none"/>
    </w:rPr>
  </w:style>
  <w:style w:type="character" w:customStyle="1" w:styleId="142">
    <w:name w:val="font41"/>
    <w:basedOn w:val="41"/>
    <w:qFormat/>
    <w:uiPriority w:val="0"/>
    <w:rPr>
      <w:rFonts w:hint="default" w:ascii="Times New Roman" w:hAnsi="Times New Roman" w:cs="Times New Roman"/>
      <w:color w:val="000000"/>
      <w:sz w:val="32"/>
      <w:szCs w:val="32"/>
      <w:u w:val="none"/>
    </w:rPr>
  </w:style>
  <w:style w:type="character" w:customStyle="1" w:styleId="143">
    <w:name w:val="标书一级标题 字符"/>
    <w:link w:val="134"/>
    <w:qFormat/>
    <w:uiPriority w:val="0"/>
    <w:rPr>
      <w:rFonts w:eastAsia="黑体" w:asciiTheme="minorHAnsi" w:hAnsiTheme="minorHAnsi" w:cstheme="minorBidi"/>
      <w:bCs/>
      <w:color w:val="000000"/>
      <w:kern w:val="44"/>
      <w:sz w:val="30"/>
      <w:szCs w:val="24"/>
    </w:rPr>
  </w:style>
  <w:style w:type="character" w:customStyle="1" w:styleId="144">
    <w:name w:val="Unresolved Mention"/>
    <w:basedOn w:val="41"/>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header" Target="header1.xml"/><Relationship Id="rId47" Type="http://schemas.openxmlformats.org/officeDocument/2006/relationships/fontTable" Target="fontTable.xml"/><Relationship Id="rId46" Type="http://schemas.openxmlformats.org/officeDocument/2006/relationships/numbering" Target="numbering.xml"/><Relationship Id="rId45" Type="http://schemas.openxmlformats.org/officeDocument/2006/relationships/customXml" Target="../customXml/item1.xml"/><Relationship Id="rId44" Type="http://schemas.openxmlformats.org/officeDocument/2006/relationships/image" Target="media/image13.png"/><Relationship Id="rId43" Type="http://schemas.openxmlformats.org/officeDocument/2006/relationships/image" Target="media/image12.png"/><Relationship Id="rId42" Type="http://schemas.openxmlformats.org/officeDocument/2006/relationships/image" Target="media/image11.png"/><Relationship Id="rId41" Type="http://schemas.openxmlformats.org/officeDocument/2006/relationships/image" Target="media/image10.png"/><Relationship Id="rId40" Type="http://schemas.openxmlformats.org/officeDocument/2006/relationships/image" Target="media/image9.png"/><Relationship Id="rId4" Type="http://schemas.openxmlformats.org/officeDocument/2006/relationships/footer" Target="footer2.xml"/><Relationship Id="rId39" Type="http://schemas.openxmlformats.org/officeDocument/2006/relationships/image" Target="media/image8.png"/><Relationship Id="rId38" Type="http://schemas.openxmlformats.org/officeDocument/2006/relationships/image" Target="media/image7.png"/><Relationship Id="rId37" Type="http://schemas.openxmlformats.org/officeDocument/2006/relationships/image" Target="media/image6.png"/><Relationship Id="rId36" Type="http://schemas.openxmlformats.org/officeDocument/2006/relationships/image" Target="media/image5.png"/><Relationship Id="rId35" Type="http://schemas.openxmlformats.org/officeDocument/2006/relationships/image" Target="media/image4.png"/><Relationship Id="rId34" Type="http://schemas.openxmlformats.org/officeDocument/2006/relationships/image" Target="media/image3.png"/><Relationship Id="rId33" Type="http://schemas.openxmlformats.org/officeDocument/2006/relationships/image" Target="media/image2.png"/><Relationship Id="rId32" Type="http://schemas.openxmlformats.org/officeDocument/2006/relationships/image" Target="media/image1.png"/><Relationship Id="rId31" Type="http://schemas.openxmlformats.org/officeDocument/2006/relationships/theme" Target="theme/theme1.xml"/><Relationship Id="rId30" Type="http://schemas.openxmlformats.org/officeDocument/2006/relationships/footer" Target="footer23.xml"/><Relationship Id="rId3" Type="http://schemas.openxmlformats.org/officeDocument/2006/relationships/footer" Target="footer1.xml"/><Relationship Id="rId29" Type="http://schemas.openxmlformats.org/officeDocument/2006/relationships/footer" Target="footer22.xml"/><Relationship Id="rId28" Type="http://schemas.openxmlformats.org/officeDocument/2006/relationships/header" Target="header5.xml"/><Relationship Id="rId27" Type="http://schemas.openxmlformats.org/officeDocument/2006/relationships/header" Target="header4.xml"/><Relationship Id="rId26" Type="http://schemas.openxmlformats.org/officeDocument/2006/relationships/footer" Target="footer21.xml"/><Relationship Id="rId25" Type="http://schemas.openxmlformats.org/officeDocument/2006/relationships/footer" Target="footer20.xml"/><Relationship Id="rId24" Type="http://schemas.openxmlformats.org/officeDocument/2006/relationships/footer" Target="footer19.xml"/><Relationship Id="rId23" Type="http://schemas.openxmlformats.org/officeDocument/2006/relationships/footer" Target="footer18.xml"/><Relationship Id="rId22" Type="http://schemas.openxmlformats.org/officeDocument/2006/relationships/footer" Target="footer17.xml"/><Relationship Id="rId21" Type="http://schemas.openxmlformats.org/officeDocument/2006/relationships/footer" Target="footer16.xml"/><Relationship Id="rId20" Type="http://schemas.openxmlformats.org/officeDocument/2006/relationships/footer" Target="footer15.xml"/><Relationship Id="rId2" Type="http://schemas.openxmlformats.org/officeDocument/2006/relationships/settings" Target="settings.xml"/><Relationship Id="rId19" Type="http://schemas.openxmlformats.org/officeDocument/2006/relationships/footer" Target="footer14.xml"/><Relationship Id="rId18" Type="http://schemas.openxmlformats.org/officeDocument/2006/relationships/footer" Target="footer13.xml"/><Relationship Id="rId17" Type="http://schemas.openxmlformats.org/officeDocument/2006/relationships/footer" Target="footer12.xml"/><Relationship Id="rId16" Type="http://schemas.openxmlformats.org/officeDocument/2006/relationships/footer" Target="footer11.xml"/><Relationship Id="rId15" Type="http://schemas.openxmlformats.org/officeDocument/2006/relationships/footer" Target="footer10.xml"/><Relationship Id="rId14" Type="http://schemas.openxmlformats.org/officeDocument/2006/relationships/footer" Target="footer9.xml"/><Relationship Id="rId13" Type="http://schemas.openxmlformats.org/officeDocument/2006/relationships/footer" Target="footer8.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111</Pages>
  <Words>9794</Words>
  <Characters>55830</Characters>
  <Lines>465</Lines>
  <Paragraphs>130</Paragraphs>
  <TotalTime>9</TotalTime>
  <ScaleCrop>false</ScaleCrop>
  <LinksUpToDate>false</LinksUpToDate>
  <CharactersWithSpaces>65494</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2021-05-28T09:26:00Z</dcterms:created>
  <dc:creator>ZQNet</dc:creator>
  <cp:lastModifiedBy>赵力</cp:lastModifiedBy>
  <cp:lastPrinted>2024-06-21T03:25:00Z</cp:lastPrinted>
  <dcterms:modified xsi:type="dcterms:W3CDTF">2025-11-04T09:06:08Z</dcterms:modified>
  <cp:revision>62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ED02EB12B8294FE5807EAA5D2C3C24E0</vt:lpwstr>
  </property>
  <property fmtid="{D5CDD505-2E9C-101B-9397-08002B2CF9AE}" pid="4" name="KSOTemplateDocerSaveRecord">
    <vt:lpwstr>eyJoZGlkIjoiNWM4YzFjOWU0Nzg0NmRkMzI1ZDk2YmYxNGU0NmE0YTUiLCJ1c2VySWQiOiIyMzM1Mzg3MjEifQ==</vt:lpwstr>
  </property>
</Properties>
</file>