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F11F8">
      <w:pPr>
        <w:shd w:val="clear"/>
        <w:jc w:val="center"/>
        <w:rPr>
          <w:rFonts w:hint="eastAsia" w:asciiTheme="minorEastAsia" w:hAnsiTheme="minorEastAsia"/>
          <w:b/>
          <w:sz w:val="44"/>
          <w:szCs w:val="44"/>
          <w:highlight w:val="none"/>
        </w:rPr>
      </w:pPr>
    </w:p>
    <w:p w14:paraId="39C14491">
      <w:pPr>
        <w:shd w:val="clear"/>
        <w:spacing w:line="560" w:lineRule="exact"/>
        <w:jc w:val="center"/>
        <w:rPr>
          <w:rFonts w:hint="eastAsia" w:ascii="方正小标宋简体" w:hAnsi="方正小标宋简体" w:eastAsia="方正小标宋简体" w:cs="方正小标宋简体"/>
          <w:sz w:val="44"/>
          <w:szCs w:val="44"/>
          <w:highlight w:val="none"/>
        </w:rPr>
      </w:pPr>
      <w:bookmarkStart w:id="0" w:name="_Hlk214267234"/>
      <w:r>
        <w:rPr>
          <w:rFonts w:hint="eastAsia" w:ascii="方正小标宋简体" w:hAnsi="方正小标宋简体" w:eastAsia="方正小标宋简体" w:cs="方正小标宋简体"/>
          <w:sz w:val="44"/>
          <w:szCs w:val="44"/>
          <w:highlight w:val="none"/>
        </w:rPr>
        <w:t>中国重汽202</w:t>
      </w:r>
      <w:r>
        <w:rPr>
          <w:rFonts w:hint="eastAsia" w:ascii="方正小标宋简体" w:hAnsi="方正小标宋简体" w:eastAsia="方正小标宋简体" w:cs="方正小标宋简体"/>
          <w:sz w:val="44"/>
          <w:szCs w:val="44"/>
          <w:highlight w:val="none"/>
          <w:lang w:val="en-US" w:eastAsia="zh-CN"/>
        </w:rPr>
        <w:t>7</w:t>
      </w:r>
      <w:r>
        <w:rPr>
          <w:rFonts w:hint="eastAsia" w:ascii="方正小标宋简体" w:hAnsi="方正小标宋简体" w:eastAsia="方正小标宋简体" w:cs="方正小标宋简体"/>
          <w:sz w:val="44"/>
          <w:szCs w:val="44"/>
          <w:highlight w:val="none"/>
        </w:rPr>
        <w:t>年合作伙伴大会主会馆及序厅布展执行系列活动项目</w:t>
      </w:r>
    </w:p>
    <w:bookmarkEnd w:id="0"/>
    <w:p w14:paraId="4670309D">
      <w:pPr>
        <w:shd w:val="clear"/>
        <w:jc w:val="center"/>
        <w:rPr>
          <w:b/>
          <w:sz w:val="32"/>
          <w:szCs w:val="32"/>
          <w:highlight w:val="none"/>
        </w:rPr>
      </w:pPr>
    </w:p>
    <w:p w14:paraId="5905CAE1">
      <w:pPr>
        <w:shd w:val="clear"/>
        <w:jc w:val="center"/>
        <w:rPr>
          <w:b/>
          <w:sz w:val="32"/>
          <w:szCs w:val="32"/>
          <w:highlight w:val="none"/>
        </w:rPr>
      </w:pPr>
    </w:p>
    <w:p w14:paraId="44E3D473">
      <w:pPr>
        <w:shd w:val="clear"/>
        <w:jc w:val="center"/>
        <w:rPr>
          <w:b/>
          <w:sz w:val="32"/>
          <w:szCs w:val="32"/>
          <w:highlight w:val="none"/>
        </w:rPr>
      </w:pPr>
    </w:p>
    <w:p w14:paraId="4E44FD64">
      <w:pPr>
        <w:shd w:val="clear"/>
        <w:jc w:val="center"/>
        <w:rPr>
          <w:b/>
          <w:sz w:val="32"/>
          <w:szCs w:val="32"/>
          <w:highlight w:val="none"/>
        </w:rPr>
      </w:pPr>
    </w:p>
    <w:p w14:paraId="47B9D57F">
      <w:pPr>
        <w:shd w:val="clear"/>
        <w:jc w:val="center"/>
        <w:rPr>
          <w:b/>
          <w:sz w:val="32"/>
          <w:szCs w:val="32"/>
          <w:highlight w:val="none"/>
        </w:rPr>
      </w:pPr>
    </w:p>
    <w:p w14:paraId="3F403FC1">
      <w:pPr>
        <w:shd w:val="clear"/>
        <w:jc w:val="center"/>
        <w:rPr>
          <w:b/>
          <w:sz w:val="32"/>
          <w:szCs w:val="32"/>
          <w:highlight w:val="none"/>
        </w:rPr>
      </w:pPr>
    </w:p>
    <w:p w14:paraId="1EDAA80E">
      <w:pPr>
        <w:shd w:val="clear"/>
        <w:jc w:val="center"/>
        <w:rPr>
          <w:rFonts w:ascii="黑体" w:eastAsia="黑体"/>
          <w:b/>
          <w:sz w:val="92"/>
          <w:szCs w:val="92"/>
          <w:highlight w:val="none"/>
        </w:rPr>
      </w:pPr>
      <w:r>
        <w:rPr>
          <w:rFonts w:hint="eastAsia" w:ascii="黑体" w:eastAsia="黑体"/>
          <w:b/>
          <w:sz w:val="92"/>
          <w:szCs w:val="92"/>
          <w:highlight w:val="none"/>
        </w:rPr>
        <w:t>招标文件</w:t>
      </w:r>
    </w:p>
    <w:p w14:paraId="456DEBDD">
      <w:pPr>
        <w:shd w:val="clear"/>
        <w:jc w:val="center"/>
        <w:rPr>
          <w:b/>
          <w:sz w:val="32"/>
          <w:szCs w:val="32"/>
          <w:highlight w:val="none"/>
        </w:rPr>
      </w:pPr>
    </w:p>
    <w:p w14:paraId="24FE61C4">
      <w:pPr>
        <w:shd w:val="clear"/>
        <w:jc w:val="center"/>
        <w:rPr>
          <w:b/>
          <w:sz w:val="32"/>
          <w:szCs w:val="32"/>
          <w:highlight w:val="none"/>
        </w:rPr>
      </w:pPr>
    </w:p>
    <w:p w14:paraId="4DF965EF">
      <w:pPr>
        <w:shd w:val="clear"/>
        <w:jc w:val="center"/>
        <w:rPr>
          <w:b/>
          <w:sz w:val="32"/>
          <w:szCs w:val="32"/>
          <w:highlight w:val="none"/>
        </w:rPr>
      </w:pPr>
    </w:p>
    <w:p w14:paraId="73C85178">
      <w:pPr>
        <w:shd w:val="clear"/>
        <w:jc w:val="center"/>
        <w:rPr>
          <w:b/>
          <w:sz w:val="32"/>
          <w:szCs w:val="32"/>
          <w:highlight w:val="none"/>
        </w:rPr>
      </w:pPr>
    </w:p>
    <w:p w14:paraId="66EA6C04">
      <w:pPr>
        <w:shd w:val="clear"/>
        <w:jc w:val="center"/>
        <w:rPr>
          <w:rFonts w:hint="default" w:eastAsiaTheme="minorEastAsia"/>
          <w:b/>
          <w:sz w:val="32"/>
          <w:szCs w:val="32"/>
          <w:highlight w:val="none"/>
          <w:lang w:val="en-US" w:eastAsia="zh-CN"/>
        </w:rPr>
      </w:pPr>
      <w:r>
        <w:rPr>
          <w:rFonts w:hint="eastAsia"/>
          <w:b/>
          <w:sz w:val="32"/>
          <w:szCs w:val="32"/>
          <w:highlight w:val="none"/>
          <w:lang w:val="en-US" w:eastAsia="zh-CN"/>
        </w:rPr>
        <w:t>项目编号：ZBGL2026110118</w:t>
      </w:r>
    </w:p>
    <w:p w14:paraId="4A3EC65F">
      <w:pPr>
        <w:shd w:val="clear"/>
        <w:jc w:val="center"/>
        <w:rPr>
          <w:b/>
          <w:sz w:val="32"/>
          <w:szCs w:val="32"/>
          <w:highlight w:val="none"/>
        </w:rPr>
      </w:pPr>
    </w:p>
    <w:p w14:paraId="6DEA34D3">
      <w:pPr>
        <w:shd w:val="clear"/>
        <w:jc w:val="center"/>
        <w:rPr>
          <w:b/>
          <w:sz w:val="32"/>
          <w:szCs w:val="32"/>
          <w:highlight w:val="none"/>
        </w:rPr>
      </w:pPr>
    </w:p>
    <w:p w14:paraId="654CFA15">
      <w:pPr>
        <w:shd w:val="clear"/>
        <w:jc w:val="center"/>
        <w:rPr>
          <w:b/>
          <w:sz w:val="32"/>
          <w:szCs w:val="32"/>
          <w:highlight w:val="none"/>
        </w:rPr>
      </w:pPr>
    </w:p>
    <w:p w14:paraId="5522F415">
      <w:pPr>
        <w:shd w:val="clear"/>
        <w:jc w:val="center"/>
        <w:rPr>
          <w:b/>
          <w:sz w:val="32"/>
          <w:szCs w:val="32"/>
          <w:highlight w:val="none"/>
        </w:rPr>
      </w:pPr>
    </w:p>
    <w:p w14:paraId="38FABE85">
      <w:pPr>
        <w:shd w:val="clear"/>
        <w:jc w:val="center"/>
        <w:rPr>
          <w:rFonts w:hint="eastAsia" w:ascii="宋体" w:hAnsi="宋体" w:eastAsia="宋体"/>
          <w:b/>
          <w:sz w:val="32"/>
          <w:szCs w:val="32"/>
          <w:highlight w:val="none"/>
        </w:rPr>
      </w:pPr>
      <w:r>
        <w:rPr>
          <w:rFonts w:hint="eastAsia" w:ascii="宋体" w:hAnsi="宋体" w:eastAsia="宋体"/>
          <w:b/>
          <w:sz w:val="32"/>
          <w:szCs w:val="32"/>
          <w:highlight w:val="none"/>
        </w:rPr>
        <w:t>招标人：中国重汽集团济南动力有限公司</w:t>
      </w:r>
    </w:p>
    <w:p w14:paraId="066BB595">
      <w:pPr>
        <w:shd w:val="clear"/>
        <w:jc w:val="center"/>
        <w:rPr>
          <w:rFonts w:hint="eastAsia" w:ascii="宋体" w:hAnsi="宋体" w:eastAsia="宋体"/>
          <w:b/>
          <w:sz w:val="32"/>
          <w:szCs w:val="32"/>
          <w:highlight w:val="none"/>
        </w:rPr>
      </w:pPr>
      <w:r>
        <w:rPr>
          <w:rFonts w:hint="eastAsia" w:ascii="宋体" w:hAnsi="宋体" w:eastAsia="宋体"/>
          <w:b/>
          <w:sz w:val="32"/>
          <w:szCs w:val="32"/>
          <w:highlight w:val="none"/>
        </w:rPr>
        <w:t>日  期：二〇二</w:t>
      </w:r>
      <w:r>
        <w:rPr>
          <w:rFonts w:hint="eastAsia" w:ascii="宋体" w:hAnsi="宋体" w:eastAsia="宋体"/>
          <w:b/>
          <w:sz w:val="32"/>
          <w:szCs w:val="32"/>
          <w:highlight w:val="none"/>
          <w:lang w:val="en-US" w:eastAsia="zh-CN"/>
        </w:rPr>
        <w:t>六</w:t>
      </w:r>
      <w:r>
        <w:rPr>
          <w:rFonts w:hint="eastAsia" w:ascii="宋体" w:hAnsi="宋体" w:eastAsia="宋体"/>
          <w:b/>
          <w:sz w:val="32"/>
          <w:szCs w:val="32"/>
          <w:highlight w:val="none"/>
        </w:rPr>
        <w:t>年</w:t>
      </w:r>
      <w:r>
        <w:rPr>
          <w:rFonts w:hint="eastAsia" w:ascii="宋体" w:hAnsi="宋体" w:eastAsia="宋体"/>
          <w:b/>
          <w:sz w:val="32"/>
          <w:szCs w:val="32"/>
          <w:highlight w:val="none"/>
          <w:lang w:val="en-US" w:eastAsia="zh-CN"/>
        </w:rPr>
        <w:t>十一</w:t>
      </w:r>
      <w:r>
        <w:rPr>
          <w:rFonts w:hint="eastAsia" w:ascii="宋体" w:hAnsi="宋体" w:eastAsia="宋体"/>
          <w:b/>
          <w:sz w:val="32"/>
          <w:szCs w:val="32"/>
          <w:highlight w:val="none"/>
        </w:rPr>
        <w:t>月</w:t>
      </w:r>
    </w:p>
    <w:p w14:paraId="0493B0D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一、投标人须知</w:t>
      </w:r>
    </w:p>
    <w:p w14:paraId="74CA78A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1.招标人：中国重汽集团济南动力有限公司</w:t>
      </w:r>
    </w:p>
    <w:p w14:paraId="14BAC53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2.项目名称：中国重汽2027年合作伙伴大会主会馆及序厅布展执行系列活动项目</w:t>
      </w:r>
    </w:p>
    <w:p w14:paraId="16B9AE7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3.投标内容：商务会议</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展会</w:t>
      </w:r>
      <w:r>
        <w:rPr>
          <w:rFonts w:hint="eastAsia" w:ascii="仿宋_GB2312" w:hAnsi="仿宋_GB2312" w:eastAsia="仿宋_GB2312" w:cs="仿宋_GB2312"/>
          <w:sz w:val="28"/>
          <w:szCs w:val="28"/>
          <w:highlight w:val="none"/>
          <w:lang w:val="en-US" w:eastAsia="zh-CN"/>
        </w:rPr>
        <w:t>及卡车文化节</w:t>
      </w:r>
      <w:r>
        <w:rPr>
          <w:rFonts w:hint="eastAsia" w:ascii="仿宋_GB2312" w:hAnsi="仿宋_GB2312" w:eastAsia="仿宋_GB2312" w:cs="仿宋_GB2312"/>
          <w:sz w:val="28"/>
          <w:szCs w:val="28"/>
          <w:highlight w:val="none"/>
        </w:rPr>
        <w:t>的设计策划、物料制作、搭建、执行及传播等相关服务。</w:t>
      </w:r>
    </w:p>
    <w:p w14:paraId="2C5D595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4.项目周期：2026年11月-12月（具体时间以中标后合同约定的时间为准）。</w:t>
      </w:r>
    </w:p>
    <w:p w14:paraId="594BD31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5.报价方式：（人民币元）报价应包括合同签订到项目执行完成验收周期内所包含的一切费用（包含但不限于：方案设计策划、物料制作、现场搭建、活动执行、音视频制作、素材美化、会议直播系统、网络传播，以及工商、税务、利润及人工等全部费用）且报价需体现不含税金额、税率及价税合计金额。</w:t>
      </w:r>
    </w:p>
    <w:p w14:paraId="083F1B3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6.投标截止</w:t>
      </w:r>
      <w:r>
        <w:rPr>
          <w:rFonts w:hint="eastAsia" w:ascii="仿宋_GB2312" w:hAnsi="仿宋_GB2312" w:eastAsia="仿宋_GB2312" w:cs="仿宋_GB2312"/>
          <w:color w:val="000000"/>
          <w:sz w:val="28"/>
          <w:szCs w:val="28"/>
          <w:highlight w:val="none"/>
        </w:rPr>
        <w:t>：以e采通系统时间为准</w:t>
      </w:r>
      <w:r>
        <w:rPr>
          <w:rFonts w:hint="eastAsia" w:ascii="仿宋_GB2312" w:hAnsi="仿宋_GB2312" w:eastAsia="仿宋_GB2312" w:cs="仿宋_GB2312"/>
          <w:sz w:val="28"/>
          <w:szCs w:val="28"/>
          <w:highlight w:val="none"/>
        </w:rPr>
        <w:t>。</w:t>
      </w:r>
    </w:p>
    <w:p w14:paraId="5DECFCC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7.开标会</w:t>
      </w:r>
    </w:p>
    <w:p w14:paraId="72CDE77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72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时间：以e采通系统时间为准，如有变动，另行通知</w:t>
      </w:r>
    </w:p>
    <w:p w14:paraId="4059141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720" w:firstLine="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地点：中国重汽科技大厦会议室（具体另行通知）</w:t>
      </w:r>
    </w:p>
    <w:p w14:paraId="65E344FC">
      <w:pPr>
        <w:spacing w:line="500" w:lineRule="exact"/>
        <w:ind w:firstLine="560" w:firstLineChars="200"/>
        <w:rPr>
          <w:rFonts w:hint="default" w:ascii="仿宋_GB2312" w:hAnsi="仿宋_GB2312" w:eastAsia="仿宋_GB2312" w:cs="仿宋_GB2312"/>
          <w:sz w:val="28"/>
          <w:szCs w:val="28"/>
          <w:highlight w:val="yellow"/>
          <w:lang w:val="en-US" w:eastAsia="zh-CN"/>
        </w:rPr>
      </w:pPr>
      <w:r>
        <w:rPr>
          <w:rFonts w:hint="eastAsia" w:ascii="仿宋_GB2312" w:hAnsi="仿宋_GB2312" w:eastAsia="仿宋_GB2312" w:cs="仿宋_GB2312"/>
          <w:sz w:val="28"/>
          <w:szCs w:val="28"/>
          <w:highlight w:val="yellow"/>
          <w:lang w:val="en-US" w:eastAsia="zh-CN"/>
        </w:rPr>
        <w:t>时间安排：</w:t>
      </w:r>
    </w:p>
    <w:p w14:paraId="664E27A1">
      <w:pPr>
        <w:pStyle w:val="6"/>
        <w:widowControl/>
        <w:spacing w:line="500" w:lineRule="exact"/>
        <w:ind w:firstLine="560" w:firstLineChars="200"/>
        <w:jc w:val="both"/>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发标时间：2026年11月6号</w:t>
      </w:r>
    </w:p>
    <w:p w14:paraId="556972B4">
      <w:pPr>
        <w:pStyle w:val="6"/>
        <w:widowControl/>
        <w:spacing w:line="500" w:lineRule="exact"/>
        <w:ind w:firstLine="560" w:firstLineChars="200"/>
        <w:jc w:val="both"/>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应标截止时间：2026年11月12号17点</w:t>
      </w:r>
    </w:p>
    <w:p w14:paraId="36575F72">
      <w:pPr>
        <w:pStyle w:val="6"/>
        <w:widowControl/>
        <w:spacing w:line="500" w:lineRule="exact"/>
        <w:ind w:firstLine="560" w:firstLineChars="200"/>
        <w:jc w:val="both"/>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投标截止时间：2026年11月18号9点</w:t>
      </w:r>
    </w:p>
    <w:p w14:paraId="381D6D14">
      <w:pPr>
        <w:pStyle w:val="6"/>
        <w:widowControl/>
        <w:spacing w:line="500" w:lineRule="exact"/>
        <w:ind w:firstLine="560" w:firstLineChars="2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2"/>
          <w:sz w:val="28"/>
          <w:szCs w:val="28"/>
          <w:highlight w:val="none"/>
          <w:lang w:val="en-US" w:eastAsia="zh-CN"/>
        </w:rPr>
        <w:t>开标时间：2026年11月18号9点（时间暂定，若有变化另行通知）</w:t>
      </w:r>
    </w:p>
    <w:p w14:paraId="274A366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8.评标方法：</w:t>
      </w:r>
      <w:r>
        <w:rPr>
          <w:rFonts w:hint="eastAsia" w:ascii="仿宋_GB2312" w:hAnsi="仿宋_GB2312" w:eastAsia="仿宋_GB2312" w:cs="仿宋_GB2312"/>
          <w:color w:val="000000"/>
          <w:sz w:val="28"/>
          <w:szCs w:val="28"/>
          <w:highlight w:val="none"/>
        </w:rPr>
        <w:t>综合</w:t>
      </w:r>
      <w:r>
        <w:rPr>
          <w:rFonts w:hint="eastAsia" w:ascii="仿宋_GB2312" w:hAnsi="仿宋_GB2312" w:eastAsia="仿宋_GB2312" w:cs="仿宋_GB2312"/>
          <w:color w:val="000000"/>
          <w:sz w:val="28"/>
          <w:szCs w:val="28"/>
          <w:highlight w:val="none"/>
          <w:lang w:val="en-US" w:eastAsia="zh-CN"/>
        </w:rPr>
        <w:t>评标</w:t>
      </w:r>
      <w:r>
        <w:rPr>
          <w:rFonts w:hint="eastAsia" w:ascii="仿宋_GB2312" w:hAnsi="仿宋_GB2312" w:eastAsia="仿宋_GB2312" w:cs="仿宋_GB2312"/>
          <w:color w:val="000000"/>
          <w:sz w:val="28"/>
          <w:szCs w:val="28"/>
          <w:highlight w:val="none"/>
        </w:rPr>
        <w:t>法</w:t>
      </w:r>
    </w:p>
    <w:p w14:paraId="779C3F4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9.联系人：逄老师 电话：18678655867 </w:t>
      </w:r>
    </w:p>
    <w:p w14:paraId="3E41722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1862" w:firstLineChars="665"/>
        <w:jc w:val="left"/>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商务联系人：李帅威；17860605079</w:t>
      </w:r>
    </w:p>
    <w:p w14:paraId="1523F80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sz w:val="28"/>
          <w:szCs w:val="28"/>
          <w:highlight w:val="none"/>
        </w:rPr>
        <w:t>10.保证金：请在投标截止日期前，从基本账户向招标人交纳人民币20000元的投标保证金后，才能获得本次招标的投标资格；投标人中标后，该保证金不再退还，自动转为履约保证金，如中标人拒绝签署合同，保证金不予退还；若投标人未中标，该保证金将在中标通知书发出后一个付款周期内原路径全额无息退还。报价必须涵盖所有类目，否则为无效投标，缴纳保证金时，应在汇款时注明“中国重汽2027年合作伙伴大会主会馆及序厅布展执行系列活动项目保证金”（如遇字数限制可简写“2027合作伙伴大会主会及序厅系列活动”）。</w:t>
      </w:r>
      <w:r>
        <w:rPr>
          <w:rFonts w:hint="eastAsia" w:ascii="仿宋_GB2312" w:hAnsi="仿宋_GB2312" w:eastAsia="仿宋_GB2312" w:cs="仿宋_GB2312"/>
          <w:sz w:val="28"/>
          <w:szCs w:val="28"/>
          <w:highlight w:val="none"/>
          <w:lang w:val="en-US" w:eastAsia="zh-CN"/>
        </w:rPr>
        <w:t>保证金缴纳截止时间：2026年11月17号17点；</w:t>
      </w:r>
    </w:p>
    <w:p w14:paraId="6BE7E07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保证金缴纳账户：</w:t>
      </w:r>
    </w:p>
    <w:p w14:paraId="10238974">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 xml:space="preserve">户名：中国重汽集团济南动力有限公司 </w:t>
      </w:r>
    </w:p>
    <w:p w14:paraId="29FABD1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开户行：中国建设银行济南市天桥区支行</w:t>
      </w:r>
    </w:p>
    <w:p w14:paraId="129B39B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账号：37001616508050150300    </w:t>
      </w:r>
    </w:p>
    <w:p w14:paraId="72A75A0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行号：105451000362</w:t>
      </w:r>
    </w:p>
    <w:p w14:paraId="10BDD9D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发生以下情况时，招标人有权向银行声明索赔或直接没收投标保证金。</w:t>
      </w:r>
    </w:p>
    <w:p w14:paraId="4797152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（1）供应商在提交响应文件截止时间后撤回响应文件的；</w:t>
      </w:r>
    </w:p>
    <w:p w14:paraId="229601C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（2）供应商在响应文件中提供虚假材料的；</w:t>
      </w:r>
    </w:p>
    <w:p w14:paraId="7A87C4BE">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（3）除因不可抗力或谈判文件、询价通知书认可的情形以外，成交供应商不与采购人签订合同的；</w:t>
      </w:r>
    </w:p>
    <w:p w14:paraId="651FEDB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（4）供应商与采购人、其他供应商或者采购代理机构恶意串通、围标、陪标的；</w:t>
      </w:r>
    </w:p>
    <w:p w14:paraId="59CCD91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（5）供应商有违约违规行为或被投诉、举报的，在调查处理期间，保证金暂不退还，待调查处理结束后按有关规定处理；</w:t>
      </w:r>
    </w:p>
    <w:p w14:paraId="5B147A1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（6）截至开标前3天，投标人无正当理由、未以书面形式向招标人递交说明而在投标截止日不来投标的；</w:t>
      </w:r>
    </w:p>
    <w:p w14:paraId="434ABDB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（7）自中标通知书发出之日起30日内，中标人无正当理由拒绝签订合同的；</w:t>
      </w:r>
    </w:p>
    <w:p w14:paraId="7670935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（8）采购文件规定的其他情形。</w:t>
      </w:r>
    </w:p>
    <w:p w14:paraId="6E3CABC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二、项目说明</w:t>
      </w:r>
    </w:p>
    <w:p w14:paraId="698A0EF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为展现中国重汽在科技创新、智能化发展及多能源技术领域的成果，深化产业链协同与生态合作，提升品牌影响力与文化价值，根据集团公司安排，计划于2026年12月17日—21日在山东国际会展中心举办中国重汽2027年合作伙伴大会系列活动，打造集科技创新、产品展示、生态协同、文化体验于一体的行业标杆性活动，包含伙伴大会、卡车文化节、供应商大会、服务大会、主营单位商务大会等系列活动。</w:t>
      </w:r>
    </w:p>
    <w:p w14:paraId="5F7AA57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三、标的内容</w:t>
      </w:r>
    </w:p>
    <w:p w14:paraId="326FE32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1.活动地点：</w:t>
      </w:r>
    </w:p>
    <w:p w14:paraId="57B3EC9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sz w:val="28"/>
          <w:szCs w:val="28"/>
          <w:highlight w:val="none"/>
        </w:rPr>
        <w:t>（1）主会及晚宴——山东国际会展中心5号主会馆（含理念区）及贵宾厅，12月18日上午作为合作伙伴大会会场，晚上为年度人物颁奖盛典会场</w:t>
      </w:r>
      <w:r>
        <w:rPr>
          <w:rFonts w:hint="eastAsia" w:ascii="仿宋_GB2312" w:hAnsi="仿宋_GB2312" w:eastAsia="仿宋_GB2312" w:cs="仿宋_GB2312"/>
          <w:sz w:val="28"/>
          <w:szCs w:val="28"/>
          <w:highlight w:val="none"/>
          <w:lang w:eastAsia="zh-CN"/>
        </w:rPr>
        <w:t>。</w:t>
      </w:r>
    </w:p>
    <w:p w14:paraId="6CF0E62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sz w:val="28"/>
          <w:szCs w:val="28"/>
          <w:highlight w:val="none"/>
        </w:rPr>
        <w:t>（2）媒体吹风会、媒体见面会、媒体之夜、营销功勋座谈会、营销功勋晚宴——12月17日济南美悦云禧酒店三楼云禧厅（1/2厅）、五楼云颂厅、贵宾厅</w:t>
      </w:r>
      <w:r>
        <w:rPr>
          <w:rFonts w:hint="eastAsia" w:ascii="仿宋_GB2312" w:hAnsi="仿宋_GB2312" w:eastAsia="仿宋_GB2312" w:cs="仿宋_GB2312"/>
          <w:sz w:val="28"/>
          <w:szCs w:val="28"/>
          <w:highlight w:val="none"/>
          <w:lang w:eastAsia="zh-CN"/>
        </w:rPr>
        <w:t>。</w:t>
      </w:r>
    </w:p>
    <w:p w14:paraId="1A3578A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sz w:val="28"/>
          <w:szCs w:val="28"/>
          <w:highlight w:val="none"/>
        </w:rPr>
        <w:t>（3）卡车文化节（公众日）——12月19-20日，山东国际会展中心2-5号馆、序厅、室内外停车场</w:t>
      </w:r>
      <w:r>
        <w:rPr>
          <w:rFonts w:hint="eastAsia" w:ascii="仿宋_GB2312" w:hAnsi="仿宋_GB2312" w:eastAsia="仿宋_GB2312" w:cs="仿宋_GB2312"/>
          <w:sz w:val="28"/>
          <w:szCs w:val="28"/>
          <w:highlight w:val="none"/>
          <w:lang w:eastAsia="zh-CN"/>
        </w:rPr>
        <w:t>。</w:t>
      </w:r>
    </w:p>
    <w:p w14:paraId="0A08440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2.标的组成及分类：</w:t>
      </w:r>
    </w:p>
    <w:p w14:paraId="7CDBD85E">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标的组成：12月17日-21日期间中国重汽2027年合作伙伴大会主会会议、媒体吹风会、媒体见面会、媒体之夜、营销功勋座谈会、营销功勋晚宴、年度人物颁奖盛典及卡车文化节（公众日）活动方案策划与执行、物料设计制作、会场布置搭建、内容文案制定、内容视频制作、流程环节策划与执行、线上直播系统搭建及直播活动策划执行、活动传播等。包含但不仅限于以下项目：</w:t>
      </w:r>
    </w:p>
    <w:p w14:paraId="63AB933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562" w:firstLineChars="200"/>
        <w:jc w:val="left"/>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（1）</w:t>
      </w:r>
      <w:r>
        <w:rPr>
          <w:rFonts w:hint="eastAsia" w:ascii="仿宋_GB2312" w:hAnsi="仿宋_GB2312" w:eastAsia="仿宋_GB2312" w:cs="仿宋_GB2312"/>
          <w:b/>
          <w:bCs/>
          <w:kern w:val="0"/>
          <w:sz w:val="28"/>
          <w:szCs w:val="28"/>
          <w:highlight w:val="none"/>
          <w:lang w:val="en-US" w:eastAsia="zh-CN" w:bidi="ar"/>
        </w:rPr>
        <w:t>布展搭建</w:t>
      </w:r>
    </w:p>
    <w:p w14:paraId="572AE9B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a.山东国际会展中心5号馆内需设置理念区四周围挡、入口大会精神堡垒、合作伙伴荣誉展区、品牌荣誉展示、理念区与大会之间围挡（背面为大屏，用于年度人物颁奖盛典同投屏）、理念区吊顶、地毯等布置。搭建</w:t>
      </w:r>
      <w:r>
        <w:rPr>
          <w:rFonts w:hint="eastAsia" w:ascii="仿宋_GB2312" w:hAnsi="仿宋_GB2312" w:eastAsia="仿宋_GB2312" w:cs="仿宋_GB2312"/>
          <w:color w:val="000000"/>
          <w:sz w:val="28"/>
          <w:szCs w:val="28"/>
          <w:highlight w:val="none"/>
          <w:lang w:val="en-US" w:eastAsia="zh-CN"/>
        </w:rPr>
        <w:t>周期</w:t>
      </w:r>
      <w:r>
        <w:rPr>
          <w:rFonts w:hint="eastAsia" w:ascii="仿宋_GB2312" w:hAnsi="仿宋_GB2312" w:eastAsia="仿宋_GB2312" w:cs="仿宋_GB2312"/>
          <w:color w:val="000000"/>
          <w:sz w:val="28"/>
          <w:szCs w:val="28"/>
          <w:highlight w:val="none"/>
        </w:rPr>
        <w:t>为12月12日至15日，12月16日至17日彩排。同时完成会场座席区安排布置，席签、区域划分贴、地贴、椅背贴等制作布置，证件设计制作，人员接待及其他会议物料设计制作。</w:t>
      </w:r>
    </w:p>
    <w:p w14:paraId="54E57A6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b.山东国际会展中心5号馆内</w:t>
      </w:r>
      <w:r>
        <w:rPr>
          <w:rFonts w:hint="eastAsia" w:ascii="仿宋_GB2312" w:hAnsi="仿宋_GB2312" w:eastAsia="仿宋_GB2312" w:cs="仿宋_GB2312"/>
          <w:sz w:val="28"/>
          <w:szCs w:val="28"/>
          <w:highlight w:val="none"/>
          <w:lang w:val="en-US" w:eastAsia="zh-CN"/>
        </w:rPr>
        <w:t>主会</w:t>
      </w:r>
      <w:r>
        <w:rPr>
          <w:rFonts w:hint="eastAsia" w:ascii="仿宋_GB2312" w:hAnsi="仿宋_GB2312" w:eastAsia="仿宋_GB2312" w:cs="仿宋_GB2312"/>
          <w:sz w:val="28"/>
          <w:szCs w:val="28"/>
          <w:highlight w:val="none"/>
        </w:rPr>
        <w:t>整体按照3500人左右进行规划，布置</w:t>
      </w:r>
      <w:r>
        <w:rPr>
          <w:rFonts w:hint="eastAsia" w:ascii="仿宋_GB2312" w:hAnsi="仿宋_GB2312" w:eastAsia="仿宋_GB2312" w:cs="仿宋_GB2312"/>
          <w:sz w:val="28"/>
          <w:szCs w:val="28"/>
          <w:highlight w:val="none"/>
          <w:lang w:val="en-US" w:eastAsia="zh-CN"/>
        </w:rPr>
        <w:t>具有</w:t>
      </w:r>
      <w:r>
        <w:rPr>
          <w:rFonts w:hint="eastAsia" w:ascii="仿宋_GB2312" w:hAnsi="仿宋_GB2312" w:eastAsia="仿宋_GB2312" w:cs="仿宋_GB2312"/>
          <w:sz w:val="28"/>
          <w:szCs w:val="28"/>
          <w:highlight w:val="none"/>
        </w:rPr>
        <w:t>科技感，契合中国重汽品牌调性及大会主题，兼顾顶部氛围。舞台区设置大屏及侧屏，</w:t>
      </w:r>
      <w:r>
        <w:rPr>
          <w:rFonts w:hint="eastAsia" w:ascii="仿宋_GB2312" w:hAnsi="仿宋_GB2312" w:eastAsia="仿宋_GB2312" w:cs="仿宋_GB2312"/>
          <w:sz w:val="28"/>
          <w:szCs w:val="28"/>
          <w:highlight w:val="none"/>
          <w:lang w:val="en-US" w:eastAsia="zh-CN"/>
        </w:rPr>
        <w:t>舞台，</w:t>
      </w:r>
      <w:r>
        <w:rPr>
          <w:rFonts w:hint="eastAsia" w:ascii="仿宋_GB2312" w:hAnsi="仿宋_GB2312" w:eastAsia="仿宋_GB2312" w:cs="仿宋_GB2312"/>
          <w:sz w:val="28"/>
          <w:szCs w:val="28"/>
          <w:highlight w:val="none"/>
        </w:rPr>
        <w:t>布局具有层次感，两侧分别设置产品发布区域（均为一辆车和2个总成的搭配展示），兼顾主会、年度人物颁奖盛典等环节使用；座席区要分方阵，中间位置至少设置三组吊屏（屏幕下不设置座位），满足题词、同投等双向功能需求。所有屏幕要求为室内高清大屏。要求设置固定机位及移动机位。</w:t>
      </w:r>
    </w:p>
    <w:p w14:paraId="3A0AEBE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c.</w:t>
      </w:r>
      <w:r>
        <w:rPr>
          <w:rFonts w:hint="eastAsia" w:ascii="仿宋_GB2312" w:hAnsi="仿宋_GB2312" w:eastAsia="仿宋_GB2312" w:cs="仿宋_GB2312"/>
          <w:color w:val="0F1115"/>
          <w:sz w:val="28"/>
          <w:szCs w:val="28"/>
          <w:highlight w:val="none"/>
        </w:rPr>
        <w:t>山东国际会展中心5号馆在12月18日主会结束后即进行年度人物颁奖盛典翻台，年度人物颁奖盛典按3500人左右规划，充分考虑备餐位置、上餐通道及晚宴布置，并完成席签、桌卡、区域划分贴、地贴、椅背贴等制作布置及其他物料设计制作。</w:t>
      </w:r>
    </w:p>
    <w:p w14:paraId="703DE9A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color w:val="0F1115"/>
          <w:sz w:val="28"/>
          <w:szCs w:val="28"/>
          <w:highlight w:val="none"/>
        </w:rPr>
      </w:pPr>
      <w:r>
        <w:rPr>
          <w:rFonts w:hint="eastAsia" w:ascii="仿宋_GB2312" w:hAnsi="仿宋_GB2312" w:eastAsia="仿宋_GB2312" w:cs="仿宋_GB2312"/>
          <w:color w:val="0F1115"/>
          <w:sz w:val="28"/>
          <w:szCs w:val="28"/>
          <w:highlight w:val="none"/>
        </w:rPr>
        <w:t>d.序厅作为卡车文化节的核心落地区域，可规划布置2、3、4、5号馆前龙门、精神堡垒、企业历史墙、高端装备全品系明星墙、卡友故事、合影打卡点、文创品销售展示区、后市场配件展示区（两者可合理化合并）、互动休闲区、美食小吃区、服务台、感谢信及激励寄语展示、1号馆与2号馆间序厅围挡等内容，并配套展区总览、引导地贴、活动介绍展板等指引导视系统。整体视觉须契合大会ICON，色调及调性须严格符合活动主题及中国重汽品牌调性。（注：以上提及的</w:t>
      </w:r>
      <w:r>
        <w:rPr>
          <w:rFonts w:hint="eastAsia" w:ascii="仿宋_GB2312" w:hAnsi="仿宋_GB2312" w:eastAsia="仿宋_GB2312" w:cs="仿宋_GB2312"/>
          <w:color w:val="0F1115"/>
          <w:sz w:val="28"/>
          <w:szCs w:val="28"/>
          <w:highlight w:val="none"/>
          <w:lang w:val="en-US" w:eastAsia="zh-CN"/>
        </w:rPr>
        <w:t>规划布置</w:t>
      </w:r>
      <w:r>
        <w:rPr>
          <w:rFonts w:hint="eastAsia" w:ascii="仿宋_GB2312" w:hAnsi="仿宋_GB2312" w:eastAsia="仿宋_GB2312" w:cs="仿宋_GB2312"/>
          <w:color w:val="0F1115"/>
          <w:sz w:val="28"/>
          <w:szCs w:val="28"/>
          <w:highlight w:val="none"/>
        </w:rPr>
        <w:t>仅为参考，可自行增补调整。）</w:t>
      </w:r>
    </w:p>
    <w:p w14:paraId="314F365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color w:val="0F1115"/>
          <w:sz w:val="28"/>
          <w:szCs w:val="28"/>
          <w:highlight w:val="none"/>
        </w:rPr>
      </w:pPr>
      <w:r>
        <w:rPr>
          <w:rFonts w:hint="eastAsia" w:ascii="仿宋_GB2312" w:hAnsi="仿宋_GB2312" w:eastAsia="仿宋_GB2312" w:cs="仿宋_GB2312"/>
          <w:color w:val="0F1115"/>
          <w:sz w:val="28"/>
          <w:szCs w:val="28"/>
          <w:highlight w:val="none"/>
        </w:rPr>
        <w:t>e.卡车文化节开幕式外场</w:t>
      </w:r>
      <w:r>
        <w:rPr>
          <w:rFonts w:hint="eastAsia" w:ascii="仿宋_GB2312" w:hAnsi="仿宋_GB2312" w:eastAsia="仿宋_GB2312" w:cs="仿宋_GB2312"/>
          <w:color w:val="0F1115"/>
          <w:sz w:val="28"/>
          <w:szCs w:val="28"/>
          <w:highlight w:val="none"/>
          <w:lang w:val="en-US" w:eastAsia="zh-CN"/>
        </w:rPr>
        <w:t>可</w:t>
      </w:r>
      <w:r>
        <w:rPr>
          <w:rFonts w:hint="eastAsia" w:ascii="仿宋_GB2312" w:hAnsi="仿宋_GB2312" w:eastAsia="仿宋_GB2312" w:cs="仿宋_GB2312"/>
          <w:color w:val="0F1115"/>
          <w:sz w:val="28"/>
          <w:szCs w:val="28"/>
          <w:highlight w:val="none"/>
        </w:rPr>
        <w:t>搭建舞台、大屏（或背景板）、空飘、礼炮、道旗等氛围物料，且须符合城市管理及消防规定，场地规划合理并营造浓烈氛围</w:t>
      </w:r>
      <w:r>
        <w:rPr>
          <w:rFonts w:hint="eastAsia" w:ascii="仿宋_GB2312" w:hAnsi="仿宋_GB2312" w:eastAsia="仿宋_GB2312" w:cs="仿宋_GB2312"/>
          <w:color w:val="0F1115"/>
          <w:sz w:val="28"/>
          <w:szCs w:val="28"/>
          <w:highlight w:val="none"/>
          <w:lang w:eastAsia="zh-CN"/>
        </w:rPr>
        <w:t>。</w:t>
      </w:r>
      <w:r>
        <w:rPr>
          <w:rFonts w:hint="eastAsia" w:ascii="仿宋_GB2312" w:hAnsi="仿宋_GB2312" w:eastAsia="仿宋_GB2312" w:cs="仿宋_GB2312"/>
          <w:color w:val="0F1115"/>
          <w:sz w:val="28"/>
          <w:szCs w:val="28"/>
          <w:highlight w:val="none"/>
        </w:rPr>
        <w:t>序厅需设置互动演出区，充分考虑室内氛围烘托，布置舞台、大屏、座席区等，兼顾娱乐休闲功能</w:t>
      </w:r>
      <w:r>
        <w:rPr>
          <w:rFonts w:hint="eastAsia" w:ascii="仿宋_GB2312" w:hAnsi="仿宋_GB2312" w:eastAsia="仿宋_GB2312" w:cs="仿宋_GB2312"/>
          <w:color w:val="0F1115"/>
          <w:sz w:val="28"/>
          <w:szCs w:val="28"/>
          <w:highlight w:val="none"/>
          <w:lang w:eastAsia="zh-CN"/>
        </w:rPr>
        <w:t>。</w:t>
      </w:r>
      <w:r>
        <w:rPr>
          <w:rFonts w:hint="eastAsia" w:ascii="仿宋_GB2312" w:hAnsi="仿宋_GB2312" w:eastAsia="仿宋_GB2312" w:cs="仿宋_GB2312"/>
          <w:color w:val="0F1115"/>
          <w:sz w:val="28"/>
          <w:szCs w:val="28"/>
          <w:highlight w:val="none"/>
        </w:rPr>
        <w:t>互动体验物料需针对不同群体进行配置，如人偶、小丑及NPC道具、趣味赛事道具（如腕力赛、卡车大力士、轮胎挑战赛、模拟精准装配等）、卡车模型涂鸦及拼图等，上述所有物料均须深度结合</w:t>
      </w:r>
      <w:r>
        <w:rPr>
          <w:rFonts w:hint="eastAsia" w:ascii="仿宋_GB2312" w:hAnsi="仿宋_GB2312" w:eastAsia="仿宋_GB2312" w:cs="仿宋_GB2312"/>
          <w:color w:val="0F1115"/>
          <w:sz w:val="28"/>
          <w:szCs w:val="28"/>
          <w:highlight w:val="none"/>
          <w:lang w:val="en-US" w:eastAsia="zh-CN"/>
        </w:rPr>
        <w:t>中国</w:t>
      </w:r>
      <w:r>
        <w:rPr>
          <w:rFonts w:hint="eastAsia" w:ascii="仿宋_GB2312" w:hAnsi="仿宋_GB2312" w:eastAsia="仿宋_GB2312" w:cs="仿宋_GB2312"/>
          <w:color w:val="0F1115"/>
          <w:sz w:val="28"/>
          <w:szCs w:val="28"/>
          <w:highlight w:val="none"/>
        </w:rPr>
        <w:t>重汽品牌、商用车行业元素及产品特性。美食小吃区须进行整体物料布置与视觉包装，确保形象统一并满足消防安全规范；同时，</w:t>
      </w:r>
      <w:r>
        <w:rPr>
          <w:rFonts w:hint="eastAsia" w:ascii="仿宋_GB2312" w:hAnsi="仿宋_GB2312" w:eastAsia="仿宋_GB2312" w:cs="仿宋_GB2312"/>
          <w:color w:val="0F1115"/>
          <w:sz w:val="28"/>
          <w:szCs w:val="28"/>
          <w:highlight w:val="none"/>
          <w:lang w:val="en-US" w:eastAsia="zh-CN"/>
        </w:rPr>
        <w:t>需</w:t>
      </w:r>
      <w:r>
        <w:rPr>
          <w:rFonts w:hint="eastAsia" w:ascii="仿宋_GB2312" w:hAnsi="仿宋_GB2312" w:eastAsia="仿宋_GB2312" w:cs="仿宋_GB2312"/>
          <w:color w:val="0F1115"/>
          <w:sz w:val="28"/>
          <w:szCs w:val="28"/>
          <w:highlight w:val="none"/>
        </w:rPr>
        <w:t>完成约30辆卡车（招标方组织）城市巡游的视觉包装布置。（注：以上提及的</w:t>
      </w:r>
      <w:r>
        <w:rPr>
          <w:rFonts w:hint="eastAsia" w:ascii="仿宋_GB2312" w:hAnsi="仿宋_GB2312" w:eastAsia="仿宋_GB2312" w:cs="仿宋_GB2312"/>
          <w:color w:val="0F1115"/>
          <w:sz w:val="28"/>
          <w:szCs w:val="28"/>
          <w:highlight w:val="none"/>
          <w:lang w:val="en-US" w:eastAsia="zh-CN"/>
        </w:rPr>
        <w:t>规划布置及互动</w:t>
      </w:r>
      <w:r>
        <w:rPr>
          <w:rFonts w:hint="eastAsia" w:ascii="仿宋_GB2312" w:hAnsi="仿宋_GB2312" w:eastAsia="仿宋_GB2312" w:cs="仿宋_GB2312"/>
          <w:color w:val="0F1115"/>
          <w:sz w:val="28"/>
          <w:szCs w:val="28"/>
          <w:highlight w:val="none"/>
        </w:rPr>
        <w:t>示例仅为参考，可自行增补</w:t>
      </w:r>
      <w:r>
        <w:rPr>
          <w:rFonts w:hint="eastAsia" w:ascii="仿宋_GB2312" w:hAnsi="仿宋_GB2312" w:eastAsia="仿宋_GB2312" w:cs="仿宋_GB2312"/>
          <w:color w:val="0F1115"/>
          <w:sz w:val="28"/>
          <w:szCs w:val="28"/>
          <w:highlight w:val="none"/>
          <w:lang w:val="en-US" w:eastAsia="zh-CN"/>
        </w:rPr>
        <w:t>调整。</w:t>
      </w:r>
      <w:r>
        <w:rPr>
          <w:rFonts w:hint="eastAsia" w:ascii="仿宋_GB2312" w:hAnsi="仿宋_GB2312" w:eastAsia="仿宋_GB2312" w:cs="仿宋_GB2312"/>
          <w:color w:val="0F1115"/>
          <w:sz w:val="28"/>
          <w:szCs w:val="28"/>
          <w:highlight w:val="none"/>
        </w:rPr>
        <w:t>）</w:t>
      </w:r>
    </w:p>
    <w:p w14:paraId="67A1E62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F1115"/>
          <w:sz w:val="28"/>
          <w:szCs w:val="28"/>
          <w:highlight w:val="none"/>
        </w:rPr>
        <w:t>f.协助完成酒店对接及媒体接待区搭建与接待工作，设置媒体专属接待环节（如拍摄笑脸等</w:t>
      </w:r>
      <w:r>
        <w:rPr>
          <w:rFonts w:hint="eastAsia" w:ascii="仿宋_GB2312" w:hAnsi="仿宋_GB2312" w:eastAsia="仿宋_GB2312" w:cs="仿宋_GB2312"/>
          <w:color w:val="0F1115"/>
          <w:sz w:val="28"/>
          <w:szCs w:val="28"/>
          <w:highlight w:val="none"/>
          <w:lang w:eastAsia="zh-CN"/>
        </w:rPr>
        <w:t>，</w:t>
      </w:r>
      <w:r>
        <w:rPr>
          <w:rFonts w:hint="eastAsia" w:ascii="仿宋_GB2312" w:hAnsi="仿宋_GB2312" w:eastAsia="仿宋_GB2312" w:cs="仿宋_GB2312"/>
          <w:color w:val="0F1115"/>
          <w:sz w:val="28"/>
          <w:szCs w:val="28"/>
          <w:highlight w:val="none"/>
        </w:rPr>
        <w:t>以上提及的示例仅为参考，可自行增补</w:t>
      </w:r>
      <w:r>
        <w:rPr>
          <w:rFonts w:hint="eastAsia" w:ascii="仿宋_GB2312" w:hAnsi="仿宋_GB2312" w:eastAsia="仿宋_GB2312" w:cs="仿宋_GB2312"/>
          <w:color w:val="0F1115"/>
          <w:sz w:val="28"/>
          <w:szCs w:val="28"/>
          <w:highlight w:val="none"/>
          <w:lang w:val="en-US" w:eastAsia="zh-CN"/>
        </w:rPr>
        <w:t>调整</w:t>
      </w:r>
      <w:r>
        <w:rPr>
          <w:rFonts w:hint="eastAsia" w:ascii="仿宋_GB2312" w:hAnsi="仿宋_GB2312" w:eastAsia="仿宋_GB2312" w:cs="仿宋_GB2312"/>
          <w:color w:val="0F1115"/>
          <w:sz w:val="28"/>
          <w:szCs w:val="28"/>
          <w:highlight w:val="none"/>
        </w:rPr>
        <w:t>），与媒体之夜现场环节形成呼应，统一策划内容，提升惊喜感与情感共鸣，同时增强媒体的力量感</w:t>
      </w:r>
      <w:r>
        <w:rPr>
          <w:rFonts w:hint="eastAsia" w:ascii="仿宋_GB2312" w:hAnsi="仿宋_GB2312" w:eastAsia="仿宋_GB2312" w:cs="仿宋_GB2312"/>
          <w:color w:val="0F1115"/>
          <w:sz w:val="28"/>
          <w:szCs w:val="28"/>
          <w:highlight w:val="none"/>
          <w:lang w:eastAsia="zh-CN"/>
        </w:rPr>
        <w:t>。</w:t>
      </w:r>
      <w:r>
        <w:rPr>
          <w:rFonts w:hint="eastAsia" w:ascii="仿宋_GB2312" w:hAnsi="仿宋_GB2312" w:eastAsia="仿宋_GB2312" w:cs="仿宋_GB2312"/>
          <w:color w:val="0F1115"/>
          <w:sz w:val="28"/>
          <w:szCs w:val="28"/>
          <w:highlight w:val="none"/>
        </w:rPr>
        <w:t>媒体吹风会、媒体见面会、营销功勋晚宴在济南美悦云禧酒店三楼云禧厅（1/2厅）举办，12月17日下午召开媒体吹风会、媒体见面会，会后翻台举办营销功勋晚宴，营销功勋座谈会及媒体之夜在济南美悦云禧酒店五楼云颂厅举办，营销功勋座谈会后翻台举办媒体之夜，需对三楼云禧厅（1/2厅）及五楼云颂厅、贵宾室进行整体规划，包含指引导视、LED大屏、舞台及踏步包边、音响、灯光、话筒、座席排布、席签桌卡制作摆放、速记员提供、环节执行、序厅布置等。</w:t>
      </w:r>
    </w:p>
    <w:p w14:paraId="39F12A7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（2）活动运营</w:t>
      </w:r>
    </w:p>
    <w:p w14:paraId="779B1314">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a.合作伙伴大会主会会议运营，包含但不限于环节执行主要环节含主会摇旗进场仪式动线安排、旗帜准备，领导致辞，优秀表彰，中国重汽全系列动力新产品发布——需策划产品亮相、道具准备、方案解读等、音视频拍摄剪辑制作（</w:t>
      </w:r>
      <w:r>
        <w:rPr>
          <w:rFonts w:hint="eastAsia" w:ascii="仿宋_GB2312" w:hAnsi="仿宋_GB2312" w:eastAsia="仿宋_GB2312" w:cs="仿宋_GB2312"/>
          <w:sz w:val="28"/>
          <w:szCs w:val="28"/>
          <w:highlight w:val="none"/>
          <w:lang w:val="en-US" w:eastAsia="zh-CN"/>
        </w:rPr>
        <w:t>含</w:t>
      </w:r>
      <w:r>
        <w:rPr>
          <w:rFonts w:hint="eastAsia" w:ascii="仿宋_GB2312" w:hAnsi="仿宋_GB2312" w:eastAsia="仿宋_GB2312" w:cs="仿宋_GB2312"/>
          <w:sz w:val="28"/>
          <w:szCs w:val="28"/>
          <w:highlight w:val="none"/>
        </w:rPr>
        <w:t>安全提示视频、暖场视频、开场视频、倒计时视频、颁奖视频、发布先导视频、</w:t>
      </w:r>
      <w:r>
        <w:rPr>
          <w:rFonts w:hint="eastAsia" w:ascii="仿宋_GB2312" w:hAnsi="仿宋_GB2312" w:eastAsia="仿宋_GB2312" w:cs="仿宋_GB2312"/>
          <w:sz w:val="28"/>
          <w:szCs w:val="28"/>
          <w:highlight w:val="none"/>
          <w:shd w:val="clear"/>
        </w:rPr>
        <w:t>发布环节视频、搭建延时视频等）、上屏内容美化（含发布会讲解PPT/KEYNOTE制作等）、演讲稿包装、动态上屏内容制作、</w:t>
      </w:r>
      <w:r>
        <w:rPr>
          <w:rFonts w:hint="eastAsia" w:ascii="仿宋_GB2312" w:hAnsi="仿宋_GB2312" w:eastAsia="仿宋_GB2312" w:cs="仿宋_GB2312"/>
          <w:color w:val="000000"/>
          <w:sz w:val="28"/>
          <w:szCs w:val="28"/>
          <w:highlight w:val="none"/>
          <w:shd w:val="clear"/>
        </w:rPr>
        <w:t>颁奖奖杯样式策划制作（</w:t>
      </w:r>
      <w:r>
        <w:rPr>
          <w:rFonts w:hint="eastAsia" w:ascii="仿宋_GB2312" w:hAnsi="仿宋_GB2312" w:eastAsia="仿宋_GB2312" w:cs="仿宋_GB2312"/>
          <w:color w:val="000000"/>
          <w:sz w:val="28"/>
          <w:szCs w:val="28"/>
          <w:highlight w:val="none"/>
          <w:shd w:val="clear"/>
          <w:lang w:val="en-US" w:eastAsia="zh-CN"/>
        </w:rPr>
        <w:t>预</w:t>
      </w:r>
      <w:r>
        <w:rPr>
          <w:rFonts w:hint="eastAsia" w:ascii="仿宋_GB2312" w:hAnsi="仿宋_GB2312" w:eastAsia="仿宋_GB2312" w:cs="仿宋_GB2312"/>
          <w:color w:val="000000"/>
          <w:sz w:val="28"/>
          <w:szCs w:val="28"/>
          <w:highlight w:val="none"/>
          <w:shd w:val="clear"/>
        </w:rPr>
        <w:t>设6个奖项，</w:t>
      </w:r>
      <w:r>
        <w:rPr>
          <w:rFonts w:hint="eastAsia" w:ascii="仿宋_GB2312" w:hAnsi="仿宋_GB2312" w:eastAsia="仿宋_GB2312" w:cs="仿宋_GB2312"/>
          <w:color w:val="2C2C2B"/>
          <w:sz w:val="28"/>
          <w:szCs w:val="28"/>
          <w:highlight w:val="none"/>
          <w:shd w:val="clear"/>
        </w:rPr>
        <w:t>并推荐</w:t>
      </w:r>
      <w:r>
        <w:rPr>
          <w:rFonts w:hint="eastAsia" w:ascii="仿宋_GB2312" w:hAnsi="仿宋_GB2312" w:eastAsia="仿宋_GB2312" w:cs="仿宋_GB2312"/>
          <w:color w:val="2C2C2B"/>
          <w:sz w:val="28"/>
          <w:szCs w:val="28"/>
          <w:highlight w:val="none"/>
          <w:shd w:val="clear"/>
          <w:lang w:val="en-US" w:eastAsia="zh-CN"/>
        </w:rPr>
        <w:t>不少于6款</w:t>
      </w:r>
      <w:r>
        <w:rPr>
          <w:rFonts w:hint="eastAsia" w:ascii="仿宋_GB2312" w:hAnsi="仿宋_GB2312" w:eastAsia="仿宋_GB2312" w:cs="仿宋_GB2312"/>
          <w:color w:val="2C2C2B"/>
          <w:sz w:val="28"/>
          <w:szCs w:val="28"/>
          <w:highlight w:val="none"/>
          <w:shd w:val="clear"/>
        </w:rPr>
        <w:t>奖杯样式，</w:t>
      </w:r>
      <w:r>
        <w:rPr>
          <w:rFonts w:hint="eastAsia" w:ascii="仿宋_GB2312" w:hAnsi="仿宋_GB2312" w:eastAsia="仿宋_GB2312" w:cs="仿宋_GB2312"/>
          <w:color w:val="000000"/>
          <w:sz w:val="28"/>
          <w:szCs w:val="28"/>
          <w:highlight w:val="none"/>
          <w:shd w:val="clear"/>
          <w:lang w:val="en-US" w:eastAsia="zh-CN"/>
        </w:rPr>
        <w:t>奖杯</w:t>
      </w:r>
      <w:r>
        <w:rPr>
          <w:rFonts w:hint="eastAsia" w:ascii="仿宋_GB2312" w:hAnsi="仿宋_GB2312" w:eastAsia="仿宋_GB2312" w:cs="仿宋_GB2312"/>
          <w:color w:val="000000"/>
          <w:sz w:val="28"/>
          <w:szCs w:val="28"/>
          <w:highlight w:val="none"/>
          <w:shd w:val="clear"/>
        </w:rPr>
        <w:t>总数量约150个），</w:t>
      </w:r>
      <w:r>
        <w:rPr>
          <w:rFonts w:hint="eastAsia" w:ascii="仿宋_GB2312" w:hAnsi="仿宋_GB2312" w:eastAsia="仿宋_GB2312" w:cs="仿宋_GB2312"/>
          <w:sz w:val="28"/>
          <w:szCs w:val="28"/>
          <w:highlight w:val="none"/>
          <w:shd w:val="clear"/>
        </w:rPr>
        <w:t>人员</w:t>
      </w:r>
      <w:r>
        <w:rPr>
          <w:rFonts w:hint="eastAsia" w:ascii="仿宋_GB2312" w:hAnsi="仿宋_GB2312" w:eastAsia="仿宋_GB2312" w:cs="仿宋_GB2312"/>
          <w:sz w:val="28"/>
          <w:szCs w:val="28"/>
          <w:highlight w:val="none"/>
        </w:rPr>
        <w:t>支持、线上直播系统搭建及直播活动策划执行、传播素材产出、活动传播</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摄影摄像等。</w:t>
      </w:r>
    </w:p>
    <w:p w14:paraId="1EEDA70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color w:val="2C2C2B"/>
          <w:sz w:val="28"/>
          <w:szCs w:val="28"/>
          <w:highlight w:val="none"/>
        </w:rPr>
      </w:pPr>
      <w:r>
        <w:rPr>
          <w:rFonts w:hint="eastAsia" w:ascii="仿宋_GB2312" w:hAnsi="仿宋_GB2312" w:eastAsia="仿宋_GB2312" w:cs="仿宋_GB2312"/>
          <w:color w:val="2C2C2B"/>
          <w:sz w:val="28"/>
          <w:szCs w:val="28"/>
          <w:highlight w:val="none"/>
        </w:rPr>
        <w:t>b.年度人物盛典晚宴运营，包括但不限于配合场地翻台、场地规划布置、座席区安排布置、上餐及备餐区管理、人员支持及配合秩序维护；负责晚宴环节执行，提供主持人</w:t>
      </w:r>
      <w:r>
        <w:rPr>
          <w:rFonts w:hint="eastAsia" w:ascii="仿宋_GB2312" w:hAnsi="仿宋_GB2312" w:eastAsia="仿宋_GB2312" w:cs="仿宋_GB2312"/>
          <w:color w:val="2C2C2B"/>
          <w:sz w:val="28"/>
          <w:szCs w:val="28"/>
          <w:highlight w:val="none"/>
          <w:lang w:val="en-US" w:eastAsia="zh-CN"/>
        </w:rPr>
        <w:t>及备选</w:t>
      </w:r>
      <w:r>
        <w:rPr>
          <w:rFonts w:hint="eastAsia" w:ascii="仿宋_GB2312" w:hAnsi="仿宋_GB2312" w:eastAsia="仿宋_GB2312" w:cs="仿宋_GB2312"/>
          <w:color w:val="2C2C2B"/>
          <w:sz w:val="28"/>
          <w:szCs w:val="28"/>
          <w:highlight w:val="none"/>
        </w:rPr>
        <w:t>节目，完成致辞稿包装、音视频拍摄剪辑制作（含暖场视频、颁奖视频、节目背景视频等）及上屏内容制作；运营抽奖互动小程序，筹备</w:t>
      </w:r>
      <w:r>
        <w:rPr>
          <w:rFonts w:hint="eastAsia" w:ascii="仿宋_GB2312" w:hAnsi="仿宋_GB2312" w:eastAsia="仿宋_GB2312" w:cs="仿宋_GB2312"/>
          <w:color w:val="2C2C2B"/>
          <w:sz w:val="28"/>
          <w:szCs w:val="28"/>
          <w:highlight w:val="none"/>
          <w:shd w:val="clear"/>
        </w:rPr>
        <w:t>奖品（</w:t>
      </w:r>
      <w:r>
        <w:rPr>
          <w:rFonts w:hint="eastAsia" w:ascii="仿宋_GB2312" w:hAnsi="仿宋_GB2312" w:eastAsia="仿宋_GB2312" w:cs="仿宋_GB2312"/>
          <w:color w:val="000000"/>
          <w:sz w:val="28"/>
          <w:szCs w:val="28"/>
          <w:highlight w:val="none"/>
          <w:shd w:val="clear"/>
          <w:lang w:val="en-US" w:eastAsia="zh-CN"/>
        </w:rPr>
        <w:t>预</w:t>
      </w:r>
      <w:r>
        <w:rPr>
          <w:rFonts w:hint="eastAsia" w:ascii="仿宋_GB2312" w:hAnsi="仿宋_GB2312" w:eastAsia="仿宋_GB2312" w:cs="仿宋_GB2312"/>
          <w:color w:val="000000"/>
          <w:sz w:val="28"/>
          <w:szCs w:val="28"/>
          <w:highlight w:val="none"/>
          <w:shd w:val="clear"/>
        </w:rPr>
        <w:t>设</w:t>
      </w:r>
      <w:r>
        <w:rPr>
          <w:rFonts w:hint="eastAsia" w:ascii="仿宋_GB2312" w:hAnsi="仿宋_GB2312" w:eastAsia="仿宋_GB2312" w:cs="仿宋_GB2312"/>
          <w:color w:val="2C2C2B"/>
          <w:sz w:val="28"/>
          <w:szCs w:val="28"/>
          <w:highlight w:val="none"/>
          <w:shd w:val="clear"/>
        </w:rPr>
        <w:t>3个梯次奖品，</w:t>
      </w:r>
      <w:r>
        <w:rPr>
          <w:rFonts w:hint="eastAsia" w:ascii="仿宋_GB2312" w:hAnsi="仿宋_GB2312" w:eastAsia="仿宋_GB2312" w:cs="仿宋_GB2312"/>
          <w:color w:val="2C2C2B"/>
          <w:sz w:val="28"/>
          <w:szCs w:val="28"/>
          <w:highlight w:val="none"/>
          <w:shd w:val="clear"/>
          <w:lang w:val="en-US" w:eastAsia="zh-CN"/>
        </w:rPr>
        <w:t>其中</w:t>
      </w:r>
      <w:r>
        <w:rPr>
          <w:rFonts w:hint="eastAsia" w:ascii="仿宋_GB2312" w:hAnsi="仿宋_GB2312" w:eastAsia="仿宋_GB2312" w:cs="仿宋_GB2312"/>
          <w:color w:val="2C2C2B"/>
          <w:sz w:val="28"/>
          <w:szCs w:val="28"/>
          <w:highlight w:val="none"/>
          <w:shd w:val="clear"/>
        </w:rPr>
        <w:t>三等奖24个，二等奖12个，一等奖2个，奖品总额度见报价单，建议推荐精致数码电子产品、智能配件、生活好物、品质套装等高频使用的知名品牌产品），年度人物颁奖奖杯</w:t>
      </w:r>
      <w:r>
        <w:rPr>
          <w:rFonts w:hint="eastAsia" w:ascii="仿宋_GB2312" w:hAnsi="仿宋_GB2312" w:eastAsia="仿宋_GB2312" w:cs="仿宋_GB2312"/>
          <w:color w:val="2C2C2B"/>
          <w:sz w:val="28"/>
          <w:szCs w:val="28"/>
          <w:highlight w:val="none"/>
          <w:shd w:val="clear"/>
          <w:lang w:val="en-US" w:eastAsia="zh-CN"/>
        </w:rPr>
        <w:t>样式</w:t>
      </w:r>
      <w:r>
        <w:rPr>
          <w:rFonts w:hint="eastAsia" w:ascii="仿宋_GB2312" w:hAnsi="仿宋_GB2312" w:eastAsia="仿宋_GB2312" w:cs="仿宋_GB2312"/>
          <w:color w:val="2C2C2B"/>
          <w:sz w:val="28"/>
          <w:szCs w:val="28"/>
          <w:highlight w:val="none"/>
          <w:shd w:val="clear"/>
        </w:rPr>
        <w:t>策划制作（</w:t>
      </w:r>
      <w:r>
        <w:rPr>
          <w:rFonts w:hint="eastAsia" w:ascii="仿宋_GB2312" w:hAnsi="仿宋_GB2312" w:eastAsia="仿宋_GB2312" w:cs="仿宋_GB2312"/>
          <w:color w:val="000000"/>
          <w:sz w:val="28"/>
          <w:szCs w:val="28"/>
          <w:highlight w:val="none"/>
          <w:shd w:val="clear"/>
          <w:lang w:val="en-US" w:eastAsia="zh-CN"/>
        </w:rPr>
        <w:t>预</w:t>
      </w:r>
      <w:r>
        <w:rPr>
          <w:rFonts w:hint="eastAsia" w:ascii="仿宋_GB2312" w:hAnsi="仿宋_GB2312" w:eastAsia="仿宋_GB2312" w:cs="仿宋_GB2312"/>
          <w:color w:val="000000"/>
          <w:sz w:val="28"/>
          <w:szCs w:val="28"/>
          <w:highlight w:val="none"/>
          <w:shd w:val="clear"/>
        </w:rPr>
        <w:t>设</w:t>
      </w:r>
      <w:r>
        <w:rPr>
          <w:rFonts w:hint="eastAsia" w:ascii="仿宋_GB2312" w:hAnsi="仿宋_GB2312" w:eastAsia="仿宋_GB2312" w:cs="仿宋_GB2312"/>
          <w:color w:val="2C2C2B"/>
          <w:sz w:val="28"/>
          <w:szCs w:val="28"/>
          <w:highlight w:val="none"/>
          <w:shd w:val="clear"/>
        </w:rPr>
        <w:t>4个奖项，并推荐</w:t>
      </w:r>
      <w:r>
        <w:rPr>
          <w:rFonts w:hint="eastAsia" w:ascii="仿宋_GB2312" w:hAnsi="仿宋_GB2312" w:eastAsia="仿宋_GB2312" w:cs="仿宋_GB2312"/>
          <w:color w:val="2C2C2B"/>
          <w:sz w:val="28"/>
          <w:szCs w:val="28"/>
          <w:highlight w:val="none"/>
          <w:shd w:val="clear"/>
          <w:lang w:val="en-US" w:eastAsia="zh-CN"/>
        </w:rPr>
        <w:t>不少于</w:t>
      </w:r>
      <w:r>
        <w:rPr>
          <w:rFonts w:hint="eastAsia" w:ascii="仿宋_GB2312" w:hAnsi="仿宋_GB2312" w:eastAsia="仿宋_GB2312" w:cs="仿宋_GB2312"/>
          <w:color w:val="2C2C2B"/>
          <w:sz w:val="28"/>
          <w:szCs w:val="28"/>
          <w:highlight w:val="none"/>
          <w:shd w:val="clear"/>
        </w:rPr>
        <w:t>4款奖杯样式，奖杯总数量约25个）</w:t>
      </w:r>
      <w:r>
        <w:rPr>
          <w:rFonts w:hint="eastAsia" w:ascii="仿宋_GB2312" w:hAnsi="仿宋_GB2312" w:eastAsia="仿宋_GB2312" w:cs="仿宋_GB2312"/>
          <w:color w:val="2C2C2B"/>
          <w:sz w:val="28"/>
          <w:szCs w:val="28"/>
          <w:highlight w:val="none"/>
        </w:rPr>
        <w:t>及证书等物料准备与发放；负责传播素材产出、活动传播、摄影摄像等。</w:t>
      </w:r>
    </w:p>
    <w:p w14:paraId="0585B77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c.媒体吹风会、媒体见面会、媒体之夜、营销功勋座谈会及营销功勋晚宴运</w:t>
      </w:r>
      <w:r>
        <w:rPr>
          <w:rFonts w:hint="eastAsia" w:ascii="仿宋_GB2312" w:hAnsi="仿宋_GB2312" w:eastAsia="仿宋_GB2312" w:cs="仿宋_GB2312"/>
          <w:sz w:val="28"/>
          <w:szCs w:val="28"/>
          <w:highlight w:val="none"/>
          <w:shd w:val="clear"/>
        </w:rPr>
        <w:t>营包含但不限于环节执行、媒体之夜</w:t>
      </w:r>
      <w:r>
        <w:rPr>
          <w:rFonts w:hint="eastAsia" w:ascii="仿宋_GB2312" w:hAnsi="仿宋_GB2312" w:eastAsia="仿宋_GB2312" w:cs="仿宋_GB2312"/>
          <w:color w:val="2C2C2B"/>
          <w:sz w:val="28"/>
          <w:szCs w:val="28"/>
          <w:highlight w:val="none"/>
          <w:shd w:val="clear"/>
        </w:rPr>
        <w:t>颁奖奖杯样式策划制作（</w:t>
      </w:r>
      <w:r>
        <w:rPr>
          <w:rFonts w:hint="eastAsia" w:ascii="仿宋_GB2312" w:hAnsi="仿宋_GB2312" w:eastAsia="仿宋_GB2312" w:cs="仿宋_GB2312"/>
          <w:color w:val="000000"/>
          <w:sz w:val="28"/>
          <w:szCs w:val="28"/>
          <w:highlight w:val="none"/>
          <w:shd w:val="clear"/>
          <w:lang w:val="en-US" w:eastAsia="zh-CN"/>
        </w:rPr>
        <w:t>预</w:t>
      </w:r>
      <w:r>
        <w:rPr>
          <w:rFonts w:hint="eastAsia" w:ascii="仿宋_GB2312" w:hAnsi="仿宋_GB2312" w:eastAsia="仿宋_GB2312" w:cs="仿宋_GB2312"/>
          <w:color w:val="000000"/>
          <w:sz w:val="28"/>
          <w:szCs w:val="28"/>
          <w:highlight w:val="none"/>
          <w:shd w:val="clear"/>
        </w:rPr>
        <w:t>设1个奖项，</w:t>
      </w:r>
      <w:r>
        <w:rPr>
          <w:rFonts w:hint="eastAsia" w:ascii="仿宋_GB2312" w:hAnsi="仿宋_GB2312" w:eastAsia="仿宋_GB2312" w:cs="仿宋_GB2312"/>
          <w:color w:val="2C2C2B"/>
          <w:sz w:val="28"/>
          <w:szCs w:val="28"/>
          <w:highlight w:val="none"/>
          <w:shd w:val="clear"/>
        </w:rPr>
        <w:t>并推荐</w:t>
      </w:r>
      <w:r>
        <w:rPr>
          <w:rFonts w:hint="eastAsia" w:ascii="仿宋_GB2312" w:hAnsi="仿宋_GB2312" w:eastAsia="仿宋_GB2312" w:cs="仿宋_GB2312"/>
          <w:color w:val="2C2C2B"/>
          <w:sz w:val="28"/>
          <w:szCs w:val="28"/>
          <w:highlight w:val="none"/>
          <w:shd w:val="clear"/>
          <w:lang w:val="en-US" w:eastAsia="zh-CN"/>
        </w:rPr>
        <w:t>不少于3</w:t>
      </w:r>
      <w:r>
        <w:rPr>
          <w:rFonts w:hint="eastAsia" w:ascii="仿宋_GB2312" w:hAnsi="仿宋_GB2312" w:eastAsia="仿宋_GB2312" w:cs="仿宋_GB2312"/>
          <w:color w:val="2C2C2B"/>
          <w:sz w:val="28"/>
          <w:szCs w:val="28"/>
          <w:highlight w:val="none"/>
          <w:shd w:val="clear"/>
        </w:rPr>
        <w:t>款奖杯样式，</w:t>
      </w:r>
      <w:r>
        <w:rPr>
          <w:rFonts w:hint="eastAsia" w:ascii="仿宋_GB2312" w:hAnsi="仿宋_GB2312" w:eastAsia="仿宋_GB2312" w:cs="仿宋_GB2312"/>
          <w:color w:val="000000"/>
          <w:sz w:val="28"/>
          <w:szCs w:val="28"/>
          <w:highlight w:val="none"/>
          <w:shd w:val="clear"/>
          <w:lang w:val="en-US" w:eastAsia="zh-CN"/>
        </w:rPr>
        <w:t>奖杯</w:t>
      </w:r>
      <w:r>
        <w:rPr>
          <w:rFonts w:hint="eastAsia" w:ascii="仿宋_GB2312" w:hAnsi="仿宋_GB2312" w:eastAsia="仿宋_GB2312" w:cs="仿宋_GB2312"/>
          <w:color w:val="000000"/>
          <w:sz w:val="28"/>
          <w:szCs w:val="28"/>
          <w:highlight w:val="none"/>
          <w:shd w:val="clear"/>
        </w:rPr>
        <w:t>总数量约</w:t>
      </w:r>
      <w:r>
        <w:rPr>
          <w:rFonts w:hint="eastAsia" w:ascii="仿宋_GB2312" w:hAnsi="仿宋_GB2312" w:eastAsia="仿宋_GB2312" w:cs="仿宋_GB2312"/>
          <w:color w:val="2C2C2B"/>
          <w:sz w:val="28"/>
          <w:szCs w:val="28"/>
          <w:highlight w:val="none"/>
          <w:shd w:val="clear"/>
        </w:rPr>
        <w:t>12个）、媒体之夜奖品筹备（</w:t>
      </w:r>
      <w:r>
        <w:rPr>
          <w:rFonts w:hint="eastAsia" w:ascii="仿宋_GB2312" w:hAnsi="仿宋_GB2312" w:eastAsia="仿宋_GB2312" w:cs="仿宋_GB2312"/>
          <w:color w:val="000000"/>
          <w:sz w:val="28"/>
          <w:szCs w:val="28"/>
          <w:highlight w:val="none"/>
          <w:shd w:val="clear"/>
          <w:lang w:val="en-US" w:eastAsia="zh-CN"/>
        </w:rPr>
        <w:t>预</w:t>
      </w:r>
      <w:r>
        <w:rPr>
          <w:rFonts w:hint="eastAsia" w:ascii="仿宋_GB2312" w:hAnsi="仿宋_GB2312" w:eastAsia="仿宋_GB2312" w:cs="仿宋_GB2312"/>
          <w:color w:val="000000"/>
          <w:sz w:val="28"/>
          <w:szCs w:val="28"/>
          <w:highlight w:val="none"/>
          <w:shd w:val="clear"/>
        </w:rPr>
        <w:t>设3个梯次奖品，</w:t>
      </w:r>
      <w:r>
        <w:rPr>
          <w:rFonts w:hint="eastAsia" w:ascii="仿宋_GB2312" w:hAnsi="仿宋_GB2312" w:eastAsia="仿宋_GB2312" w:cs="仿宋_GB2312"/>
          <w:color w:val="2C2C2B"/>
          <w:sz w:val="28"/>
          <w:szCs w:val="28"/>
          <w:highlight w:val="none"/>
          <w:shd w:val="clear"/>
          <w:lang w:val="en-US" w:eastAsia="zh-CN"/>
        </w:rPr>
        <w:t>其中</w:t>
      </w:r>
      <w:r>
        <w:rPr>
          <w:rFonts w:hint="eastAsia" w:ascii="仿宋_GB2312" w:hAnsi="仿宋_GB2312" w:eastAsia="仿宋_GB2312" w:cs="仿宋_GB2312"/>
          <w:color w:val="2C2C2B"/>
          <w:sz w:val="28"/>
          <w:szCs w:val="28"/>
          <w:highlight w:val="none"/>
          <w:shd w:val="clear"/>
        </w:rPr>
        <w:t>三等奖</w:t>
      </w:r>
      <w:r>
        <w:rPr>
          <w:rFonts w:hint="eastAsia" w:ascii="仿宋_GB2312" w:hAnsi="仿宋_GB2312" w:eastAsia="仿宋_GB2312" w:cs="仿宋_GB2312"/>
          <w:color w:val="2C2C2B"/>
          <w:sz w:val="28"/>
          <w:szCs w:val="28"/>
          <w:highlight w:val="none"/>
          <w:shd w:val="clear"/>
          <w:lang w:val="en-US" w:eastAsia="zh-CN"/>
        </w:rPr>
        <w:t>3</w:t>
      </w:r>
      <w:r>
        <w:rPr>
          <w:rFonts w:hint="eastAsia" w:ascii="仿宋_GB2312" w:hAnsi="仿宋_GB2312" w:eastAsia="仿宋_GB2312" w:cs="仿宋_GB2312"/>
          <w:color w:val="2C2C2B"/>
          <w:sz w:val="28"/>
          <w:szCs w:val="28"/>
          <w:highlight w:val="none"/>
          <w:shd w:val="clear"/>
        </w:rPr>
        <w:t>个，二等奖</w:t>
      </w:r>
      <w:r>
        <w:rPr>
          <w:rFonts w:hint="eastAsia" w:ascii="仿宋_GB2312" w:hAnsi="仿宋_GB2312" w:eastAsia="仿宋_GB2312" w:cs="仿宋_GB2312"/>
          <w:color w:val="2C2C2B"/>
          <w:sz w:val="28"/>
          <w:szCs w:val="28"/>
          <w:highlight w:val="none"/>
          <w:shd w:val="clear"/>
          <w:lang w:val="en-US" w:eastAsia="zh-CN"/>
        </w:rPr>
        <w:t>2</w:t>
      </w:r>
      <w:r>
        <w:rPr>
          <w:rFonts w:hint="eastAsia" w:ascii="仿宋_GB2312" w:hAnsi="仿宋_GB2312" w:eastAsia="仿宋_GB2312" w:cs="仿宋_GB2312"/>
          <w:color w:val="2C2C2B"/>
          <w:sz w:val="28"/>
          <w:szCs w:val="28"/>
          <w:highlight w:val="none"/>
          <w:shd w:val="clear"/>
        </w:rPr>
        <w:t>个，一等奖</w:t>
      </w:r>
      <w:r>
        <w:rPr>
          <w:rFonts w:hint="eastAsia" w:ascii="仿宋_GB2312" w:hAnsi="仿宋_GB2312" w:eastAsia="仿宋_GB2312" w:cs="仿宋_GB2312"/>
          <w:color w:val="2C2C2B"/>
          <w:sz w:val="28"/>
          <w:szCs w:val="28"/>
          <w:highlight w:val="none"/>
          <w:shd w:val="clear"/>
          <w:lang w:val="en-US" w:eastAsia="zh-CN"/>
        </w:rPr>
        <w:t>1</w:t>
      </w:r>
      <w:r>
        <w:rPr>
          <w:rFonts w:hint="eastAsia" w:ascii="仿宋_GB2312" w:hAnsi="仿宋_GB2312" w:eastAsia="仿宋_GB2312" w:cs="仿宋_GB2312"/>
          <w:color w:val="2C2C2B"/>
          <w:sz w:val="28"/>
          <w:szCs w:val="28"/>
          <w:highlight w:val="none"/>
          <w:shd w:val="clear"/>
        </w:rPr>
        <w:t>个，</w:t>
      </w:r>
      <w:r>
        <w:rPr>
          <w:rFonts w:hint="eastAsia" w:ascii="仿宋_GB2312" w:hAnsi="仿宋_GB2312" w:eastAsia="仿宋_GB2312" w:cs="仿宋_GB2312"/>
          <w:color w:val="000000"/>
          <w:sz w:val="28"/>
          <w:szCs w:val="28"/>
          <w:highlight w:val="none"/>
          <w:shd w:val="clear"/>
        </w:rPr>
        <w:t>奖品</w:t>
      </w:r>
      <w:r>
        <w:rPr>
          <w:rFonts w:hint="eastAsia" w:ascii="仿宋_GB2312" w:hAnsi="仿宋_GB2312" w:eastAsia="仿宋_GB2312" w:cs="仿宋_GB2312"/>
          <w:color w:val="000000"/>
          <w:sz w:val="28"/>
          <w:szCs w:val="28"/>
          <w:highlight w:val="none"/>
          <w:shd w:val="clear"/>
          <w:lang w:val="en-US" w:eastAsia="zh-CN"/>
        </w:rPr>
        <w:t>总</w:t>
      </w:r>
      <w:r>
        <w:rPr>
          <w:rFonts w:hint="eastAsia" w:ascii="仿宋_GB2312" w:hAnsi="仿宋_GB2312" w:eastAsia="仿宋_GB2312" w:cs="仿宋_GB2312"/>
          <w:color w:val="000000"/>
          <w:sz w:val="28"/>
          <w:szCs w:val="28"/>
          <w:highlight w:val="none"/>
          <w:shd w:val="clear"/>
        </w:rPr>
        <w:t>额度见报价单，</w:t>
      </w:r>
      <w:r>
        <w:rPr>
          <w:rFonts w:hint="eastAsia" w:ascii="仿宋_GB2312" w:hAnsi="仿宋_GB2312" w:eastAsia="仿宋_GB2312" w:cs="仿宋_GB2312"/>
          <w:sz w:val="28"/>
          <w:szCs w:val="28"/>
          <w:highlight w:val="none"/>
          <w:shd w:val="clear"/>
        </w:rPr>
        <w:t>可同</w:t>
      </w:r>
      <w:r>
        <w:rPr>
          <w:rFonts w:hint="eastAsia" w:ascii="仿宋_GB2312" w:hAnsi="仿宋_GB2312" w:eastAsia="仿宋_GB2312" w:cs="仿宋_GB2312"/>
          <w:color w:val="2C2C2B"/>
          <w:sz w:val="28"/>
          <w:szCs w:val="28"/>
          <w:highlight w:val="none"/>
          <w:shd w:val="clear"/>
        </w:rPr>
        <w:t>年度人物盛典晚宴奖品）、</w:t>
      </w:r>
      <w:r>
        <w:rPr>
          <w:rFonts w:hint="eastAsia" w:ascii="仿宋_GB2312" w:hAnsi="仿宋_GB2312" w:eastAsia="仿宋_GB2312" w:cs="仿宋_GB2312"/>
          <w:sz w:val="28"/>
          <w:szCs w:val="28"/>
          <w:highlight w:val="none"/>
          <w:shd w:val="clear"/>
        </w:rPr>
        <w:t>传播素</w:t>
      </w:r>
      <w:r>
        <w:rPr>
          <w:rFonts w:hint="eastAsia" w:ascii="仿宋_GB2312" w:hAnsi="仿宋_GB2312" w:eastAsia="仿宋_GB2312" w:cs="仿宋_GB2312"/>
          <w:sz w:val="28"/>
          <w:szCs w:val="28"/>
          <w:highlight w:val="none"/>
        </w:rPr>
        <w:t>材产出、活动传播、摄影摄像等。承担媒体运营相关费用，如项目执行费、宣传费等。</w:t>
      </w:r>
    </w:p>
    <w:p w14:paraId="5FE5A16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F1115"/>
          <w:sz w:val="28"/>
          <w:szCs w:val="28"/>
          <w:highlight w:val="none"/>
        </w:rPr>
        <w:t>d. 卡车文化节整体运营包括但不限于开幕式策划及执行、活动流程策划、互动环节策划执行</w:t>
      </w:r>
      <w:r>
        <w:rPr>
          <w:rFonts w:hint="eastAsia" w:ascii="仿宋_GB2312" w:hAnsi="仿宋_GB2312" w:eastAsia="仿宋_GB2312" w:cs="仿宋_GB2312"/>
          <w:color w:val="0F1115"/>
          <w:sz w:val="28"/>
          <w:szCs w:val="28"/>
          <w:highlight w:val="none"/>
          <w:shd w:val="clear"/>
        </w:rPr>
        <w:t>、人员动线安排、现场秩序维护、互动体验项目策划、礼品选定采购及发放</w:t>
      </w:r>
      <w:r>
        <w:rPr>
          <w:rFonts w:hint="eastAsia" w:ascii="仿宋_GB2312" w:hAnsi="仿宋_GB2312" w:eastAsia="仿宋_GB2312" w:cs="仿宋_GB2312"/>
          <w:color w:val="0F1115"/>
          <w:sz w:val="28"/>
          <w:szCs w:val="28"/>
          <w:highlight w:val="none"/>
          <w:shd w:val="clear"/>
          <w:lang w:val="en-US" w:eastAsia="zh-CN"/>
        </w:rPr>
        <w:t>规划</w:t>
      </w:r>
      <w:r>
        <w:rPr>
          <w:rFonts w:hint="eastAsia" w:ascii="仿宋_GB2312" w:hAnsi="仿宋_GB2312" w:eastAsia="仿宋_GB2312" w:cs="仿宋_GB2312"/>
          <w:color w:val="0F1115"/>
          <w:sz w:val="28"/>
          <w:szCs w:val="28"/>
          <w:highlight w:val="none"/>
          <w:shd w:val="clear"/>
        </w:rPr>
        <w:t>（</w:t>
      </w:r>
      <w:r>
        <w:rPr>
          <w:rFonts w:hint="eastAsia" w:ascii="仿宋_GB2312" w:hAnsi="仿宋_GB2312" w:eastAsia="仿宋_GB2312" w:cs="仿宋_GB2312"/>
          <w:color w:val="000000"/>
          <w:sz w:val="28"/>
          <w:szCs w:val="28"/>
          <w:highlight w:val="none"/>
          <w:shd w:val="clear"/>
          <w:lang w:val="en-US" w:eastAsia="zh-CN"/>
        </w:rPr>
        <w:t>预</w:t>
      </w:r>
      <w:r>
        <w:rPr>
          <w:rFonts w:hint="eastAsia" w:ascii="仿宋_GB2312" w:hAnsi="仿宋_GB2312" w:eastAsia="仿宋_GB2312" w:cs="仿宋_GB2312"/>
          <w:color w:val="000000"/>
          <w:sz w:val="28"/>
          <w:szCs w:val="28"/>
          <w:highlight w:val="none"/>
          <w:shd w:val="clear"/>
        </w:rPr>
        <w:t>设</w:t>
      </w:r>
      <w:r>
        <w:rPr>
          <w:rFonts w:hint="eastAsia" w:ascii="仿宋_GB2312" w:hAnsi="仿宋_GB2312" w:eastAsia="仿宋_GB2312" w:cs="仿宋_GB2312"/>
          <w:color w:val="0F1115"/>
          <w:sz w:val="28"/>
          <w:szCs w:val="28"/>
          <w:highlight w:val="none"/>
          <w:shd w:val="clear"/>
        </w:rPr>
        <w:t>不少于10个梯次定制礼品，</w:t>
      </w:r>
      <w:r>
        <w:rPr>
          <w:rFonts w:hint="eastAsia" w:ascii="仿宋_GB2312" w:hAnsi="仿宋_GB2312" w:eastAsia="仿宋_GB2312" w:cs="仿宋_GB2312"/>
          <w:color w:val="000000"/>
          <w:sz w:val="28"/>
          <w:szCs w:val="28"/>
          <w:highlight w:val="none"/>
          <w:shd w:val="clear"/>
        </w:rPr>
        <w:t>奖品额度见报价单</w:t>
      </w:r>
      <w:r>
        <w:rPr>
          <w:rFonts w:hint="eastAsia" w:ascii="仿宋_GB2312" w:hAnsi="仿宋_GB2312" w:eastAsia="仿宋_GB2312" w:cs="仿宋_GB2312"/>
          <w:color w:val="0F1115"/>
          <w:sz w:val="28"/>
          <w:szCs w:val="28"/>
          <w:highlight w:val="none"/>
          <w:shd w:val="clear"/>
        </w:rPr>
        <w:t>）、</w:t>
      </w:r>
      <w:r>
        <w:rPr>
          <w:rFonts w:hint="eastAsia" w:ascii="仿宋_GB2312" w:hAnsi="仿宋_GB2312" w:eastAsia="仿宋_GB2312" w:cs="仿宋_GB2312"/>
          <w:color w:val="0F1115"/>
          <w:sz w:val="28"/>
          <w:szCs w:val="28"/>
          <w:highlight w:val="none"/>
        </w:rPr>
        <w:t>卡车巡游策划执行、音视频影音素材记录、云相册、传播素材产出</w:t>
      </w:r>
      <w:r>
        <w:rPr>
          <w:rFonts w:hint="eastAsia" w:ascii="仿宋_GB2312" w:hAnsi="仿宋_GB2312" w:eastAsia="仿宋_GB2312" w:cs="仿宋_GB2312"/>
          <w:color w:val="0F1115"/>
          <w:sz w:val="28"/>
          <w:szCs w:val="28"/>
          <w:highlight w:val="none"/>
          <w:lang w:eastAsia="zh-CN"/>
        </w:rPr>
        <w:t>、</w:t>
      </w:r>
      <w:r>
        <w:rPr>
          <w:rFonts w:hint="eastAsia" w:ascii="仿宋_GB2312" w:hAnsi="仿宋_GB2312" w:eastAsia="仿宋_GB2312" w:cs="仿宋_GB2312"/>
          <w:color w:val="0F1115"/>
          <w:sz w:val="28"/>
          <w:szCs w:val="28"/>
          <w:highlight w:val="none"/>
        </w:rPr>
        <w:t>活动传播</w:t>
      </w:r>
      <w:r>
        <w:rPr>
          <w:rFonts w:hint="eastAsia" w:ascii="仿宋_GB2312" w:hAnsi="仿宋_GB2312" w:eastAsia="仿宋_GB2312" w:cs="仿宋_GB2312"/>
          <w:color w:val="0F1115"/>
          <w:sz w:val="28"/>
          <w:szCs w:val="28"/>
          <w:highlight w:val="none"/>
          <w:lang w:eastAsia="zh-CN"/>
        </w:rPr>
        <w:t>、</w:t>
      </w:r>
      <w:r>
        <w:rPr>
          <w:rFonts w:hint="eastAsia" w:ascii="仿宋_GB2312" w:hAnsi="仿宋_GB2312" w:eastAsia="仿宋_GB2312" w:cs="仿宋_GB2312"/>
          <w:sz w:val="28"/>
          <w:szCs w:val="28"/>
          <w:highlight w:val="none"/>
        </w:rPr>
        <w:t>摄影摄像等。</w:t>
      </w:r>
    </w:p>
    <w:p w14:paraId="3CB52C1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firstLine="560" w:firstLineChars="200"/>
        <w:jc w:val="left"/>
        <w:textAlignment w:val="auto"/>
        <w:rPr>
          <w:rFonts w:hint="eastAsia" w:ascii="仿宋_GB2312" w:hAnsi="仿宋_GB2312" w:eastAsia="仿宋_GB2312" w:cs="仿宋_GB2312"/>
          <w:color w:val="0F1115"/>
          <w:sz w:val="28"/>
          <w:szCs w:val="28"/>
          <w:highlight w:val="none"/>
        </w:rPr>
      </w:pPr>
      <w:r>
        <w:rPr>
          <w:rFonts w:hint="eastAsia" w:ascii="仿宋_GB2312" w:hAnsi="仿宋_GB2312" w:eastAsia="仿宋_GB2312" w:cs="仿宋_GB2312"/>
          <w:color w:val="0F1115"/>
          <w:sz w:val="28"/>
          <w:szCs w:val="28"/>
          <w:highlight w:val="none"/>
        </w:rPr>
        <w:t>围绕活动整体运营，需提供开幕仪式内外场两套布展方案及环节实施和主持人安排；针对职工家庭、卡友、公众、学生等群体分层设置并实施多元互动体验；策划并落地约30台卡车城市巡游的路线与传播方案；开发支持线上预约、到场核验、数据导出、身份信息核验等功能且永久有效的预约登记小程序；策划互动礼品发放和全市广告投放方案并落地实施，保障公众有序到场体验；统筹整体活动排期并落地常规活动与定时定点活动，做好参观引导、动线管控、礼品有序分发、现场秩序维护、氛围保障及现场运维等，兼顾品牌展示与参与体验，传递品牌温度；同时完成活动期间传播素材拍摄与产出（包括现场图片拍摄精修、视频拍摄剪辑、永久有效云相册制作、传播素材设计输出等），开展重汽志愿者（招标方组织）培训，并落实现场卫生保障、安全保障和全场各点位运营管理。</w:t>
      </w:r>
    </w:p>
    <w:p w14:paraId="446D13A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firstLine="560" w:firstLineChars="200"/>
        <w:jc w:val="left"/>
        <w:textAlignment w:val="auto"/>
        <w:rPr>
          <w:rFonts w:hint="default" w:ascii="仿宋_GB2312" w:hAnsi="仿宋_GB2312" w:eastAsia="仿宋_GB2312" w:cs="仿宋_GB2312"/>
          <w:color w:val="0F1115"/>
          <w:sz w:val="28"/>
          <w:szCs w:val="28"/>
          <w:highlight w:val="none"/>
          <w:lang w:val="en-US" w:eastAsia="zh-CN"/>
        </w:rPr>
      </w:pPr>
      <w:r>
        <w:rPr>
          <w:rFonts w:hint="eastAsia" w:ascii="仿宋_GB2312" w:hAnsi="仿宋_GB2312" w:eastAsia="仿宋_GB2312" w:cs="仿宋_GB2312"/>
          <w:color w:val="0F1115"/>
          <w:sz w:val="28"/>
          <w:szCs w:val="28"/>
          <w:highlight w:val="none"/>
          <w:lang w:val="en-US" w:eastAsia="zh-CN"/>
        </w:rPr>
        <w:t>注：以上提及的奖杯、奖品等均为此为预估数量，最终以实际需求为准。</w:t>
      </w:r>
    </w:p>
    <w:p w14:paraId="690C14E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sz w:val="28"/>
          <w:szCs w:val="28"/>
          <w:highlight w:val="none"/>
        </w:rPr>
        <w:t>（3）活动</w:t>
      </w:r>
      <w:r>
        <w:rPr>
          <w:rFonts w:hint="eastAsia" w:ascii="仿宋_GB2312" w:hAnsi="仿宋_GB2312" w:eastAsia="仿宋_GB2312" w:cs="仿宋_GB2312"/>
          <w:b/>
          <w:bCs/>
          <w:sz w:val="28"/>
          <w:szCs w:val="28"/>
          <w:highlight w:val="none"/>
          <w:lang w:val="en-US" w:eastAsia="zh-CN"/>
        </w:rPr>
        <w:t>宣传</w:t>
      </w:r>
    </w:p>
    <w:p w14:paraId="7417D80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预计邀请约100家媒体现场参与活动及传播；活动传播素材包含但不限于预告海报长图、活动倒计时海报（含动态）、活动通稿、邀请函、预热视频/长图、照片直播云相册、活动期间内短视频（每日≥3条）、总结视频、合作伙伴大会主会+公众日直播（每日≥2场直播，单场时长≥60分钟）（线上直播平台搭建、直播技术支持、直播流程策划执行、主会直播推拉流）等。</w:t>
      </w:r>
    </w:p>
    <w:p w14:paraId="723A713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（4）</w:t>
      </w:r>
      <w:r>
        <w:rPr>
          <w:rFonts w:hint="eastAsia" w:ascii="仿宋_GB2312" w:hAnsi="仿宋_GB2312" w:eastAsia="仿宋_GB2312" w:cs="仿宋_GB2312"/>
          <w:b/>
          <w:bCs/>
          <w:color w:val="000000"/>
          <w:sz w:val="28"/>
          <w:szCs w:val="28"/>
          <w:highlight w:val="none"/>
        </w:rPr>
        <w:t xml:space="preserve">验收与复盘 </w:t>
      </w:r>
    </w:p>
    <w:p w14:paraId="2DCD126E">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配合做好活动搭建执行及服务复盘工作，可以及时提报项目执行验收单，对活动期间涉及的所有部分进行影像留存，以做备查。</w:t>
      </w:r>
    </w:p>
    <w:p w14:paraId="754EAA1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3.注意事项</w:t>
      </w:r>
    </w:p>
    <w:p w14:paraId="728D028E">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以上项目为在技术方案中可明确内容的基础项目，投标方在投标文件中必须包含以上基础项目。其他项目根据实际方案可进行补充。</w:t>
      </w:r>
    </w:p>
    <w:p w14:paraId="6EE56D3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rPr>
        <w:t>4.技术及商务要求：</w:t>
      </w:r>
    </w:p>
    <w:p w14:paraId="6D70FED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（1）要求</w:t>
      </w:r>
      <w:r>
        <w:rPr>
          <w:rFonts w:hint="eastAsia" w:ascii="仿宋_GB2312" w:hAnsi="仿宋_GB2312" w:eastAsia="仿宋_GB2312" w:cs="仿宋_GB2312"/>
          <w:color w:val="0F1115"/>
          <w:sz w:val="28"/>
          <w:szCs w:val="28"/>
          <w:highlight w:val="none"/>
        </w:rPr>
        <w:t>项目整体调性须符合中国重汽企业形象及各品牌、产品的市场定位，围绕“首届卡车文化节”主题，深度挖掘并呈现行业特色与卡车文化内涵，凸显品牌科技感与智能化特征。方案应具备较强的吸引力、感染力、互动性与可操作性，并需提供完善的《项目运营执行工程量与材质工艺清单》。通过整体呈现，充分展现中国重汽的行业领军地位及其为用户创造的核心价值。</w:t>
      </w:r>
    </w:p>
    <w:p w14:paraId="5E18BD1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（2）出具详实的技术方案和商务报价，编制项目推进周期</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充分考虑制作周期</w:t>
      </w:r>
      <w:r>
        <w:rPr>
          <w:rFonts w:hint="eastAsia" w:ascii="仿宋_GB2312" w:hAnsi="仿宋_GB2312" w:eastAsia="仿宋_GB2312" w:cs="仿宋_GB2312"/>
          <w:sz w:val="28"/>
          <w:szCs w:val="28"/>
          <w:highlight w:val="none"/>
        </w:rPr>
        <w:t>；商务报价单要求参照技术方案对应的《项目运营执行工程量与材质工艺清单》进行编制。</w:t>
      </w:r>
    </w:p>
    <w:p w14:paraId="65F19BF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（3）若同意参与投标，投标方案将被视为默认同意在本次投标过程中共享。甲方有权使用该方案</w:t>
      </w:r>
      <w:r>
        <w:rPr>
          <w:rFonts w:hint="eastAsia" w:ascii="仿宋_GB2312" w:hAnsi="仿宋_GB2312" w:eastAsia="仿宋_GB2312" w:cs="仿宋_GB2312"/>
          <w:color w:val="000000"/>
          <w:sz w:val="28"/>
          <w:szCs w:val="28"/>
          <w:highlight w:val="none"/>
          <w:lang w:val="en-US" w:eastAsia="zh-CN"/>
        </w:rPr>
        <w:t>全部或部分</w:t>
      </w:r>
      <w:r>
        <w:rPr>
          <w:rFonts w:hint="eastAsia" w:ascii="仿宋_GB2312" w:hAnsi="仿宋_GB2312" w:eastAsia="仿宋_GB2312" w:cs="仿宋_GB2312"/>
          <w:color w:val="000000"/>
          <w:sz w:val="28"/>
          <w:szCs w:val="28"/>
          <w:highlight w:val="none"/>
        </w:rPr>
        <w:t>作为统一的技术方案进行招标活动，且在此过程中，甲方不承担任何法律责任。</w:t>
      </w:r>
    </w:p>
    <w:p w14:paraId="0CFCFBB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（4）执行阶段的具体事项，以双方合同约定为准。</w:t>
      </w:r>
    </w:p>
    <w:p w14:paraId="591E6C6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四、付款条件及付款方式</w:t>
      </w:r>
    </w:p>
    <w:p w14:paraId="46C9D24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1.签署合同并成功完成项目，</w:t>
      </w:r>
      <w:r>
        <w:rPr>
          <w:rFonts w:hint="eastAsia" w:ascii="仿宋_GB2312" w:hAnsi="仿宋_GB2312" w:eastAsia="仿宋_GB2312" w:cs="仿宋_GB2312"/>
          <w:sz w:val="28"/>
          <w:szCs w:val="28"/>
          <w:highlight w:val="none"/>
        </w:rPr>
        <w:t>乙方在服务过程中</w:t>
      </w:r>
      <w:r>
        <w:rPr>
          <w:rFonts w:hint="eastAsia" w:ascii="仿宋_GB2312" w:hAnsi="仿宋_GB2312" w:eastAsia="仿宋_GB2312" w:cs="仿宋_GB2312"/>
          <w:color w:val="000000"/>
          <w:sz w:val="28"/>
          <w:szCs w:val="28"/>
          <w:highlight w:val="none"/>
        </w:rPr>
        <w:t>无明显纰漏</w:t>
      </w:r>
      <w:r>
        <w:rPr>
          <w:rFonts w:hint="eastAsia" w:ascii="仿宋_GB2312" w:hAnsi="仿宋_GB2312" w:eastAsia="仿宋_GB2312" w:cs="仿宋_GB2312"/>
          <w:sz w:val="28"/>
          <w:szCs w:val="28"/>
          <w:highlight w:val="none"/>
        </w:rPr>
        <w:t>且向甲方输出项目结案报告</w:t>
      </w:r>
      <w:r>
        <w:rPr>
          <w:rFonts w:hint="eastAsia" w:ascii="仿宋_GB2312" w:hAnsi="仿宋_GB2312" w:eastAsia="仿宋_GB2312" w:cs="仿宋_GB2312"/>
          <w:color w:val="000000"/>
          <w:sz w:val="28"/>
          <w:szCs w:val="28"/>
          <w:highlight w:val="none"/>
        </w:rPr>
        <w:t>，经甲方对活动完成情况进行验收评价后，乙方开具税率为6%的增值税专用发票，</w:t>
      </w:r>
      <w:r>
        <w:rPr>
          <w:rFonts w:hint="eastAsia" w:ascii="仿宋_GB2312" w:hAnsi="仿宋_GB2312" w:eastAsia="仿宋_GB2312" w:cs="仿宋_GB2312"/>
          <w:sz w:val="28"/>
          <w:szCs w:val="28"/>
          <w:highlight w:val="none"/>
        </w:rPr>
        <w:t>由甲方或甲方指定二级公司根据项目实际发生进行据实结算。</w:t>
      </w:r>
    </w:p>
    <w:p w14:paraId="744F408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2.付款方式：半年期商业汇票（包括银行承兑汇票和商业承兑汇票），由集团内各归属单位签署付款。</w:t>
      </w:r>
    </w:p>
    <w:p w14:paraId="0980B204">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eastAsia="zh-CN"/>
        </w:rPr>
        <w:t>3.</w:t>
      </w:r>
      <w:r>
        <w:rPr>
          <w:rFonts w:hint="eastAsia" w:ascii="仿宋_GB2312" w:hAnsi="仿宋_GB2312" w:eastAsia="仿宋_GB2312" w:cs="仿宋_GB2312"/>
          <w:color w:val="000000"/>
          <w:sz w:val="28"/>
          <w:szCs w:val="28"/>
          <w:highlight w:val="none"/>
        </w:rPr>
        <w:t>具体付款时间及方式，以双方签订的合同约定为准。</w:t>
      </w:r>
    </w:p>
    <w:p w14:paraId="0049A58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付款方式不允许偏离；</w:t>
      </w:r>
    </w:p>
    <w:p w14:paraId="5E9C7CB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五、投标人资格条件及要求</w:t>
      </w:r>
    </w:p>
    <w:p w14:paraId="31CBE25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投标人应遵守《中华人民共和国招标投标法》及有关的法律和法规。具备独立法人资格，具有独立承担民事责任能力、良好的财务状况并具有一定的垫资能力，经营稳定，资质符合项目要求，具有全面履约能力。</w:t>
      </w:r>
    </w:p>
    <w:p w14:paraId="315F1514">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2.投标人在国家企业信用信息公示系统中有不良记录、近三年的公司财务报表异常、存在严重违规或被列入招标人“黑名单”的，招标人有权取消其投标资格。</w:t>
      </w:r>
    </w:p>
    <w:p w14:paraId="18CBA31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投标人注册资本金应不低于500万元，营业执照在有效期内并且经营范围满足招标人需求，在国内注册三年以上（以营业执照成立日期到开标当日计算）。不符合本条款要求的视为废标项，招标人有权取消其投标资格。</w:t>
      </w:r>
    </w:p>
    <w:p w14:paraId="2A6012F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投标人应有策划执行大型项目的经验，具有良好的风险应对能力，能够认可招标人的工作指令，包括节、假日能正常开展工作等要求，并在开标时携带以往项目策划执行资料、企业资信材料、财务报表及完税证明等备查。</w:t>
      </w:r>
    </w:p>
    <w:p w14:paraId="41CD772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5.投标人三年内无招标违规、谎报年度报告信息、提供虚假资质资料等行为或其他行政处罚记录。</w:t>
      </w:r>
    </w:p>
    <w:p w14:paraId="7FAE8FF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6.投标方之间必须具有充分的竞争关系。</w:t>
      </w:r>
    </w:p>
    <w:p w14:paraId="2984B81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7.资格审查方式：资格预审，合格制。投标人应编制资格预审文件，否则视为放弃投标，内容包括：</w:t>
      </w:r>
    </w:p>
    <w:p w14:paraId="11A8418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（1）投标人基本情况表，附带投标人三证合一的营业执照副本复印件（加盖单位公章）。</w:t>
      </w:r>
    </w:p>
    <w:p w14:paraId="77D1884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法定代表人资格等相关证明、授权委托书原件。若不是法定代表人参加，需有法定代表人授权委托书原件、法定代表人身份证及被委托人身份证复印件（均加盖公章），投标人或被委托人应携带授权委托书原件、身份证原件备查。</w:t>
      </w:r>
    </w:p>
    <w:p w14:paraId="403BC38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投标人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261A83D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（4）依法缴纳税收相关材料复印件（加盖公章），税收完税凭证或税务部门出具的纳税证明。</w:t>
      </w:r>
    </w:p>
    <w:p w14:paraId="5270D65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（5）无重大违法记录的书面声明原件（加盖公章）。</w:t>
      </w:r>
    </w:p>
    <w:p w14:paraId="4D049DA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sz w:val="28"/>
          <w:szCs w:val="28"/>
          <w:highlight w:val="none"/>
        </w:rPr>
        <w:t>（6）信用承诺书（加盖公章）。</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自拟：保证项目质量周期等信用承诺</w:t>
      </w:r>
      <w:r>
        <w:rPr>
          <w:rFonts w:hint="eastAsia" w:ascii="仿宋_GB2312" w:hAnsi="仿宋_GB2312" w:eastAsia="仿宋_GB2312" w:cs="仿宋_GB2312"/>
          <w:sz w:val="28"/>
          <w:szCs w:val="28"/>
          <w:highlight w:val="none"/>
          <w:lang w:eastAsia="zh-CN"/>
        </w:rPr>
        <w:t>）</w:t>
      </w:r>
    </w:p>
    <w:p w14:paraId="69D46E3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（7）企业对外担保说明（写明贵单位对外有无对外担保和质押业务，加盖公章）。</w:t>
      </w:r>
    </w:p>
    <w:p w14:paraId="5565AA1E">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8</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投标保证金缴纳证明</w:t>
      </w:r>
      <w:r>
        <w:rPr>
          <w:rFonts w:hint="eastAsia" w:ascii="仿宋_GB2312" w:hAnsi="仿宋_GB2312" w:eastAsia="仿宋_GB2312" w:cs="仿宋_GB2312"/>
          <w:sz w:val="28"/>
          <w:szCs w:val="28"/>
          <w:highlight w:val="none"/>
        </w:rPr>
        <w:t>（加盖公章）</w:t>
      </w:r>
      <w:r>
        <w:rPr>
          <w:rFonts w:hint="eastAsia" w:ascii="仿宋_GB2312" w:hAnsi="仿宋_GB2312" w:eastAsia="仿宋_GB2312" w:cs="仿宋_GB2312"/>
          <w:sz w:val="28"/>
          <w:szCs w:val="28"/>
          <w:highlight w:val="none"/>
          <w:lang w:val="en-US" w:eastAsia="zh-CN"/>
        </w:rPr>
        <w:t>。（投标缴纳）</w:t>
      </w:r>
    </w:p>
    <w:p w14:paraId="5FB7836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（9）保密协议；</w:t>
      </w:r>
    </w:p>
    <w:p w14:paraId="287ECD6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证明投标人资格条件的其他材料，可附上。</w:t>
      </w:r>
    </w:p>
    <w:p w14:paraId="23C6D70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六、评标原则和方法</w:t>
      </w:r>
    </w:p>
    <w:p w14:paraId="1CE8C0A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1.招标人将坚持“公开、公平、公正”原则，严格按照国家法律法规及公司规章制度要求，设立专家评审小组进行招标评审。</w:t>
      </w:r>
    </w:p>
    <w:p w14:paraId="11E8E15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2.招标人邀请各投标方指派人员参加开标会议。投标方未参加开标的，视同认可开标结果。</w:t>
      </w:r>
    </w:p>
    <w:p w14:paraId="3F4D868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3.评审小组专家成员先进行技术标评议</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后进行商务标评议。其中讲标时间</w:t>
      </w: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rPr>
        <w:t>0分钟、答疑时间</w:t>
      </w: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0分钟。技术标满分100分，技术标得分达到</w:t>
      </w:r>
      <w:r>
        <w:rPr>
          <w:rFonts w:hint="eastAsia" w:ascii="仿宋_GB2312" w:hAnsi="仿宋_GB2312" w:eastAsia="仿宋_GB2312" w:cs="仿宋_GB2312"/>
          <w:sz w:val="28"/>
          <w:szCs w:val="28"/>
          <w:highlight w:val="yellow"/>
        </w:rPr>
        <w:t>80分</w:t>
      </w:r>
      <w:r>
        <w:rPr>
          <w:rFonts w:hint="eastAsia" w:ascii="仿宋_GB2312" w:hAnsi="仿宋_GB2312" w:eastAsia="仿宋_GB2312" w:cs="仿宋_GB2312"/>
          <w:sz w:val="28"/>
          <w:szCs w:val="28"/>
          <w:highlight w:val="none"/>
        </w:rPr>
        <w:t>及以上，且不存在重大负偏离或否决情形的，进入商务标评审。技术标得分</w:t>
      </w:r>
      <w:r>
        <w:rPr>
          <w:rFonts w:hint="eastAsia" w:ascii="仿宋_GB2312" w:hAnsi="仿宋_GB2312" w:eastAsia="仿宋_GB2312" w:cs="仿宋_GB2312"/>
          <w:sz w:val="28"/>
          <w:szCs w:val="28"/>
          <w:highlight w:val="yellow"/>
        </w:rPr>
        <w:t>低于80分</w:t>
      </w:r>
      <w:r>
        <w:rPr>
          <w:rFonts w:hint="eastAsia" w:ascii="仿宋_GB2312" w:hAnsi="仿宋_GB2312" w:eastAsia="仿宋_GB2312" w:cs="仿宋_GB2312"/>
          <w:sz w:val="28"/>
          <w:szCs w:val="28"/>
          <w:highlight w:val="none"/>
        </w:rPr>
        <w:t>的，不进入商务标评审。严重偏离招标人技术标准的直接淘汰。评审小组专家成员依据技术标、商务标情况进行综合排序（评分标准见下表，不保证最低价格中标），</w:t>
      </w:r>
      <w:r>
        <w:rPr>
          <w:rFonts w:hint="eastAsia" w:ascii="仿宋_GB2312" w:hAnsi="仿宋_GB2312" w:eastAsia="仿宋_GB2312" w:cs="仿宋_GB2312"/>
          <w:sz w:val="28"/>
          <w:szCs w:val="28"/>
          <w:highlight w:val="yellow"/>
        </w:rPr>
        <w:t>技术标得分占比40%，商务标得分占比60%</w:t>
      </w:r>
      <w:r>
        <w:rPr>
          <w:rFonts w:hint="eastAsia" w:ascii="仿宋_GB2312" w:hAnsi="仿宋_GB2312" w:eastAsia="仿宋_GB2312" w:cs="仿宋_GB2312"/>
          <w:sz w:val="28"/>
          <w:szCs w:val="28"/>
          <w:highlight w:val="none"/>
        </w:rPr>
        <w:t xml:space="preserve">，并根据排序情况确定中标候选人，对未中标单位不做任何解释。 </w:t>
      </w:r>
    </w:p>
    <w:p w14:paraId="4EACD9F5">
      <w:pPr>
        <w:keepNext w:val="0"/>
        <w:keepLines w:val="0"/>
        <w:widowControl/>
        <w:suppressLineNumbers w:val="0"/>
        <w:ind w:firstLine="560" w:firstLineChars="200"/>
        <w:jc w:val="left"/>
        <w:rPr>
          <w:rFonts w:hint="eastAsia"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6551C9B3">
      <w:pPr>
        <w:keepNext w:val="0"/>
        <w:keepLines w:val="0"/>
        <w:widowControl/>
        <w:suppressLineNumbers w:val="0"/>
        <w:jc w:val="left"/>
        <w:rPr>
          <w:rFonts w:hint="eastAsia"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注意：每一轮在重汽e采通提供澄清报价均有时间限制，未能在规定时间内提交澄清函及报价的视为放弃本次投标。</w:t>
      </w:r>
    </w:p>
    <w:p w14:paraId="13B54AF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p>
    <w:p w14:paraId="3460649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（1）技术评分标准</w:t>
      </w:r>
    </w:p>
    <w:tbl>
      <w:tblPr>
        <w:tblStyle w:val="7"/>
        <w:tblpPr w:leftFromText="180" w:rightFromText="180" w:vertAnchor="text" w:horzAnchor="page" w:tblpXSpec="center" w:tblpY="600"/>
        <w:tblOverlap w:val="never"/>
        <w:tblW w:w="10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96"/>
        <w:gridCol w:w="7941"/>
        <w:gridCol w:w="903"/>
      </w:tblGrid>
      <w:tr w14:paraId="4ADB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55" w:hRule="atLeast"/>
          <w:jc w:val="center"/>
        </w:trPr>
        <w:tc>
          <w:tcPr>
            <w:tcW w:w="0" w:type="auto"/>
            <w:gridSpan w:val="3"/>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F62BCD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8"/>
                <w:szCs w:val="28"/>
                <w:highlight w:val="none"/>
              </w:rPr>
              <w:t>技术评分标准</w:t>
            </w:r>
          </w:p>
        </w:tc>
      </w:tr>
      <w:tr w14:paraId="0186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2"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4FA3F8C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项目</w:t>
            </w: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5086ED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描　　述</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4B0288D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分值</w:t>
            </w:r>
          </w:p>
        </w:tc>
      </w:tr>
      <w:tr w14:paraId="72DC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2"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2ADBB969">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企业资质及服务业绩</w:t>
            </w:r>
          </w:p>
          <w:p w14:paraId="1629F320">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bCs/>
                <w:color w:val="000000"/>
                <w:sz w:val="24"/>
                <w:szCs w:val="24"/>
                <w:highlight w:val="none"/>
                <w:lang w:val="en-US" w:eastAsia="zh-CN"/>
              </w:rPr>
              <w:t>10</w:t>
            </w:r>
            <w:r>
              <w:rPr>
                <w:rFonts w:hint="eastAsia" w:ascii="仿宋_GB2312" w:hAnsi="仿宋_GB2312" w:eastAsia="仿宋_GB2312" w:cs="仿宋_GB2312"/>
                <w:b/>
                <w:bCs/>
                <w:color w:val="000000"/>
                <w:sz w:val="24"/>
                <w:szCs w:val="24"/>
                <w:highlight w:val="none"/>
              </w:rPr>
              <w:t>分）</w:t>
            </w: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76CAFA87">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1.投标人成立时间三年以上，每增加2年得</w:t>
            </w: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分，本项最高得</w:t>
            </w:r>
            <w:r>
              <w:rPr>
                <w:rFonts w:hint="eastAsia" w:ascii="仿宋_GB2312" w:hAnsi="仿宋_GB2312" w:eastAsia="仿宋_GB2312" w:cs="仿宋_GB2312"/>
                <w:color w:val="000000"/>
                <w:sz w:val="24"/>
                <w:szCs w:val="24"/>
                <w:highlight w:val="none"/>
                <w:lang w:val="en-US" w:eastAsia="zh-CN"/>
              </w:rPr>
              <w:t>3</w:t>
            </w:r>
            <w:r>
              <w:rPr>
                <w:rFonts w:hint="eastAsia" w:ascii="仿宋_GB2312" w:hAnsi="仿宋_GB2312" w:eastAsia="仿宋_GB2312" w:cs="仿宋_GB2312"/>
                <w:color w:val="000000"/>
                <w:sz w:val="24"/>
                <w:szCs w:val="24"/>
                <w:highlight w:val="none"/>
              </w:rPr>
              <w:t>分</w:t>
            </w:r>
          </w:p>
        </w:tc>
        <w:tc>
          <w:tcPr>
            <w:tcW w:w="903" w:type="dxa"/>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5A1BA7AD">
            <w:pPr>
              <w:pStyle w:val="6"/>
              <w:keepNext w:val="0"/>
              <w:keepLines w:val="0"/>
              <w:widowControl/>
              <w:suppressLineNumbers w:val="0"/>
              <w:shd w:val="clear"/>
              <w:spacing w:before="0" w:beforeAutospacing="0" w:after="0" w:afterAutospacing="0" w:line="360" w:lineRule="auto"/>
              <w:ind w:left="0" w:firstLine="0"/>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10</w:t>
            </w:r>
          </w:p>
        </w:tc>
      </w:tr>
      <w:tr w14:paraId="644FB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1"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5898F44C">
            <w:pPr>
              <w:shd w:val="clear"/>
              <w:spacing w:line="360" w:lineRule="auto"/>
              <w:rPr>
                <w:rFonts w:hint="eastAsia" w:ascii="仿宋_GB2312" w:hAnsi="仿宋_GB2312" w:eastAsia="仿宋_GB2312" w:cs="仿宋_GB2312"/>
                <w:sz w:val="24"/>
                <w:szCs w:val="24"/>
                <w:highlight w:val="none"/>
              </w:rPr>
            </w:pP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52D52A28">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2.投标人每获得1项行业内相关荣誉得</w:t>
            </w: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分，本项最高得</w:t>
            </w:r>
            <w:r>
              <w:rPr>
                <w:rFonts w:hint="eastAsia" w:ascii="仿宋_GB2312" w:hAnsi="仿宋_GB2312" w:eastAsia="仿宋_GB2312" w:cs="仿宋_GB2312"/>
                <w:color w:val="000000"/>
                <w:sz w:val="24"/>
                <w:szCs w:val="24"/>
                <w:highlight w:val="none"/>
                <w:lang w:val="en-US" w:eastAsia="zh-CN"/>
              </w:rPr>
              <w:t>3</w:t>
            </w:r>
            <w:r>
              <w:rPr>
                <w:rFonts w:hint="eastAsia" w:ascii="仿宋_GB2312" w:hAnsi="仿宋_GB2312" w:eastAsia="仿宋_GB2312" w:cs="仿宋_GB2312"/>
                <w:color w:val="000000"/>
                <w:sz w:val="24"/>
                <w:szCs w:val="24"/>
                <w:highlight w:val="none"/>
              </w:rPr>
              <w:t>分</w:t>
            </w:r>
          </w:p>
        </w:tc>
        <w:tc>
          <w:tcPr>
            <w:tcW w:w="903" w:type="dxa"/>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15A677F8">
            <w:pPr>
              <w:shd w:val="clear"/>
              <w:spacing w:line="360" w:lineRule="auto"/>
              <w:rPr>
                <w:rFonts w:hint="eastAsia" w:ascii="仿宋_GB2312" w:hAnsi="仿宋_GB2312" w:eastAsia="仿宋_GB2312" w:cs="仿宋_GB2312"/>
                <w:sz w:val="24"/>
                <w:szCs w:val="24"/>
                <w:highlight w:val="none"/>
              </w:rPr>
            </w:pPr>
          </w:p>
        </w:tc>
      </w:tr>
      <w:tr w14:paraId="29484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2"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6C1A7EA">
            <w:pPr>
              <w:shd w:val="clear"/>
              <w:spacing w:line="360" w:lineRule="auto"/>
              <w:rPr>
                <w:rFonts w:hint="eastAsia" w:ascii="仿宋_GB2312" w:hAnsi="仿宋_GB2312" w:eastAsia="仿宋_GB2312" w:cs="仿宋_GB2312"/>
                <w:sz w:val="24"/>
                <w:szCs w:val="24"/>
                <w:highlight w:val="none"/>
              </w:rPr>
            </w:pP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AD7AE82">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3.提供类似汽车行业项目服务业绩，以合同复印件为准，每提供一份得</w:t>
            </w: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分，本项最高得</w:t>
            </w:r>
            <w:r>
              <w:rPr>
                <w:rFonts w:hint="eastAsia" w:ascii="仿宋_GB2312" w:hAnsi="仿宋_GB2312" w:eastAsia="仿宋_GB2312" w:cs="仿宋_GB2312"/>
                <w:color w:val="000000"/>
                <w:sz w:val="24"/>
                <w:szCs w:val="24"/>
                <w:highlight w:val="none"/>
                <w:lang w:val="en-US" w:eastAsia="zh-CN"/>
              </w:rPr>
              <w:t>4</w:t>
            </w:r>
            <w:r>
              <w:rPr>
                <w:rFonts w:hint="eastAsia" w:ascii="仿宋_GB2312" w:hAnsi="仿宋_GB2312" w:eastAsia="仿宋_GB2312" w:cs="仿宋_GB2312"/>
                <w:color w:val="000000"/>
                <w:sz w:val="24"/>
                <w:szCs w:val="24"/>
                <w:highlight w:val="none"/>
              </w:rPr>
              <w:t>分。</w:t>
            </w:r>
          </w:p>
        </w:tc>
        <w:tc>
          <w:tcPr>
            <w:tcW w:w="903" w:type="dxa"/>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6E29627E">
            <w:pPr>
              <w:shd w:val="clear"/>
              <w:spacing w:line="360" w:lineRule="auto"/>
              <w:rPr>
                <w:rFonts w:hint="eastAsia" w:ascii="仿宋_GB2312" w:hAnsi="仿宋_GB2312" w:eastAsia="仿宋_GB2312" w:cs="仿宋_GB2312"/>
                <w:sz w:val="24"/>
                <w:szCs w:val="24"/>
                <w:highlight w:val="none"/>
              </w:rPr>
            </w:pPr>
          </w:p>
        </w:tc>
      </w:tr>
      <w:tr w14:paraId="1068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24" w:hRule="atLeast"/>
          <w:jc w:val="center"/>
        </w:trPr>
        <w:tc>
          <w:tcPr>
            <w:tcW w:w="1894" w:type="dxa"/>
            <w:vMerge w:val="restart"/>
            <w:tcBorders>
              <w:top w:val="single" w:color="000000" w:sz="6" w:space="0"/>
              <w:left w:val="single" w:color="000000" w:sz="6" w:space="0"/>
              <w:right w:val="single" w:color="000000" w:sz="6" w:space="0"/>
            </w:tcBorders>
            <w:shd w:val="clear" w:color="auto" w:fill="auto"/>
            <w:tcMar>
              <w:top w:w="60" w:type="dxa"/>
              <w:left w:w="105" w:type="dxa"/>
              <w:bottom w:w="60" w:type="dxa"/>
              <w:right w:w="105" w:type="dxa"/>
            </w:tcMar>
            <w:vAlign w:val="center"/>
          </w:tcPr>
          <w:p w14:paraId="1455572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方案策划</w:t>
            </w:r>
          </w:p>
          <w:p w14:paraId="4CC4D887">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bCs/>
                <w:color w:val="000000"/>
                <w:sz w:val="24"/>
                <w:szCs w:val="24"/>
                <w:highlight w:val="none"/>
                <w:lang w:val="en-US" w:eastAsia="zh-CN"/>
              </w:rPr>
              <w:t>60</w:t>
            </w:r>
            <w:r>
              <w:rPr>
                <w:rFonts w:hint="eastAsia" w:ascii="仿宋_GB2312" w:hAnsi="仿宋_GB2312" w:eastAsia="仿宋_GB2312" w:cs="仿宋_GB2312"/>
                <w:b/>
                <w:bCs/>
                <w:color w:val="000000"/>
                <w:sz w:val="24"/>
                <w:szCs w:val="24"/>
                <w:highlight w:val="none"/>
              </w:rPr>
              <w:t>分）</w:t>
            </w: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49DAE8B2">
            <w:pPr>
              <w:pStyle w:val="6"/>
              <w:keepNext w:val="0"/>
              <w:keepLines w:val="0"/>
              <w:widowControl/>
              <w:numPr>
                <w:ilvl w:val="0"/>
                <w:numId w:val="0"/>
              </w:numPr>
              <w:suppressLineNumbers w:val="0"/>
              <w:shd w:val="clear"/>
              <w:spacing w:before="0" w:beforeAutospacing="0" w:after="0" w:afterAutospacing="0" w:line="360" w:lineRule="auto"/>
              <w:ind w:leftChars="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b/>
                <w:bCs/>
                <w:color w:val="000000"/>
                <w:sz w:val="24"/>
                <w:szCs w:val="24"/>
                <w:highlight w:val="none"/>
                <w:lang w:val="en-US" w:eastAsia="zh-CN"/>
              </w:rPr>
              <w:t>1.</w:t>
            </w:r>
            <w:r>
              <w:rPr>
                <w:rFonts w:hint="eastAsia" w:ascii="仿宋_GB2312" w:hAnsi="仿宋_GB2312" w:eastAsia="仿宋_GB2312" w:cs="仿宋_GB2312"/>
                <w:b/>
                <w:bCs/>
                <w:color w:val="000000"/>
                <w:sz w:val="24"/>
                <w:szCs w:val="24"/>
                <w:highlight w:val="none"/>
              </w:rPr>
              <w:t>项目方案：</w:t>
            </w:r>
            <w:r>
              <w:rPr>
                <w:rFonts w:hint="eastAsia" w:ascii="仿宋_GB2312" w:hAnsi="仿宋_GB2312" w:eastAsia="仿宋_GB2312" w:cs="仿宋_GB2312"/>
                <w:color w:val="000000"/>
                <w:sz w:val="24"/>
                <w:szCs w:val="24"/>
                <w:highlight w:val="none"/>
                <w:lang w:val="en-US" w:eastAsia="zh-CN"/>
              </w:rPr>
              <w:t>能够</w:t>
            </w:r>
            <w:r>
              <w:rPr>
                <w:rFonts w:hint="eastAsia" w:ascii="仿宋_GB2312" w:hAnsi="仿宋_GB2312" w:eastAsia="仿宋_GB2312" w:cs="仿宋_GB2312"/>
                <w:color w:val="000000"/>
                <w:sz w:val="24"/>
                <w:szCs w:val="24"/>
                <w:highlight w:val="none"/>
              </w:rPr>
              <w:t>完全响应标书技术要求（无偏离或正偏离），内容详实丰富，紧密结合场地实际情况</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lang w:val="en-US" w:eastAsia="zh-CN"/>
              </w:rPr>
              <w:t>如</w:t>
            </w:r>
            <w:r>
              <w:rPr>
                <w:rFonts w:hint="eastAsia" w:ascii="仿宋_GB2312" w:hAnsi="仿宋_GB2312" w:eastAsia="仿宋_GB2312" w:cs="仿宋_GB2312"/>
                <w:color w:val="000000"/>
                <w:sz w:val="24"/>
                <w:szCs w:val="24"/>
                <w:highlight w:val="none"/>
              </w:rPr>
              <w:t>针对本项目出具实际可落地的</w:t>
            </w:r>
            <w:r>
              <w:rPr>
                <w:rFonts w:hint="eastAsia" w:ascii="仿宋_GB2312" w:hAnsi="仿宋_GB2312" w:eastAsia="仿宋_GB2312" w:cs="仿宋_GB2312"/>
                <w:color w:val="000000"/>
                <w:sz w:val="24"/>
                <w:szCs w:val="24"/>
                <w:highlight w:val="none"/>
                <w:lang w:val="en-US" w:eastAsia="zh-CN"/>
              </w:rPr>
              <w:t>3D</w:t>
            </w:r>
            <w:r>
              <w:rPr>
                <w:rFonts w:hint="eastAsia" w:ascii="仿宋_GB2312" w:hAnsi="仿宋_GB2312" w:eastAsia="仿宋_GB2312" w:cs="仿宋_GB2312"/>
                <w:color w:val="000000"/>
                <w:sz w:val="24"/>
                <w:szCs w:val="24"/>
                <w:highlight w:val="none"/>
              </w:rPr>
              <w:t>效果图，严格按实际搭建效果和展车展品真实尺寸比例进行精细渲染，并提供详实的分镜视频脚本等，精准契合中国重汽需求与活动主题</w:t>
            </w:r>
            <w:r>
              <w:rPr>
                <w:rFonts w:hint="eastAsia" w:ascii="仿宋_GB2312" w:hAnsi="仿宋_GB2312" w:eastAsia="仿宋_GB2312" w:cs="仿宋_GB2312"/>
                <w:color w:val="000000"/>
                <w:sz w:val="24"/>
                <w:szCs w:val="24"/>
                <w:highlight w:val="none"/>
                <w:lang w:val="en-US" w:eastAsia="zh-CN"/>
              </w:rPr>
              <w:t>,</w:t>
            </w:r>
            <w:r>
              <w:rPr>
                <w:rFonts w:hint="eastAsia" w:ascii="仿宋_GB2312" w:hAnsi="仿宋_GB2312" w:eastAsia="仿宋_GB2312" w:cs="仿宋_GB2312"/>
                <w:color w:val="000000"/>
                <w:sz w:val="24"/>
                <w:szCs w:val="24"/>
                <w:highlight w:val="none"/>
              </w:rPr>
              <w:t>可实施性强，能最大程度还原制作或执行效果，得25分；方案笼统、过多借用既有素材或案例、效果图与场地实际不符、不能详细展现最终效果、与品牌调性不符或出现项目遗漏的酌情扣分。本项最高得25分。</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7EE2FB1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color w:val="000000"/>
                <w:sz w:val="24"/>
                <w:szCs w:val="24"/>
                <w:highlight w:val="none"/>
              </w:rPr>
              <w:t>2</w:t>
            </w:r>
            <w:r>
              <w:rPr>
                <w:rFonts w:hint="eastAsia" w:ascii="仿宋_GB2312" w:hAnsi="仿宋_GB2312" w:eastAsia="仿宋_GB2312" w:cs="仿宋_GB2312"/>
                <w:color w:val="000000"/>
                <w:sz w:val="24"/>
                <w:szCs w:val="24"/>
                <w:highlight w:val="none"/>
                <w:lang w:val="en-US" w:eastAsia="zh-CN"/>
              </w:rPr>
              <w:t>5</w:t>
            </w:r>
          </w:p>
        </w:tc>
      </w:tr>
      <w:tr w14:paraId="2B88C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65" w:hRule="atLeast"/>
          <w:jc w:val="center"/>
        </w:trPr>
        <w:tc>
          <w:tcPr>
            <w:tcW w:w="1894" w:type="dxa"/>
            <w:vMerge w:val="continue"/>
            <w:tcBorders>
              <w:left w:val="single" w:color="000000" w:sz="6" w:space="0"/>
              <w:right w:val="single" w:color="000000" w:sz="6" w:space="0"/>
            </w:tcBorders>
            <w:shd w:val="clear" w:color="auto" w:fill="auto"/>
            <w:tcMar>
              <w:top w:w="60" w:type="dxa"/>
              <w:left w:w="105" w:type="dxa"/>
              <w:bottom w:w="60" w:type="dxa"/>
              <w:right w:w="105" w:type="dxa"/>
            </w:tcMar>
            <w:vAlign w:val="center"/>
          </w:tcPr>
          <w:p w14:paraId="70B320D6">
            <w:pPr>
              <w:shd w:val="clear"/>
              <w:spacing w:line="360" w:lineRule="auto"/>
              <w:rPr>
                <w:rFonts w:hint="eastAsia" w:ascii="仿宋_GB2312" w:hAnsi="仿宋_GB2312" w:eastAsia="仿宋_GB2312" w:cs="仿宋_GB2312"/>
                <w:sz w:val="24"/>
                <w:szCs w:val="24"/>
                <w:highlight w:val="none"/>
              </w:rPr>
            </w:pP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top"/>
          </w:tcPr>
          <w:p w14:paraId="5764085F">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2.项目创意：</w:t>
            </w:r>
            <w:r>
              <w:rPr>
                <w:rFonts w:hint="eastAsia" w:ascii="仿宋_GB2312" w:hAnsi="仿宋_GB2312" w:eastAsia="仿宋_GB2312" w:cs="仿宋_GB2312"/>
                <w:color w:val="000000"/>
                <w:sz w:val="24"/>
                <w:szCs w:val="24"/>
                <w:highlight w:val="none"/>
              </w:rPr>
              <w:t>创作思路新颖，视觉及体验效果突出，符合中国重汽品牌定位，具有较好的吸引力、感染力、互动性和可操作性，对中国重汽在行业地位或形象提升有积极作用的，得</w:t>
            </w:r>
            <w:r>
              <w:rPr>
                <w:rFonts w:hint="eastAsia" w:ascii="仿宋_GB2312" w:hAnsi="仿宋_GB2312" w:eastAsia="仿宋_GB2312" w:cs="仿宋_GB2312"/>
                <w:color w:val="000000"/>
                <w:sz w:val="24"/>
                <w:szCs w:val="24"/>
                <w:highlight w:val="none"/>
                <w:lang w:val="en-US" w:eastAsia="zh-CN"/>
              </w:rPr>
              <w:t>15</w:t>
            </w:r>
            <w:r>
              <w:rPr>
                <w:rFonts w:hint="eastAsia" w:ascii="仿宋_GB2312" w:hAnsi="仿宋_GB2312" w:eastAsia="仿宋_GB2312" w:cs="仿宋_GB2312"/>
                <w:color w:val="000000"/>
                <w:sz w:val="24"/>
                <w:szCs w:val="24"/>
                <w:highlight w:val="none"/>
              </w:rPr>
              <w:t>分；如有不符合逻辑、方案平淡缺乏创意等情况酌情扣分。本项最高得</w:t>
            </w:r>
            <w:r>
              <w:rPr>
                <w:rFonts w:hint="eastAsia" w:ascii="仿宋_GB2312" w:hAnsi="仿宋_GB2312" w:eastAsia="仿宋_GB2312" w:cs="仿宋_GB2312"/>
                <w:color w:val="000000"/>
                <w:sz w:val="24"/>
                <w:szCs w:val="24"/>
                <w:highlight w:val="none"/>
                <w:lang w:val="en-US" w:eastAsia="zh-CN"/>
              </w:rPr>
              <w:t>15</w:t>
            </w:r>
            <w:r>
              <w:rPr>
                <w:rFonts w:hint="eastAsia" w:ascii="仿宋_GB2312" w:hAnsi="仿宋_GB2312" w:eastAsia="仿宋_GB2312" w:cs="仿宋_GB2312"/>
                <w:color w:val="000000"/>
                <w:sz w:val="24"/>
                <w:szCs w:val="24"/>
                <w:highlight w:val="none"/>
              </w:rPr>
              <w:t>分。</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413924BE">
            <w:pPr>
              <w:pStyle w:val="6"/>
              <w:keepNext w:val="0"/>
              <w:keepLines w:val="0"/>
              <w:widowControl/>
              <w:suppressLineNumbers w:val="0"/>
              <w:shd w:val="clear"/>
              <w:spacing w:before="0" w:beforeAutospacing="0" w:after="0" w:afterAutospacing="0" w:line="360" w:lineRule="auto"/>
              <w:ind w:left="0" w:firstLine="0"/>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15</w:t>
            </w:r>
          </w:p>
        </w:tc>
      </w:tr>
      <w:tr w14:paraId="5F8B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49" w:hRule="atLeast"/>
          <w:jc w:val="center"/>
        </w:trPr>
        <w:tc>
          <w:tcPr>
            <w:tcW w:w="1894" w:type="dxa"/>
            <w:vMerge w:val="continue"/>
            <w:tcBorders>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0E00EC11">
            <w:pPr>
              <w:shd w:val="clear"/>
              <w:spacing w:line="360" w:lineRule="auto"/>
              <w:rPr>
                <w:rFonts w:hint="eastAsia" w:ascii="仿宋_GB2312" w:hAnsi="仿宋_GB2312" w:eastAsia="仿宋_GB2312" w:cs="仿宋_GB2312"/>
                <w:sz w:val="24"/>
                <w:szCs w:val="24"/>
                <w:highlight w:val="none"/>
              </w:rPr>
            </w:pP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top"/>
          </w:tcPr>
          <w:p w14:paraId="5A38D615">
            <w:pPr>
              <w:pStyle w:val="6"/>
              <w:keepNext w:val="0"/>
              <w:keepLines w:val="0"/>
              <w:widowControl/>
              <w:numPr>
                <w:ilvl w:val="0"/>
                <w:numId w:val="1"/>
              </w:numPr>
              <w:suppressLineNumbers w:val="0"/>
              <w:shd w:val="clear"/>
              <w:spacing w:before="0" w:beforeAutospacing="0" w:after="0" w:afterAutospacing="0" w:line="360" w:lineRule="auto"/>
              <w:ind w:left="0" w:firstLine="0"/>
              <w:jc w:val="left"/>
              <w:rPr>
                <w:rFonts w:hint="eastAsia" w:ascii="仿宋_GB2312" w:hAnsi="仿宋_GB2312" w:eastAsia="仿宋_GB2312" w:cs="仿宋_GB2312"/>
                <w:b/>
                <w:bCs/>
                <w:color w:val="000000"/>
                <w:sz w:val="24"/>
                <w:szCs w:val="24"/>
                <w:highlight w:val="none"/>
              </w:rPr>
            </w:pPr>
            <w:r>
              <w:rPr>
                <w:rFonts w:hint="eastAsia" w:ascii="仿宋_GB2312" w:hAnsi="仿宋_GB2312" w:eastAsia="仿宋_GB2312" w:cs="仿宋_GB2312"/>
                <w:b/>
                <w:bCs/>
                <w:color w:val="000000"/>
                <w:sz w:val="24"/>
                <w:szCs w:val="24"/>
                <w:highlight w:val="none"/>
                <w:lang w:val="en-US" w:eastAsia="zh-CN"/>
              </w:rPr>
              <w:t>互动体验</w:t>
            </w: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val="0"/>
                <w:bCs w:val="0"/>
                <w:color w:val="000000"/>
                <w:sz w:val="24"/>
                <w:szCs w:val="24"/>
                <w:highlight w:val="none"/>
              </w:rPr>
              <w:t>要求形式新颖，视觉呈现与现场体验效果突出。体验设计须深度结合重汽品牌调性、商用车行业特色及产品亮点进行定制化开发。方案应具备极强的吸引力、现场参与度与实操性，能有效提升公众对重汽行业地位与品牌形象的认知，得20分；若互动体验与重汽品牌、行业及产品特征契合度低，或出现创意平庸、逻辑欠缺、现场缺乏吸引力、实操落地性差等情况酌情扣分。本项最高得20分。</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798F3153">
            <w:pPr>
              <w:pStyle w:val="6"/>
              <w:keepNext w:val="0"/>
              <w:keepLines w:val="0"/>
              <w:widowControl/>
              <w:suppressLineNumbers w:val="0"/>
              <w:shd w:val="clear"/>
              <w:spacing w:before="0" w:beforeAutospacing="0" w:after="0" w:afterAutospacing="0" w:line="360" w:lineRule="auto"/>
              <w:ind w:left="0" w:firstLine="0"/>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20</w:t>
            </w:r>
          </w:p>
        </w:tc>
      </w:tr>
      <w:tr w14:paraId="1BAE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49"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32AA884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实施与服务保障</w:t>
            </w:r>
          </w:p>
          <w:p w14:paraId="4BB4DD3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bCs/>
                <w:color w:val="000000"/>
                <w:sz w:val="24"/>
                <w:szCs w:val="24"/>
                <w:highlight w:val="none"/>
                <w:lang w:val="en-US" w:eastAsia="zh-CN"/>
              </w:rPr>
              <w:t>3</w:t>
            </w:r>
            <w:r>
              <w:rPr>
                <w:rFonts w:hint="eastAsia" w:ascii="仿宋_GB2312" w:hAnsi="仿宋_GB2312" w:eastAsia="仿宋_GB2312" w:cs="仿宋_GB2312"/>
                <w:b/>
                <w:bCs/>
                <w:color w:val="000000"/>
                <w:sz w:val="24"/>
                <w:szCs w:val="24"/>
                <w:highlight w:val="none"/>
              </w:rPr>
              <w:t>0分）</w:t>
            </w: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45D51388">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1.实施过程：</w:t>
            </w:r>
            <w:r>
              <w:rPr>
                <w:rFonts w:hint="eastAsia" w:ascii="仿宋_GB2312" w:hAnsi="仿宋_GB2312" w:eastAsia="仿宋_GB2312" w:cs="仿宋_GB2312"/>
                <w:sz w:val="24"/>
                <w:szCs w:val="24"/>
                <w:highlight w:val="none"/>
              </w:rPr>
              <w:t>根据投标人提供的实施方案进行评审；实施方案应当具有针对性、可操作性且完整具体，包括传播方案、责任分工、项目推进周期、配合协调事项、应急方案以及质量问题解决方法及补救措施等具体分类；传播内容应契合活动调性，规划清晰，传播效果有保证，对提升品牌声量和行业口碑具有较好的促进作用，得</w:t>
            </w:r>
            <w:r>
              <w:rPr>
                <w:rFonts w:hint="eastAsia" w:ascii="仿宋_GB2312" w:hAnsi="仿宋_GB2312" w:eastAsia="仿宋_GB2312" w:cs="仿宋_GB2312"/>
                <w:sz w:val="24"/>
                <w:szCs w:val="24"/>
                <w:highlight w:val="none"/>
                <w:lang w:val="en-US" w:eastAsia="zh-CN"/>
              </w:rPr>
              <w:t>10</w:t>
            </w:r>
            <w:r>
              <w:rPr>
                <w:rFonts w:hint="eastAsia" w:ascii="仿宋_GB2312" w:hAnsi="仿宋_GB2312" w:eastAsia="仿宋_GB2312" w:cs="仿宋_GB2312"/>
                <w:sz w:val="24"/>
                <w:szCs w:val="24"/>
                <w:highlight w:val="none"/>
              </w:rPr>
              <w:t>分；成品交付或执行过程中的所有实施方案每有不合理、不完善、无针对性的酌情扣分。本项最高得</w:t>
            </w:r>
            <w:r>
              <w:rPr>
                <w:rFonts w:hint="eastAsia" w:ascii="仿宋_GB2312" w:hAnsi="仿宋_GB2312" w:eastAsia="仿宋_GB2312" w:cs="仿宋_GB2312"/>
                <w:sz w:val="24"/>
                <w:szCs w:val="24"/>
                <w:highlight w:val="none"/>
                <w:lang w:val="en-US" w:eastAsia="zh-CN"/>
              </w:rPr>
              <w:t>10</w:t>
            </w:r>
            <w:r>
              <w:rPr>
                <w:rFonts w:hint="eastAsia" w:ascii="仿宋_GB2312" w:hAnsi="仿宋_GB2312" w:eastAsia="仿宋_GB2312" w:cs="仿宋_GB2312"/>
                <w:sz w:val="24"/>
                <w:szCs w:val="24"/>
                <w:highlight w:val="none"/>
              </w:rPr>
              <w:t>分。</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1E4D6BCF">
            <w:pPr>
              <w:pStyle w:val="6"/>
              <w:keepNext w:val="0"/>
              <w:keepLines w:val="0"/>
              <w:widowControl/>
              <w:suppressLineNumbers w:val="0"/>
              <w:shd w:val="clear"/>
              <w:spacing w:before="0" w:beforeAutospacing="0" w:after="0" w:afterAutospacing="0" w:line="360" w:lineRule="auto"/>
              <w:ind w:left="0" w:firstLine="0"/>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10</w:t>
            </w:r>
          </w:p>
        </w:tc>
      </w:tr>
      <w:tr w14:paraId="51B8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6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EBD8C0C">
            <w:pPr>
              <w:shd w:val="clear"/>
              <w:spacing w:line="360" w:lineRule="auto"/>
              <w:rPr>
                <w:rFonts w:hint="eastAsia" w:ascii="仿宋_GB2312" w:hAnsi="仿宋_GB2312" w:eastAsia="仿宋_GB2312" w:cs="仿宋_GB2312"/>
                <w:sz w:val="24"/>
                <w:szCs w:val="24"/>
                <w:highlight w:val="none"/>
              </w:rPr>
            </w:pP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C374737">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2.团队分工与保障：</w:t>
            </w:r>
            <w:r>
              <w:rPr>
                <w:rFonts w:hint="eastAsia" w:ascii="仿宋_GB2312" w:hAnsi="仿宋_GB2312" w:eastAsia="仿宋_GB2312" w:cs="仿宋_GB2312"/>
                <w:color w:val="000000"/>
                <w:sz w:val="24"/>
                <w:szCs w:val="24"/>
                <w:highlight w:val="none"/>
              </w:rPr>
              <w:t>提供完备的服务保障方案，确保展会搭建方案完整实施。责任分工明确且合理，团队提供服务人员满足业务开展要求，具备相应的专业经验，能够积极响应项目需求得</w:t>
            </w:r>
            <w:r>
              <w:rPr>
                <w:rFonts w:hint="eastAsia" w:ascii="仿宋_GB2312" w:hAnsi="仿宋_GB2312" w:eastAsia="仿宋_GB2312" w:cs="仿宋_GB2312"/>
                <w:color w:val="000000"/>
                <w:sz w:val="24"/>
                <w:szCs w:val="24"/>
                <w:highlight w:val="none"/>
                <w:lang w:val="en-US" w:eastAsia="zh-CN"/>
              </w:rPr>
              <w:t>5</w:t>
            </w:r>
            <w:r>
              <w:rPr>
                <w:rFonts w:hint="eastAsia" w:ascii="仿宋_GB2312" w:hAnsi="仿宋_GB2312" w:eastAsia="仿宋_GB2312" w:cs="仿宋_GB2312"/>
                <w:color w:val="000000"/>
                <w:sz w:val="24"/>
                <w:szCs w:val="24"/>
                <w:highlight w:val="none"/>
              </w:rPr>
              <w:t>分；团队人员分工不合理或分工不明确，无法响应项目需求</w:t>
            </w:r>
            <w:r>
              <w:rPr>
                <w:rFonts w:hint="eastAsia" w:ascii="仿宋_GB2312" w:hAnsi="仿宋_GB2312" w:eastAsia="仿宋_GB2312" w:cs="仿宋_GB2312"/>
                <w:sz w:val="24"/>
                <w:szCs w:val="24"/>
                <w:highlight w:val="none"/>
              </w:rPr>
              <w:t>酌情扣分</w:t>
            </w:r>
            <w:r>
              <w:rPr>
                <w:rFonts w:hint="eastAsia" w:ascii="仿宋_GB2312" w:hAnsi="仿宋_GB2312" w:eastAsia="仿宋_GB2312" w:cs="仿宋_GB2312"/>
                <w:color w:val="000000"/>
                <w:sz w:val="24"/>
                <w:szCs w:val="24"/>
                <w:highlight w:val="none"/>
              </w:rPr>
              <w:t>。本项最高得</w:t>
            </w:r>
            <w:r>
              <w:rPr>
                <w:rFonts w:hint="eastAsia" w:ascii="仿宋_GB2312" w:hAnsi="仿宋_GB2312" w:eastAsia="仿宋_GB2312" w:cs="仿宋_GB2312"/>
                <w:color w:val="000000"/>
                <w:sz w:val="24"/>
                <w:szCs w:val="24"/>
                <w:highlight w:val="none"/>
                <w:lang w:val="en-US" w:eastAsia="zh-CN"/>
              </w:rPr>
              <w:t>5</w:t>
            </w:r>
            <w:r>
              <w:rPr>
                <w:rFonts w:hint="eastAsia" w:ascii="仿宋_GB2312" w:hAnsi="仿宋_GB2312" w:eastAsia="仿宋_GB2312" w:cs="仿宋_GB2312"/>
                <w:color w:val="000000"/>
                <w:sz w:val="24"/>
                <w:szCs w:val="24"/>
                <w:highlight w:val="none"/>
              </w:rPr>
              <w:t>分。</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1883A13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5</w:t>
            </w:r>
          </w:p>
        </w:tc>
      </w:tr>
      <w:tr w14:paraId="0E5B9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2"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6C614D50">
            <w:pPr>
              <w:shd w:val="clear"/>
              <w:spacing w:line="360" w:lineRule="auto"/>
              <w:rPr>
                <w:rFonts w:hint="eastAsia" w:ascii="仿宋_GB2312" w:hAnsi="仿宋_GB2312" w:eastAsia="仿宋_GB2312" w:cs="仿宋_GB2312"/>
                <w:sz w:val="24"/>
                <w:szCs w:val="24"/>
                <w:highlight w:val="none"/>
              </w:rPr>
            </w:pPr>
          </w:p>
        </w:tc>
        <w:tc>
          <w:tcPr>
            <w:tcW w:w="794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top"/>
          </w:tcPr>
          <w:p w14:paraId="18B02D0D">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3.项目运营执行工程量与材质工艺清单</w:t>
            </w:r>
            <w:r>
              <w:rPr>
                <w:rFonts w:hint="eastAsia" w:ascii="仿宋_GB2312" w:hAnsi="仿宋_GB2312" w:eastAsia="仿宋_GB2312" w:cs="仿宋_GB2312"/>
                <w:b/>
                <w:bCs/>
                <w:color w:val="000000"/>
                <w:sz w:val="24"/>
                <w:szCs w:val="24"/>
                <w:highlight w:val="none"/>
              </w:rPr>
              <w:t>编制：</w:t>
            </w:r>
            <w:r>
              <w:rPr>
                <w:rFonts w:hint="eastAsia" w:ascii="仿宋_GB2312" w:hAnsi="仿宋_GB2312" w:eastAsia="仿宋_GB2312" w:cs="仿宋_GB2312"/>
                <w:color w:val="000000"/>
                <w:sz w:val="24"/>
                <w:szCs w:val="24"/>
                <w:highlight w:val="none"/>
              </w:rPr>
              <w:t>根据投标人提供的《</w:t>
            </w:r>
            <w:r>
              <w:rPr>
                <w:rFonts w:hint="eastAsia" w:ascii="仿宋_GB2312" w:hAnsi="仿宋_GB2312" w:eastAsia="仿宋_GB2312" w:cs="仿宋_GB2312"/>
                <w:sz w:val="24"/>
                <w:szCs w:val="24"/>
                <w:highlight w:val="none"/>
              </w:rPr>
              <w:t>项目运营执行工程量与材质工艺清单</w:t>
            </w:r>
            <w:r>
              <w:rPr>
                <w:rFonts w:hint="eastAsia" w:ascii="仿宋_GB2312" w:hAnsi="仿宋_GB2312" w:eastAsia="仿宋_GB2312" w:cs="仿宋_GB2312"/>
                <w:color w:val="000000"/>
                <w:sz w:val="24"/>
                <w:szCs w:val="24"/>
                <w:highlight w:val="none"/>
              </w:rPr>
              <w:t>》进行评审；该清单应当详尽且具有针对性，必须按物料类别进行细致化拆解，明确各项工程量与材质工艺；清单内容严禁采用“打包报价”或“概括性表述”，需确保各项分解清晰、准确完整，对项目造价控制及后续精准结算具有较好的支撑作用；清单内容每有不合理、不清晰、缺乏针对性或存在概括性表述的酌情扣分，参考标准如下。本项最高得</w:t>
            </w:r>
            <w:r>
              <w:rPr>
                <w:rFonts w:hint="eastAsia" w:ascii="仿宋_GB2312" w:hAnsi="仿宋_GB2312" w:eastAsia="仿宋_GB2312" w:cs="仿宋_GB2312"/>
                <w:color w:val="000000"/>
                <w:sz w:val="24"/>
                <w:szCs w:val="24"/>
                <w:highlight w:val="none"/>
                <w:lang w:val="en-US" w:eastAsia="zh-CN"/>
              </w:rPr>
              <w:t>15</w:t>
            </w:r>
            <w:r>
              <w:rPr>
                <w:rFonts w:hint="eastAsia" w:ascii="仿宋_GB2312" w:hAnsi="仿宋_GB2312" w:eastAsia="仿宋_GB2312" w:cs="仿宋_GB2312"/>
                <w:color w:val="000000"/>
                <w:sz w:val="24"/>
                <w:szCs w:val="24"/>
                <w:highlight w:val="none"/>
              </w:rPr>
              <w:t>分。</w:t>
            </w:r>
          </w:p>
          <w:p w14:paraId="0D05A7BC">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（1）得13—1</w:t>
            </w:r>
            <w:r>
              <w:rPr>
                <w:rFonts w:hint="eastAsia" w:ascii="仿宋_GB2312" w:hAnsi="仿宋_GB2312" w:eastAsia="仿宋_GB2312" w:cs="仿宋_GB2312"/>
                <w:b/>
                <w:bCs/>
                <w:color w:val="000000"/>
                <w:sz w:val="24"/>
                <w:szCs w:val="24"/>
                <w:highlight w:val="none"/>
                <w:lang w:val="en-US" w:eastAsia="zh-CN"/>
              </w:rPr>
              <w:t>5</w:t>
            </w:r>
            <w:r>
              <w:rPr>
                <w:rFonts w:hint="eastAsia" w:ascii="仿宋_GB2312" w:hAnsi="仿宋_GB2312" w:eastAsia="仿宋_GB2312" w:cs="仿宋_GB2312"/>
                <w:b/>
                <w:bCs/>
                <w:color w:val="000000"/>
                <w:sz w:val="24"/>
                <w:szCs w:val="24"/>
                <w:highlight w:val="none"/>
              </w:rPr>
              <w:t>分</w:t>
            </w:r>
            <w:r>
              <w:rPr>
                <w:rFonts w:hint="eastAsia" w:ascii="仿宋_GB2312" w:hAnsi="仿宋_GB2312" w:eastAsia="仿宋_GB2312" w:cs="仿宋_GB2312"/>
                <w:color w:val="000000"/>
                <w:sz w:val="24"/>
                <w:szCs w:val="24"/>
                <w:highlight w:val="none"/>
              </w:rPr>
              <w:t> </w:t>
            </w:r>
          </w:p>
          <w:p w14:paraId="6897DC9C">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a.物料清单拆解逻辑极其清晰。 b.绝对无“打包项”。如造型墙严格拆分为内部骨架、打底板、面层饰面（如明确标注冷复合KT板等具体材料）、灯具、立体字等独立行。 c.所有金属结构均标明管材型号及壁厚（如2.0mm）；所有板材均标明厚度（如12mm）及阻燃特性。 d.计量单位全部采用精确的㎡、m、个，无任何“批/套”等模糊单位，注明设备品牌型号等。</w:t>
            </w:r>
          </w:p>
          <w:p w14:paraId="4EA59477">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e.能够完全支撑招标方进行底层的物料单价核算、造价审计及单项增减扣款。</w:t>
            </w:r>
          </w:p>
          <w:p w14:paraId="32A1FE8F">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（2）得9—12分</w:t>
            </w:r>
          </w:p>
          <w:p w14:paraId="151183EB">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a.清单拆解较详细，大部分常规造型能够剥离出基础骨架与表面饰面。</w:t>
            </w:r>
          </w:p>
          <w:p w14:paraId="27A99A47">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b.主要材料（如木板、PVC字、灯带）标明了尺寸和基础工艺。</w:t>
            </w:r>
          </w:p>
          <w:p w14:paraId="18535E8A">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c.存在极少量的“打包描述”（如隐蔽连接件未完全拆细），或个别金属构件未标注壁厚。</w:t>
            </w:r>
          </w:p>
          <w:p w14:paraId="2A6EE66C">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d.电子设备基本标明了尺寸，但可能偶有漏标具体品牌或型号的情况。</w:t>
            </w:r>
          </w:p>
          <w:p w14:paraId="03D1652D">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e.基本满足整体成本核算，但在局部增减项核价时可能需要二次确认。</w:t>
            </w:r>
          </w:p>
          <w:p w14:paraId="1A30F1B0">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w:t>
            </w:r>
            <w:r>
              <w:rPr>
                <w:rFonts w:hint="eastAsia" w:ascii="仿宋_GB2312" w:hAnsi="仿宋_GB2312" w:eastAsia="仿宋_GB2312" w:cs="仿宋_GB2312"/>
                <w:b/>
                <w:bCs/>
                <w:color w:val="000000"/>
                <w:sz w:val="24"/>
                <w:szCs w:val="24"/>
                <w:highlight w:val="none"/>
              </w:rPr>
              <w:t>3）得5—8分</w:t>
            </w:r>
          </w:p>
          <w:p w14:paraId="00F250A8">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a.清单仅按视觉大项进行罗列（与原粗略截图类似），缺乏对内部结构、工艺逻辑的深度拆分。</w:t>
            </w:r>
          </w:p>
          <w:p w14:paraId="41733B06">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b.大量使用“造型墙一组”“地台一整块”等高度概括性词汇，且将多种材质混为一行报价。</w:t>
            </w:r>
          </w:p>
          <w:p w14:paraId="3E63FBEC">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c.严重缺失材料厚度、金属壁厚、龙骨间距等关键成本参数。</w:t>
            </w:r>
          </w:p>
          <w:p w14:paraId="12ACF579">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d.部分辅助辅料和吊装工具使用“一项”作为单位。</w:t>
            </w:r>
          </w:p>
          <w:p w14:paraId="364BA951">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e.后期核价困难，难以作为增减项审计的有效依据。</w:t>
            </w:r>
          </w:p>
          <w:p w14:paraId="025E25FA">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color w:val="000000"/>
                <w:sz w:val="24"/>
                <w:szCs w:val="24"/>
                <w:highlight w:val="none"/>
              </w:rPr>
              <w:t>（4）得0—4分</w:t>
            </w:r>
          </w:p>
          <w:p w14:paraId="4C72B0F1">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a.清单极其敷衍，完全违背招标文件的拆细要求。</w:t>
            </w:r>
          </w:p>
          <w:p w14:paraId="173314A1">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b.满篇采用“打包报价”，材料描述模棱两可（如仅写“木结构”“发光字”“灯带”）。</w:t>
            </w:r>
          </w:p>
          <w:p w14:paraId="0396C838">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c.尺寸错漏百出，设备无品牌无型号，单位滥用“批”“项”。</w:t>
            </w:r>
          </w:p>
          <w:p w14:paraId="1E1A0A63">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d.完全无法用于内部核价、对账和结算，存在极大的偷工减料和成本黑箱风险。</w:t>
            </w:r>
          </w:p>
        </w:tc>
        <w:tc>
          <w:tcPr>
            <w:tcW w:w="9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62C7A40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val="en-US" w:eastAsia="zh-CN"/>
              </w:rPr>
              <w:t>5</w:t>
            </w:r>
          </w:p>
        </w:tc>
      </w:tr>
    </w:tbl>
    <w:p w14:paraId="225C676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420" w:firstLine="0"/>
        <w:jc w:val="left"/>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b/>
          <w:bCs/>
          <w:sz w:val="28"/>
          <w:szCs w:val="28"/>
          <w:highlight w:val="none"/>
        </w:rPr>
        <w:t>商务评分标准</w:t>
      </w:r>
    </w:p>
    <w:p w14:paraId="6F384C6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64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按照约定时间，评审小组专家成员进行商务评标与技术入围投标人展开多轮商务谈判，其间可对商务谈判内容进行澄清。</w:t>
      </w:r>
      <w:r>
        <w:rPr>
          <w:rFonts w:hint="eastAsia" w:ascii="仿宋_GB2312" w:hAnsi="仿宋_GB2312" w:eastAsia="仿宋_GB2312" w:cs="仿宋_GB2312"/>
          <w:color w:val="000000"/>
          <w:sz w:val="28"/>
          <w:szCs w:val="28"/>
          <w:highlight w:val="none"/>
        </w:rPr>
        <w:t>商务报价采用低价优先法计算，以满足招标文件要求且报价最低的投标报价为评标基准价，其本轮商务分为满分100分，其他投标方的商务分按照下列公式计算：投标报价得分=评标基准价/投标报价×100</w:t>
      </w:r>
      <w:r>
        <w:rPr>
          <w:rFonts w:hint="eastAsia" w:ascii="仿宋_GB2312" w:hAnsi="仿宋_GB2312" w:eastAsia="仿宋_GB2312" w:cs="仿宋_GB2312"/>
          <w:color w:val="000000"/>
          <w:sz w:val="28"/>
          <w:szCs w:val="28"/>
          <w:highlight w:val="none"/>
          <w:lang w:val="en-US" w:eastAsia="zh-CN"/>
        </w:rPr>
        <w:t>分</w:t>
      </w:r>
      <w:r>
        <w:rPr>
          <w:rFonts w:hint="eastAsia" w:ascii="仿宋_GB2312" w:hAnsi="仿宋_GB2312" w:eastAsia="仿宋_GB2312" w:cs="仿宋_GB2312"/>
          <w:color w:val="000000"/>
          <w:sz w:val="28"/>
          <w:szCs w:val="28"/>
          <w:highlight w:val="none"/>
        </w:rPr>
        <w:t>。</w:t>
      </w:r>
    </w:p>
    <w:p w14:paraId="0183A3F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64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投标文件资料不完整、投标人对招标文件的实质性要求未做出全面响应、有迹象表明投标人串通投标、中标后无正当理由在规定的时间内不签订合同的、投标人提供的投标文件弄虚作假及其它违反法律、法规规定情形的，视为无效投标。</w:t>
      </w:r>
    </w:p>
    <w:p w14:paraId="2F8A5EC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七、投标书</w:t>
      </w:r>
    </w:p>
    <w:p w14:paraId="629967C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投标人需将投标书上传至重汽e采通系统。</w:t>
      </w:r>
    </w:p>
    <w:p w14:paraId="1D036DF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内容包含：</w:t>
      </w:r>
    </w:p>
    <w:p w14:paraId="0ECDEF81">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8"/>
          <w:szCs w:val="28"/>
          <w:highlight w:val="none"/>
        </w:rPr>
        <w:t>1.资质文件：符合标书第五条的资质文件</w:t>
      </w:r>
      <w:r>
        <w:rPr>
          <w:rFonts w:hint="eastAsia" w:ascii="仿宋_GB2312" w:hAnsi="仿宋_GB2312" w:eastAsia="仿宋_GB2312" w:cs="仿宋_GB2312"/>
          <w:sz w:val="28"/>
          <w:szCs w:val="28"/>
          <w:highlight w:val="none"/>
          <w:lang w:val="en-US" w:eastAsia="zh-CN"/>
        </w:rPr>
        <w:t>;</w:t>
      </w:r>
    </w:p>
    <w:p w14:paraId="49568B5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2.商务部分：报价单；</w:t>
      </w:r>
    </w:p>
    <w:p w14:paraId="43B63B7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3.技术部分：技术方案</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含</w:t>
      </w:r>
      <w:r>
        <w:rPr>
          <w:rFonts w:hint="eastAsia" w:ascii="仿宋_GB2312" w:hAnsi="仿宋_GB2312" w:eastAsia="仿宋_GB2312" w:cs="仿宋_GB2312"/>
          <w:sz w:val="28"/>
          <w:szCs w:val="28"/>
          <w:highlight w:val="none"/>
        </w:rPr>
        <w:t>项目运营执行工程量与材质工艺清单</w:t>
      </w:r>
      <w:r>
        <w:rPr>
          <w:rFonts w:hint="eastAsia" w:ascii="仿宋_GB2312" w:hAnsi="仿宋_GB2312" w:eastAsia="仿宋_GB2312" w:cs="仿宋_GB2312"/>
          <w:sz w:val="28"/>
          <w:szCs w:val="28"/>
          <w:highlight w:val="none"/>
          <w:lang w:val="en-US" w:eastAsia="zh-CN"/>
        </w:rPr>
        <w:t>等</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w:t>
      </w:r>
    </w:p>
    <w:p w14:paraId="678C9F6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八、合同授予</w:t>
      </w:r>
    </w:p>
    <w:p w14:paraId="60E8796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1.招标人根据评审工作小组的评标结果确定中标人，并通知中标人。</w:t>
      </w:r>
    </w:p>
    <w:p w14:paraId="3721AD8E">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7A5363F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3.合同订立后，中标人应当按合同约定责任履约，不得将中标项目转包或分包给他人，否则视为违约，招标人有权解除合同。</w:t>
      </w:r>
    </w:p>
    <w:p w14:paraId="7DBBFC7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4.若中标人在</w:t>
      </w:r>
      <w:r>
        <w:rPr>
          <w:rFonts w:hint="eastAsia" w:ascii="仿宋_GB2312" w:hAnsi="仿宋_GB2312" w:eastAsia="仿宋_GB2312" w:cs="仿宋_GB2312"/>
          <w:sz w:val="28"/>
          <w:szCs w:val="28"/>
          <w:highlight w:val="none"/>
          <w:lang w:eastAsia="zh-CN"/>
        </w:rPr>
        <w:t>履行合同</w:t>
      </w:r>
      <w:r>
        <w:rPr>
          <w:rFonts w:hint="eastAsia" w:ascii="仿宋_GB2312" w:hAnsi="仿宋_GB2312" w:eastAsia="仿宋_GB2312" w:cs="仿宋_GB2312"/>
          <w:sz w:val="28"/>
          <w:szCs w:val="28"/>
          <w:highlight w:val="none"/>
        </w:rPr>
        <w:t>义务能力或信用有严重缺陷，招标人可终止履行本合同，并要求该中标人返还已支付的款项，招标人有权解除合同。</w:t>
      </w:r>
    </w:p>
    <w:p w14:paraId="02B1838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5.双方的权利义务以最终签署的合同为准。</w:t>
      </w:r>
    </w:p>
    <w:p w14:paraId="2F6ACBB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九、废标及终止招标</w:t>
      </w:r>
    </w:p>
    <w:p w14:paraId="67143E34">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1.投标人有下列情形之一的，将被视为废标，招标人将按照有关法律法规行使权力。投标人给招标人造成损失的，招标人有索赔的</w:t>
      </w:r>
      <w:r>
        <w:rPr>
          <w:rFonts w:hint="eastAsia" w:ascii="仿宋_GB2312" w:hAnsi="仿宋_GB2312" w:eastAsia="仿宋_GB2312" w:cs="仿宋_GB2312"/>
          <w:sz w:val="28"/>
          <w:szCs w:val="28"/>
          <w:highlight w:val="none"/>
          <w:lang w:eastAsia="zh-CN"/>
        </w:rPr>
        <w:t>权利</w:t>
      </w:r>
      <w:r>
        <w:rPr>
          <w:rFonts w:hint="eastAsia" w:ascii="仿宋_GB2312" w:hAnsi="仿宋_GB2312" w:eastAsia="仿宋_GB2312" w:cs="仿宋_GB2312"/>
          <w:sz w:val="28"/>
          <w:szCs w:val="28"/>
          <w:highlight w:val="none"/>
        </w:rPr>
        <w:t>，投标人应给予赔偿。</w:t>
      </w:r>
    </w:p>
    <w:p w14:paraId="5BC8673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（1）投标人提供的有关资格、资质证明文件不全、不真实；</w:t>
      </w:r>
    </w:p>
    <w:p w14:paraId="6A37A7D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（2）投标人在报价有效期内撤回投标；</w:t>
      </w:r>
    </w:p>
    <w:p w14:paraId="0F21C63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（3）在评标过程中，投标人有企图影响评标结果公正性的任何项目；</w:t>
      </w:r>
    </w:p>
    <w:p w14:paraId="5D11D08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（4）投标人以任何形式诋毁他人投标；</w:t>
      </w:r>
    </w:p>
    <w:p w14:paraId="22BB641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（5）投标人串通投标；</w:t>
      </w:r>
    </w:p>
    <w:p w14:paraId="47131DE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（6）以他人名义投标或以任何方式骗取中标；</w:t>
      </w:r>
    </w:p>
    <w:p w14:paraId="063B23B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（7）投标人对招标文件做出实质性变更；</w:t>
      </w:r>
    </w:p>
    <w:p w14:paraId="64666F28">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（8）投标人负责人为同一人或者存在控股、管理关系的不同单位；</w:t>
      </w:r>
    </w:p>
    <w:p w14:paraId="269D17D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（9）投标人被举报、检举，并经招标方查实无误的；</w:t>
      </w:r>
    </w:p>
    <w:p w14:paraId="72F6F58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（10）法律、法规规定的其他情况；</w:t>
      </w:r>
    </w:p>
    <w:p w14:paraId="79D17BCA">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（11）</w:t>
      </w:r>
      <w:r>
        <w:rPr>
          <w:rFonts w:hint="eastAsia" w:ascii="仿宋_GB2312" w:hAnsi="仿宋_GB2312" w:eastAsia="仿宋_GB2312" w:cs="仿宋_GB2312"/>
          <w:sz w:val="28"/>
          <w:szCs w:val="28"/>
          <w:highlight w:val="none"/>
          <w:shd w:val="clear"/>
        </w:rPr>
        <w:t>符合条件的投标人或者对招标文件做实质响应的投标人不足</w:t>
      </w:r>
      <w:r>
        <w:rPr>
          <w:rFonts w:hint="eastAsia" w:ascii="仿宋_GB2312" w:hAnsi="仿宋_GB2312" w:eastAsia="仿宋_GB2312" w:cs="仿宋_GB2312"/>
          <w:sz w:val="28"/>
          <w:szCs w:val="28"/>
          <w:highlight w:val="none"/>
          <w:shd w:val="clear"/>
          <w:lang w:val="en-US" w:eastAsia="zh-CN"/>
        </w:rPr>
        <w:t>3</w:t>
      </w:r>
      <w:r>
        <w:rPr>
          <w:rFonts w:hint="eastAsia" w:ascii="仿宋_GB2312" w:hAnsi="仿宋_GB2312" w:eastAsia="仿宋_GB2312" w:cs="仿宋_GB2312"/>
          <w:sz w:val="28"/>
          <w:szCs w:val="28"/>
          <w:highlight w:val="none"/>
          <w:shd w:val="clear"/>
        </w:rPr>
        <w:t>家的；</w:t>
      </w:r>
    </w:p>
    <w:p w14:paraId="6F84385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（12）</w:t>
      </w:r>
      <w:r>
        <w:rPr>
          <w:rFonts w:hint="eastAsia" w:ascii="仿宋_GB2312" w:hAnsi="仿宋_GB2312" w:eastAsia="仿宋_GB2312" w:cs="仿宋_GB2312"/>
          <w:color w:val="000000"/>
          <w:sz w:val="28"/>
          <w:szCs w:val="28"/>
          <w:highlight w:val="none"/>
        </w:rPr>
        <w:t>投标人存在以下情形的，视为同一控制主体：单位负责人为同一人，或存在直接/间接控股、管理关系、实际控制关系（含一致行动、股权代持、协议控制、亲属控制等）；同一控制主体的多家单位，不得同时参与同一标段投标，否则相关投标均无效；</w:t>
      </w:r>
    </w:p>
    <w:p w14:paraId="65F4E74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（13）投标人承诺并同意因招标人公司政策变化引起的随时终止项目的情形，并自行承担由此带来的一切损失。</w:t>
      </w:r>
    </w:p>
    <w:p w14:paraId="520E8691">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2.出现下列情形，招标人有权否决所有投标人的投标，并终止招标。</w:t>
      </w:r>
    </w:p>
    <w:p w14:paraId="2E388CE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（1）出现影响评审公正性的违法、违规行为；</w:t>
      </w:r>
    </w:p>
    <w:p w14:paraId="19E9F2A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（2）评标委员会经评审，认为投标人不符合招标文件要求的；</w:t>
      </w:r>
    </w:p>
    <w:p w14:paraId="6C5128B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（3）因重大变故，本项目取消；</w:t>
      </w:r>
    </w:p>
    <w:p w14:paraId="0831103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（4）招标人认为其他应终止招标的情形。</w:t>
      </w:r>
    </w:p>
    <w:p w14:paraId="7626122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346A1B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sz w:val="28"/>
          <w:szCs w:val="28"/>
          <w:highlight w:val="none"/>
        </w:rPr>
        <w:t>十、解释权</w:t>
      </w:r>
    </w:p>
    <w:p w14:paraId="620C3AC9">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本招标文件的最终解释权归招标人，当对一个问题有多种解释时以招标人的书面解释为准。招标文件未</w:t>
      </w:r>
      <w:r>
        <w:rPr>
          <w:rFonts w:hint="eastAsia" w:ascii="仿宋_GB2312" w:hAnsi="仿宋_GB2312" w:eastAsia="仿宋_GB2312" w:cs="仿宋_GB2312"/>
          <w:sz w:val="28"/>
          <w:szCs w:val="28"/>
          <w:highlight w:val="none"/>
          <w:lang w:eastAsia="zh-CN"/>
        </w:rPr>
        <w:t>作</w:t>
      </w:r>
      <w:r>
        <w:rPr>
          <w:rFonts w:hint="eastAsia" w:ascii="仿宋_GB2312" w:hAnsi="仿宋_GB2312" w:eastAsia="仿宋_GB2312" w:cs="仿宋_GB2312"/>
          <w:sz w:val="28"/>
          <w:szCs w:val="28"/>
          <w:highlight w:val="none"/>
        </w:rPr>
        <w:t>须知明示，而又有相关法律、法规规定的，招标人对此所作解释以相关的法律、法规规定为依据。</w:t>
      </w:r>
    </w:p>
    <w:p w14:paraId="64AF832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firstLine="560"/>
        <w:jc w:val="left"/>
        <w:textAlignment w:val="auto"/>
        <w:rPr>
          <w:rFonts w:hint="eastAsia" w:ascii="仿宋_GB2312" w:hAnsi="仿宋_GB2312" w:eastAsia="仿宋_GB2312" w:cs="仿宋_GB2312"/>
          <w:sz w:val="28"/>
          <w:szCs w:val="28"/>
          <w:highlight w:val="none"/>
        </w:rPr>
      </w:pPr>
    </w:p>
    <w:p w14:paraId="028316F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附件1：授权书</w:t>
      </w:r>
    </w:p>
    <w:p w14:paraId="79D091E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附件2：企业情况、从业经历一览表</w:t>
      </w:r>
    </w:p>
    <w:p w14:paraId="06B45A75">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附件3：开标一览表</w:t>
      </w:r>
    </w:p>
    <w:p w14:paraId="73AAE1D4">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附件4：项目服务业绩表</w:t>
      </w:r>
    </w:p>
    <w:p w14:paraId="4C51BB53">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附件5：技术偏离表</w:t>
      </w:r>
    </w:p>
    <w:p w14:paraId="62140AE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附件6：商务偏离表</w:t>
      </w:r>
    </w:p>
    <w:p w14:paraId="372BAFD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sz w:val="28"/>
          <w:szCs w:val="28"/>
          <w:highlight w:val="none"/>
        </w:rPr>
        <w:t>附件7：项目运营执行工程量与材质工艺清单</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单独附表</w:t>
      </w:r>
      <w:r>
        <w:rPr>
          <w:rFonts w:hint="eastAsia" w:ascii="仿宋_GB2312" w:hAnsi="仿宋_GB2312" w:eastAsia="仿宋_GB2312" w:cs="仿宋_GB2312"/>
          <w:sz w:val="28"/>
          <w:szCs w:val="28"/>
          <w:highlight w:val="none"/>
          <w:lang w:eastAsia="zh-CN"/>
        </w:rPr>
        <w:t>）</w:t>
      </w:r>
    </w:p>
    <w:p w14:paraId="745202D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附件8：报价单</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单独附表</w:t>
      </w:r>
      <w:r>
        <w:rPr>
          <w:rFonts w:hint="eastAsia" w:ascii="仿宋_GB2312" w:hAnsi="仿宋_GB2312" w:eastAsia="仿宋_GB2312" w:cs="仿宋_GB2312"/>
          <w:sz w:val="28"/>
          <w:szCs w:val="28"/>
          <w:highlight w:val="none"/>
          <w:lang w:eastAsia="zh-CN"/>
        </w:rPr>
        <w:t>）</w:t>
      </w:r>
    </w:p>
    <w:p w14:paraId="0B7B6F22">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5040" w:firstLine="0"/>
        <w:jc w:val="center"/>
        <w:textAlignment w:val="auto"/>
        <w:rPr>
          <w:rFonts w:hint="eastAsia" w:ascii="仿宋_GB2312" w:hAnsi="仿宋_GB2312" w:eastAsia="仿宋_GB2312" w:cs="仿宋_GB2312"/>
          <w:sz w:val="28"/>
          <w:szCs w:val="28"/>
          <w:highlight w:val="none"/>
        </w:rPr>
      </w:pPr>
    </w:p>
    <w:p w14:paraId="46BA9C86">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5040" w:firstLine="0"/>
        <w:jc w:val="center"/>
        <w:textAlignment w:val="auto"/>
        <w:rPr>
          <w:rFonts w:hint="eastAsia" w:ascii="仿宋_GB2312" w:hAnsi="仿宋_GB2312" w:eastAsia="仿宋_GB2312" w:cs="仿宋_GB2312"/>
          <w:sz w:val="28"/>
          <w:szCs w:val="28"/>
          <w:highlight w:val="none"/>
        </w:rPr>
      </w:pPr>
    </w:p>
    <w:p w14:paraId="2D63CCF7">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5040" w:firstLine="0"/>
        <w:jc w:val="center"/>
        <w:textAlignment w:val="auto"/>
        <w:rPr>
          <w:rFonts w:hint="eastAsia" w:ascii="仿宋_GB2312" w:hAnsi="仿宋_GB2312" w:eastAsia="仿宋_GB2312" w:cs="仿宋_GB2312"/>
          <w:sz w:val="28"/>
          <w:szCs w:val="28"/>
          <w:highlight w:val="none"/>
        </w:rPr>
      </w:pPr>
    </w:p>
    <w:p w14:paraId="0DCA9A90">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5040" w:firstLine="0"/>
        <w:jc w:val="center"/>
        <w:textAlignment w:val="auto"/>
        <w:rPr>
          <w:rFonts w:hint="eastAsia" w:ascii="仿宋_GB2312" w:hAnsi="仿宋_GB2312" w:eastAsia="仿宋_GB2312" w:cs="仿宋_GB2312"/>
          <w:sz w:val="28"/>
          <w:szCs w:val="28"/>
          <w:highlight w:val="none"/>
        </w:rPr>
      </w:pPr>
    </w:p>
    <w:p w14:paraId="02BD569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5040" w:firstLine="0"/>
        <w:jc w:val="center"/>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中国重汽集团济南动力有限公司</w:t>
      </w:r>
    </w:p>
    <w:p w14:paraId="17BA99E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5040" w:firstLine="0"/>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28"/>
          <w:szCs w:val="28"/>
          <w:highlight w:val="none"/>
        </w:rPr>
        <w:t>2026.11</w:t>
      </w:r>
    </w:p>
    <w:p w14:paraId="3773C3F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156" w:afterAutospacing="0" w:line="360" w:lineRule="auto"/>
        <w:ind w:left="0" w:firstLine="0"/>
        <w:jc w:val="left"/>
        <w:textAlignment w:val="auto"/>
        <w:rPr>
          <w:rFonts w:hint="eastAsia" w:ascii="仿宋_GB2312" w:hAnsi="仿宋_GB2312" w:eastAsia="仿宋_GB2312" w:cs="仿宋_GB2312"/>
          <w:sz w:val="30"/>
          <w:szCs w:val="30"/>
          <w:highlight w:val="none"/>
        </w:rPr>
      </w:pPr>
    </w:p>
    <w:p w14:paraId="118D145D">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156" w:afterAutospacing="0" w:line="360" w:lineRule="auto"/>
        <w:ind w:left="0" w:firstLine="0"/>
        <w:jc w:val="left"/>
        <w:textAlignment w:val="auto"/>
        <w:rPr>
          <w:rFonts w:hint="eastAsia" w:ascii="仿宋_GB2312" w:hAnsi="仿宋_GB2312" w:eastAsia="仿宋_GB2312" w:cs="仿宋_GB2312"/>
          <w:sz w:val="30"/>
          <w:szCs w:val="30"/>
          <w:highlight w:val="none"/>
        </w:rPr>
      </w:pPr>
    </w:p>
    <w:p w14:paraId="4A14A1FB">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156" w:afterAutospacing="0" w:line="360" w:lineRule="auto"/>
        <w:ind w:left="0" w:firstLine="0"/>
        <w:jc w:val="left"/>
        <w:textAlignment w:val="auto"/>
        <w:rPr>
          <w:rFonts w:hint="eastAsia" w:ascii="仿宋_GB2312" w:hAnsi="仿宋_GB2312" w:eastAsia="仿宋_GB2312" w:cs="仿宋_GB2312"/>
          <w:sz w:val="30"/>
          <w:szCs w:val="30"/>
          <w:highlight w:val="none"/>
        </w:rPr>
      </w:pPr>
    </w:p>
    <w:p w14:paraId="6DCD71BF">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156" w:afterAutospacing="0" w:line="360" w:lineRule="auto"/>
        <w:ind w:left="0" w:firstLine="0"/>
        <w:jc w:val="left"/>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sz w:val="30"/>
          <w:szCs w:val="30"/>
          <w:highlight w:val="none"/>
        </w:rPr>
        <w:t>附件1：</w:t>
      </w:r>
    </w:p>
    <w:p w14:paraId="39A45467">
      <w:pPr>
        <w:pStyle w:val="6"/>
        <w:keepNext w:val="0"/>
        <w:keepLines w:val="0"/>
        <w:widowControl/>
        <w:suppressLineNumbers w:val="0"/>
        <w:shd w:val="clear"/>
        <w:spacing w:before="0" w:beforeAutospacing="0" w:after="156" w:afterAutospacing="0" w:line="360" w:lineRule="auto"/>
        <w:ind w:left="0" w:firstLine="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授权书</w:t>
      </w:r>
    </w:p>
    <w:p w14:paraId="4D26B1C6">
      <w:pPr>
        <w:pStyle w:val="6"/>
        <w:keepNext w:val="0"/>
        <w:keepLines w:val="0"/>
        <w:widowControl/>
        <w:suppressLineNumbers w:val="0"/>
        <w:shd w:val="clear"/>
        <w:spacing w:before="0" w:beforeAutospacing="0" w:after="156"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中国重汽集团济南动力有限公司：</w:t>
      </w:r>
    </w:p>
    <w:p w14:paraId="287DEA91">
      <w:pPr>
        <w:pStyle w:val="6"/>
        <w:keepNext w:val="0"/>
        <w:keepLines w:val="0"/>
        <w:widowControl/>
        <w:suppressLineNumbers w:val="0"/>
        <w:shd w:val="clear"/>
        <w:spacing w:before="0" w:beforeAutospacing="0" w:after="156" w:afterAutospacing="0" w:line="360" w:lineRule="auto"/>
        <w:ind w:left="0" w:firstLine="56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本人</w:t>
      </w: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（姓名）系</w:t>
      </w: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（对方单位名称）的法定代表人，现委托</w:t>
      </w: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（姓名）为我方代理人。代理人根据授权，以我方名义签署</w:t>
      </w: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合同、处理招标等相关事宜，其一切法律后果均由我方承担。</w:t>
      </w:r>
    </w:p>
    <w:p w14:paraId="72CD767A">
      <w:pPr>
        <w:pStyle w:val="6"/>
        <w:keepNext w:val="0"/>
        <w:keepLines w:val="0"/>
        <w:widowControl/>
        <w:suppressLineNumbers w:val="0"/>
        <w:shd w:val="clear"/>
        <w:spacing w:before="0" w:beforeAutospacing="0" w:after="156"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委托期限：</w:t>
      </w:r>
      <w:r>
        <w:rPr>
          <w:rFonts w:hint="eastAsia" w:ascii="仿宋_GB2312" w:hAnsi="仿宋_GB2312" w:eastAsia="仿宋_GB2312" w:cs="仿宋_GB2312"/>
          <w:sz w:val="28"/>
          <w:szCs w:val="28"/>
          <w:highlight w:val="none"/>
          <w:u w:val="single"/>
        </w:rPr>
        <w:t>                                                          </w:t>
      </w:r>
    </w:p>
    <w:p w14:paraId="615B44CD">
      <w:pPr>
        <w:pStyle w:val="6"/>
        <w:keepNext w:val="0"/>
        <w:keepLines w:val="0"/>
        <w:widowControl/>
        <w:suppressLineNumbers w:val="0"/>
        <w:shd w:val="clear"/>
        <w:spacing w:before="0" w:beforeAutospacing="0" w:after="156" w:afterAutospacing="0" w:line="360" w:lineRule="auto"/>
        <w:ind w:left="0" w:firstLine="56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代理人无转委托权。</w:t>
      </w:r>
    </w:p>
    <w:p w14:paraId="2DE22D85">
      <w:pPr>
        <w:pStyle w:val="6"/>
        <w:keepNext w:val="0"/>
        <w:keepLines w:val="0"/>
        <w:widowControl/>
        <w:suppressLineNumbers w:val="0"/>
        <w:shd w:val="clear"/>
        <w:spacing w:before="0" w:beforeAutospacing="0" w:after="156" w:afterAutospacing="0" w:line="360" w:lineRule="auto"/>
        <w:ind w:left="0" w:firstLine="56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附：代理人身份证明</w:t>
      </w:r>
    </w:p>
    <w:p w14:paraId="1D2AD585">
      <w:pPr>
        <w:pStyle w:val="6"/>
        <w:keepNext w:val="0"/>
        <w:keepLines w:val="0"/>
        <w:widowControl/>
        <w:suppressLineNumbers w:val="0"/>
        <w:shd w:val="clear"/>
        <w:spacing w:before="0" w:beforeAutospacing="0" w:after="156" w:afterAutospacing="0" w:line="360" w:lineRule="auto"/>
        <w:ind w:left="0" w:firstLine="4760" w:firstLineChars="1700"/>
        <w:jc w:val="left"/>
        <w:rPr>
          <w:rFonts w:hint="eastAsia" w:ascii="仿宋_GB2312" w:hAnsi="仿宋_GB2312" w:eastAsia="仿宋_GB2312" w:cs="仿宋_GB2312"/>
          <w:sz w:val="28"/>
          <w:szCs w:val="28"/>
          <w:highlight w:val="none"/>
        </w:rPr>
      </w:pPr>
    </w:p>
    <w:p w14:paraId="42459EC0">
      <w:pPr>
        <w:pStyle w:val="6"/>
        <w:keepNext w:val="0"/>
        <w:keepLines w:val="0"/>
        <w:widowControl/>
        <w:suppressLineNumbers w:val="0"/>
        <w:shd w:val="clear"/>
        <w:spacing w:before="0" w:beforeAutospacing="0" w:after="156" w:afterAutospacing="0" w:line="360" w:lineRule="auto"/>
        <w:ind w:left="0" w:firstLine="4760" w:firstLineChars="1700"/>
        <w:jc w:val="left"/>
        <w:rPr>
          <w:rFonts w:hint="eastAsia" w:ascii="仿宋_GB2312" w:hAnsi="仿宋_GB2312" w:eastAsia="仿宋_GB2312" w:cs="仿宋_GB2312"/>
          <w:sz w:val="28"/>
          <w:szCs w:val="28"/>
          <w:highlight w:val="none"/>
        </w:rPr>
      </w:pPr>
    </w:p>
    <w:p w14:paraId="42AFAE1C">
      <w:pPr>
        <w:pStyle w:val="6"/>
        <w:keepNext w:val="0"/>
        <w:keepLines w:val="0"/>
        <w:widowControl/>
        <w:suppressLineNumbers w:val="0"/>
        <w:shd w:val="clear"/>
        <w:spacing w:before="0" w:beforeAutospacing="0" w:after="156" w:afterAutospacing="0" w:line="360" w:lineRule="auto"/>
        <w:ind w:left="0" w:firstLine="4760" w:firstLineChars="1700"/>
        <w:jc w:val="left"/>
        <w:rPr>
          <w:rFonts w:hint="eastAsia" w:ascii="仿宋_GB2312" w:hAnsi="仿宋_GB2312" w:eastAsia="仿宋_GB2312" w:cs="仿宋_GB2312"/>
          <w:sz w:val="28"/>
          <w:szCs w:val="28"/>
          <w:highlight w:val="none"/>
        </w:rPr>
      </w:pPr>
    </w:p>
    <w:p w14:paraId="2CF88971">
      <w:pPr>
        <w:pStyle w:val="6"/>
        <w:keepNext w:val="0"/>
        <w:keepLines w:val="0"/>
        <w:widowControl/>
        <w:suppressLineNumbers w:val="0"/>
        <w:shd w:val="clear"/>
        <w:spacing w:before="0" w:beforeAutospacing="0" w:after="156" w:afterAutospacing="0" w:line="360" w:lineRule="auto"/>
        <w:ind w:left="0" w:firstLine="7280" w:firstLineChars="2600"/>
        <w:jc w:val="left"/>
        <w:rPr>
          <w:rFonts w:hint="eastAsia" w:ascii="仿宋_GB2312" w:hAnsi="仿宋_GB2312" w:eastAsia="仿宋_GB2312" w:cs="仿宋_GB2312"/>
          <w:sz w:val="28"/>
          <w:szCs w:val="28"/>
          <w:highlight w:val="none"/>
        </w:rPr>
      </w:pPr>
    </w:p>
    <w:p w14:paraId="7A8E5BF9">
      <w:pPr>
        <w:pStyle w:val="6"/>
        <w:keepNext w:val="0"/>
        <w:keepLines w:val="0"/>
        <w:widowControl/>
        <w:suppressLineNumbers w:val="0"/>
        <w:shd w:val="clear"/>
        <w:spacing w:before="0" w:beforeAutospacing="0" w:after="156" w:afterAutospacing="0" w:line="360" w:lineRule="auto"/>
        <w:ind w:left="0" w:firstLine="7280" w:firstLineChars="2600"/>
        <w:jc w:val="left"/>
        <w:rPr>
          <w:rFonts w:hint="eastAsia" w:ascii="仿宋_GB2312" w:hAnsi="仿宋_GB2312" w:eastAsia="仿宋_GB2312" w:cs="仿宋_GB2312"/>
          <w:sz w:val="28"/>
          <w:szCs w:val="28"/>
          <w:highlight w:val="none"/>
        </w:rPr>
      </w:pPr>
    </w:p>
    <w:p w14:paraId="3992D8F0">
      <w:pPr>
        <w:pStyle w:val="6"/>
        <w:keepNext w:val="0"/>
        <w:keepLines w:val="0"/>
        <w:widowControl/>
        <w:suppressLineNumbers w:val="0"/>
        <w:shd w:val="clear"/>
        <w:spacing w:before="0" w:beforeAutospacing="0" w:after="156" w:afterAutospacing="0" w:line="360" w:lineRule="auto"/>
        <w:ind w:firstLine="6160" w:firstLineChars="220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授权单位：</w:t>
      </w:r>
    </w:p>
    <w:p w14:paraId="194003BF">
      <w:pPr>
        <w:pStyle w:val="6"/>
        <w:keepNext w:val="0"/>
        <w:keepLines w:val="0"/>
        <w:widowControl/>
        <w:suppressLineNumbers w:val="0"/>
        <w:shd w:val="clear"/>
        <w:spacing w:before="0" w:beforeAutospacing="0" w:after="156" w:afterAutospacing="0" w:line="360" w:lineRule="auto"/>
        <w:ind w:firstLine="6160" w:firstLineChars="220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法定代表人：</w:t>
      </w:r>
    </w:p>
    <w:p w14:paraId="0FEB4E27">
      <w:pPr>
        <w:pStyle w:val="6"/>
        <w:keepNext w:val="0"/>
        <w:keepLines w:val="0"/>
        <w:widowControl/>
        <w:suppressLineNumbers w:val="0"/>
        <w:shd w:val="clear"/>
        <w:spacing w:before="0" w:beforeAutospacing="0" w:after="156" w:afterAutospacing="0" w:line="360" w:lineRule="auto"/>
        <w:ind w:firstLine="7840" w:firstLineChars="280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u w:val="single"/>
        </w:rPr>
        <w:t>   </w:t>
      </w:r>
      <w:r>
        <w:rPr>
          <w:rFonts w:hint="eastAsia" w:ascii="仿宋_GB2312" w:hAnsi="仿宋_GB2312" w:eastAsia="仿宋_GB2312" w:cs="仿宋_GB2312"/>
          <w:sz w:val="28"/>
          <w:szCs w:val="28"/>
          <w:highlight w:val="none"/>
        </w:rPr>
        <w:t>日</w:t>
      </w:r>
    </w:p>
    <w:p w14:paraId="4C4C3C55">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8"/>
          <w:szCs w:val="28"/>
          <w:highlight w:val="none"/>
        </w:rPr>
      </w:pPr>
    </w:p>
    <w:p w14:paraId="0030700B">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附件2：</w:t>
      </w:r>
    </w:p>
    <w:p w14:paraId="69A018CF">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b/>
          <w:bCs/>
          <w:sz w:val="32"/>
          <w:szCs w:val="32"/>
          <w:highlight w:val="none"/>
        </w:rPr>
        <w:t>企业情况、从业经历一览表</w:t>
      </w:r>
    </w:p>
    <w:tbl>
      <w:tblPr>
        <w:tblStyle w:val="7"/>
        <w:tblW w:w="9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50"/>
        <w:gridCol w:w="1704"/>
        <w:gridCol w:w="1433"/>
        <w:gridCol w:w="1603"/>
        <w:gridCol w:w="1534"/>
        <w:gridCol w:w="2016"/>
      </w:tblGrid>
      <w:tr w14:paraId="1C9E0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9" w:hRule="atLeast"/>
        </w:trPr>
        <w:tc>
          <w:tcPr>
            <w:tcW w:w="9940" w:type="dxa"/>
            <w:gridSpan w:val="6"/>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662DCCAB">
            <w:pPr>
              <w:pStyle w:val="6"/>
              <w:keepNext w:val="0"/>
              <w:keepLines w:val="0"/>
              <w:widowControl/>
              <w:suppressLineNumbers w:val="0"/>
              <w:shd w:val="clear"/>
              <w:spacing w:before="0" w:beforeAutospacing="0" w:after="0" w:afterAutospacing="0" w:line="360" w:lineRule="auto"/>
              <w:ind w:left="0" w:firstLine="56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企业情况</w:t>
            </w:r>
          </w:p>
        </w:tc>
      </w:tr>
      <w:tr w14:paraId="67E2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09"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3668F6E7">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公司名称</w:t>
            </w:r>
          </w:p>
        </w:tc>
        <w:tc>
          <w:tcPr>
            <w:tcW w:w="1704"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50794F8">
            <w:pPr>
              <w:shd w:val="clear"/>
              <w:spacing w:line="360" w:lineRule="auto"/>
              <w:jc w:val="center"/>
              <w:rPr>
                <w:rFonts w:hint="eastAsia" w:ascii="仿宋_GB2312" w:hAnsi="仿宋_GB2312" w:eastAsia="仿宋_GB2312" w:cs="仿宋_GB2312"/>
                <w:sz w:val="24"/>
                <w:szCs w:val="24"/>
                <w:highlight w:val="none"/>
              </w:rPr>
            </w:pPr>
          </w:p>
        </w:tc>
        <w:tc>
          <w:tcPr>
            <w:tcW w:w="143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ADA4F3E">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成立时间</w:t>
            </w:r>
          </w:p>
        </w:tc>
        <w:tc>
          <w:tcPr>
            <w:tcW w:w="16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E53767C">
            <w:pPr>
              <w:shd w:val="clear"/>
              <w:spacing w:line="360" w:lineRule="auto"/>
              <w:jc w:val="center"/>
              <w:rPr>
                <w:rFonts w:hint="eastAsia" w:ascii="仿宋_GB2312" w:hAnsi="仿宋_GB2312" w:eastAsia="仿宋_GB2312" w:cs="仿宋_GB2312"/>
                <w:sz w:val="24"/>
                <w:szCs w:val="24"/>
                <w:highlight w:val="none"/>
              </w:rPr>
            </w:pPr>
          </w:p>
        </w:tc>
        <w:tc>
          <w:tcPr>
            <w:tcW w:w="1534"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D78D604">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注册资本</w:t>
            </w:r>
          </w:p>
        </w:tc>
        <w:tc>
          <w:tcPr>
            <w:tcW w:w="2016"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9382110">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万元</w:t>
            </w:r>
          </w:p>
        </w:tc>
      </w:tr>
      <w:tr w14:paraId="30B8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75"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0322C48E">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公司在册</w:t>
            </w:r>
          </w:p>
          <w:p w14:paraId="3233A4D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员工人数</w:t>
            </w:r>
          </w:p>
        </w:tc>
        <w:tc>
          <w:tcPr>
            <w:tcW w:w="3137" w:type="dxa"/>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BD12C9D">
            <w:pPr>
              <w:pStyle w:val="6"/>
              <w:keepNext w:val="0"/>
              <w:keepLines w:val="0"/>
              <w:widowControl/>
              <w:suppressLineNumbers w:val="0"/>
              <w:shd w:val="clear"/>
              <w:spacing w:before="0" w:beforeAutospacing="0" w:after="0" w:afterAutospacing="0" w:line="360" w:lineRule="auto"/>
              <w:ind w:left="0" w:firstLine="196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人</w:t>
            </w:r>
          </w:p>
        </w:tc>
        <w:tc>
          <w:tcPr>
            <w:tcW w:w="3137" w:type="dxa"/>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8F1D19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团队配备</w:t>
            </w:r>
          </w:p>
          <w:p w14:paraId="50C93A1F">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员工人数</w:t>
            </w:r>
          </w:p>
        </w:tc>
        <w:tc>
          <w:tcPr>
            <w:tcW w:w="2016"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B313FBA">
            <w:pPr>
              <w:pStyle w:val="6"/>
              <w:keepNext w:val="0"/>
              <w:keepLines w:val="0"/>
              <w:widowControl/>
              <w:suppressLineNumbers w:val="0"/>
              <w:shd w:val="clear"/>
              <w:spacing w:before="0" w:beforeAutospacing="0" w:after="0" w:afterAutospacing="0" w:line="360" w:lineRule="auto"/>
              <w:ind w:left="0" w:firstLine="112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人</w:t>
            </w:r>
          </w:p>
        </w:tc>
      </w:tr>
      <w:tr w14:paraId="246C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25"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0BE0E1A0">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公司现有主要业务</w:t>
            </w:r>
          </w:p>
        </w:tc>
        <w:tc>
          <w:tcPr>
            <w:tcW w:w="8290" w:type="dxa"/>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8739E9B">
            <w:pPr>
              <w:shd w:val="clear"/>
              <w:spacing w:line="360" w:lineRule="auto"/>
              <w:rPr>
                <w:rFonts w:hint="eastAsia" w:ascii="仿宋_GB2312" w:hAnsi="仿宋_GB2312" w:eastAsia="仿宋_GB2312" w:cs="仿宋_GB2312"/>
                <w:sz w:val="24"/>
                <w:szCs w:val="24"/>
                <w:highlight w:val="none"/>
              </w:rPr>
            </w:pPr>
          </w:p>
        </w:tc>
      </w:tr>
      <w:tr w14:paraId="3DFF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73"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2840C05D">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企业简介</w:t>
            </w:r>
          </w:p>
        </w:tc>
        <w:tc>
          <w:tcPr>
            <w:tcW w:w="8290" w:type="dxa"/>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20FAA19">
            <w:pPr>
              <w:shd w:val="clear"/>
              <w:spacing w:line="360" w:lineRule="auto"/>
              <w:rPr>
                <w:rFonts w:hint="eastAsia" w:ascii="仿宋_GB2312" w:hAnsi="仿宋_GB2312" w:eastAsia="仿宋_GB2312" w:cs="仿宋_GB2312"/>
                <w:sz w:val="24"/>
                <w:szCs w:val="24"/>
                <w:highlight w:val="none"/>
              </w:rPr>
            </w:pPr>
          </w:p>
        </w:tc>
      </w:tr>
    </w:tbl>
    <w:p w14:paraId="446C70FA">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投标人名称（盖章）：</w:t>
      </w:r>
    </w:p>
    <w:p w14:paraId="3852A627">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法定代表人或授权代表签字：</w:t>
      </w:r>
    </w:p>
    <w:p w14:paraId="61DBA263">
      <w:pPr>
        <w:pStyle w:val="6"/>
        <w:keepNext w:val="0"/>
        <w:keepLines w:val="0"/>
        <w:widowControl/>
        <w:suppressLineNumbers w:val="0"/>
        <w:shd w:val="clear"/>
        <w:spacing w:before="0" w:beforeAutospacing="0" w:after="0" w:afterAutospacing="0" w:line="240" w:lineRule="auto"/>
        <w:ind w:left="0" w:firstLine="0"/>
        <w:jc w:val="both"/>
        <w:rPr>
          <w:rFonts w:hint="eastAsia" w:ascii="仿宋_GB2312" w:hAnsi="仿宋_GB2312" w:eastAsia="仿宋_GB2312" w:cs="仿宋_GB2312"/>
          <w:b/>
          <w:bCs/>
          <w:color w:val="0F1115"/>
          <w:sz w:val="28"/>
          <w:szCs w:val="28"/>
          <w:highlight w:val="none"/>
        </w:rPr>
      </w:pPr>
    </w:p>
    <w:p w14:paraId="49E4FB0D">
      <w:pPr>
        <w:pStyle w:val="6"/>
        <w:keepNext w:val="0"/>
        <w:keepLines w:val="0"/>
        <w:widowControl/>
        <w:suppressLineNumbers w:val="0"/>
        <w:shd w:val="clear"/>
        <w:spacing w:before="0" w:beforeAutospacing="0" w:after="0" w:afterAutospacing="0" w:line="240" w:lineRule="auto"/>
        <w:ind w:left="0" w:firstLine="0"/>
        <w:jc w:val="both"/>
        <w:rPr>
          <w:rFonts w:hint="eastAsia" w:ascii="仿宋_GB2312" w:hAnsi="仿宋_GB2312" w:eastAsia="仿宋_GB2312" w:cs="仿宋_GB2312"/>
          <w:highlight w:val="none"/>
        </w:rPr>
      </w:pPr>
      <w:r>
        <w:rPr>
          <w:rFonts w:hint="eastAsia" w:ascii="仿宋_GB2312" w:hAnsi="仿宋_GB2312" w:eastAsia="仿宋_GB2312" w:cs="仿宋_GB2312"/>
          <w:b/>
          <w:bCs/>
          <w:color w:val="0F1115"/>
          <w:sz w:val="28"/>
          <w:szCs w:val="28"/>
          <w:highlight w:val="none"/>
        </w:rPr>
        <w:t>注：</w:t>
      </w:r>
      <w:r>
        <w:rPr>
          <w:rFonts w:hint="eastAsia" w:ascii="仿宋_GB2312" w:hAnsi="仿宋_GB2312" w:eastAsia="仿宋_GB2312" w:cs="仿宋_GB2312"/>
          <w:color w:val="0F1115"/>
          <w:sz w:val="28"/>
          <w:szCs w:val="28"/>
          <w:highlight w:val="none"/>
        </w:rPr>
        <w:t xml:space="preserve"> 投标人须实际配置满足本招标项目需求的所有资源。除上述表格所列内容外，投标人可结合实际需要，酌情增加相关设备、人员及其他条目（包含但不限于），以便更好地满足项目开展之需要。</w:t>
      </w:r>
    </w:p>
    <w:p w14:paraId="71C86F2D">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附件3</w:t>
      </w:r>
      <w:r>
        <w:rPr>
          <w:rFonts w:hint="eastAsia" w:ascii="仿宋_GB2312" w:hAnsi="仿宋_GB2312" w:eastAsia="仿宋_GB2312" w:cs="仿宋_GB2312"/>
          <w:sz w:val="30"/>
          <w:szCs w:val="30"/>
          <w:highlight w:val="none"/>
          <w:lang w:eastAsia="zh-CN"/>
        </w:rPr>
        <w:t>：</w:t>
      </w:r>
    </w:p>
    <w:p w14:paraId="01249D4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开标一览表</w:t>
      </w:r>
    </w:p>
    <w:tbl>
      <w:tblPr>
        <w:tblStyle w:val="7"/>
        <w:tblW w:w="102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95"/>
        <w:gridCol w:w="1781"/>
        <w:gridCol w:w="2045"/>
        <w:gridCol w:w="1772"/>
        <w:gridCol w:w="1893"/>
        <w:gridCol w:w="1332"/>
      </w:tblGrid>
      <w:tr w14:paraId="06E33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07" w:hRule="atLeast"/>
        </w:trPr>
        <w:tc>
          <w:tcPr>
            <w:tcW w:w="1395"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E163AEF">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序号</w:t>
            </w:r>
          </w:p>
        </w:tc>
        <w:tc>
          <w:tcPr>
            <w:tcW w:w="1778"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50A6E9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名称</w:t>
            </w:r>
          </w:p>
        </w:tc>
        <w:tc>
          <w:tcPr>
            <w:tcW w:w="2042"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5606EF8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未税价（元）</w:t>
            </w:r>
          </w:p>
        </w:tc>
        <w:tc>
          <w:tcPr>
            <w:tcW w:w="1769"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E4CE0D1">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税率（%）</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62581A2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z w:val="28"/>
                <w:szCs w:val="28"/>
                <w:highlight w:val="none"/>
              </w:rPr>
              <w:t>含税价（元）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396BDCD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000000"/>
                <w:sz w:val="28"/>
                <w:szCs w:val="28"/>
                <w:highlight w:val="none"/>
                <w:lang w:val="en-US" w:eastAsia="zh-CN"/>
              </w:rPr>
              <w:t>交场日期</w:t>
            </w:r>
          </w:p>
        </w:tc>
      </w:tr>
      <w:tr w14:paraId="1B4D9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86" w:hRule="atLeast"/>
        </w:trPr>
        <w:tc>
          <w:tcPr>
            <w:tcW w:w="1395"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5D62FF45">
            <w:pPr>
              <w:shd w:val="clear"/>
              <w:spacing w:line="360" w:lineRule="auto"/>
              <w:rPr>
                <w:rFonts w:hint="eastAsia" w:ascii="仿宋_GB2312" w:hAnsi="仿宋_GB2312" w:eastAsia="仿宋_GB2312" w:cs="仿宋_GB2312"/>
                <w:sz w:val="24"/>
                <w:szCs w:val="24"/>
                <w:highlight w:val="none"/>
              </w:rPr>
            </w:pPr>
          </w:p>
        </w:tc>
        <w:tc>
          <w:tcPr>
            <w:tcW w:w="1778"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5AAD28F1">
            <w:pPr>
              <w:shd w:val="clear"/>
              <w:spacing w:line="360" w:lineRule="auto"/>
              <w:rPr>
                <w:rFonts w:hint="eastAsia" w:ascii="仿宋_GB2312" w:hAnsi="仿宋_GB2312" w:eastAsia="仿宋_GB2312" w:cs="仿宋_GB2312"/>
                <w:sz w:val="24"/>
                <w:szCs w:val="24"/>
                <w:highlight w:val="none"/>
              </w:rPr>
            </w:pPr>
          </w:p>
        </w:tc>
        <w:tc>
          <w:tcPr>
            <w:tcW w:w="2042"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top"/>
          </w:tcPr>
          <w:p w14:paraId="31C21C94">
            <w:pPr>
              <w:shd w:val="clear"/>
              <w:spacing w:line="360" w:lineRule="auto"/>
              <w:rPr>
                <w:rFonts w:hint="eastAsia" w:ascii="仿宋_GB2312" w:hAnsi="仿宋_GB2312" w:eastAsia="仿宋_GB2312" w:cs="仿宋_GB2312"/>
                <w:sz w:val="24"/>
                <w:szCs w:val="24"/>
                <w:highlight w:val="none"/>
              </w:rPr>
            </w:pPr>
          </w:p>
        </w:tc>
        <w:tc>
          <w:tcPr>
            <w:tcW w:w="1769"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top"/>
          </w:tcPr>
          <w:p w14:paraId="0DD0FCBE">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5F1524EB">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219E37F2">
            <w:pPr>
              <w:shd w:val="clear"/>
              <w:spacing w:line="360" w:lineRule="auto"/>
              <w:rPr>
                <w:rFonts w:hint="eastAsia" w:ascii="仿宋_GB2312" w:hAnsi="仿宋_GB2312" w:eastAsia="仿宋_GB2312" w:cs="仿宋_GB2312"/>
                <w:sz w:val="24"/>
                <w:szCs w:val="24"/>
                <w:highlight w:val="none"/>
              </w:rPr>
            </w:pPr>
          </w:p>
        </w:tc>
      </w:tr>
      <w:tr w14:paraId="6A0C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94" w:hRule="atLeast"/>
        </w:trPr>
        <w:tc>
          <w:tcPr>
            <w:tcW w:w="1395"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40A7AC0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其他增值服务</w:t>
            </w:r>
          </w:p>
        </w:tc>
        <w:tc>
          <w:tcPr>
            <w:tcW w:w="8823" w:type="dxa"/>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top"/>
          </w:tcPr>
          <w:p w14:paraId="3F11EA83">
            <w:pPr>
              <w:shd w:val="clear"/>
              <w:spacing w:line="360" w:lineRule="auto"/>
              <w:rPr>
                <w:rFonts w:hint="eastAsia" w:ascii="仿宋_GB2312" w:hAnsi="仿宋_GB2312" w:eastAsia="仿宋_GB2312" w:cs="仿宋_GB2312"/>
                <w:sz w:val="24"/>
                <w:szCs w:val="24"/>
                <w:highlight w:val="none"/>
              </w:rPr>
            </w:pPr>
          </w:p>
        </w:tc>
      </w:tr>
    </w:tbl>
    <w:p w14:paraId="368DFE73">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注：本表用于</w:t>
      </w:r>
      <w:r>
        <w:rPr>
          <w:rFonts w:hint="eastAsia" w:ascii="仿宋_GB2312" w:hAnsi="仿宋_GB2312" w:eastAsia="仿宋_GB2312" w:cs="仿宋_GB2312"/>
          <w:sz w:val="28"/>
          <w:szCs w:val="28"/>
          <w:highlight w:val="none"/>
          <w:lang w:val="en-US" w:eastAsia="zh-CN"/>
        </w:rPr>
        <w:t>商务标</w:t>
      </w:r>
      <w:r>
        <w:rPr>
          <w:rFonts w:hint="eastAsia" w:ascii="仿宋_GB2312" w:hAnsi="仿宋_GB2312" w:eastAsia="仿宋_GB2312" w:cs="仿宋_GB2312"/>
          <w:sz w:val="28"/>
          <w:szCs w:val="28"/>
          <w:highlight w:val="none"/>
        </w:rPr>
        <w:t>开标宣读使用</w:t>
      </w:r>
    </w:p>
    <w:p w14:paraId="39F7D09B">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8"/>
          <w:szCs w:val="28"/>
          <w:highlight w:val="none"/>
        </w:rPr>
      </w:pPr>
    </w:p>
    <w:p w14:paraId="04113F56">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8"/>
          <w:szCs w:val="28"/>
          <w:highlight w:val="none"/>
        </w:rPr>
      </w:pPr>
    </w:p>
    <w:p w14:paraId="6546A858">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28"/>
          <w:szCs w:val="28"/>
          <w:highlight w:val="none"/>
        </w:rPr>
      </w:pPr>
    </w:p>
    <w:p w14:paraId="2BE2DB29">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附件4</w:t>
      </w:r>
      <w:r>
        <w:rPr>
          <w:rFonts w:hint="eastAsia" w:ascii="仿宋_GB2312" w:hAnsi="仿宋_GB2312" w:eastAsia="仿宋_GB2312" w:cs="仿宋_GB2312"/>
          <w:sz w:val="30"/>
          <w:szCs w:val="30"/>
          <w:highlight w:val="none"/>
          <w:lang w:eastAsia="zh-CN"/>
        </w:rPr>
        <w:t>：</w:t>
      </w:r>
    </w:p>
    <w:p w14:paraId="035E1BDD">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项目服务业绩表</w:t>
      </w:r>
    </w:p>
    <w:tbl>
      <w:tblPr>
        <w:tblStyle w:val="7"/>
        <w:tblW w:w="100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20"/>
        <w:gridCol w:w="1589"/>
        <w:gridCol w:w="920"/>
        <w:gridCol w:w="920"/>
        <w:gridCol w:w="920"/>
        <w:gridCol w:w="920"/>
        <w:gridCol w:w="1589"/>
        <w:gridCol w:w="2258"/>
      </w:tblGrid>
      <w:tr w14:paraId="5F9AC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96" w:hRule="atLeast"/>
        </w:trPr>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916CFDF">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序号</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B6A7B65">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项目名称</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31AF74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国家</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7C8C631">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地点</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479FDF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客户</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6B66032">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合同</w:t>
            </w:r>
          </w:p>
          <w:p w14:paraId="77DCA2A7">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金额</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B144CD2">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项目范围</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06C11DE">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证明材料页码</w:t>
            </w:r>
          </w:p>
        </w:tc>
      </w:tr>
      <w:tr w14:paraId="35F48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93"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8FDCAC2">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w:t>
            </w: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8118856">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72C834F">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9A2398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162D915">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E8FA20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9052116">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696AE7D">
            <w:pPr>
              <w:shd w:val="clear"/>
              <w:spacing w:line="360" w:lineRule="auto"/>
              <w:rPr>
                <w:rFonts w:hint="eastAsia" w:ascii="仿宋_GB2312" w:hAnsi="仿宋_GB2312" w:eastAsia="仿宋_GB2312" w:cs="仿宋_GB2312"/>
                <w:sz w:val="24"/>
                <w:szCs w:val="24"/>
                <w:highlight w:val="none"/>
              </w:rPr>
            </w:pPr>
          </w:p>
        </w:tc>
      </w:tr>
      <w:tr w14:paraId="7B989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93"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0D0B1AD">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w:t>
            </w: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422FA9D">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A0C8119">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9A79717">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AD41B6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2CB62F3">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A271D41">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6B91C33">
            <w:pPr>
              <w:shd w:val="clear"/>
              <w:spacing w:line="360" w:lineRule="auto"/>
              <w:rPr>
                <w:rFonts w:hint="eastAsia" w:ascii="仿宋_GB2312" w:hAnsi="仿宋_GB2312" w:eastAsia="仿宋_GB2312" w:cs="仿宋_GB2312"/>
                <w:sz w:val="24"/>
                <w:szCs w:val="24"/>
                <w:highlight w:val="none"/>
              </w:rPr>
            </w:pPr>
          </w:p>
        </w:tc>
      </w:tr>
      <w:tr w14:paraId="74E1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28"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4FCC81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w:t>
            </w: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A12C603">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A01F99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94CCAC0">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2FAF951">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6B979D0">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ED99661">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12B4002">
            <w:pPr>
              <w:shd w:val="clear"/>
              <w:spacing w:line="360" w:lineRule="auto"/>
              <w:rPr>
                <w:rFonts w:hint="eastAsia" w:ascii="仿宋_GB2312" w:hAnsi="仿宋_GB2312" w:eastAsia="仿宋_GB2312" w:cs="仿宋_GB2312"/>
                <w:sz w:val="24"/>
                <w:szCs w:val="24"/>
                <w:highlight w:val="none"/>
              </w:rPr>
            </w:pPr>
          </w:p>
        </w:tc>
      </w:tr>
      <w:tr w14:paraId="52DC9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97"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312633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CD3CB11">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94E5EA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98B2A8E">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4808DC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88F080E">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3A14A39">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0CC53C1">
            <w:pPr>
              <w:shd w:val="clear"/>
              <w:spacing w:line="360" w:lineRule="auto"/>
              <w:rPr>
                <w:rFonts w:hint="eastAsia" w:ascii="仿宋_GB2312" w:hAnsi="仿宋_GB2312" w:eastAsia="仿宋_GB2312" w:cs="仿宋_GB2312"/>
                <w:sz w:val="24"/>
                <w:szCs w:val="24"/>
                <w:highlight w:val="none"/>
              </w:rPr>
            </w:pPr>
          </w:p>
        </w:tc>
      </w:tr>
      <w:tr w14:paraId="4F300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97"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FE742F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C49644C">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34A86CC">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917A096">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FB181BA">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898EF07">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4AF703E">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0A2EF75">
            <w:pPr>
              <w:shd w:val="clear"/>
              <w:spacing w:line="360" w:lineRule="auto"/>
              <w:rPr>
                <w:rFonts w:hint="eastAsia" w:ascii="仿宋_GB2312" w:hAnsi="仿宋_GB2312" w:eastAsia="仿宋_GB2312" w:cs="仿宋_GB2312"/>
                <w:sz w:val="24"/>
                <w:szCs w:val="24"/>
                <w:highlight w:val="none"/>
              </w:rPr>
            </w:pPr>
          </w:p>
        </w:tc>
      </w:tr>
      <w:tr w14:paraId="62880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34"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71B186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w:t>
            </w: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9916D0B">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006C556">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FA7B9AF">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A1068DE">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4CA0743">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16241FC">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CC5EC4C">
            <w:pPr>
              <w:shd w:val="clear"/>
              <w:spacing w:line="360" w:lineRule="auto"/>
              <w:rPr>
                <w:rFonts w:hint="eastAsia" w:ascii="仿宋_GB2312" w:hAnsi="仿宋_GB2312" w:eastAsia="仿宋_GB2312" w:cs="仿宋_GB2312"/>
                <w:sz w:val="24"/>
                <w:szCs w:val="24"/>
                <w:highlight w:val="none"/>
              </w:rPr>
            </w:pPr>
          </w:p>
        </w:tc>
      </w:tr>
    </w:tbl>
    <w:p w14:paraId="1C833B3F">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附件5</w:t>
      </w:r>
      <w:r>
        <w:rPr>
          <w:rFonts w:hint="eastAsia" w:ascii="仿宋_GB2312" w:hAnsi="仿宋_GB2312" w:eastAsia="仿宋_GB2312" w:cs="仿宋_GB2312"/>
          <w:sz w:val="30"/>
          <w:szCs w:val="30"/>
          <w:highlight w:val="none"/>
          <w:lang w:eastAsia="zh-CN"/>
        </w:rPr>
        <w:t>：</w:t>
      </w:r>
    </w:p>
    <w:p w14:paraId="0EFE9EFF">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技术偏离表</w:t>
      </w:r>
    </w:p>
    <w:tbl>
      <w:tblPr>
        <w:tblStyle w:val="7"/>
        <w:tblW w:w="98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70"/>
        <w:gridCol w:w="1528"/>
        <w:gridCol w:w="850"/>
        <w:gridCol w:w="917"/>
        <w:gridCol w:w="3150"/>
        <w:gridCol w:w="1500"/>
        <w:gridCol w:w="1116"/>
      </w:tblGrid>
      <w:tr w14:paraId="511A2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15" w:hRule="atLeast"/>
        </w:trPr>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559538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序号</w:t>
            </w:r>
          </w:p>
        </w:tc>
        <w:tc>
          <w:tcPr>
            <w:tcW w:w="1528"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85566B5">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招标文件</w:t>
            </w:r>
          </w:p>
          <w:p w14:paraId="1918357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条款号</w:t>
            </w:r>
          </w:p>
        </w:tc>
        <w:tc>
          <w:tcPr>
            <w:tcW w:w="850"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ADC5642">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招标</w:t>
            </w:r>
          </w:p>
          <w:p w14:paraId="1719E074">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要求</w:t>
            </w:r>
          </w:p>
        </w:tc>
        <w:tc>
          <w:tcPr>
            <w:tcW w:w="917"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447134D">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投标响应</w:t>
            </w:r>
          </w:p>
        </w:tc>
        <w:tc>
          <w:tcPr>
            <w:tcW w:w="3150"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E44018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偏离类型（正/无/轻微负/一般负/重大负）</w:t>
            </w:r>
          </w:p>
        </w:tc>
        <w:tc>
          <w:tcPr>
            <w:tcW w:w="1500"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627A8E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偏离原因及影响</w:t>
            </w:r>
          </w:p>
        </w:tc>
        <w:tc>
          <w:tcPr>
            <w:tcW w:w="1116"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2323E77">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补救措施</w:t>
            </w:r>
          </w:p>
        </w:tc>
      </w:tr>
      <w:tr w14:paraId="03CC1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97"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E3DE19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w:t>
            </w:r>
          </w:p>
        </w:tc>
        <w:tc>
          <w:tcPr>
            <w:tcW w:w="1528"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913AC08">
            <w:pPr>
              <w:shd w:val="clear"/>
              <w:spacing w:line="360" w:lineRule="auto"/>
              <w:rPr>
                <w:rFonts w:hint="eastAsia" w:ascii="仿宋_GB2312" w:hAnsi="仿宋_GB2312" w:eastAsia="仿宋_GB2312" w:cs="仿宋_GB2312"/>
                <w:sz w:val="24"/>
                <w:szCs w:val="24"/>
                <w:highlight w:val="none"/>
              </w:rPr>
            </w:pPr>
          </w:p>
        </w:tc>
        <w:tc>
          <w:tcPr>
            <w:tcW w:w="8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0127EBB">
            <w:pPr>
              <w:shd w:val="clear"/>
              <w:spacing w:line="360" w:lineRule="auto"/>
              <w:rPr>
                <w:rFonts w:hint="eastAsia" w:ascii="仿宋_GB2312" w:hAnsi="仿宋_GB2312" w:eastAsia="仿宋_GB2312" w:cs="仿宋_GB2312"/>
                <w:sz w:val="24"/>
                <w:szCs w:val="24"/>
                <w:highlight w:val="none"/>
              </w:rPr>
            </w:pPr>
          </w:p>
        </w:tc>
        <w:tc>
          <w:tcPr>
            <w:tcW w:w="91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D5C4C19">
            <w:pPr>
              <w:shd w:val="clear"/>
              <w:spacing w:line="360" w:lineRule="auto"/>
              <w:rPr>
                <w:rFonts w:hint="eastAsia" w:ascii="仿宋_GB2312" w:hAnsi="仿宋_GB2312" w:eastAsia="仿宋_GB2312" w:cs="仿宋_GB2312"/>
                <w:sz w:val="24"/>
                <w:szCs w:val="24"/>
                <w:highlight w:val="none"/>
              </w:rPr>
            </w:pPr>
          </w:p>
        </w:tc>
        <w:tc>
          <w:tcPr>
            <w:tcW w:w="31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6A1641C">
            <w:pPr>
              <w:shd w:val="clear"/>
              <w:spacing w:line="360" w:lineRule="auto"/>
              <w:rPr>
                <w:rFonts w:hint="eastAsia" w:ascii="仿宋_GB2312" w:hAnsi="仿宋_GB2312" w:eastAsia="仿宋_GB2312" w:cs="仿宋_GB2312"/>
                <w:sz w:val="24"/>
                <w:szCs w:val="24"/>
                <w:highlight w:val="none"/>
              </w:rPr>
            </w:pPr>
          </w:p>
        </w:tc>
        <w:tc>
          <w:tcPr>
            <w:tcW w:w="150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5FAC320">
            <w:pPr>
              <w:shd w:val="clear"/>
              <w:spacing w:line="360" w:lineRule="auto"/>
              <w:rPr>
                <w:rFonts w:hint="eastAsia" w:ascii="仿宋_GB2312" w:hAnsi="仿宋_GB2312" w:eastAsia="仿宋_GB2312" w:cs="仿宋_GB2312"/>
                <w:sz w:val="24"/>
                <w:szCs w:val="24"/>
                <w:highlight w:val="none"/>
              </w:rPr>
            </w:pPr>
          </w:p>
        </w:tc>
        <w:tc>
          <w:tcPr>
            <w:tcW w:w="111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39C6DF1">
            <w:pPr>
              <w:shd w:val="clear"/>
              <w:spacing w:line="360" w:lineRule="auto"/>
              <w:rPr>
                <w:rFonts w:hint="eastAsia" w:ascii="仿宋_GB2312" w:hAnsi="仿宋_GB2312" w:eastAsia="仿宋_GB2312" w:cs="仿宋_GB2312"/>
                <w:sz w:val="24"/>
                <w:szCs w:val="24"/>
                <w:highlight w:val="none"/>
              </w:rPr>
            </w:pPr>
          </w:p>
        </w:tc>
      </w:tr>
      <w:tr w14:paraId="65BE3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97"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D00E0F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w:t>
            </w:r>
          </w:p>
        </w:tc>
        <w:tc>
          <w:tcPr>
            <w:tcW w:w="1528"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3D969C1">
            <w:pPr>
              <w:shd w:val="clear"/>
              <w:spacing w:line="360" w:lineRule="auto"/>
              <w:rPr>
                <w:rFonts w:hint="eastAsia" w:ascii="仿宋_GB2312" w:hAnsi="仿宋_GB2312" w:eastAsia="仿宋_GB2312" w:cs="仿宋_GB2312"/>
                <w:sz w:val="24"/>
                <w:szCs w:val="24"/>
                <w:highlight w:val="none"/>
              </w:rPr>
            </w:pPr>
          </w:p>
        </w:tc>
        <w:tc>
          <w:tcPr>
            <w:tcW w:w="8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A1522F1">
            <w:pPr>
              <w:shd w:val="clear"/>
              <w:spacing w:line="360" w:lineRule="auto"/>
              <w:rPr>
                <w:rFonts w:hint="eastAsia" w:ascii="仿宋_GB2312" w:hAnsi="仿宋_GB2312" w:eastAsia="仿宋_GB2312" w:cs="仿宋_GB2312"/>
                <w:sz w:val="24"/>
                <w:szCs w:val="24"/>
                <w:highlight w:val="none"/>
              </w:rPr>
            </w:pPr>
          </w:p>
        </w:tc>
        <w:tc>
          <w:tcPr>
            <w:tcW w:w="91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BCF3CBA">
            <w:pPr>
              <w:shd w:val="clear"/>
              <w:spacing w:line="360" w:lineRule="auto"/>
              <w:rPr>
                <w:rFonts w:hint="eastAsia" w:ascii="仿宋_GB2312" w:hAnsi="仿宋_GB2312" w:eastAsia="仿宋_GB2312" w:cs="仿宋_GB2312"/>
                <w:sz w:val="24"/>
                <w:szCs w:val="24"/>
                <w:highlight w:val="none"/>
              </w:rPr>
            </w:pPr>
          </w:p>
        </w:tc>
        <w:tc>
          <w:tcPr>
            <w:tcW w:w="31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CA84CDA">
            <w:pPr>
              <w:shd w:val="clear"/>
              <w:spacing w:line="360" w:lineRule="auto"/>
              <w:rPr>
                <w:rFonts w:hint="eastAsia" w:ascii="仿宋_GB2312" w:hAnsi="仿宋_GB2312" w:eastAsia="仿宋_GB2312" w:cs="仿宋_GB2312"/>
                <w:sz w:val="24"/>
                <w:szCs w:val="24"/>
                <w:highlight w:val="none"/>
              </w:rPr>
            </w:pPr>
          </w:p>
        </w:tc>
        <w:tc>
          <w:tcPr>
            <w:tcW w:w="150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C39764E">
            <w:pPr>
              <w:shd w:val="clear"/>
              <w:spacing w:line="360" w:lineRule="auto"/>
              <w:rPr>
                <w:rFonts w:hint="eastAsia" w:ascii="仿宋_GB2312" w:hAnsi="仿宋_GB2312" w:eastAsia="仿宋_GB2312" w:cs="仿宋_GB2312"/>
                <w:sz w:val="24"/>
                <w:szCs w:val="24"/>
                <w:highlight w:val="none"/>
              </w:rPr>
            </w:pPr>
          </w:p>
        </w:tc>
        <w:tc>
          <w:tcPr>
            <w:tcW w:w="111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0D2C274">
            <w:pPr>
              <w:shd w:val="clear"/>
              <w:spacing w:line="360" w:lineRule="auto"/>
              <w:rPr>
                <w:rFonts w:hint="eastAsia" w:ascii="仿宋_GB2312" w:hAnsi="仿宋_GB2312" w:eastAsia="仿宋_GB2312" w:cs="仿宋_GB2312"/>
                <w:sz w:val="24"/>
                <w:szCs w:val="24"/>
                <w:highlight w:val="none"/>
              </w:rPr>
            </w:pPr>
          </w:p>
        </w:tc>
      </w:tr>
      <w:tr w14:paraId="406D5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97"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49C618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w:t>
            </w:r>
          </w:p>
        </w:tc>
        <w:tc>
          <w:tcPr>
            <w:tcW w:w="1528"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E685EB0">
            <w:pPr>
              <w:shd w:val="clear"/>
              <w:spacing w:line="360" w:lineRule="auto"/>
              <w:rPr>
                <w:rFonts w:hint="eastAsia" w:ascii="仿宋_GB2312" w:hAnsi="仿宋_GB2312" w:eastAsia="仿宋_GB2312" w:cs="仿宋_GB2312"/>
                <w:sz w:val="24"/>
                <w:szCs w:val="24"/>
                <w:highlight w:val="none"/>
              </w:rPr>
            </w:pPr>
          </w:p>
        </w:tc>
        <w:tc>
          <w:tcPr>
            <w:tcW w:w="8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8EB08F1">
            <w:pPr>
              <w:shd w:val="clear"/>
              <w:spacing w:line="360" w:lineRule="auto"/>
              <w:rPr>
                <w:rFonts w:hint="eastAsia" w:ascii="仿宋_GB2312" w:hAnsi="仿宋_GB2312" w:eastAsia="仿宋_GB2312" w:cs="仿宋_GB2312"/>
                <w:sz w:val="24"/>
                <w:szCs w:val="24"/>
                <w:highlight w:val="none"/>
              </w:rPr>
            </w:pPr>
          </w:p>
        </w:tc>
        <w:tc>
          <w:tcPr>
            <w:tcW w:w="91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9395208">
            <w:pPr>
              <w:shd w:val="clear"/>
              <w:spacing w:line="360" w:lineRule="auto"/>
              <w:rPr>
                <w:rFonts w:hint="eastAsia" w:ascii="仿宋_GB2312" w:hAnsi="仿宋_GB2312" w:eastAsia="仿宋_GB2312" w:cs="仿宋_GB2312"/>
                <w:sz w:val="24"/>
                <w:szCs w:val="24"/>
                <w:highlight w:val="none"/>
              </w:rPr>
            </w:pPr>
          </w:p>
        </w:tc>
        <w:tc>
          <w:tcPr>
            <w:tcW w:w="31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32A2B1A">
            <w:pPr>
              <w:shd w:val="clear"/>
              <w:spacing w:line="360" w:lineRule="auto"/>
              <w:rPr>
                <w:rFonts w:hint="eastAsia" w:ascii="仿宋_GB2312" w:hAnsi="仿宋_GB2312" w:eastAsia="仿宋_GB2312" w:cs="仿宋_GB2312"/>
                <w:sz w:val="24"/>
                <w:szCs w:val="24"/>
                <w:highlight w:val="none"/>
              </w:rPr>
            </w:pPr>
          </w:p>
        </w:tc>
        <w:tc>
          <w:tcPr>
            <w:tcW w:w="150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B972623">
            <w:pPr>
              <w:shd w:val="clear"/>
              <w:spacing w:line="360" w:lineRule="auto"/>
              <w:rPr>
                <w:rFonts w:hint="eastAsia" w:ascii="仿宋_GB2312" w:hAnsi="仿宋_GB2312" w:eastAsia="仿宋_GB2312" w:cs="仿宋_GB2312"/>
                <w:sz w:val="24"/>
                <w:szCs w:val="24"/>
                <w:highlight w:val="none"/>
              </w:rPr>
            </w:pPr>
          </w:p>
        </w:tc>
        <w:tc>
          <w:tcPr>
            <w:tcW w:w="111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8D363CE">
            <w:pPr>
              <w:shd w:val="clear"/>
              <w:spacing w:line="360" w:lineRule="auto"/>
              <w:rPr>
                <w:rFonts w:hint="eastAsia" w:ascii="仿宋_GB2312" w:hAnsi="仿宋_GB2312" w:eastAsia="仿宋_GB2312" w:cs="仿宋_GB2312"/>
                <w:sz w:val="24"/>
                <w:szCs w:val="24"/>
                <w:highlight w:val="none"/>
              </w:rPr>
            </w:pPr>
          </w:p>
        </w:tc>
      </w:tr>
      <w:tr w14:paraId="5870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41" w:hRule="atLeast"/>
        </w:trPr>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FF7BF8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w:t>
            </w:r>
          </w:p>
        </w:tc>
        <w:tc>
          <w:tcPr>
            <w:tcW w:w="1528"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6F5CE07">
            <w:pPr>
              <w:shd w:val="clear"/>
              <w:spacing w:line="360" w:lineRule="auto"/>
              <w:rPr>
                <w:rFonts w:hint="eastAsia" w:ascii="仿宋_GB2312" w:hAnsi="仿宋_GB2312" w:eastAsia="仿宋_GB2312" w:cs="仿宋_GB2312"/>
                <w:sz w:val="24"/>
                <w:szCs w:val="24"/>
                <w:highlight w:val="none"/>
              </w:rPr>
            </w:pPr>
          </w:p>
        </w:tc>
        <w:tc>
          <w:tcPr>
            <w:tcW w:w="850"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FFC4F21">
            <w:pPr>
              <w:shd w:val="clear"/>
              <w:spacing w:line="360" w:lineRule="auto"/>
              <w:rPr>
                <w:rFonts w:hint="eastAsia" w:ascii="仿宋_GB2312" w:hAnsi="仿宋_GB2312" w:eastAsia="仿宋_GB2312" w:cs="仿宋_GB2312"/>
                <w:sz w:val="24"/>
                <w:szCs w:val="24"/>
                <w:highlight w:val="none"/>
              </w:rPr>
            </w:pPr>
          </w:p>
        </w:tc>
        <w:tc>
          <w:tcPr>
            <w:tcW w:w="91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9F64ADD">
            <w:pPr>
              <w:shd w:val="clear"/>
              <w:spacing w:line="360" w:lineRule="auto"/>
              <w:rPr>
                <w:rFonts w:hint="eastAsia" w:ascii="仿宋_GB2312" w:hAnsi="仿宋_GB2312" w:eastAsia="仿宋_GB2312" w:cs="仿宋_GB2312"/>
                <w:sz w:val="24"/>
                <w:szCs w:val="24"/>
                <w:highlight w:val="none"/>
              </w:rPr>
            </w:pPr>
          </w:p>
        </w:tc>
        <w:tc>
          <w:tcPr>
            <w:tcW w:w="3150"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520496B9">
            <w:pPr>
              <w:shd w:val="clear"/>
              <w:spacing w:line="360" w:lineRule="auto"/>
              <w:rPr>
                <w:rFonts w:hint="eastAsia" w:ascii="仿宋_GB2312" w:hAnsi="仿宋_GB2312" w:eastAsia="仿宋_GB2312" w:cs="仿宋_GB2312"/>
                <w:sz w:val="24"/>
                <w:szCs w:val="24"/>
                <w:highlight w:val="none"/>
              </w:rPr>
            </w:pPr>
          </w:p>
        </w:tc>
        <w:tc>
          <w:tcPr>
            <w:tcW w:w="1500"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91EC431">
            <w:pPr>
              <w:shd w:val="clear"/>
              <w:spacing w:line="360" w:lineRule="auto"/>
              <w:rPr>
                <w:rFonts w:hint="eastAsia" w:ascii="仿宋_GB2312" w:hAnsi="仿宋_GB2312" w:eastAsia="仿宋_GB2312" w:cs="仿宋_GB2312"/>
                <w:sz w:val="24"/>
                <w:szCs w:val="24"/>
                <w:highlight w:val="none"/>
              </w:rPr>
            </w:pPr>
          </w:p>
        </w:tc>
        <w:tc>
          <w:tcPr>
            <w:tcW w:w="111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4FC0A4A">
            <w:pPr>
              <w:shd w:val="clear"/>
              <w:spacing w:line="360" w:lineRule="auto"/>
              <w:rPr>
                <w:rFonts w:hint="eastAsia" w:ascii="仿宋_GB2312" w:hAnsi="仿宋_GB2312" w:eastAsia="仿宋_GB2312" w:cs="仿宋_GB2312"/>
                <w:sz w:val="24"/>
                <w:szCs w:val="24"/>
                <w:highlight w:val="none"/>
              </w:rPr>
            </w:pPr>
          </w:p>
        </w:tc>
      </w:tr>
      <w:tr w14:paraId="6B5EF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41" w:hRule="atLeast"/>
        </w:trPr>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B0C904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1528"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099FF89">
            <w:pPr>
              <w:shd w:val="clear"/>
              <w:spacing w:line="360" w:lineRule="auto"/>
              <w:rPr>
                <w:rFonts w:hint="eastAsia" w:ascii="仿宋_GB2312" w:hAnsi="仿宋_GB2312" w:eastAsia="仿宋_GB2312" w:cs="仿宋_GB2312"/>
                <w:sz w:val="24"/>
                <w:szCs w:val="24"/>
                <w:highlight w:val="none"/>
              </w:rPr>
            </w:pPr>
          </w:p>
        </w:tc>
        <w:tc>
          <w:tcPr>
            <w:tcW w:w="850"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2F01F833">
            <w:pPr>
              <w:shd w:val="clear"/>
              <w:spacing w:line="360" w:lineRule="auto"/>
              <w:rPr>
                <w:rFonts w:hint="eastAsia" w:ascii="仿宋_GB2312" w:hAnsi="仿宋_GB2312" w:eastAsia="仿宋_GB2312" w:cs="仿宋_GB2312"/>
                <w:sz w:val="24"/>
                <w:szCs w:val="24"/>
                <w:highlight w:val="none"/>
              </w:rPr>
            </w:pPr>
          </w:p>
        </w:tc>
        <w:tc>
          <w:tcPr>
            <w:tcW w:w="91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E25C84F">
            <w:pPr>
              <w:shd w:val="clear"/>
              <w:spacing w:line="360" w:lineRule="auto"/>
              <w:rPr>
                <w:rFonts w:hint="eastAsia" w:ascii="仿宋_GB2312" w:hAnsi="仿宋_GB2312" w:eastAsia="仿宋_GB2312" w:cs="仿宋_GB2312"/>
                <w:sz w:val="24"/>
                <w:szCs w:val="24"/>
                <w:highlight w:val="none"/>
              </w:rPr>
            </w:pPr>
          </w:p>
        </w:tc>
        <w:tc>
          <w:tcPr>
            <w:tcW w:w="3150"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09A9AF81">
            <w:pPr>
              <w:shd w:val="clear"/>
              <w:spacing w:line="360" w:lineRule="auto"/>
              <w:rPr>
                <w:rFonts w:hint="eastAsia" w:ascii="仿宋_GB2312" w:hAnsi="仿宋_GB2312" w:eastAsia="仿宋_GB2312" w:cs="仿宋_GB2312"/>
                <w:sz w:val="24"/>
                <w:szCs w:val="24"/>
                <w:highlight w:val="none"/>
              </w:rPr>
            </w:pPr>
          </w:p>
        </w:tc>
        <w:tc>
          <w:tcPr>
            <w:tcW w:w="1500"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BDE8FB0">
            <w:pPr>
              <w:shd w:val="clear"/>
              <w:spacing w:line="360" w:lineRule="auto"/>
              <w:rPr>
                <w:rFonts w:hint="eastAsia" w:ascii="仿宋_GB2312" w:hAnsi="仿宋_GB2312" w:eastAsia="仿宋_GB2312" w:cs="仿宋_GB2312"/>
                <w:sz w:val="24"/>
                <w:szCs w:val="24"/>
                <w:highlight w:val="none"/>
              </w:rPr>
            </w:pPr>
          </w:p>
        </w:tc>
        <w:tc>
          <w:tcPr>
            <w:tcW w:w="111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EEACDBA">
            <w:pPr>
              <w:shd w:val="clear"/>
              <w:spacing w:line="360" w:lineRule="auto"/>
              <w:rPr>
                <w:rFonts w:hint="eastAsia" w:ascii="仿宋_GB2312" w:hAnsi="仿宋_GB2312" w:eastAsia="仿宋_GB2312" w:cs="仿宋_GB2312"/>
                <w:sz w:val="24"/>
                <w:szCs w:val="24"/>
                <w:highlight w:val="none"/>
              </w:rPr>
            </w:pPr>
          </w:p>
        </w:tc>
      </w:tr>
      <w:tr w14:paraId="59C7D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39" w:hRule="atLeast"/>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E89D68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1528"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648B59A">
            <w:pPr>
              <w:shd w:val="clear"/>
              <w:spacing w:line="360" w:lineRule="auto"/>
              <w:rPr>
                <w:rFonts w:hint="eastAsia" w:ascii="仿宋_GB2312" w:hAnsi="仿宋_GB2312" w:eastAsia="仿宋_GB2312" w:cs="仿宋_GB2312"/>
                <w:sz w:val="24"/>
                <w:szCs w:val="24"/>
                <w:highlight w:val="none"/>
              </w:rPr>
            </w:pPr>
          </w:p>
        </w:tc>
        <w:tc>
          <w:tcPr>
            <w:tcW w:w="8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6F24444">
            <w:pPr>
              <w:shd w:val="clear"/>
              <w:spacing w:line="360" w:lineRule="auto"/>
              <w:rPr>
                <w:rFonts w:hint="eastAsia" w:ascii="仿宋_GB2312" w:hAnsi="仿宋_GB2312" w:eastAsia="仿宋_GB2312" w:cs="仿宋_GB2312"/>
                <w:sz w:val="24"/>
                <w:szCs w:val="24"/>
                <w:highlight w:val="none"/>
              </w:rPr>
            </w:pPr>
          </w:p>
        </w:tc>
        <w:tc>
          <w:tcPr>
            <w:tcW w:w="91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BCCE31B">
            <w:pPr>
              <w:shd w:val="clear"/>
              <w:spacing w:line="360" w:lineRule="auto"/>
              <w:rPr>
                <w:rFonts w:hint="eastAsia" w:ascii="仿宋_GB2312" w:hAnsi="仿宋_GB2312" w:eastAsia="仿宋_GB2312" w:cs="仿宋_GB2312"/>
                <w:sz w:val="24"/>
                <w:szCs w:val="24"/>
                <w:highlight w:val="none"/>
              </w:rPr>
            </w:pPr>
          </w:p>
        </w:tc>
        <w:tc>
          <w:tcPr>
            <w:tcW w:w="315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9ADE8B8">
            <w:pPr>
              <w:shd w:val="clear"/>
              <w:spacing w:line="360" w:lineRule="auto"/>
              <w:rPr>
                <w:rFonts w:hint="eastAsia" w:ascii="仿宋_GB2312" w:hAnsi="仿宋_GB2312" w:eastAsia="仿宋_GB2312" w:cs="仿宋_GB2312"/>
                <w:sz w:val="24"/>
                <w:szCs w:val="24"/>
                <w:highlight w:val="none"/>
              </w:rPr>
            </w:pPr>
          </w:p>
        </w:tc>
        <w:tc>
          <w:tcPr>
            <w:tcW w:w="1500"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9E1C102">
            <w:pPr>
              <w:shd w:val="clear"/>
              <w:spacing w:line="360" w:lineRule="auto"/>
              <w:rPr>
                <w:rFonts w:hint="eastAsia" w:ascii="仿宋_GB2312" w:hAnsi="仿宋_GB2312" w:eastAsia="仿宋_GB2312" w:cs="仿宋_GB2312"/>
                <w:sz w:val="24"/>
                <w:szCs w:val="24"/>
                <w:highlight w:val="none"/>
              </w:rPr>
            </w:pPr>
          </w:p>
        </w:tc>
        <w:tc>
          <w:tcPr>
            <w:tcW w:w="111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9C4EB07">
            <w:pPr>
              <w:shd w:val="clear"/>
              <w:spacing w:line="360" w:lineRule="auto"/>
              <w:rPr>
                <w:rFonts w:hint="eastAsia" w:ascii="仿宋_GB2312" w:hAnsi="仿宋_GB2312" w:eastAsia="仿宋_GB2312" w:cs="仿宋_GB2312"/>
                <w:sz w:val="24"/>
                <w:szCs w:val="24"/>
                <w:highlight w:val="none"/>
              </w:rPr>
            </w:pPr>
          </w:p>
        </w:tc>
      </w:tr>
    </w:tbl>
    <w:p w14:paraId="7E2B9FA2">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32"/>
          <w:szCs w:val="32"/>
          <w:highlight w:val="none"/>
        </w:rPr>
      </w:pPr>
    </w:p>
    <w:p w14:paraId="4E572159">
      <w:pPr>
        <w:pStyle w:val="6"/>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附件6</w:t>
      </w:r>
      <w:r>
        <w:rPr>
          <w:rFonts w:hint="eastAsia" w:ascii="仿宋_GB2312" w:hAnsi="仿宋_GB2312" w:eastAsia="仿宋_GB2312" w:cs="仿宋_GB2312"/>
          <w:sz w:val="30"/>
          <w:szCs w:val="30"/>
          <w:highlight w:val="none"/>
          <w:lang w:eastAsia="zh-CN"/>
        </w:rPr>
        <w:t>：</w:t>
      </w:r>
    </w:p>
    <w:p w14:paraId="50146AD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商务偏离表</w:t>
      </w:r>
    </w:p>
    <w:tbl>
      <w:tblPr>
        <w:tblStyle w:val="7"/>
        <w:tblW w:w="104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56"/>
        <w:gridCol w:w="1887"/>
        <w:gridCol w:w="863"/>
        <w:gridCol w:w="1046"/>
        <w:gridCol w:w="3089"/>
        <w:gridCol w:w="1661"/>
        <w:gridCol w:w="1075"/>
      </w:tblGrid>
      <w:tr w14:paraId="6DCB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35" w:hRule="atLeast"/>
          <w:jc w:val="center"/>
        </w:trPr>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82D4741">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序号</w:t>
            </w:r>
          </w:p>
        </w:tc>
        <w:tc>
          <w:tcPr>
            <w:tcW w:w="1887"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148B6B1">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招标文件</w:t>
            </w:r>
          </w:p>
          <w:p w14:paraId="611F55E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条款号</w:t>
            </w:r>
          </w:p>
        </w:tc>
        <w:tc>
          <w:tcPr>
            <w:tcW w:w="863"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7B803D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招标</w:t>
            </w:r>
          </w:p>
          <w:p w14:paraId="501D95E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要求</w:t>
            </w:r>
          </w:p>
        </w:tc>
        <w:tc>
          <w:tcPr>
            <w:tcW w:w="1046"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B2155B6">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投标响应</w:t>
            </w:r>
          </w:p>
        </w:tc>
        <w:tc>
          <w:tcPr>
            <w:tcW w:w="3089" w:type="dxa"/>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7FA03B9">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偏离类型（正/无/轻微负/一般负/重大负）</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2D9329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偏离原因及影响</w:t>
            </w:r>
          </w:p>
        </w:tc>
        <w:tc>
          <w:tcPr>
            <w:tcW w:w="0" w:type="auto"/>
            <w:tcBorders>
              <w:top w:val="single" w:color="80808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B43FE1B">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补救措施</w:t>
            </w:r>
          </w:p>
        </w:tc>
      </w:tr>
      <w:tr w14:paraId="47F9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57" w:hRule="atLeast"/>
          <w:jc w:val="center"/>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AEC4B9A">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1</w:t>
            </w:r>
          </w:p>
        </w:tc>
        <w:tc>
          <w:tcPr>
            <w:tcW w:w="188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D955107">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67826543">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1D81EC2">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A3EF418">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43F2813">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CCE0A85">
            <w:pPr>
              <w:shd w:val="clear"/>
              <w:spacing w:line="360" w:lineRule="auto"/>
              <w:rPr>
                <w:rFonts w:hint="eastAsia" w:ascii="仿宋_GB2312" w:hAnsi="仿宋_GB2312" w:eastAsia="仿宋_GB2312" w:cs="仿宋_GB2312"/>
                <w:sz w:val="24"/>
                <w:szCs w:val="24"/>
                <w:highlight w:val="none"/>
              </w:rPr>
            </w:pPr>
          </w:p>
        </w:tc>
      </w:tr>
      <w:tr w14:paraId="415B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57" w:hRule="atLeast"/>
          <w:jc w:val="center"/>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A0012BC">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2</w:t>
            </w:r>
          </w:p>
        </w:tc>
        <w:tc>
          <w:tcPr>
            <w:tcW w:w="188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DF6197F">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076E05A5">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33A18256">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4E2BB53">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51FCE1B0">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2583E40">
            <w:pPr>
              <w:shd w:val="clear"/>
              <w:spacing w:line="360" w:lineRule="auto"/>
              <w:rPr>
                <w:rFonts w:hint="eastAsia" w:ascii="仿宋_GB2312" w:hAnsi="仿宋_GB2312" w:eastAsia="仿宋_GB2312" w:cs="仿宋_GB2312"/>
                <w:sz w:val="24"/>
                <w:szCs w:val="24"/>
                <w:highlight w:val="none"/>
              </w:rPr>
            </w:pPr>
          </w:p>
        </w:tc>
      </w:tr>
      <w:tr w14:paraId="3079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57" w:hRule="atLeast"/>
          <w:jc w:val="center"/>
        </w:trPr>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2916352">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3</w:t>
            </w:r>
          </w:p>
        </w:tc>
        <w:tc>
          <w:tcPr>
            <w:tcW w:w="1887"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112BD9A">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0389DAA">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26ADE233">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1435E5F8">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7AF98BC2">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808080" w:sz="6" w:space="0"/>
              <w:right w:val="single" w:color="808080" w:sz="6" w:space="0"/>
            </w:tcBorders>
            <w:shd w:val="clear" w:color="auto" w:fill="auto"/>
            <w:tcMar>
              <w:top w:w="60" w:type="dxa"/>
              <w:left w:w="105" w:type="dxa"/>
              <w:bottom w:w="60" w:type="dxa"/>
              <w:right w:w="105" w:type="dxa"/>
            </w:tcMar>
            <w:vAlign w:val="center"/>
          </w:tcPr>
          <w:p w14:paraId="4351A7E2">
            <w:pPr>
              <w:shd w:val="clear"/>
              <w:spacing w:line="360" w:lineRule="auto"/>
              <w:rPr>
                <w:rFonts w:hint="eastAsia" w:ascii="仿宋_GB2312" w:hAnsi="仿宋_GB2312" w:eastAsia="仿宋_GB2312" w:cs="仿宋_GB2312"/>
                <w:sz w:val="24"/>
                <w:szCs w:val="24"/>
                <w:highlight w:val="none"/>
              </w:rPr>
            </w:pPr>
          </w:p>
        </w:tc>
      </w:tr>
      <w:tr w14:paraId="124D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6" w:hRule="atLeast"/>
          <w:jc w:val="center"/>
        </w:trPr>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0E269A0">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w:t>
            </w:r>
          </w:p>
        </w:tc>
        <w:tc>
          <w:tcPr>
            <w:tcW w:w="188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6C3125D">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C21039A">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E06B0ED">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019A5C1">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04C53ED9">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4771304">
            <w:pPr>
              <w:shd w:val="clear"/>
              <w:spacing w:line="360" w:lineRule="auto"/>
              <w:rPr>
                <w:rFonts w:hint="eastAsia" w:ascii="仿宋_GB2312" w:hAnsi="仿宋_GB2312" w:eastAsia="仿宋_GB2312" w:cs="仿宋_GB2312"/>
                <w:sz w:val="24"/>
                <w:szCs w:val="24"/>
                <w:highlight w:val="none"/>
              </w:rPr>
            </w:pPr>
          </w:p>
        </w:tc>
      </w:tr>
      <w:tr w14:paraId="662D2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6" w:hRule="atLeast"/>
          <w:jc w:val="center"/>
        </w:trPr>
        <w:tc>
          <w:tcPr>
            <w:tcW w:w="85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005505D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188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03FFC54B">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7F9619D">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398DDA44">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558AAD83">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E7E22C7">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063F1E7">
            <w:pPr>
              <w:shd w:val="clear"/>
              <w:spacing w:line="360" w:lineRule="auto"/>
              <w:rPr>
                <w:rFonts w:hint="eastAsia" w:ascii="仿宋_GB2312" w:hAnsi="仿宋_GB2312" w:eastAsia="仿宋_GB2312" w:cs="仿宋_GB2312"/>
                <w:sz w:val="24"/>
                <w:szCs w:val="24"/>
                <w:highlight w:val="none"/>
              </w:rPr>
            </w:pPr>
          </w:p>
        </w:tc>
      </w:tr>
      <w:tr w14:paraId="3BF5E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6" w:hRule="atLeast"/>
          <w:jc w:val="center"/>
        </w:trPr>
        <w:tc>
          <w:tcPr>
            <w:tcW w:w="85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AEF80BE">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188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292E1BD2">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D4074AA">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C7666F5">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111094A">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3EB9F580">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8539CF6">
            <w:pPr>
              <w:shd w:val="clear"/>
              <w:spacing w:line="360" w:lineRule="auto"/>
              <w:rPr>
                <w:rFonts w:hint="eastAsia" w:ascii="仿宋_GB2312" w:hAnsi="仿宋_GB2312" w:eastAsia="仿宋_GB2312" w:cs="仿宋_GB2312"/>
                <w:sz w:val="24"/>
                <w:szCs w:val="24"/>
                <w:highlight w:val="none"/>
              </w:rPr>
            </w:pPr>
          </w:p>
        </w:tc>
      </w:tr>
      <w:tr w14:paraId="602A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6" w:hRule="atLeast"/>
          <w:jc w:val="center"/>
        </w:trPr>
        <w:tc>
          <w:tcPr>
            <w:tcW w:w="85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29EFB7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p>
          <w:p w14:paraId="0F1C2B19">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p>
        </w:tc>
        <w:tc>
          <w:tcPr>
            <w:tcW w:w="188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47611DB">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5C2B10FC">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1C92272">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2E643C7">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115A1820">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0526523B">
            <w:pPr>
              <w:shd w:val="clear"/>
              <w:spacing w:line="360" w:lineRule="auto"/>
              <w:rPr>
                <w:rFonts w:hint="eastAsia" w:ascii="仿宋_GB2312" w:hAnsi="仿宋_GB2312" w:eastAsia="仿宋_GB2312" w:cs="仿宋_GB2312"/>
                <w:sz w:val="24"/>
                <w:szCs w:val="24"/>
                <w:highlight w:val="none"/>
              </w:rPr>
            </w:pPr>
          </w:p>
        </w:tc>
      </w:tr>
      <w:tr w14:paraId="2F67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6" w:hRule="atLeast"/>
          <w:jc w:val="center"/>
        </w:trPr>
        <w:tc>
          <w:tcPr>
            <w:tcW w:w="85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5E59D2A3">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p>
          <w:p w14:paraId="1006F628">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p>
          <w:p w14:paraId="3872C737">
            <w:pPr>
              <w:pStyle w:val="6"/>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sz w:val="28"/>
                <w:szCs w:val="28"/>
                <w:highlight w:val="none"/>
              </w:rPr>
            </w:pPr>
          </w:p>
        </w:tc>
        <w:tc>
          <w:tcPr>
            <w:tcW w:w="1887"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03DCBCC9">
            <w:pPr>
              <w:shd w:val="clear"/>
              <w:spacing w:line="360" w:lineRule="auto"/>
              <w:rPr>
                <w:rFonts w:hint="eastAsia" w:ascii="仿宋_GB2312" w:hAnsi="仿宋_GB2312" w:eastAsia="仿宋_GB2312" w:cs="仿宋_GB2312"/>
                <w:sz w:val="24"/>
                <w:szCs w:val="24"/>
                <w:highlight w:val="none"/>
              </w:rPr>
            </w:pPr>
          </w:p>
        </w:tc>
        <w:tc>
          <w:tcPr>
            <w:tcW w:w="863"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5FBE625">
            <w:pPr>
              <w:shd w:val="clear"/>
              <w:spacing w:line="360" w:lineRule="auto"/>
              <w:rPr>
                <w:rFonts w:hint="eastAsia" w:ascii="仿宋_GB2312" w:hAnsi="仿宋_GB2312" w:eastAsia="仿宋_GB2312" w:cs="仿宋_GB2312"/>
                <w:sz w:val="24"/>
                <w:szCs w:val="24"/>
                <w:highlight w:val="none"/>
              </w:rPr>
            </w:pPr>
          </w:p>
        </w:tc>
        <w:tc>
          <w:tcPr>
            <w:tcW w:w="1046"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204F0533">
            <w:pPr>
              <w:shd w:val="clear"/>
              <w:spacing w:line="360" w:lineRule="auto"/>
              <w:rPr>
                <w:rFonts w:hint="eastAsia" w:ascii="仿宋_GB2312" w:hAnsi="仿宋_GB2312" w:eastAsia="仿宋_GB2312" w:cs="仿宋_GB2312"/>
                <w:sz w:val="24"/>
                <w:szCs w:val="24"/>
                <w:highlight w:val="none"/>
              </w:rPr>
            </w:pPr>
          </w:p>
        </w:tc>
        <w:tc>
          <w:tcPr>
            <w:tcW w:w="3089" w:type="dxa"/>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64B75564">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45459DDC">
            <w:pPr>
              <w:shd w:val="clear"/>
              <w:spacing w:line="360" w:lineRule="auto"/>
              <w:rPr>
                <w:rFonts w:hint="eastAsia" w:ascii="仿宋_GB2312" w:hAnsi="仿宋_GB2312" w:eastAsia="仿宋_GB2312" w:cs="仿宋_GB2312"/>
                <w:sz w:val="24"/>
                <w:szCs w:val="24"/>
                <w:highlight w:val="none"/>
              </w:rPr>
            </w:pPr>
          </w:p>
        </w:tc>
        <w:tc>
          <w:tcPr>
            <w:tcW w:w="0" w:type="auto"/>
            <w:tcBorders>
              <w:top w:val="single" w:color="000000" w:sz="6" w:space="0"/>
              <w:left w:val="single" w:color="808080" w:sz="6" w:space="0"/>
              <w:bottom w:val="single" w:color="000000" w:sz="6" w:space="0"/>
              <w:right w:val="single" w:color="808080" w:sz="6" w:space="0"/>
            </w:tcBorders>
            <w:shd w:val="clear" w:color="auto" w:fill="auto"/>
            <w:tcMar>
              <w:top w:w="60" w:type="dxa"/>
              <w:left w:w="105" w:type="dxa"/>
              <w:bottom w:w="60" w:type="dxa"/>
              <w:right w:w="105" w:type="dxa"/>
            </w:tcMar>
            <w:vAlign w:val="center"/>
          </w:tcPr>
          <w:p w14:paraId="7D4E669A">
            <w:pPr>
              <w:shd w:val="clear"/>
              <w:spacing w:line="360" w:lineRule="auto"/>
              <w:rPr>
                <w:rFonts w:hint="eastAsia" w:ascii="仿宋_GB2312" w:hAnsi="仿宋_GB2312" w:eastAsia="仿宋_GB2312" w:cs="仿宋_GB2312"/>
                <w:sz w:val="24"/>
                <w:szCs w:val="24"/>
                <w:highlight w:val="none"/>
              </w:rPr>
            </w:pPr>
          </w:p>
        </w:tc>
      </w:tr>
    </w:tbl>
    <w:p w14:paraId="2CE18957">
      <w:pPr>
        <w:shd w:val="clear"/>
        <w:spacing w:line="360" w:lineRule="auto"/>
        <w:rPr>
          <w:rFonts w:hint="eastAsia" w:ascii="仿宋_GB2312" w:hAnsi="仿宋_GB2312" w:eastAsia="仿宋_GB2312" w:cs="仿宋_GB2312"/>
          <w:highlight w:val="none"/>
          <w:lang w:eastAsia="zh-CN"/>
        </w:rPr>
      </w:pPr>
    </w:p>
    <w:p w14:paraId="59E95A0A">
      <w:pPr>
        <w:shd w:val="clear"/>
        <w:spacing w:line="360" w:lineRule="auto"/>
        <w:rPr>
          <w:rFonts w:hint="eastAsia" w:ascii="仿宋_GB2312" w:hAnsi="仿宋_GB2312" w:eastAsia="仿宋_GB2312" w:cs="仿宋_GB2312"/>
          <w:highlight w:val="none"/>
          <w:lang w:eastAsia="zh-CN"/>
        </w:rPr>
      </w:pPr>
    </w:p>
    <w:p w14:paraId="60BDA0E0">
      <w:pPr>
        <w:shd w:val="clear"/>
        <w:spacing w:line="360" w:lineRule="auto"/>
        <w:rPr>
          <w:rFonts w:hint="eastAsia" w:ascii="仿宋_GB2312" w:hAnsi="仿宋_GB2312" w:eastAsia="仿宋_GB2312" w:cs="仿宋_GB2312"/>
          <w:highlight w:val="none"/>
          <w:lang w:eastAsia="zh-CN"/>
        </w:rPr>
      </w:pPr>
    </w:p>
    <w:p w14:paraId="219CDB9D">
      <w:pPr>
        <w:shd w:val="clear"/>
        <w:spacing w:line="360" w:lineRule="auto"/>
        <w:rPr>
          <w:rFonts w:hint="eastAsia" w:ascii="仿宋_GB2312" w:hAnsi="仿宋_GB2312" w:eastAsia="仿宋_GB2312" w:cs="仿宋_GB2312"/>
          <w:highlight w:val="none"/>
          <w:lang w:eastAsia="zh-CN"/>
        </w:rPr>
      </w:pPr>
    </w:p>
    <w:p w14:paraId="62BCC533">
      <w:pPr>
        <w:shd w:val="clear"/>
        <w:spacing w:line="360" w:lineRule="auto"/>
        <w:rPr>
          <w:rFonts w:hint="eastAsia" w:ascii="仿宋_GB2312" w:hAnsi="仿宋_GB2312" w:eastAsia="仿宋_GB2312" w:cs="仿宋_GB2312"/>
          <w:highlight w:val="none"/>
          <w:lang w:eastAsia="zh-CN"/>
        </w:rPr>
      </w:pPr>
    </w:p>
    <w:p w14:paraId="50364712">
      <w:pPr>
        <w:shd w:val="clear"/>
        <w:spacing w:line="360" w:lineRule="auto"/>
        <w:rPr>
          <w:rFonts w:hint="default" w:ascii="仿宋_GB2312" w:hAnsi="仿宋_GB2312" w:eastAsia="仿宋_GB2312" w:cs="仿宋_GB2312"/>
          <w:sz w:val="44"/>
          <w:szCs w:val="48"/>
          <w:highlight w:val="none"/>
          <w:lang w:val="en-US" w:eastAsia="zh-CN"/>
        </w:rPr>
      </w:pPr>
      <w:r>
        <w:rPr>
          <w:rFonts w:hint="eastAsia" w:ascii="仿宋_GB2312" w:hAnsi="仿宋_GB2312" w:eastAsia="仿宋_GB2312" w:cs="仿宋_GB2312"/>
          <w:sz w:val="44"/>
          <w:szCs w:val="48"/>
          <w:highlight w:val="yellow"/>
          <w:lang w:val="en-US" w:eastAsia="zh-CN"/>
        </w:rPr>
        <w:t>保密协议</w:t>
      </w:r>
    </w:p>
    <w:p w14:paraId="43B464AC">
      <w:pPr>
        <w:shd w:val="clear"/>
        <w:spacing w:line="360" w:lineRule="auto"/>
        <w:rPr>
          <w:rFonts w:hint="eastAsia" w:ascii="仿宋_GB2312" w:hAnsi="仿宋_GB2312" w:eastAsia="仿宋_GB2312" w:cs="仿宋_GB2312"/>
          <w:highlight w:val="none"/>
          <w:lang w:eastAsia="zh-CN"/>
        </w:rPr>
      </w:pPr>
    </w:p>
    <w:p w14:paraId="24CD7382">
      <w:pPr>
        <w:shd w:val="clear"/>
        <w:spacing w:line="360" w:lineRule="auto"/>
        <w:rPr>
          <w:rFonts w:hint="eastAsia" w:ascii="仿宋_GB2312" w:hAnsi="仿宋_GB2312" w:eastAsia="仿宋_GB2312" w:cs="仿宋_GB2312"/>
          <w:highlight w:val="none"/>
          <w:lang w:eastAsia="zh-CN"/>
        </w:rPr>
      </w:pPr>
      <w:r>
        <w:rPr>
          <w:rFonts w:hint="eastAsia" w:ascii="仿宋_GB2312" w:hAnsi="仿宋_GB2312" w:eastAsia="仿宋_GB2312" w:cs="仿宋_GB2312"/>
          <w:lang w:eastAsia="zh-CN"/>
        </w:rPr>
        <w:object>
          <v:shape id="_x0000_i1026" o:spt="75" type="#_x0000_t75" style="height:65.5pt;width:72.5pt;" o:ole="t" filled="f" o:preferrelative="t" stroked="f" coordsize="21600,21600">
            <v:path/>
            <v:fill on="f" focussize="0,0"/>
            <v:stroke on="f"/>
            <v:imagedata r:id="rId5" o:title=""/>
            <o:lock v:ext="edit" aspectratio="t"/>
            <w10:wrap type="none"/>
            <w10:anchorlock/>
          </v:shape>
          <o:OLEObject Type="Embed" ProgID="Word.Document.12" ShapeID="_x0000_i1026" DrawAspect="Icon" ObjectID="_1468075725" r:id="rId4">
            <o:LockedField>false</o:LockedField>
          </o:OLEObject>
        </w:object>
      </w:r>
      <w:bookmarkStart w:id="1" w:name="_GoBack"/>
      <w:bookmarkEnd w:id="1"/>
    </w:p>
    <w:sectPr>
      <w:pgSz w:w="11906" w:h="16838"/>
      <w:pgMar w:top="1440" w:right="1077" w:bottom="1440"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39F1C"/>
    <w:multiLevelType w:val="singleLevel"/>
    <w:tmpl w:val="31A39F1C"/>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M1MzUzMmZjYzI2ZjdmZTYxNjJjOGViOGI5OWRhZDMifQ=="/>
  </w:docVars>
  <w:rsids>
    <w:rsidRoot w:val="0032456D"/>
    <w:rsid w:val="00001590"/>
    <w:rsid w:val="00002849"/>
    <w:rsid w:val="000059AC"/>
    <w:rsid w:val="000217DF"/>
    <w:rsid w:val="00024615"/>
    <w:rsid w:val="00031A7C"/>
    <w:rsid w:val="00034E28"/>
    <w:rsid w:val="00037B8E"/>
    <w:rsid w:val="000442D7"/>
    <w:rsid w:val="00055980"/>
    <w:rsid w:val="00064638"/>
    <w:rsid w:val="00066680"/>
    <w:rsid w:val="00071F59"/>
    <w:rsid w:val="0007348B"/>
    <w:rsid w:val="000909E6"/>
    <w:rsid w:val="0009630C"/>
    <w:rsid w:val="000A168E"/>
    <w:rsid w:val="000A3343"/>
    <w:rsid w:val="000A529A"/>
    <w:rsid w:val="000B6461"/>
    <w:rsid w:val="000C33D6"/>
    <w:rsid w:val="000E4A91"/>
    <w:rsid w:val="000E4FD2"/>
    <w:rsid w:val="000F202F"/>
    <w:rsid w:val="000F5332"/>
    <w:rsid w:val="000F5F04"/>
    <w:rsid w:val="00102F61"/>
    <w:rsid w:val="001062E0"/>
    <w:rsid w:val="001062E9"/>
    <w:rsid w:val="00125AEF"/>
    <w:rsid w:val="001260B4"/>
    <w:rsid w:val="00127337"/>
    <w:rsid w:val="0013073A"/>
    <w:rsid w:val="001321CC"/>
    <w:rsid w:val="00135233"/>
    <w:rsid w:val="00137DF9"/>
    <w:rsid w:val="0014578B"/>
    <w:rsid w:val="00167D6C"/>
    <w:rsid w:val="00171E06"/>
    <w:rsid w:val="00173FB3"/>
    <w:rsid w:val="001767F7"/>
    <w:rsid w:val="001874E8"/>
    <w:rsid w:val="0019407A"/>
    <w:rsid w:val="001A0E26"/>
    <w:rsid w:val="001A7609"/>
    <w:rsid w:val="001B0E88"/>
    <w:rsid w:val="001C11F1"/>
    <w:rsid w:val="001F65B2"/>
    <w:rsid w:val="00201C6A"/>
    <w:rsid w:val="0022405F"/>
    <w:rsid w:val="002822FC"/>
    <w:rsid w:val="00285A10"/>
    <w:rsid w:val="00287DCA"/>
    <w:rsid w:val="00293B63"/>
    <w:rsid w:val="002970FA"/>
    <w:rsid w:val="002A48AB"/>
    <w:rsid w:val="002B3152"/>
    <w:rsid w:val="002C4A81"/>
    <w:rsid w:val="002D2C95"/>
    <w:rsid w:val="002D6306"/>
    <w:rsid w:val="002D6B1E"/>
    <w:rsid w:val="002F5E16"/>
    <w:rsid w:val="0030447F"/>
    <w:rsid w:val="003104F9"/>
    <w:rsid w:val="0032456D"/>
    <w:rsid w:val="003246D1"/>
    <w:rsid w:val="003312BD"/>
    <w:rsid w:val="00334363"/>
    <w:rsid w:val="00337161"/>
    <w:rsid w:val="00337F84"/>
    <w:rsid w:val="00341604"/>
    <w:rsid w:val="0034215C"/>
    <w:rsid w:val="00343F2F"/>
    <w:rsid w:val="003554B7"/>
    <w:rsid w:val="00362A82"/>
    <w:rsid w:val="00363275"/>
    <w:rsid w:val="003701CA"/>
    <w:rsid w:val="00371D03"/>
    <w:rsid w:val="003816E6"/>
    <w:rsid w:val="003852DF"/>
    <w:rsid w:val="00387415"/>
    <w:rsid w:val="00387C32"/>
    <w:rsid w:val="003A1C31"/>
    <w:rsid w:val="003A23D1"/>
    <w:rsid w:val="003A553A"/>
    <w:rsid w:val="003B1784"/>
    <w:rsid w:val="003B5410"/>
    <w:rsid w:val="003B6174"/>
    <w:rsid w:val="003C0B2B"/>
    <w:rsid w:val="003C6134"/>
    <w:rsid w:val="003D195E"/>
    <w:rsid w:val="003D62DB"/>
    <w:rsid w:val="003D6B8A"/>
    <w:rsid w:val="003E5005"/>
    <w:rsid w:val="003E58BE"/>
    <w:rsid w:val="003E7892"/>
    <w:rsid w:val="003F09B7"/>
    <w:rsid w:val="003F765E"/>
    <w:rsid w:val="004026C4"/>
    <w:rsid w:val="00425B50"/>
    <w:rsid w:val="0043797E"/>
    <w:rsid w:val="00445658"/>
    <w:rsid w:val="00452C08"/>
    <w:rsid w:val="00456887"/>
    <w:rsid w:val="0046083E"/>
    <w:rsid w:val="00472673"/>
    <w:rsid w:val="004851FA"/>
    <w:rsid w:val="00487EC5"/>
    <w:rsid w:val="0049599E"/>
    <w:rsid w:val="004A20E0"/>
    <w:rsid w:val="004A255A"/>
    <w:rsid w:val="004A4FF1"/>
    <w:rsid w:val="004B1133"/>
    <w:rsid w:val="004B1EDD"/>
    <w:rsid w:val="004B4C0A"/>
    <w:rsid w:val="004B7DD9"/>
    <w:rsid w:val="004C433D"/>
    <w:rsid w:val="004D0A37"/>
    <w:rsid w:val="004D402B"/>
    <w:rsid w:val="004D416D"/>
    <w:rsid w:val="004D5450"/>
    <w:rsid w:val="004D59B8"/>
    <w:rsid w:val="004F3C2F"/>
    <w:rsid w:val="0050725F"/>
    <w:rsid w:val="00521CC0"/>
    <w:rsid w:val="0052754F"/>
    <w:rsid w:val="00530856"/>
    <w:rsid w:val="0053096F"/>
    <w:rsid w:val="00536215"/>
    <w:rsid w:val="00551061"/>
    <w:rsid w:val="00560F43"/>
    <w:rsid w:val="005633C8"/>
    <w:rsid w:val="00575628"/>
    <w:rsid w:val="005768DB"/>
    <w:rsid w:val="00576EFD"/>
    <w:rsid w:val="00584D6B"/>
    <w:rsid w:val="005928E0"/>
    <w:rsid w:val="005939B3"/>
    <w:rsid w:val="005A653A"/>
    <w:rsid w:val="005B2608"/>
    <w:rsid w:val="005B36FD"/>
    <w:rsid w:val="005B6D89"/>
    <w:rsid w:val="005B73E8"/>
    <w:rsid w:val="005C1926"/>
    <w:rsid w:val="005C20CB"/>
    <w:rsid w:val="005C21A9"/>
    <w:rsid w:val="005D1155"/>
    <w:rsid w:val="005D41FB"/>
    <w:rsid w:val="005D6874"/>
    <w:rsid w:val="005E3B72"/>
    <w:rsid w:val="005F5D1A"/>
    <w:rsid w:val="006000A2"/>
    <w:rsid w:val="00602BC1"/>
    <w:rsid w:val="00603290"/>
    <w:rsid w:val="00604239"/>
    <w:rsid w:val="00607ADB"/>
    <w:rsid w:val="0061224A"/>
    <w:rsid w:val="00632945"/>
    <w:rsid w:val="00637FE1"/>
    <w:rsid w:val="00640351"/>
    <w:rsid w:val="006414F3"/>
    <w:rsid w:val="00642EE1"/>
    <w:rsid w:val="00652660"/>
    <w:rsid w:val="006603E5"/>
    <w:rsid w:val="00662988"/>
    <w:rsid w:val="00665E7E"/>
    <w:rsid w:val="0069238E"/>
    <w:rsid w:val="006A2CB8"/>
    <w:rsid w:val="006B57F9"/>
    <w:rsid w:val="006B76E6"/>
    <w:rsid w:val="006C02DA"/>
    <w:rsid w:val="006C765C"/>
    <w:rsid w:val="006D57D4"/>
    <w:rsid w:val="006D5D99"/>
    <w:rsid w:val="006D6D5B"/>
    <w:rsid w:val="006E06E0"/>
    <w:rsid w:val="006E589A"/>
    <w:rsid w:val="006F35F4"/>
    <w:rsid w:val="006F40E8"/>
    <w:rsid w:val="00702276"/>
    <w:rsid w:val="00703DDD"/>
    <w:rsid w:val="00704758"/>
    <w:rsid w:val="0070613C"/>
    <w:rsid w:val="00710DCD"/>
    <w:rsid w:val="00710EF9"/>
    <w:rsid w:val="00712E57"/>
    <w:rsid w:val="00720EF5"/>
    <w:rsid w:val="007317A3"/>
    <w:rsid w:val="00736371"/>
    <w:rsid w:val="007374D4"/>
    <w:rsid w:val="00741A24"/>
    <w:rsid w:val="00742486"/>
    <w:rsid w:val="0075262E"/>
    <w:rsid w:val="00753A11"/>
    <w:rsid w:val="0075451C"/>
    <w:rsid w:val="00776D78"/>
    <w:rsid w:val="007771C9"/>
    <w:rsid w:val="00797ED0"/>
    <w:rsid w:val="007A511A"/>
    <w:rsid w:val="007B19BD"/>
    <w:rsid w:val="007B23DB"/>
    <w:rsid w:val="007B67B4"/>
    <w:rsid w:val="007C098C"/>
    <w:rsid w:val="007C0B7B"/>
    <w:rsid w:val="007C1E24"/>
    <w:rsid w:val="007C2121"/>
    <w:rsid w:val="007D153E"/>
    <w:rsid w:val="007E64C8"/>
    <w:rsid w:val="00801D02"/>
    <w:rsid w:val="00802B4D"/>
    <w:rsid w:val="00803A22"/>
    <w:rsid w:val="00807897"/>
    <w:rsid w:val="008079C5"/>
    <w:rsid w:val="00813E38"/>
    <w:rsid w:val="008142AC"/>
    <w:rsid w:val="008174F9"/>
    <w:rsid w:val="00822BE9"/>
    <w:rsid w:val="00854A11"/>
    <w:rsid w:val="00860A03"/>
    <w:rsid w:val="008615A4"/>
    <w:rsid w:val="0087299F"/>
    <w:rsid w:val="00874A0D"/>
    <w:rsid w:val="00883887"/>
    <w:rsid w:val="00883956"/>
    <w:rsid w:val="008847D7"/>
    <w:rsid w:val="0088681E"/>
    <w:rsid w:val="008900AC"/>
    <w:rsid w:val="00897668"/>
    <w:rsid w:val="008B2C8A"/>
    <w:rsid w:val="008B33F7"/>
    <w:rsid w:val="008C088B"/>
    <w:rsid w:val="008C7065"/>
    <w:rsid w:val="008D18A0"/>
    <w:rsid w:val="008D18A4"/>
    <w:rsid w:val="008E0E18"/>
    <w:rsid w:val="008E11C5"/>
    <w:rsid w:val="008F2831"/>
    <w:rsid w:val="008F5F04"/>
    <w:rsid w:val="00900243"/>
    <w:rsid w:val="009301BB"/>
    <w:rsid w:val="00930334"/>
    <w:rsid w:val="00931746"/>
    <w:rsid w:val="0093643E"/>
    <w:rsid w:val="0095280B"/>
    <w:rsid w:val="00952855"/>
    <w:rsid w:val="009532D9"/>
    <w:rsid w:val="00975D68"/>
    <w:rsid w:val="00987027"/>
    <w:rsid w:val="00990A0B"/>
    <w:rsid w:val="009A0035"/>
    <w:rsid w:val="009A74FE"/>
    <w:rsid w:val="009B2B81"/>
    <w:rsid w:val="009B308E"/>
    <w:rsid w:val="009B4FEB"/>
    <w:rsid w:val="009C58E4"/>
    <w:rsid w:val="009C5FFC"/>
    <w:rsid w:val="009C717E"/>
    <w:rsid w:val="009D5134"/>
    <w:rsid w:val="009D5B7C"/>
    <w:rsid w:val="009D7973"/>
    <w:rsid w:val="009E39D9"/>
    <w:rsid w:val="009E472B"/>
    <w:rsid w:val="009F0280"/>
    <w:rsid w:val="009F3818"/>
    <w:rsid w:val="00A0340A"/>
    <w:rsid w:val="00A05DEE"/>
    <w:rsid w:val="00A13D91"/>
    <w:rsid w:val="00A2195F"/>
    <w:rsid w:val="00A266CE"/>
    <w:rsid w:val="00A301E9"/>
    <w:rsid w:val="00A30B02"/>
    <w:rsid w:val="00A40379"/>
    <w:rsid w:val="00A4185A"/>
    <w:rsid w:val="00A46213"/>
    <w:rsid w:val="00A51F6E"/>
    <w:rsid w:val="00A55C68"/>
    <w:rsid w:val="00A6013B"/>
    <w:rsid w:val="00A6501F"/>
    <w:rsid w:val="00A74966"/>
    <w:rsid w:val="00A74FA9"/>
    <w:rsid w:val="00A75F38"/>
    <w:rsid w:val="00AA64C0"/>
    <w:rsid w:val="00AB0292"/>
    <w:rsid w:val="00AB1C72"/>
    <w:rsid w:val="00AB5ACE"/>
    <w:rsid w:val="00AC376C"/>
    <w:rsid w:val="00AC3FC9"/>
    <w:rsid w:val="00AC4961"/>
    <w:rsid w:val="00AC6258"/>
    <w:rsid w:val="00AD21A7"/>
    <w:rsid w:val="00AF208A"/>
    <w:rsid w:val="00AF66F5"/>
    <w:rsid w:val="00B00BF9"/>
    <w:rsid w:val="00B10BA2"/>
    <w:rsid w:val="00B12EF3"/>
    <w:rsid w:val="00B23077"/>
    <w:rsid w:val="00B25039"/>
    <w:rsid w:val="00B319A8"/>
    <w:rsid w:val="00B422D9"/>
    <w:rsid w:val="00B42815"/>
    <w:rsid w:val="00B566D7"/>
    <w:rsid w:val="00B568A5"/>
    <w:rsid w:val="00B63110"/>
    <w:rsid w:val="00B658D0"/>
    <w:rsid w:val="00B719AB"/>
    <w:rsid w:val="00B7311D"/>
    <w:rsid w:val="00B847BB"/>
    <w:rsid w:val="00B97DA0"/>
    <w:rsid w:val="00BA59FB"/>
    <w:rsid w:val="00BA67B4"/>
    <w:rsid w:val="00BB12EF"/>
    <w:rsid w:val="00BC2537"/>
    <w:rsid w:val="00BC5392"/>
    <w:rsid w:val="00BC7661"/>
    <w:rsid w:val="00BD599B"/>
    <w:rsid w:val="00BD6A23"/>
    <w:rsid w:val="00BD7128"/>
    <w:rsid w:val="00BE0179"/>
    <w:rsid w:val="00BE2FA3"/>
    <w:rsid w:val="00BF4B43"/>
    <w:rsid w:val="00BF4DFB"/>
    <w:rsid w:val="00C025B4"/>
    <w:rsid w:val="00C0343A"/>
    <w:rsid w:val="00C07BB1"/>
    <w:rsid w:val="00C166AA"/>
    <w:rsid w:val="00C24861"/>
    <w:rsid w:val="00C27E6A"/>
    <w:rsid w:val="00C306F2"/>
    <w:rsid w:val="00C30C41"/>
    <w:rsid w:val="00C548D3"/>
    <w:rsid w:val="00C57399"/>
    <w:rsid w:val="00C67D9C"/>
    <w:rsid w:val="00C74246"/>
    <w:rsid w:val="00C76714"/>
    <w:rsid w:val="00C827E5"/>
    <w:rsid w:val="00C9600B"/>
    <w:rsid w:val="00CA54FD"/>
    <w:rsid w:val="00CB2F74"/>
    <w:rsid w:val="00CB3CC8"/>
    <w:rsid w:val="00CB56D8"/>
    <w:rsid w:val="00CC4907"/>
    <w:rsid w:val="00CD079B"/>
    <w:rsid w:val="00CD6CBA"/>
    <w:rsid w:val="00CE0931"/>
    <w:rsid w:val="00CF3089"/>
    <w:rsid w:val="00CF618F"/>
    <w:rsid w:val="00D040C6"/>
    <w:rsid w:val="00D05BE3"/>
    <w:rsid w:val="00D262F1"/>
    <w:rsid w:val="00D4368F"/>
    <w:rsid w:val="00D5417D"/>
    <w:rsid w:val="00D55D9E"/>
    <w:rsid w:val="00D572A4"/>
    <w:rsid w:val="00D67329"/>
    <w:rsid w:val="00D733F2"/>
    <w:rsid w:val="00D76D0B"/>
    <w:rsid w:val="00D81B9D"/>
    <w:rsid w:val="00D84EF4"/>
    <w:rsid w:val="00DA2604"/>
    <w:rsid w:val="00DA346C"/>
    <w:rsid w:val="00DB27E2"/>
    <w:rsid w:val="00DC0077"/>
    <w:rsid w:val="00DC1AA6"/>
    <w:rsid w:val="00DC348E"/>
    <w:rsid w:val="00DD02BE"/>
    <w:rsid w:val="00DE6FD6"/>
    <w:rsid w:val="00DE7794"/>
    <w:rsid w:val="00E02BD5"/>
    <w:rsid w:val="00E171CC"/>
    <w:rsid w:val="00E25770"/>
    <w:rsid w:val="00E271F9"/>
    <w:rsid w:val="00E34C76"/>
    <w:rsid w:val="00E366BF"/>
    <w:rsid w:val="00E37D2B"/>
    <w:rsid w:val="00E42DA5"/>
    <w:rsid w:val="00E56896"/>
    <w:rsid w:val="00E56E63"/>
    <w:rsid w:val="00E57C5D"/>
    <w:rsid w:val="00E6103A"/>
    <w:rsid w:val="00E74D52"/>
    <w:rsid w:val="00E80D89"/>
    <w:rsid w:val="00EB1FA1"/>
    <w:rsid w:val="00EB2C7D"/>
    <w:rsid w:val="00ED0646"/>
    <w:rsid w:val="00ED09EA"/>
    <w:rsid w:val="00ED19C9"/>
    <w:rsid w:val="00ED7653"/>
    <w:rsid w:val="00EE0B5F"/>
    <w:rsid w:val="00EE0BDF"/>
    <w:rsid w:val="00EE3E50"/>
    <w:rsid w:val="00EE66D0"/>
    <w:rsid w:val="00EE7F30"/>
    <w:rsid w:val="00EF0B2E"/>
    <w:rsid w:val="00EF5C90"/>
    <w:rsid w:val="00F10938"/>
    <w:rsid w:val="00F17911"/>
    <w:rsid w:val="00F17A39"/>
    <w:rsid w:val="00F24399"/>
    <w:rsid w:val="00F250C5"/>
    <w:rsid w:val="00F270D0"/>
    <w:rsid w:val="00F3136A"/>
    <w:rsid w:val="00F37832"/>
    <w:rsid w:val="00F41704"/>
    <w:rsid w:val="00F42B8C"/>
    <w:rsid w:val="00F44514"/>
    <w:rsid w:val="00F50FF0"/>
    <w:rsid w:val="00F53571"/>
    <w:rsid w:val="00F5444B"/>
    <w:rsid w:val="00F65276"/>
    <w:rsid w:val="00F72913"/>
    <w:rsid w:val="00F74BB8"/>
    <w:rsid w:val="00F76255"/>
    <w:rsid w:val="00F801B9"/>
    <w:rsid w:val="00F84540"/>
    <w:rsid w:val="00F866DE"/>
    <w:rsid w:val="00F96ED9"/>
    <w:rsid w:val="00FA03FB"/>
    <w:rsid w:val="00FB1F31"/>
    <w:rsid w:val="00FC3CD7"/>
    <w:rsid w:val="00FD034E"/>
    <w:rsid w:val="00FE0014"/>
    <w:rsid w:val="00FE16D2"/>
    <w:rsid w:val="00FE5D67"/>
    <w:rsid w:val="00FF44AA"/>
    <w:rsid w:val="02CA3CA8"/>
    <w:rsid w:val="0440568B"/>
    <w:rsid w:val="054D5081"/>
    <w:rsid w:val="0663677F"/>
    <w:rsid w:val="06A92350"/>
    <w:rsid w:val="073C72AA"/>
    <w:rsid w:val="0854278F"/>
    <w:rsid w:val="090B700E"/>
    <w:rsid w:val="0C1F4E62"/>
    <w:rsid w:val="0E6270C7"/>
    <w:rsid w:val="0F6B0AEA"/>
    <w:rsid w:val="0FF92FFA"/>
    <w:rsid w:val="104F21BA"/>
    <w:rsid w:val="112453F4"/>
    <w:rsid w:val="11A55AA9"/>
    <w:rsid w:val="12EF7CAE"/>
    <w:rsid w:val="13215138"/>
    <w:rsid w:val="14D60B7D"/>
    <w:rsid w:val="15573B1C"/>
    <w:rsid w:val="15D524F2"/>
    <w:rsid w:val="1893718E"/>
    <w:rsid w:val="189B3AC2"/>
    <w:rsid w:val="1A136006"/>
    <w:rsid w:val="1ADD5F65"/>
    <w:rsid w:val="1B6F1962"/>
    <w:rsid w:val="1BD627E9"/>
    <w:rsid w:val="1C112ED9"/>
    <w:rsid w:val="1D882867"/>
    <w:rsid w:val="1F083799"/>
    <w:rsid w:val="200A3A07"/>
    <w:rsid w:val="206340DB"/>
    <w:rsid w:val="21076199"/>
    <w:rsid w:val="22AB4EE5"/>
    <w:rsid w:val="22FB28BD"/>
    <w:rsid w:val="24D70199"/>
    <w:rsid w:val="25CB1D8F"/>
    <w:rsid w:val="25E1520A"/>
    <w:rsid w:val="261E6BA2"/>
    <w:rsid w:val="27575971"/>
    <w:rsid w:val="27E06D04"/>
    <w:rsid w:val="27E50E00"/>
    <w:rsid w:val="29271066"/>
    <w:rsid w:val="29D032AC"/>
    <w:rsid w:val="2B7E52A9"/>
    <w:rsid w:val="2C163734"/>
    <w:rsid w:val="2C602C01"/>
    <w:rsid w:val="2DF86253"/>
    <w:rsid w:val="2E253E4E"/>
    <w:rsid w:val="2E58179D"/>
    <w:rsid w:val="30601421"/>
    <w:rsid w:val="310F3573"/>
    <w:rsid w:val="333C3388"/>
    <w:rsid w:val="334E1991"/>
    <w:rsid w:val="348D1344"/>
    <w:rsid w:val="357C39D0"/>
    <w:rsid w:val="3857135C"/>
    <w:rsid w:val="38B22A8A"/>
    <w:rsid w:val="39FC6177"/>
    <w:rsid w:val="3A2A4F7A"/>
    <w:rsid w:val="3BD97102"/>
    <w:rsid w:val="3C253626"/>
    <w:rsid w:val="3DA45043"/>
    <w:rsid w:val="3E4B54BF"/>
    <w:rsid w:val="3E5F1744"/>
    <w:rsid w:val="3EBA43F3"/>
    <w:rsid w:val="3F827606"/>
    <w:rsid w:val="431F0447"/>
    <w:rsid w:val="43A93C98"/>
    <w:rsid w:val="47A938C8"/>
    <w:rsid w:val="49971456"/>
    <w:rsid w:val="4A391A82"/>
    <w:rsid w:val="4A993A56"/>
    <w:rsid w:val="4A9D74AF"/>
    <w:rsid w:val="4B133808"/>
    <w:rsid w:val="4BDA3841"/>
    <w:rsid w:val="4CA22375"/>
    <w:rsid w:val="4F714A10"/>
    <w:rsid w:val="4FB05A0F"/>
    <w:rsid w:val="50372583"/>
    <w:rsid w:val="51B86EB8"/>
    <w:rsid w:val="52857229"/>
    <w:rsid w:val="528C6644"/>
    <w:rsid w:val="52B53D55"/>
    <w:rsid w:val="52DA7305"/>
    <w:rsid w:val="53153B1C"/>
    <w:rsid w:val="543D7E8D"/>
    <w:rsid w:val="55CA062E"/>
    <w:rsid w:val="564C4DC1"/>
    <w:rsid w:val="56A610B5"/>
    <w:rsid w:val="573C6BBB"/>
    <w:rsid w:val="57835DA6"/>
    <w:rsid w:val="57D83DFB"/>
    <w:rsid w:val="58B8154B"/>
    <w:rsid w:val="59C0182F"/>
    <w:rsid w:val="5AB84A39"/>
    <w:rsid w:val="5ABA3BBB"/>
    <w:rsid w:val="5ACA19C4"/>
    <w:rsid w:val="5B1D3E09"/>
    <w:rsid w:val="5B714C8B"/>
    <w:rsid w:val="5B8637E6"/>
    <w:rsid w:val="5C467A75"/>
    <w:rsid w:val="5D2461D2"/>
    <w:rsid w:val="5DFB3BF1"/>
    <w:rsid w:val="5E2C6C63"/>
    <w:rsid w:val="5F023B27"/>
    <w:rsid w:val="61236D3F"/>
    <w:rsid w:val="61371BA7"/>
    <w:rsid w:val="629D3C8C"/>
    <w:rsid w:val="63BC6393"/>
    <w:rsid w:val="643E149E"/>
    <w:rsid w:val="653F54CE"/>
    <w:rsid w:val="65D35C16"/>
    <w:rsid w:val="66805D9E"/>
    <w:rsid w:val="66A42069"/>
    <w:rsid w:val="67380427"/>
    <w:rsid w:val="67C22C41"/>
    <w:rsid w:val="69FB2DF3"/>
    <w:rsid w:val="69FB573C"/>
    <w:rsid w:val="6ADA6FE4"/>
    <w:rsid w:val="6B2D43FA"/>
    <w:rsid w:val="6BAE48BA"/>
    <w:rsid w:val="6BCE14CB"/>
    <w:rsid w:val="6C315F54"/>
    <w:rsid w:val="6CF938AA"/>
    <w:rsid w:val="6ED2525C"/>
    <w:rsid w:val="6F991EAF"/>
    <w:rsid w:val="709C1A26"/>
    <w:rsid w:val="74052E79"/>
    <w:rsid w:val="74975E06"/>
    <w:rsid w:val="74C41A73"/>
    <w:rsid w:val="763F3FDA"/>
    <w:rsid w:val="769B71B7"/>
    <w:rsid w:val="770E504C"/>
    <w:rsid w:val="788D659F"/>
    <w:rsid w:val="78B96EEE"/>
    <w:rsid w:val="794C7D62"/>
    <w:rsid w:val="79D25704"/>
    <w:rsid w:val="7A212553"/>
    <w:rsid w:val="7A754B63"/>
    <w:rsid w:val="7A770196"/>
    <w:rsid w:val="7B7B66DC"/>
    <w:rsid w:val="7C043085"/>
    <w:rsid w:val="7C1A4147"/>
    <w:rsid w:val="7CCA5445"/>
    <w:rsid w:val="7E4C08AF"/>
    <w:rsid w:val="7FC654F5"/>
    <w:rsid w:val="7FDA3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jc w:val="left"/>
    </w:pPr>
    <w:rPr>
      <w:rFonts w:eastAsia="宋体" w:cs="Times New Roman"/>
      <w:kern w:val="0"/>
      <w:sz w:val="24"/>
      <w:szCs w:val="24"/>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列出段落1"/>
    <w:basedOn w:val="1"/>
    <w:qFormat/>
    <w:uiPriority w:val="0"/>
    <w:pPr>
      <w:ind w:firstLine="420" w:firstLineChars="200"/>
    </w:pPr>
  </w:style>
  <w:style w:type="character" w:customStyle="1" w:styleId="13">
    <w:name w:val="批注文字 字符"/>
    <w:basedOn w:val="8"/>
    <w:link w:val="2"/>
    <w:semiHidden/>
    <w:qFormat/>
    <w:uiPriority w:val="99"/>
    <w:rPr>
      <w:rFonts w:ascii="Calibri" w:hAnsi="Calibri"/>
    </w:rPr>
  </w:style>
  <w:style w:type="character" w:customStyle="1" w:styleId="14">
    <w:name w:val="批注框文本 字符"/>
    <w:basedOn w:val="8"/>
    <w:link w:val="3"/>
    <w:semiHidden/>
    <w:qFormat/>
    <w:uiPriority w:val="99"/>
    <w:rPr>
      <w:rFonts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ontractReview xmlns="http://schemas.wps.cn/vas-ai-hub/contract-review">
  <reviewItems>
    <reviewItem>
      <errorID>b7a738e9-604b-44a5-9094-fa4a5281d200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2C5D5956</paraID>
      <start>15</start>
      <end>16</end>
      <status>unmodified</status>
      <modifiedWord/>
      <trackRevisions>false</trackRevisions>
    </reviewItem>
    <reviewItem>
      <errorID>5d788e86-6531-49ed-acbb-614e5cf4cb6b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1A3578AB</paraID>
      <start>20</start>
      <end>21</end>
      <status>unmodified</status>
      <modifiedWord/>
      <trackRevisions>false</trackRevisions>
    </reviewItem>
    <reviewItem>
      <errorID>ed85fcfb-be7b-4d14-a004-ea07eb6e84ea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7CDBD85E</paraID>
      <start>11</start>
      <end>12</end>
      <status>unmodified</status>
      <modifiedWord/>
      <trackRevisions>false</trackRevisions>
    </reviewItem>
    <reviewItem>
      <errorID>49446fdd-f9c7-4c27-9a3c-195629701fe5</errorID>
      <errorWord>但不仅限于以下</errorWord>
      <group>L1_Word</group>
      <groupName>字词问题</groupName>
      <ability>L2_Typo</ability>
      <abilityName>字词错误</abilityName>
      <candidateList>
        <item>但不限于以下</item>
      </candidateList>
      <explain/>
      <paraID>7CDBD85E</paraID>
      <start>162</start>
      <end>169</end>
      <status>unmodified</status>
      <modifiedWord/>
      <trackRevisions>false</trackRevisions>
    </reviewItem>
    <reviewItem>
      <errorID>bc7f62df-1507-4c59-a453-5e21a8e3809d</errorID>
      <errorWord>个总成的</errorWord>
      <group>L1_Word</group>
      <groupName>字词问题</groupName>
      <ability>L2_Typo</ability>
      <abilityName>字词错误</abilityName>
      <candidateList>
        <item>各总成的</item>
      </candidateList>
      <explain/>
      <paraID>54E57A6D</paraID>
      <start>105</start>
      <end>109</end>
      <status>unmodified</status>
      <modifiedWord/>
      <trackRevisions>false</trackRevisions>
    </reviewItem>
    <reviewItem>
      <errorID>5680bafa-72a4-45ff-9769-300e1552742b</errorID>
      <errorWord>以做</errorWord>
      <group>L1_Word</group>
      <groupName>字词问题</groupName>
      <ability>L2_Typo</ability>
      <abilityName>字词错误</abilityName>
      <candidateList>
        <item>以便</item>
      </candidateList>
      <explain/>
      <paraID>2DCD126E</paraID>
      <start>51</start>
      <end>53</end>
      <status>unmodified</status>
      <modifiedWord/>
      <trackRevisions>false</trackRevisions>
    </reviewItem>
    <reviewItem>
      <errorID>12be17b4-3845-4fd0-b973-65f4e0d11bf5</errorID>
      <errorWord>详实</errorWord>
      <group>L1_Word</group>
      <groupName>字词问题</groupName>
      <ability>L2_Typo</ability>
      <abilityName>字词错误</abilityName>
      <candidateList>
        <item>翔实</item>
      </candidateList>
      <explain/>
      <paraID>5E18BD1F</paraID>
      <start>5</start>
      <end>7</end>
      <status>unmodified</status>
      <modifiedWord/>
      <trackRevisions>false</trackRevisions>
    </reviewItem>
    <reviewItem>
      <errorID>213f3971-b622-45ea-b4e5-4f1de984bdab</errorID>
      <errorWord>详实</errorWord>
      <group>L1_Word</group>
      <groupName>字词问题</groupName>
      <ability>L2_Typo</ability>
      <abilityName>字词错误</abilityName>
      <candidateList>
        <item>翔实</item>
      </candidateList>
      <explain/>
      <paraID>49DAE8B2</paraID>
      <start>31</start>
      <end>33</end>
      <status>unmodified</status>
      <modifiedWord/>
      <trackRevisions>false</trackRevisions>
    </reviewItem>
    <reviewItem>
      <errorID>521652cd-fa62-4929-8a9c-e3df5cdb7178</errorID>
      <errorWord>详实</errorWord>
      <group>L1_Word</group>
      <groupName>字词问题</groupName>
      <ability>L2_Typo</ability>
      <abilityName>字词错误</abilityName>
      <candidateList>
        <item>翔实</item>
      </candidateList>
      <explain>存在发音相同字词的误用。</explain>
      <paraID>49DAE8B2</paraID>
      <start>97</start>
      <end>99</end>
      <status>unmodified</status>
      <modifiedWord/>
      <trackRevisions>false</trackRevisions>
    </reviewItem>
    <reviewItem>
      <errorID>7d7bd390-ad9e-4e0b-bbcb-59bd195e4380</errorID>
      <errorWord>,</errorWord>
      <group>L1_Format</group>
      <groupName>格式问题</groupName>
      <ability>L2_HalfPunc_CN</ability>
      <abilityName>全半角检查</abilityName>
      <candidateList>
        <item>，</item>
      </candidateList>
      <explain>文本全半角错误。</explain>
      <paraID>49DAE8B2</paraID>
      <start>123</start>
      <end>124</end>
      <status>unmodified</status>
      <modifiedWord/>
      <trackRevisions>false</trackRevisions>
    </reviewItem>
    <reviewItem>
      <errorID>a1e53691-0b82-45a0-8ee5-405b59630a68</errorID>
      <errorWord>其间</errorWord>
      <group>L1_Word</group>
      <groupName>字词问题</groupName>
      <ability>L2_Typo</ability>
      <abilityName>字词错误</abilityName>
      <candidateList>
        <item>期间</item>
      </candidateList>
      <explain>存在发音相同字词的误用。</explain>
      <paraID>6F384C67</paraID>
      <start>38</start>
      <end>40</end>
      <status>unmodified</status>
      <modifiedWord/>
      <trackRevisions>false</trackRevisions>
    </reviewItem>
    <reviewItem>
      <errorID>7ffb778d-2bd8-4330-a441-083091256b41</errorID>
      <errorWord>法律、法规</errorWord>
      <group>L1_Word</group>
      <groupName>字词问题</groupName>
      <ability>L2_Typo</ability>
      <abilityName>字词错误</abilityName>
      <candidateList>
        <item>法律法规</item>
      </candidateList>
      <explain/>
      <paraID> 183A3FC</paraID>
      <start>88</start>
      <end>93</end>
      <status>unmodified</status>
      <modifiedWord/>
      <trackRevisions>false</trackRevisions>
    </reviewItem>
    <reviewItem>
      <errorID>55dc015e-aab9-4eca-990b-9038d8eaad8d</errorID>
      <errorWord>法律、法规</errorWord>
      <group>L1_Word</group>
      <groupName>字词问题</groupName>
      <ability>L2_Typo</ability>
      <abilityName>字词错误</abilityName>
      <candidateList>
        <item>法律法规</item>
      </candidateList>
      <explain/>
      <paraID>72F6F58B</paraID>
      <start>4</start>
      <end>9</end>
      <status>unmodified</status>
      <modifiedWord/>
      <trackRevisions>false</trackRevisions>
    </reviewItem>
    <reviewItem>
      <errorID>ffe315d0-b723-4a68-8643-1ee34dc52cb4</errorID>
      <errorWord>法律、法规</errorWord>
      <group>L1_Word</group>
      <groupName>字词问题</groupName>
      <ability>L2_Typo</ability>
      <abilityName>字词错误</abilityName>
      <candidateList>
        <item>法律法规</item>
      </candidateList>
      <explain/>
      <paraID>620C3AC9</paraID>
      <start>56</start>
      <end>61</end>
      <status>unmodified</status>
      <modifiedWord/>
      <trackRevisions>false</trackRevisions>
    </reviewItem>
    <reviewItem>
      <errorID>b32d4016-25fc-4fd5-aaed-107073b56cd9</errorID>
      <errorWord>法律、法规</errorWord>
      <group>L1_Word</group>
      <groupName>字词问题</groupName>
      <ability>L2_Typo</ability>
      <abilityName>字词错误</abilityName>
      <candidateList>
        <item>法律法规</item>
      </candidateList>
      <explain/>
      <paraID>620C3AC9</paraID>
      <start>78</start>
      <end>83</end>
      <status>unmodified</status>
      <modifiedWord/>
      <trackRevisions>false</trackRevisions>
    </reviewItem>
  </reviewItems>
  <config/>
</contractReview>
</file>

<file path=customXml/itemProps1.xml><?xml version="1.0" encoding="utf-8"?>
<ds:datastoreItem xmlns:ds="http://schemas.openxmlformats.org/officeDocument/2006/customXml" ds:itemID="{1622CA40-17CA-490F-9F6D-40C8930BDFAA}">
  <ds:schemaRefs/>
</ds:datastoreItem>
</file>

<file path=customXml/itemProps2.xml><?xml version="1.0" encoding="utf-8"?>
<ds:datastoreItem xmlns:ds="http://schemas.openxmlformats.org/officeDocument/2006/customXml" ds:itemID="{3829fc00-6a55-4e47-b890-f01ec07c612e}">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26</Pages>
  <Words>93</Words>
  <Characters>110</Characters>
  <Lines>46</Lines>
  <Paragraphs>13</Paragraphs>
  <TotalTime>0</TotalTime>
  <ScaleCrop>false</ScaleCrop>
  <LinksUpToDate>false</LinksUpToDate>
  <CharactersWithSpaces>112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2025-11-17T06:23:00Z</dcterms:created>
  <dc:creator>jn</dc:creator>
  <cp:lastModifiedBy>李帅威</cp:lastModifiedBy>
  <cp:lastPrinted>2020-11-12T08:27:00Z</cp:lastPrinted>
  <dcterms:modified xsi:type="dcterms:W3CDTF">2026-11-06T10:58:16Z</dcterms:modified>
  <cp:revision>431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90C8F0E2BA0D4229B93026EF9734F184_13</vt:lpwstr>
  </property>
  <property fmtid="{D5CDD505-2E9C-101B-9397-08002B2CF9AE}" pid="4" name="KSOTemplateDocerSaveRecord">
    <vt:lpwstr>eyJoZGlkIjoiZDZiY2E3MTk3OWVkMDZmNDgwYmUwNDViMmIxMTA0OGYiLCJ1c2VySWQiOiIxNzY1NTM3NjAwIn0=</vt:lpwstr>
  </property>
</Properties>
</file>