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59B39C">
      <w:pPr>
        <w:jc w:val="center"/>
        <w:rPr>
          <w:rFonts w:hint="eastAsia" w:ascii="方正小标宋简体" w:hAnsi="方正小标宋简体" w:eastAsia="方正小标宋简体" w:cs="方正小标宋简体"/>
          <w:sz w:val="44"/>
          <w:szCs w:val="44"/>
          <w:highlight w:val="none"/>
        </w:rPr>
      </w:pPr>
    </w:p>
    <w:p w14:paraId="7E921449">
      <w:pPr>
        <w:jc w:val="center"/>
        <w:rPr>
          <w:rFonts w:hint="eastAsia" w:ascii="方正小标宋简体" w:hAnsi="方正小标宋简体" w:eastAsia="方正小标宋简体" w:cs="方正小标宋简体"/>
          <w:sz w:val="44"/>
          <w:szCs w:val="44"/>
          <w:highlight w:val="none"/>
        </w:rPr>
      </w:pPr>
    </w:p>
    <w:p w14:paraId="46D13C24">
      <w:pPr>
        <w:spacing w:line="560" w:lineRule="exact"/>
        <w:jc w:val="center"/>
        <w:rPr>
          <w:rFonts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rPr>
        <w:t>中国重汽202</w:t>
      </w:r>
      <w:r>
        <w:rPr>
          <w:rFonts w:hint="eastAsia" w:ascii="方正小标宋简体" w:hAnsi="方正小标宋简体" w:eastAsia="方正小标宋简体" w:cs="方正小标宋简体"/>
          <w:sz w:val="44"/>
          <w:szCs w:val="44"/>
          <w:highlight w:val="none"/>
          <w:lang w:val="en-US" w:eastAsia="zh-CN"/>
        </w:rPr>
        <w:t>7</w:t>
      </w:r>
      <w:r>
        <w:rPr>
          <w:rFonts w:hint="eastAsia" w:ascii="方正小标宋简体" w:hAnsi="方正小标宋简体" w:eastAsia="方正小标宋简体" w:cs="方正小标宋简体"/>
          <w:sz w:val="44"/>
          <w:szCs w:val="44"/>
          <w:highlight w:val="none"/>
        </w:rPr>
        <w:t>年合作伙伴大会</w:t>
      </w:r>
    </w:p>
    <w:p w14:paraId="01F053D3">
      <w:pPr>
        <w:spacing w:line="560" w:lineRule="exact"/>
        <w:jc w:val="center"/>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多元价值</w:t>
      </w:r>
      <w:r>
        <w:rPr>
          <w:rFonts w:hint="eastAsia" w:ascii="方正小标宋简体" w:hAnsi="方正小标宋简体" w:eastAsia="方正小标宋简体" w:cs="方正小标宋简体"/>
          <w:sz w:val="44"/>
          <w:szCs w:val="44"/>
          <w:highlight w:val="none"/>
        </w:rPr>
        <w:t>馆</w:t>
      </w:r>
      <w:r>
        <w:rPr>
          <w:rFonts w:hint="eastAsia" w:ascii="方正小标宋简体" w:hAnsi="方正小标宋简体" w:eastAsia="方正小标宋简体" w:cs="方正小标宋简体"/>
          <w:sz w:val="44"/>
          <w:szCs w:val="44"/>
          <w:highlight w:val="none"/>
          <w:lang w:val="en-US" w:eastAsia="zh-CN"/>
        </w:rPr>
        <w:t>及外场</w:t>
      </w:r>
      <w:r>
        <w:rPr>
          <w:rFonts w:hint="eastAsia" w:ascii="方正小标宋简体" w:hAnsi="方正小标宋简体" w:eastAsia="方正小标宋简体" w:cs="方正小标宋简体"/>
          <w:sz w:val="44"/>
          <w:szCs w:val="44"/>
          <w:highlight w:val="none"/>
        </w:rPr>
        <w:t>布展执行系列活动项目</w:t>
      </w:r>
    </w:p>
    <w:p w14:paraId="04BF0B0D">
      <w:pPr>
        <w:spacing w:line="560" w:lineRule="exact"/>
        <w:jc w:val="center"/>
        <w:rPr>
          <w:rFonts w:hint="eastAsia" w:ascii="方正小标宋简体" w:hAnsi="方正小标宋简体" w:eastAsia="方正小标宋简体" w:cs="方正小标宋简体"/>
          <w:sz w:val="44"/>
          <w:szCs w:val="44"/>
          <w:highlight w:val="none"/>
        </w:rPr>
      </w:pPr>
    </w:p>
    <w:p w14:paraId="3865EC91">
      <w:pPr>
        <w:jc w:val="center"/>
        <w:rPr>
          <w:rFonts w:hint="eastAsia" w:ascii="仿宋_GB2312" w:hAnsi="仿宋_GB2312" w:eastAsia="仿宋_GB2312" w:cs="仿宋_GB2312"/>
          <w:b/>
          <w:sz w:val="28"/>
          <w:szCs w:val="28"/>
          <w:highlight w:val="none"/>
        </w:rPr>
      </w:pPr>
    </w:p>
    <w:p w14:paraId="418C61CB">
      <w:pPr>
        <w:jc w:val="center"/>
        <w:rPr>
          <w:rFonts w:hint="eastAsia" w:ascii="仿宋_GB2312" w:hAnsi="仿宋_GB2312" w:eastAsia="仿宋_GB2312" w:cs="仿宋_GB2312"/>
          <w:b/>
          <w:sz w:val="28"/>
          <w:szCs w:val="28"/>
          <w:highlight w:val="none"/>
        </w:rPr>
      </w:pPr>
    </w:p>
    <w:p w14:paraId="0FE3E30D">
      <w:pPr>
        <w:jc w:val="center"/>
        <w:rPr>
          <w:rFonts w:hint="eastAsia" w:ascii="仿宋_GB2312" w:hAnsi="仿宋_GB2312" w:eastAsia="仿宋_GB2312" w:cs="仿宋_GB2312"/>
          <w:b/>
          <w:sz w:val="28"/>
          <w:szCs w:val="28"/>
          <w:highlight w:val="none"/>
        </w:rPr>
      </w:pPr>
    </w:p>
    <w:p w14:paraId="3232D7D4">
      <w:pPr>
        <w:jc w:val="center"/>
        <w:rPr>
          <w:rFonts w:hint="eastAsia" w:ascii="仿宋_GB2312" w:hAnsi="仿宋_GB2312" w:eastAsia="仿宋_GB2312" w:cs="仿宋_GB2312"/>
          <w:b/>
          <w:sz w:val="28"/>
          <w:szCs w:val="28"/>
          <w:highlight w:val="none"/>
        </w:rPr>
      </w:pPr>
    </w:p>
    <w:p w14:paraId="28F9D71B">
      <w:pPr>
        <w:jc w:val="center"/>
        <w:rPr>
          <w:rFonts w:ascii="黑体" w:eastAsia="黑体"/>
          <w:b/>
          <w:sz w:val="92"/>
          <w:szCs w:val="92"/>
          <w:highlight w:val="none"/>
        </w:rPr>
      </w:pPr>
      <w:r>
        <w:rPr>
          <w:rFonts w:hint="eastAsia" w:ascii="黑体" w:eastAsia="黑体"/>
          <w:b/>
          <w:sz w:val="92"/>
          <w:szCs w:val="92"/>
          <w:highlight w:val="none"/>
          <w:lang w:val="en-US" w:eastAsia="zh-CN"/>
        </w:rPr>
        <w:t>招标</w:t>
      </w:r>
      <w:r>
        <w:rPr>
          <w:rFonts w:hint="eastAsia" w:ascii="黑体" w:eastAsia="黑体"/>
          <w:b/>
          <w:sz w:val="92"/>
          <w:szCs w:val="92"/>
          <w:highlight w:val="none"/>
        </w:rPr>
        <w:t>文件</w:t>
      </w:r>
    </w:p>
    <w:p w14:paraId="154ED34C">
      <w:pPr>
        <w:jc w:val="center"/>
        <w:rPr>
          <w:rFonts w:hint="eastAsia" w:ascii="仿宋_GB2312" w:hAnsi="仿宋_GB2312" w:eastAsia="仿宋_GB2312" w:cs="仿宋_GB2312"/>
          <w:b/>
          <w:sz w:val="28"/>
          <w:szCs w:val="28"/>
          <w:highlight w:val="none"/>
        </w:rPr>
      </w:pPr>
    </w:p>
    <w:p w14:paraId="0782920E">
      <w:pPr>
        <w:jc w:val="center"/>
        <w:rPr>
          <w:rFonts w:hint="eastAsia" w:ascii="仿宋_GB2312" w:hAnsi="仿宋_GB2312" w:eastAsia="仿宋_GB2312" w:cs="仿宋_GB2312"/>
          <w:b/>
          <w:sz w:val="28"/>
          <w:szCs w:val="28"/>
          <w:highlight w:val="none"/>
        </w:rPr>
      </w:pPr>
    </w:p>
    <w:p w14:paraId="0A2FB576">
      <w:pPr>
        <w:jc w:val="center"/>
        <w:rPr>
          <w:rFonts w:hint="eastAsia" w:ascii="仿宋_GB2312" w:hAnsi="仿宋_GB2312" w:eastAsia="仿宋_GB2312" w:cs="仿宋_GB2312"/>
          <w:b/>
          <w:sz w:val="28"/>
          <w:szCs w:val="28"/>
          <w:highlight w:val="none"/>
        </w:rPr>
      </w:pPr>
    </w:p>
    <w:p w14:paraId="4AA21A2D">
      <w:pPr>
        <w:jc w:val="center"/>
        <w:rPr>
          <w:rFonts w:hint="eastAsia" w:ascii="仿宋_GB2312" w:hAnsi="仿宋_GB2312" w:eastAsia="仿宋_GB2312" w:cs="仿宋_GB2312"/>
          <w:b/>
          <w:sz w:val="28"/>
          <w:szCs w:val="28"/>
          <w:highlight w:val="none"/>
        </w:rPr>
      </w:pPr>
    </w:p>
    <w:p w14:paraId="688577D3">
      <w:pPr>
        <w:jc w:val="center"/>
        <w:rPr>
          <w:rFonts w:hint="default" w:ascii="仿宋_GB2312" w:hAnsi="仿宋_GB2312" w:eastAsia="仿宋_GB2312" w:cs="仿宋_GB2312"/>
          <w:b/>
          <w:sz w:val="28"/>
          <w:szCs w:val="28"/>
          <w:highlight w:val="none"/>
          <w:lang w:val="en-US" w:eastAsia="zh-CN"/>
        </w:rPr>
      </w:pPr>
      <w:r>
        <w:rPr>
          <w:rFonts w:hint="eastAsia" w:ascii="仿宋_GB2312" w:hAnsi="仿宋_GB2312" w:eastAsia="仿宋_GB2312" w:cs="仿宋_GB2312"/>
          <w:b/>
          <w:sz w:val="28"/>
          <w:szCs w:val="28"/>
          <w:highlight w:val="none"/>
          <w:lang w:val="en-US" w:eastAsia="zh-CN"/>
        </w:rPr>
        <w:t>项目编号：</w:t>
      </w:r>
      <w:r>
        <w:rPr>
          <w:rFonts w:hint="eastAsia" w:ascii="仿宋_GB2312" w:hAnsi="仿宋_GB2312" w:eastAsia="仿宋_GB2312" w:cs="仿宋_GB2312"/>
          <w:b w:val="0"/>
          <w:bCs/>
          <w:sz w:val="28"/>
          <w:szCs w:val="28"/>
          <w:highlight w:val="none"/>
          <w:lang w:val="en-US" w:eastAsia="zh-CN"/>
        </w:rPr>
        <w:t>ZB</w:t>
      </w:r>
      <w:r>
        <w:rPr>
          <w:rFonts w:hint="eastAsia" w:ascii="仿宋_GB2312" w:hAnsi="仿宋_GB2312" w:eastAsia="仿宋_GB2312" w:cs="仿宋_GB2312"/>
          <w:b/>
          <w:sz w:val="28"/>
          <w:szCs w:val="28"/>
          <w:highlight w:val="none"/>
          <w:lang w:val="en-US" w:eastAsia="zh-CN"/>
        </w:rPr>
        <w:t>GL2026110193</w:t>
      </w:r>
    </w:p>
    <w:p w14:paraId="18965EE9">
      <w:pPr>
        <w:jc w:val="center"/>
        <w:rPr>
          <w:rFonts w:hint="eastAsia" w:ascii="仿宋_GB2312" w:hAnsi="仿宋_GB2312" w:eastAsia="仿宋_GB2312" w:cs="仿宋_GB2312"/>
          <w:b/>
          <w:sz w:val="28"/>
          <w:szCs w:val="28"/>
          <w:highlight w:val="none"/>
        </w:rPr>
      </w:pPr>
    </w:p>
    <w:p w14:paraId="722CAAA5">
      <w:pPr>
        <w:jc w:val="center"/>
        <w:rPr>
          <w:rFonts w:hint="eastAsia" w:ascii="仿宋_GB2312" w:hAnsi="仿宋_GB2312" w:eastAsia="仿宋_GB2312" w:cs="仿宋_GB2312"/>
          <w:b/>
          <w:sz w:val="28"/>
          <w:szCs w:val="28"/>
          <w:highlight w:val="none"/>
        </w:rPr>
      </w:pPr>
    </w:p>
    <w:p w14:paraId="4384DE80">
      <w:pPr>
        <w:jc w:val="center"/>
        <w:rPr>
          <w:rFonts w:hint="eastAsia" w:ascii="仿宋_GB2312" w:hAnsi="仿宋_GB2312" w:eastAsia="仿宋_GB2312" w:cs="仿宋_GB2312"/>
          <w:b/>
          <w:sz w:val="28"/>
          <w:szCs w:val="28"/>
          <w:highlight w:val="none"/>
        </w:rPr>
      </w:pPr>
    </w:p>
    <w:p w14:paraId="138976DE">
      <w:pPr>
        <w:jc w:val="center"/>
        <w:rPr>
          <w:rFonts w:hint="eastAsia" w:ascii="宋体" w:hAnsi="宋体" w:eastAsia="宋体"/>
          <w:b/>
          <w:sz w:val="32"/>
          <w:szCs w:val="32"/>
          <w:highlight w:val="none"/>
        </w:rPr>
      </w:pPr>
      <w:r>
        <w:rPr>
          <w:rFonts w:hint="eastAsia" w:ascii="宋体" w:hAnsi="宋体" w:eastAsia="宋体"/>
          <w:b/>
          <w:sz w:val="32"/>
          <w:szCs w:val="32"/>
          <w:highlight w:val="none"/>
        </w:rPr>
        <w:t>招标人：中国重汽集团济南动力有限公司</w:t>
      </w:r>
    </w:p>
    <w:p w14:paraId="0ADEBCCA">
      <w:pPr>
        <w:jc w:val="center"/>
        <w:rPr>
          <w:rFonts w:hint="eastAsia" w:ascii="宋体" w:hAnsi="宋体" w:eastAsia="宋体"/>
          <w:b/>
          <w:sz w:val="32"/>
          <w:szCs w:val="32"/>
          <w:highlight w:val="none"/>
        </w:rPr>
      </w:pPr>
      <w:r>
        <w:rPr>
          <w:rFonts w:hint="eastAsia" w:ascii="宋体" w:hAnsi="宋体" w:eastAsia="宋体"/>
          <w:b/>
          <w:sz w:val="32"/>
          <w:szCs w:val="32"/>
          <w:highlight w:val="none"/>
        </w:rPr>
        <w:t>日  期：二〇二</w:t>
      </w:r>
      <w:r>
        <w:rPr>
          <w:rFonts w:hint="eastAsia" w:ascii="宋体" w:hAnsi="宋体" w:eastAsia="宋体"/>
          <w:b/>
          <w:sz w:val="32"/>
          <w:szCs w:val="32"/>
          <w:highlight w:val="none"/>
          <w:lang w:val="en-US" w:eastAsia="zh-CN"/>
        </w:rPr>
        <w:t>六</w:t>
      </w:r>
      <w:r>
        <w:rPr>
          <w:rFonts w:hint="eastAsia" w:ascii="宋体" w:hAnsi="宋体" w:eastAsia="宋体"/>
          <w:b/>
          <w:sz w:val="32"/>
          <w:szCs w:val="32"/>
          <w:highlight w:val="none"/>
        </w:rPr>
        <w:t>年十</w:t>
      </w:r>
      <w:r>
        <w:rPr>
          <w:rFonts w:hint="eastAsia" w:ascii="宋体" w:hAnsi="宋体" w:eastAsia="宋体"/>
          <w:b/>
          <w:sz w:val="32"/>
          <w:szCs w:val="32"/>
          <w:highlight w:val="none"/>
          <w:lang w:val="en-US" w:eastAsia="zh-CN"/>
        </w:rPr>
        <w:t>一</w:t>
      </w:r>
      <w:r>
        <w:rPr>
          <w:rFonts w:hint="eastAsia" w:ascii="宋体" w:hAnsi="宋体" w:eastAsia="宋体"/>
          <w:b/>
          <w:sz w:val="32"/>
          <w:szCs w:val="32"/>
          <w:highlight w:val="none"/>
        </w:rPr>
        <w:t>月</w:t>
      </w:r>
    </w:p>
    <w:p w14:paraId="5B4C71C7">
      <w:pPr>
        <w:pStyle w:val="14"/>
        <w:tabs>
          <w:tab w:val="left" w:pos="862"/>
        </w:tabs>
        <w:spacing w:line="500" w:lineRule="exact"/>
        <w:ind w:left="142" w:firstLine="562"/>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一、投标须知</w:t>
      </w:r>
    </w:p>
    <w:p w14:paraId="6D7293D1">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1.招标人：中国重型汽车集团有限公司</w:t>
      </w:r>
    </w:p>
    <w:p w14:paraId="1D7F8039">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2.项目名称：中国重汽202</w:t>
      </w:r>
      <w:r>
        <w:rPr>
          <w:rFonts w:hint="eastAsia" w:ascii="仿宋_GB2312" w:hAnsi="仿宋_GB2312" w:eastAsia="仿宋_GB2312" w:cs="仿宋_GB2312"/>
          <w:sz w:val="28"/>
          <w:szCs w:val="28"/>
          <w:highlight w:val="none"/>
          <w:lang w:val="en-US" w:eastAsia="zh-CN"/>
        </w:rPr>
        <w:t>7</w:t>
      </w:r>
      <w:r>
        <w:rPr>
          <w:rFonts w:hint="eastAsia" w:ascii="仿宋_GB2312" w:hAnsi="仿宋_GB2312" w:eastAsia="仿宋_GB2312" w:cs="仿宋_GB2312"/>
          <w:sz w:val="28"/>
          <w:szCs w:val="28"/>
          <w:highlight w:val="none"/>
        </w:rPr>
        <w:t>年合作伙伴大会</w:t>
      </w:r>
      <w:r>
        <w:rPr>
          <w:rFonts w:hint="eastAsia" w:ascii="仿宋_GB2312" w:hAnsi="仿宋_GB2312" w:eastAsia="仿宋_GB2312" w:cs="仿宋_GB2312"/>
          <w:sz w:val="28"/>
          <w:szCs w:val="28"/>
          <w:highlight w:val="none"/>
          <w:lang w:val="en-US" w:eastAsia="zh-CN"/>
        </w:rPr>
        <w:t>多元价值</w:t>
      </w:r>
      <w:r>
        <w:rPr>
          <w:rFonts w:hint="eastAsia" w:ascii="仿宋_GB2312" w:hAnsi="仿宋_GB2312" w:eastAsia="仿宋_GB2312" w:cs="仿宋_GB2312"/>
          <w:sz w:val="28"/>
          <w:szCs w:val="28"/>
          <w:highlight w:val="none"/>
        </w:rPr>
        <w:t>馆</w:t>
      </w:r>
      <w:r>
        <w:rPr>
          <w:rFonts w:hint="eastAsia" w:ascii="仿宋_GB2312" w:hAnsi="仿宋_GB2312" w:eastAsia="仿宋_GB2312" w:cs="仿宋_GB2312"/>
          <w:sz w:val="28"/>
          <w:szCs w:val="28"/>
          <w:highlight w:val="none"/>
          <w:lang w:val="en-US" w:eastAsia="zh-CN"/>
        </w:rPr>
        <w:t>及外场</w:t>
      </w:r>
      <w:r>
        <w:rPr>
          <w:rFonts w:hint="eastAsia" w:ascii="仿宋_GB2312" w:hAnsi="仿宋_GB2312" w:eastAsia="仿宋_GB2312" w:cs="仿宋_GB2312"/>
          <w:sz w:val="28"/>
          <w:szCs w:val="28"/>
          <w:highlight w:val="none"/>
        </w:rPr>
        <w:t>布展执行系列活动项目</w:t>
      </w:r>
    </w:p>
    <w:p w14:paraId="6F73C905">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3.投标内容：中国重汽</w:t>
      </w:r>
      <w:r>
        <w:rPr>
          <w:rFonts w:hint="eastAsia" w:ascii="仿宋_GB2312" w:hAnsi="仿宋_GB2312" w:eastAsia="仿宋_GB2312" w:cs="仿宋_GB2312"/>
          <w:sz w:val="28"/>
          <w:szCs w:val="28"/>
          <w:highlight w:val="none"/>
          <w:lang w:eastAsia="zh-CN"/>
        </w:rPr>
        <w:t>2027</w:t>
      </w:r>
      <w:r>
        <w:rPr>
          <w:rFonts w:hint="eastAsia" w:ascii="仿宋_GB2312" w:hAnsi="仿宋_GB2312" w:eastAsia="仿宋_GB2312" w:cs="仿宋_GB2312"/>
          <w:sz w:val="28"/>
          <w:szCs w:val="28"/>
          <w:highlight w:val="none"/>
        </w:rPr>
        <w:t>年合作伙伴大会</w:t>
      </w:r>
      <w:r>
        <w:rPr>
          <w:rFonts w:hint="eastAsia" w:ascii="仿宋_GB2312" w:hAnsi="仿宋_GB2312" w:eastAsia="仿宋_GB2312" w:cs="仿宋_GB2312"/>
          <w:sz w:val="28"/>
          <w:szCs w:val="28"/>
          <w:highlight w:val="none"/>
          <w:lang w:eastAsia="zh-CN"/>
        </w:rPr>
        <w:t>2号馆</w:t>
      </w:r>
      <w:r>
        <w:rPr>
          <w:rFonts w:hint="eastAsia" w:ascii="仿宋_GB2312" w:hAnsi="仿宋_GB2312" w:eastAsia="仿宋_GB2312" w:cs="仿宋_GB2312"/>
          <w:sz w:val="28"/>
          <w:szCs w:val="28"/>
          <w:highlight w:val="none"/>
        </w:rPr>
        <w:t>及</w:t>
      </w:r>
      <w:r>
        <w:rPr>
          <w:rFonts w:hint="eastAsia" w:ascii="仿宋_GB2312" w:hAnsi="仿宋_GB2312" w:eastAsia="仿宋_GB2312" w:cs="仿宋_GB2312"/>
          <w:sz w:val="28"/>
          <w:szCs w:val="28"/>
          <w:highlight w:val="none"/>
          <w:lang w:val="en-US" w:eastAsia="zh-CN"/>
        </w:rPr>
        <w:t>外场展区、</w:t>
      </w:r>
      <w:r>
        <w:rPr>
          <w:rFonts w:hint="eastAsia" w:ascii="仿宋_GB2312" w:hAnsi="仿宋_GB2312" w:eastAsia="仿宋_GB2312" w:cs="仿宋_GB2312"/>
          <w:sz w:val="28"/>
          <w:szCs w:val="28"/>
          <w:highlight w:val="none"/>
        </w:rPr>
        <w:t>莱芜试验场布置项目展车展品布展的创意方案及美容、设计策划、物料设计制作及</w:t>
      </w:r>
      <w:r>
        <w:rPr>
          <w:rFonts w:hint="eastAsia" w:ascii="仿宋_GB2312" w:hAnsi="仿宋_GB2312" w:eastAsia="仿宋_GB2312" w:cs="仿宋_GB2312"/>
          <w:sz w:val="28"/>
          <w:szCs w:val="28"/>
          <w:highlight w:val="none"/>
          <w:lang w:val="en-US" w:eastAsia="zh-CN"/>
        </w:rPr>
        <w:t>活动</w:t>
      </w:r>
      <w:r>
        <w:rPr>
          <w:rFonts w:hint="eastAsia" w:ascii="仿宋_GB2312" w:hAnsi="仿宋_GB2312" w:eastAsia="仿宋_GB2312" w:cs="仿宋_GB2312"/>
          <w:sz w:val="28"/>
          <w:szCs w:val="28"/>
          <w:highlight w:val="none"/>
        </w:rPr>
        <w:t>执行等。</w:t>
      </w:r>
    </w:p>
    <w:p w14:paraId="08C49034">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4.项目周期：202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年1</w:t>
      </w:r>
      <w:r>
        <w:rPr>
          <w:rFonts w:hint="eastAsia" w:ascii="仿宋_GB2312" w:hAnsi="仿宋_GB2312" w:eastAsia="仿宋_GB2312" w:cs="仿宋_GB2312"/>
          <w:sz w:val="28"/>
          <w:szCs w:val="28"/>
          <w:highlight w:val="none"/>
          <w:lang w:val="en-US" w:eastAsia="zh-CN"/>
        </w:rPr>
        <w:t>1</w:t>
      </w:r>
      <w:r>
        <w:rPr>
          <w:rFonts w:hint="eastAsia" w:ascii="仿宋_GB2312" w:hAnsi="仿宋_GB2312" w:eastAsia="仿宋_GB2312" w:cs="仿宋_GB2312"/>
          <w:sz w:val="28"/>
          <w:szCs w:val="28"/>
          <w:highlight w:val="none"/>
        </w:rPr>
        <w:t>月-202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年12月（具体时间以合同为准）</w:t>
      </w:r>
    </w:p>
    <w:p w14:paraId="33D8CB4B">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报价方式：（人民币元）报价应包括服务项目中所包含的所有费用（包含但不限于：创意策划费、物料制作费、场地搭建费、素材美化费、活动执行费、音视频制作以及工商、税务、利润及人工等全部费用）且报价需体现不含税金额、税率及价税合计金额。</w:t>
      </w:r>
    </w:p>
    <w:p w14:paraId="5DDF650E">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6.地点及时间</w:t>
      </w:r>
    </w:p>
    <w:p w14:paraId="3D7046B5">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地点：中国重汽科技大厦</w:t>
      </w:r>
    </w:p>
    <w:p w14:paraId="133ADCD9">
      <w:pPr>
        <w:pStyle w:val="14"/>
        <w:spacing w:line="500" w:lineRule="exact"/>
        <w:ind w:firstLine="56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时间：</w:t>
      </w:r>
      <w:r>
        <w:rPr>
          <w:rFonts w:hint="eastAsia" w:ascii="仿宋_GB2312" w:hAnsi="仿宋_GB2312" w:eastAsia="仿宋_GB2312" w:cs="仿宋_GB2312"/>
          <w:sz w:val="28"/>
          <w:szCs w:val="28"/>
          <w:highlight w:val="none"/>
          <w:lang w:val="en-US" w:eastAsia="zh-CN"/>
        </w:rPr>
        <w:t>以e采通开标时间为准。</w:t>
      </w:r>
    </w:p>
    <w:p w14:paraId="70728EA5">
      <w:pPr>
        <w:pStyle w:val="14"/>
        <w:numPr>
          <w:ilvl w:val="0"/>
          <w:numId w:val="1"/>
        </w:numPr>
        <w:spacing w:line="500" w:lineRule="exact"/>
        <w:ind w:left="560" w:firstLine="0" w:firstLineChars="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联系人：</w:t>
      </w:r>
      <w:r>
        <w:rPr>
          <w:rFonts w:hint="eastAsia" w:ascii="仿宋_GB2312" w:hAnsi="仿宋_GB2312" w:eastAsia="仿宋_GB2312" w:cs="仿宋_GB2312"/>
          <w:sz w:val="28"/>
          <w:szCs w:val="28"/>
          <w:highlight w:val="none"/>
          <w:lang w:val="en-US" w:eastAsia="zh-CN"/>
        </w:rPr>
        <w:t>鞠秋冰</w:t>
      </w:r>
      <w:r>
        <w:rPr>
          <w:rFonts w:hint="eastAsia" w:ascii="仿宋_GB2312" w:hAnsi="仿宋_GB2312" w:eastAsia="仿宋_GB2312" w:cs="仿宋_GB2312"/>
          <w:sz w:val="28"/>
          <w:szCs w:val="28"/>
          <w:highlight w:val="none"/>
        </w:rPr>
        <w:t xml:space="preserve">   电话：1</w:t>
      </w:r>
      <w:r>
        <w:rPr>
          <w:rFonts w:hint="eastAsia" w:ascii="仿宋_GB2312" w:hAnsi="仿宋_GB2312" w:eastAsia="仿宋_GB2312" w:cs="仿宋_GB2312"/>
          <w:sz w:val="28"/>
          <w:szCs w:val="28"/>
          <w:highlight w:val="none"/>
          <w:lang w:val="en-US" w:eastAsia="zh-CN"/>
        </w:rPr>
        <w:t>7600737151</w:t>
      </w:r>
    </w:p>
    <w:p w14:paraId="0303AB1B">
      <w:pPr>
        <w:pStyle w:val="14"/>
        <w:numPr>
          <w:ilvl w:val="0"/>
          <w:numId w:val="1"/>
        </w:numPr>
        <w:spacing w:line="500" w:lineRule="exact"/>
        <w:ind w:left="560" w:firstLine="0" w:firstLineChars="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商务及e采通联系人:李帅威；17860605079</w:t>
      </w:r>
    </w:p>
    <w:p w14:paraId="13BAABAE">
      <w:pPr>
        <w:pStyle w:val="14"/>
        <w:spacing w:line="500" w:lineRule="exact"/>
        <w:ind w:firstLine="560"/>
        <w:rPr>
          <w:rFonts w:hint="eastAsia" w:ascii="仿宋_GB2312" w:hAnsi="仿宋_GB2312" w:eastAsia="仿宋_GB2312" w:cs="仿宋_GB2312"/>
          <w:sz w:val="28"/>
          <w:szCs w:val="28"/>
          <w:highlight w:val="none"/>
        </w:rPr>
      </w:pPr>
      <w:bookmarkStart w:id="0" w:name="_Hlk214545850"/>
      <w:r>
        <w:rPr>
          <w:rFonts w:hint="eastAsia" w:ascii="仿宋_GB2312" w:hAnsi="仿宋_GB2312" w:eastAsia="仿宋_GB2312" w:cs="仿宋_GB2312"/>
          <w:sz w:val="28"/>
          <w:szCs w:val="28"/>
          <w:highlight w:val="none"/>
        </w:rPr>
        <w:t>投标人应在开标前，从基本账户向招标人交纳人民币20000元的投标保证金后，才能获得本次招标的投标资格；投标人中标后，该保证金不再退还，自动转为履约保证金，如中标人拒绝签署合同，保证金不予退还；若投标人未中标，该保证金将在中标通知发布之日起30个工作日内原路径全额无息退还。报价必须涵盖所有类目，否则为无效投标，缴纳保证金时，应在汇款时注明“中国重汽</w:t>
      </w:r>
      <w:r>
        <w:rPr>
          <w:rFonts w:hint="eastAsia" w:ascii="仿宋_GB2312" w:hAnsi="仿宋_GB2312" w:eastAsia="仿宋_GB2312" w:cs="仿宋_GB2312"/>
          <w:sz w:val="28"/>
          <w:szCs w:val="28"/>
          <w:highlight w:val="none"/>
          <w:lang w:eastAsia="zh-CN"/>
        </w:rPr>
        <w:t>2027</w:t>
      </w:r>
      <w:r>
        <w:rPr>
          <w:rFonts w:hint="eastAsia" w:ascii="仿宋_GB2312" w:hAnsi="仿宋_GB2312" w:eastAsia="仿宋_GB2312" w:cs="仿宋_GB2312"/>
          <w:sz w:val="28"/>
          <w:szCs w:val="28"/>
          <w:highlight w:val="none"/>
        </w:rPr>
        <w:t>年合作伙伴大会系列项目保证金”。</w:t>
      </w:r>
    </w:p>
    <w:p w14:paraId="62E9F737">
      <w:pPr>
        <w:pStyle w:val="4"/>
        <w:widowControl/>
        <w:spacing w:line="500" w:lineRule="exact"/>
        <w:ind w:firstLine="843" w:firstLineChars="300"/>
        <w:rPr>
          <w:rFonts w:hint="eastAsia" w:ascii="仿宋_GB2312" w:hAnsi="仿宋_GB2312" w:eastAsia="仿宋_GB2312" w:cs="仿宋_GB2312"/>
          <w:b/>
          <w:bCs/>
          <w:sz w:val="28"/>
          <w:szCs w:val="28"/>
          <w:highlight w:val="none"/>
        </w:rPr>
      </w:pPr>
    </w:p>
    <w:p w14:paraId="6577BEB0">
      <w:pPr>
        <w:pStyle w:val="4"/>
        <w:widowControl/>
        <w:spacing w:line="500" w:lineRule="exact"/>
        <w:ind w:firstLine="843" w:firstLineChars="300"/>
        <w:rPr>
          <w:rFonts w:hint="eastAsia"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保证金缴纳账户：</w:t>
      </w:r>
    </w:p>
    <w:p w14:paraId="2B7F3EE2">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户名：中国重汽集团济南动力有限公司 </w:t>
      </w:r>
    </w:p>
    <w:p w14:paraId="2962C54B">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开户行：中国建设银行济南市天桥区支行</w:t>
      </w:r>
    </w:p>
    <w:p w14:paraId="77F98F6F">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账号：37001616508050150300    </w:t>
      </w:r>
    </w:p>
    <w:p w14:paraId="29ED7B61">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行号：105451000362</w:t>
      </w:r>
    </w:p>
    <w:p w14:paraId="401B2252">
      <w:pPr>
        <w:pStyle w:val="4"/>
        <w:widowControl/>
        <w:spacing w:line="500" w:lineRule="exact"/>
        <w:ind w:firstLine="840" w:firstLineChars="30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注：发生以下情况时，招标人有权没收投标保证金：</w:t>
      </w:r>
      <w:r>
        <w:rPr>
          <w:rFonts w:hint="eastAsia" w:ascii="仿宋_GB2312" w:hAnsi="仿宋_GB2312" w:eastAsia="仿宋_GB2312" w:cs="仿宋_GB2312"/>
          <w:sz w:val="28"/>
          <w:szCs w:val="28"/>
          <w:highlight w:val="none"/>
          <w:lang w:val="en-US" w:eastAsia="zh-CN"/>
        </w:rPr>
        <w:t>保证金缴纳截止时间：2026年11月18号17点；</w:t>
      </w:r>
    </w:p>
    <w:p w14:paraId="6C008618">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截至开标前3天，供应商无正当理由、未以书面形式递交说明而在投标截止日不来投标的；</w:t>
      </w:r>
    </w:p>
    <w:p w14:paraId="6B252C8B">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供应商递送文件后，无正当理由放弃投标的；</w:t>
      </w:r>
    </w:p>
    <w:p w14:paraId="0C2ACB02">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自中标（成交）通知书发出之日起30日内，中标（成交）供应商无正当理由不签订合同的；</w:t>
      </w:r>
    </w:p>
    <w:p w14:paraId="60BABE9A">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投标过程中被查实有串标、围标、陪标等违规违纪行为的；</w:t>
      </w:r>
    </w:p>
    <w:p w14:paraId="381F1433">
      <w:pPr>
        <w:pStyle w:val="4"/>
        <w:widowControl/>
        <w:spacing w:line="500" w:lineRule="exact"/>
        <w:ind w:firstLine="840" w:firstLineChars="3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供应商有违约违规行为或被投诉、举报的，在调查处理期间，保证金暂不退还，待调查处理结束后按有关规定处理。</w:t>
      </w:r>
    </w:p>
    <w:bookmarkEnd w:id="0"/>
    <w:p w14:paraId="4E2788F4">
      <w:pPr>
        <w:pStyle w:val="14"/>
        <w:spacing w:line="500" w:lineRule="exact"/>
        <w:ind w:firstLine="560"/>
        <w:rPr>
          <w:rFonts w:hint="eastAsia" w:ascii="仿宋_GB2312" w:hAnsi="仿宋_GB2312" w:eastAsia="仿宋_GB2312" w:cs="仿宋_GB2312"/>
          <w:b/>
          <w:sz w:val="28"/>
          <w:szCs w:val="28"/>
          <w:highlight w:val="none"/>
        </w:rPr>
      </w:pPr>
      <w:r>
        <w:rPr>
          <w:rFonts w:hint="eastAsia" w:ascii="仿宋_GB2312" w:hAnsi="仿宋_GB2312" w:eastAsia="仿宋_GB2312" w:cs="仿宋_GB2312"/>
          <w:sz w:val="28"/>
          <w:szCs w:val="28"/>
          <w:highlight w:val="none"/>
        </w:rPr>
        <w:t>二、</w:t>
      </w:r>
      <w:r>
        <w:rPr>
          <w:rFonts w:hint="eastAsia" w:ascii="仿宋_GB2312" w:hAnsi="仿宋_GB2312" w:eastAsia="仿宋_GB2312" w:cs="仿宋_GB2312"/>
          <w:b/>
          <w:sz w:val="28"/>
          <w:szCs w:val="28"/>
          <w:highlight w:val="none"/>
        </w:rPr>
        <w:t>项目说明</w:t>
      </w:r>
    </w:p>
    <w:p w14:paraId="0373B242">
      <w:pPr>
        <w:spacing w:line="500" w:lineRule="exact"/>
        <w:ind w:firstLine="560" w:firstLineChars="20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为全面展现中国重汽在产品品质、技术创新、生态建设等方面的发展成果及强大实力，树立行业领先形象，于</w:t>
      </w:r>
      <w:r>
        <w:rPr>
          <w:rFonts w:hint="eastAsia" w:ascii="仿宋_GB2312" w:hAnsi="仿宋_GB2312" w:eastAsia="仿宋_GB2312" w:cs="仿宋_GB2312"/>
          <w:sz w:val="28"/>
          <w:szCs w:val="28"/>
          <w:highlight w:val="none"/>
          <w:lang w:eastAsia="zh-CN"/>
        </w:rPr>
        <w:t>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年12月1</w:t>
      </w:r>
      <w:r>
        <w:rPr>
          <w:rFonts w:hint="eastAsia" w:ascii="仿宋_GB2312" w:hAnsi="仿宋_GB2312" w:eastAsia="仿宋_GB2312" w:cs="仿宋_GB2312"/>
          <w:sz w:val="28"/>
          <w:szCs w:val="28"/>
          <w:highlight w:val="none"/>
          <w:lang w:val="en-US" w:eastAsia="zh-CN"/>
        </w:rPr>
        <w:t>8</w:t>
      </w:r>
      <w:r>
        <w:rPr>
          <w:rFonts w:hint="eastAsia" w:ascii="仿宋_GB2312" w:hAnsi="仿宋_GB2312" w:eastAsia="仿宋_GB2312" w:cs="仿宋_GB2312"/>
          <w:sz w:val="28"/>
          <w:szCs w:val="28"/>
          <w:highlight w:val="none"/>
        </w:rPr>
        <w:t>日</w:t>
      </w:r>
      <w:r>
        <w:rPr>
          <w:rFonts w:hint="eastAsia" w:ascii="仿宋_GB2312" w:hAnsi="仿宋_GB2312" w:eastAsia="仿宋_GB2312" w:cs="仿宋_GB2312"/>
          <w:sz w:val="28"/>
          <w:szCs w:val="28"/>
          <w:highlight w:val="none"/>
          <w:lang w:val="en-US" w:eastAsia="zh-CN"/>
        </w:rPr>
        <w:t>-21日</w:t>
      </w:r>
      <w:r>
        <w:rPr>
          <w:rFonts w:hint="eastAsia" w:ascii="仿宋_GB2312" w:hAnsi="仿宋_GB2312" w:eastAsia="仿宋_GB2312" w:cs="仿宋_GB2312"/>
          <w:sz w:val="28"/>
          <w:szCs w:val="28"/>
          <w:highlight w:val="none"/>
        </w:rPr>
        <w:t>举办中国重汽</w:t>
      </w:r>
      <w:r>
        <w:rPr>
          <w:rFonts w:hint="eastAsia" w:ascii="仿宋_GB2312" w:hAnsi="仿宋_GB2312" w:eastAsia="仿宋_GB2312" w:cs="仿宋_GB2312"/>
          <w:sz w:val="28"/>
          <w:szCs w:val="28"/>
          <w:highlight w:val="none"/>
          <w:lang w:eastAsia="zh-CN"/>
        </w:rPr>
        <w:t>2027</w:t>
      </w:r>
      <w:r>
        <w:rPr>
          <w:rFonts w:hint="eastAsia" w:ascii="仿宋_GB2312" w:hAnsi="仿宋_GB2312" w:eastAsia="仿宋_GB2312" w:cs="仿宋_GB2312"/>
          <w:sz w:val="28"/>
          <w:szCs w:val="28"/>
          <w:highlight w:val="none"/>
        </w:rPr>
        <w:t>年合作伙伴大会</w:t>
      </w:r>
      <w:r>
        <w:rPr>
          <w:rFonts w:hint="eastAsia" w:ascii="仿宋_GB2312" w:hAnsi="仿宋_GB2312" w:eastAsia="仿宋_GB2312" w:cs="仿宋_GB2312"/>
          <w:sz w:val="28"/>
          <w:szCs w:val="28"/>
          <w:highlight w:val="none"/>
          <w:lang w:val="en-US" w:eastAsia="zh-CN"/>
        </w:rPr>
        <w:t>暨济南首届卡车文化节</w:t>
      </w:r>
      <w:r>
        <w:rPr>
          <w:rFonts w:hint="eastAsia" w:ascii="仿宋_GB2312" w:hAnsi="仿宋_GB2312" w:eastAsia="仿宋_GB2312" w:cs="仿宋_GB2312"/>
          <w:sz w:val="28"/>
          <w:szCs w:val="28"/>
          <w:highlight w:val="none"/>
        </w:rPr>
        <w:t>，包括展车展品布展的创意方案、设计策划、物料设计和制作、场地搭建、</w:t>
      </w:r>
      <w:r>
        <w:rPr>
          <w:rFonts w:hint="eastAsia" w:ascii="仿宋_GB2312" w:hAnsi="仿宋_GB2312" w:eastAsia="仿宋_GB2312" w:cs="仿宋_GB2312"/>
          <w:sz w:val="28"/>
          <w:szCs w:val="28"/>
          <w:highlight w:val="none"/>
          <w:lang w:val="en-US" w:eastAsia="zh-CN"/>
        </w:rPr>
        <w:t>互动运营、</w:t>
      </w:r>
      <w:r>
        <w:rPr>
          <w:rFonts w:hint="eastAsia" w:ascii="仿宋_GB2312" w:hAnsi="仿宋_GB2312" w:eastAsia="仿宋_GB2312" w:cs="仿宋_GB2312"/>
          <w:sz w:val="28"/>
          <w:szCs w:val="28"/>
          <w:highlight w:val="none"/>
        </w:rPr>
        <w:t>现场执行工作。</w:t>
      </w:r>
    </w:p>
    <w:p w14:paraId="0818849E">
      <w:pPr>
        <w:pStyle w:val="14"/>
        <w:numPr>
          <w:ilvl w:val="0"/>
          <w:numId w:val="2"/>
        </w:numPr>
        <w:tabs>
          <w:tab w:val="left" w:pos="862"/>
        </w:tabs>
        <w:spacing w:line="500" w:lineRule="exact"/>
        <w:ind w:firstLine="562"/>
        <w:rPr>
          <w:rFonts w:hint="eastAsia" w:ascii="仿宋_GB2312" w:hAnsi="仿宋_GB2312" w:eastAsia="仿宋_GB2312" w:cs="仿宋_GB2312"/>
          <w:bCs/>
          <w:sz w:val="28"/>
          <w:szCs w:val="28"/>
          <w:highlight w:val="none"/>
        </w:rPr>
      </w:pPr>
      <w:r>
        <w:rPr>
          <w:rFonts w:hint="eastAsia" w:ascii="仿宋_GB2312" w:hAnsi="仿宋_GB2312" w:eastAsia="仿宋_GB2312" w:cs="仿宋_GB2312"/>
          <w:b/>
          <w:sz w:val="28"/>
          <w:szCs w:val="28"/>
          <w:highlight w:val="none"/>
        </w:rPr>
        <w:t>标的内容</w:t>
      </w:r>
    </w:p>
    <w:p w14:paraId="60F39645">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本次招标为中国重汽</w:t>
      </w:r>
      <w:r>
        <w:rPr>
          <w:rFonts w:hint="eastAsia" w:ascii="仿宋_GB2312" w:hAnsi="仿宋_GB2312" w:eastAsia="仿宋_GB2312" w:cs="仿宋_GB2312"/>
          <w:sz w:val="28"/>
          <w:szCs w:val="28"/>
          <w:highlight w:val="none"/>
          <w:lang w:eastAsia="zh-CN"/>
        </w:rPr>
        <w:t>2027</w:t>
      </w:r>
      <w:r>
        <w:rPr>
          <w:rFonts w:hint="eastAsia" w:ascii="仿宋_GB2312" w:hAnsi="仿宋_GB2312" w:eastAsia="仿宋_GB2312" w:cs="仿宋_GB2312"/>
          <w:sz w:val="28"/>
          <w:szCs w:val="28"/>
          <w:highlight w:val="none"/>
        </w:rPr>
        <w:t>年合作伙伴大会</w:t>
      </w:r>
      <w:r>
        <w:rPr>
          <w:rFonts w:hint="eastAsia" w:ascii="仿宋_GB2312" w:hAnsi="仿宋_GB2312" w:eastAsia="仿宋_GB2312" w:cs="仿宋_GB2312"/>
          <w:sz w:val="28"/>
          <w:szCs w:val="28"/>
          <w:highlight w:val="none"/>
          <w:lang w:eastAsia="zh-CN"/>
        </w:rPr>
        <w:t>2号馆、</w:t>
      </w:r>
      <w:r>
        <w:rPr>
          <w:rFonts w:hint="eastAsia" w:ascii="仿宋_GB2312" w:hAnsi="仿宋_GB2312" w:eastAsia="仿宋_GB2312" w:cs="仿宋_GB2312"/>
          <w:sz w:val="28"/>
          <w:szCs w:val="28"/>
          <w:highlight w:val="none"/>
          <w:lang w:val="en-US" w:eastAsia="zh-CN"/>
        </w:rPr>
        <w:t>外场</w:t>
      </w:r>
      <w:r>
        <w:rPr>
          <w:rFonts w:hint="eastAsia" w:ascii="仿宋_GB2312" w:hAnsi="仿宋_GB2312" w:eastAsia="仿宋_GB2312" w:cs="仿宋_GB2312"/>
          <w:sz w:val="28"/>
          <w:szCs w:val="28"/>
          <w:highlight w:val="none"/>
        </w:rPr>
        <w:t>及莱芜试验场布置项目：包含但不限活动方案策划与执行、展品布展、物料设计制作、场地布置搭建、内容文案制定、流程环节策划与执行等。</w:t>
      </w:r>
    </w:p>
    <w:p w14:paraId="138F68BE">
      <w:pPr>
        <w:pStyle w:val="9"/>
        <w:widowControl/>
        <w:spacing w:line="500" w:lineRule="exact"/>
        <w:ind w:firstLine="560" w:firstLineChars="200"/>
        <w:jc w:val="both"/>
        <w:rPr>
          <w:rFonts w:hint="eastAsia" w:ascii="仿宋_GB2312" w:hAnsi="仿宋_GB2312" w:eastAsia="仿宋_GB2312" w:cs="仿宋_GB2312"/>
          <w:kern w:val="2"/>
          <w:sz w:val="28"/>
          <w:szCs w:val="28"/>
          <w:highlight w:val="yellow"/>
          <w:lang w:val="en-US" w:eastAsia="zh-CN"/>
        </w:rPr>
      </w:pPr>
      <w:r>
        <w:rPr>
          <w:rFonts w:hint="eastAsia" w:ascii="仿宋_GB2312" w:hAnsi="仿宋_GB2312" w:eastAsia="仿宋_GB2312" w:cs="仿宋_GB2312"/>
          <w:kern w:val="2"/>
          <w:sz w:val="28"/>
          <w:szCs w:val="28"/>
          <w:highlight w:val="yellow"/>
          <w:lang w:val="en-US" w:eastAsia="zh-CN"/>
        </w:rPr>
        <w:t>时间安排：</w:t>
      </w:r>
    </w:p>
    <w:p w14:paraId="664E27A1">
      <w:pPr>
        <w:pStyle w:val="9"/>
        <w:widowControl/>
        <w:spacing w:line="500" w:lineRule="exact"/>
        <w:ind w:firstLine="560" w:firstLineChars="200"/>
        <w:jc w:val="both"/>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发标时间：2026年11月6号</w:t>
      </w:r>
    </w:p>
    <w:p w14:paraId="556972B4">
      <w:pPr>
        <w:pStyle w:val="9"/>
        <w:widowControl/>
        <w:spacing w:line="500" w:lineRule="exact"/>
        <w:ind w:firstLine="560" w:firstLineChars="200"/>
        <w:jc w:val="both"/>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应标截止时间：2026年11月13号17点</w:t>
      </w:r>
    </w:p>
    <w:p w14:paraId="36575F72">
      <w:pPr>
        <w:pStyle w:val="9"/>
        <w:widowControl/>
        <w:spacing w:line="500" w:lineRule="exact"/>
        <w:ind w:firstLine="560" w:firstLineChars="200"/>
        <w:jc w:val="both"/>
        <w:rPr>
          <w:rFonts w:hint="default" w:ascii="仿宋_GB2312" w:hAnsi="仿宋_GB2312" w:eastAsia="仿宋_GB2312" w:cs="仿宋_GB2312"/>
          <w:kern w:val="2"/>
          <w:sz w:val="28"/>
          <w:szCs w:val="28"/>
          <w:highlight w:val="none"/>
          <w:lang w:val="en-US" w:eastAsia="zh-CN"/>
        </w:rPr>
      </w:pPr>
      <w:r>
        <w:rPr>
          <w:rFonts w:hint="eastAsia" w:ascii="仿宋_GB2312" w:hAnsi="仿宋_GB2312" w:eastAsia="仿宋_GB2312" w:cs="仿宋_GB2312"/>
          <w:kern w:val="2"/>
          <w:sz w:val="28"/>
          <w:szCs w:val="28"/>
          <w:highlight w:val="none"/>
          <w:lang w:val="en-US" w:eastAsia="zh-CN"/>
        </w:rPr>
        <w:t>投标截止时间：2026年11月19号9点</w:t>
      </w:r>
    </w:p>
    <w:p w14:paraId="5E6FE49F">
      <w:pPr>
        <w:pStyle w:val="9"/>
        <w:widowControl/>
        <w:spacing w:line="500" w:lineRule="exact"/>
        <w:ind w:firstLine="560" w:firstLineChars="200"/>
        <w:jc w:val="both"/>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2"/>
          <w:sz w:val="28"/>
          <w:szCs w:val="28"/>
          <w:highlight w:val="none"/>
          <w:lang w:val="en-US" w:eastAsia="zh-CN"/>
        </w:rPr>
        <w:t>开标时间：2026年11月19号9点（时间暂定，若有变化另行通知）</w:t>
      </w:r>
    </w:p>
    <w:p w14:paraId="151F218E">
      <w:pPr>
        <w:pStyle w:val="9"/>
        <w:widowControl/>
        <w:spacing w:line="500" w:lineRule="exact"/>
        <w:ind w:firstLine="560" w:firstLineChars="200"/>
        <w:jc w:val="both"/>
        <w:rPr>
          <w:rFonts w:hint="eastAsia" w:ascii="仿宋_GB2312" w:hAnsi="仿宋_GB2312" w:eastAsia="仿宋_GB2312" w:cs="仿宋_GB2312"/>
          <w:kern w:val="2"/>
          <w:sz w:val="28"/>
          <w:szCs w:val="28"/>
          <w:highlight w:val="none"/>
        </w:rPr>
      </w:pPr>
      <w:r>
        <w:rPr>
          <w:rFonts w:hint="eastAsia" w:ascii="仿宋_GB2312" w:hAnsi="仿宋_GB2312" w:eastAsia="仿宋_GB2312" w:cs="仿宋_GB2312"/>
          <w:kern w:val="2"/>
          <w:sz w:val="28"/>
          <w:szCs w:val="28"/>
          <w:highlight w:val="none"/>
        </w:rPr>
        <w:t>活动地点：</w:t>
      </w:r>
      <w:r>
        <w:rPr>
          <w:rFonts w:hint="eastAsia" w:ascii="仿宋_GB2312" w:hAnsi="仿宋_GB2312" w:eastAsia="仿宋_GB2312" w:cs="仿宋_GB2312"/>
          <w:sz w:val="28"/>
          <w:szCs w:val="28"/>
          <w:highlight w:val="none"/>
        </w:rPr>
        <w:t>山东国际会展中心、莱芜试验场</w:t>
      </w:r>
      <w:r>
        <w:rPr>
          <w:rFonts w:hint="eastAsia" w:ascii="仿宋_GB2312" w:hAnsi="仿宋_GB2312" w:eastAsia="仿宋_GB2312" w:cs="仿宋_GB2312"/>
          <w:kern w:val="2"/>
          <w:sz w:val="28"/>
          <w:szCs w:val="28"/>
          <w:highlight w:val="none"/>
        </w:rPr>
        <w:t>；</w:t>
      </w:r>
      <w:bookmarkStart w:id="4" w:name="_GoBack"/>
      <w:bookmarkEnd w:id="4"/>
    </w:p>
    <w:p w14:paraId="71B6A10A">
      <w:pPr>
        <w:pStyle w:val="9"/>
        <w:widowControl/>
        <w:numPr>
          <w:ilvl w:val="0"/>
          <w:numId w:val="3"/>
        </w:numPr>
        <w:spacing w:line="500" w:lineRule="exact"/>
        <w:ind w:left="1055" w:leftChars="0" w:hanging="425" w:firstLineChars="0"/>
        <w:jc w:val="both"/>
        <w:rPr>
          <w:rFonts w:hint="eastAsia" w:ascii="仿宋_GB2312" w:hAnsi="仿宋_GB2312" w:eastAsia="仿宋_GB2312" w:cs="仿宋_GB2312"/>
          <w:b/>
          <w:bCs/>
          <w:kern w:val="2"/>
          <w:sz w:val="28"/>
          <w:szCs w:val="28"/>
          <w:highlight w:val="none"/>
          <w:lang w:val="en-US" w:eastAsia="zh-CN"/>
        </w:rPr>
      </w:pPr>
      <w:r>
        <w:rPr>
          <w:rFonts w:hint="eastAsia" w:ascii="仿宋_GB2312" w:hAnsi="仿宋_GB2312" w:eastAsia="仿宋_GB2312" w:cs="仿宋_GB2312"/>
          <w:b/>
          <w:bCs/>
          <w:kern w:val="2"/>
          <w:sz w:val="28"/>
          <w:szCs w:val="28"/>
          <w:highlight w:val="none"/>
          <w:lang w:val="en-US" w:eastAsia="zh-CN"/>
        </w:rPr>
        <w:t>技术及商务要求：</w:t>
      </w:r>
    </w:p>
    <w:p w14:paraId="01F4BAA0">
      <w:pPr>
        <w:pStyle w:val="9"/>
        <w:widowControl/>
        <w:spacing w:line="500" w:lineRule="exact"/>
        <w:ind w:firstLine="560" w:firstLineChars="200"/>
        <w:jc w:val="both"/>
        <w:rPr>
          <w:rFonts w:hint="eastAsia" w:ascii="仿宋_GB2312" w:hAnsi="仿宋_GB2312" w:eastAsia="仿宋_GB2312" w:cs="仿宋_GB2312"/>
          <w:kern w:val="2"/>
          <w:sz w:val="28"/>
          <w:szCs w:val="28"/>
          <w:highlight w:val="none"/>
        </w:rPr>
      </w:pPr>
      <w:r>
        <w:rPr>
          <w:rFonts w:hint="eastAsia" w:ascii="仿宋_GB2312" w:hAnsi="仿宋_GB2312" w:eastAsia="仿宋_GB2312" w:cs="仿宋_GB2312"/>
          <w:kern w:val="2"/>
          <w:sz w:val="28"/>
          <w:szCs w:val="28"/>
          <w:highlight w:val="none"/>
        </w:rPr>
        <w:t>（1）求项目策划设计内容调性符合中国重汽企业形象和各品牌、产品的市场定位，凸显中国重汽品牌科技调性。具有较好的吸引力、感染力，具有较强的可操作性，较好的展现中国重汽在行业内的地位和为用户带来的价值；</w:t>
      </w:r>
    </w:p>
    <w:p w14:paraId="51F84071">
      <w:pPr>
        <w:pStyle w:val="9"/>
        <w:widowControl/>
        <w:spacing w:line="500" w:lineRule="exact"/>
        <w:ind w:firstLine="560" w:firstLineChars="200"/>
        <w:jc w:val="both"/>
        <w:rPr>
          <w:rFonts w:hint="eastAsia" w:ascii="仿宋_GB2312" w:hAnsi="仿宋_GB2312" w:eastAsia="仿宋_GB2312" w:cs="仿宋_GB2312"/>
          <w:kern w:val="2"/>
          <w:sz w:val="28"/>
          <w:szCs w:val="28"/>
          <w:highlight w:val="none"/>
        </w:rPr>
      </w:pPr>
      <w:r>
        <w:rPr>
          <w:rFonts w:hint="eastAsia" w:ascii="仿宋_GB2312" w:hAnsi="仿宋_GB2312" w:eastAsia="仿宋_GB2312" w:cs="仿宋_GB2312"/>
          <w:kern w:val="2"/>
          <w:sz w:val="28"/>
          <w:szCs w:val="28"/>
          <w:highlight w:val="none"/>
        </w:rPr>
        <w:t>（2）出具详实的策划方案和价格方案，编制项目推进周期；</w:t>
      </w:r>
    </w:p>
    <w:p w14:paraId="1535AFDA">
      <w:pPr>
        <w:pStyle w:val="9"/>
        <w:widowControl/>
        <w:spacing w:line="500" w:lineRule="exact"/>
        <w:ind w:firstLine="560" w:firstLineChars="200"/>
        <w:jc w:val="both"/>
        <w:rPr>
          <w:rFonts w:hint="eastAsia" w:ascii="仿宋_GB2312" w:hAnsi="仿宋_GB2312" w:eastAsia="仿宋_GB2312" w:cs="仿宋_GB2312"/>
          <w:kern w:val="2"/>
          <w:sz w:val="28"/>
          <w:szCs w:val="28"/>
          <w:highlight w:val="none"/>
          <w:lang w:eastAsia="zh-CN"/>
        </w:rPr>
      </w:pPr>
      <w:r>
        <w:rPr>
          <w:rFonts w:hint="eastAsia" w:ascii="仿宋_GB2312" w:hAnsi="仿宋_GB2312" w:eastAsia="仿宋_GB2312" w:cs="仿宋_GB2312"/>
          <w:kern w:val="2"/>
          <w:sz w:val="28"/>
          <w:szCs w:val="28"/>
          <w:highlight w:val="none"/>
        </w:rPr>
        <w:t>（3）技术方案开标后，将统一按既定技术方案及项目明细进行分项报价，为保证活动完整呈现，既定项目为必含项，其他不包含在既定项目内的部分，如有其他必须发生项目或能提升活动效果，可进行补充策划及项目报价；具体技术既定方案及报价明细表详见附件。</w:t>
      </w:r>
      <w:r>
        <w:rPr>
          <w:rFonts w:hint="eastAsia" w:ascii="仿宋_GB2312" w:hAnsi="仿宋_GB2312" w:eastAsia="仿宋_GB2312" w:cs="仿宋_GB2312"/>
          <w:kern w:val="2"/>
          <w:sz w:val="28"/>
          <w:szCs w:val="28"/>
          <w:highlight w:val="none"/>
          <w:lang w:eastAsia="zh-CN"/>
        </w:rPr>
        <w:t>（</w:t>
      </w:r>
      <w:r>
        <w:rPr>
          <w:rFonts w:hint="eastAsia" w:ascii="仿宋_GB2312" w:hAnsi="仿宋_GB2312" w:eastAsia="仿宋_GB2312" w:cs="仿宋_GB2312"/>
          <w:kern w:val="2"/>
          <w:sz w:val="28"/>
          <w:szCs w:val="28"/>
          <w:highlight w:val="none"/>
          <w:lang w:val="en-US" w:eastAsia="zh-CN"/>
        </w:rPr>
        <w:t>应标通过后可查看</w:t>
      </w:r>
      <w:r>
        <w:rPr>
          <w:rFonts w:hint="eastAsia" w:ascii="仿宋_GB2312" w:hAnsi="仿宋_GB2312" w:eastAsia="仿宋_GB2312" w:cs="仿宋_GB2312"/>
          <w:kern w:val="2"/>
          <w:sz w:val="28"/>
          <w:szCs w:val="28"/>
          <w:highlight w:val="none"/>
          <w:lang w:eastAsia="zh-CN"/>
        </w:rPr>
        <w:t>）</w:t>
      </w:r>
    </w:p>
    <w:p w14:paraId="7AD464A6">
      <w:pPr>
        <w:pStyle w:val="9"/>
        <w:widowControl/>
        <w:spacing w:line="500" w:lineRule="exact"/>
        <w:ind w:firstLine="560" w:firstLineChars="200"/>
        <w:jc w:val="both"/>
        <w:rPr>
          <w:rFonts w:hint="eastAsia" w:ascii="仿宋_GB2312" w:hAnsi="仿宋_GB2312" w:eastAsia="仿宋_GB2312" w:cs="仿宋_GB2312"/>
          <w:kern w:val="2"/>
          <w:sz w:val="28"/>
          <w:szCs w:val="28"/>
          <w:highlight w:val="none"/>
        </w:rPr>
      </w:pPr>
      <w:r>
        <w:rPr>
          <w:rFonts w:hint="eastAsia" w:ascii="仿宋_GB2312" w:hAnsi="仿宋_GB2312" w:eastAsia="仿宋_GB2312" w:cs="仿宋_GB2312"/>
          <w:kern w:val="2"/>
          <w:sz w:val="28"/>
          <w:szCs w:val="28"/>
          <w:highlight w:val="none"/>
        </w:rPr>
        <w:t>（4）投标方参与本次项目投标，投标方案将被视为默认同意在本次投标过程中共享，由甲方做统一技术方案使用，甲方将不再针对技术方案向乙方承担任何形式的责任，包括但不限于设计费、人工费等内容。</w:t>
      </w:r>
    </w:p>
    <w:p w14:paraId="571C77BE">
      <w:pPr>
        <w:pStyle w:val="9"/>
        <w:widowControl/>
        <w:spacing w:line="500" w:lineRule="exact"/>
        <w:ind w:firstLine="560" w:firstLineChars="200"/>
        <w:jc w:val="both"/>
        <w:rPr>
          <w:rFonts w:hint="eastAsia" w:ascii="仿宋_GB2312" w:hAnsi="仿宋_GB2312" w:eastAsia="仿宋_GB2312" w:cs="仿宋_GB2312"/>
          <w:kern w:val="2"/>
          <w:sz w:val="28"/>
          <w:szCs w:val="28"/>
          <w:highlight w:val="none"/>
        </w:rPr>
      </w:pPr>
      <w:r>
        <w:rPr>
          <w:rFonts w:hint="eastAsia" w:ascii="仿宋_GB2312" w:hAnsi="仿宋_GB2312" w:eastAsia="仿宋_GB2312" w:cs="仿宋_GB2312"/>
          <w:kern w:val="2"/>
          <w:sz w:val="28"/>
          <w:szCs w:val="28"/>
          <w:highlight w:val="none"/>
        </w:rPr>
        <w:t>（5）执行阶段的具体事项，以双方合同约定为准。</w:t>
      </w:r>
    </w:p>
    <w:p w14:paraId="228751F0">
      <w:pPr>
        <w:pStyle w:val="14"/>
        <w:tabs>
          <w:tab w:val="left" w:pos="862"/>
        </w:tabs>
        <w:spacing w:line="500" w:lineRule="exact"/>
        <w:ind w:left="142" w:firstLine="562"/>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四、付款条件及付款方式</w:t>
      </w:r>
    </w:p>
    <w:p w14:paraId="09F9E805">
      <w:pPr>
        <w:pStyle w:val="14"/>
        <w:tabs>
          <w:tab w:val="left" w:pos="862"/>
        </w:tabs>
        <w:spacing w:line="500" w:lineRule="exact"/>
        <w:ind w:firstLine="560"/>
        <w:rPr>
          <w:rFonts w:hint="eastAsia" w:ascii="仿宋_GB2312" w:hAnsi="仿宋_GB2312" w:eastAsia="仿宋_GB2312" w:cs="仿宋_GB2312"/>
          <w:sz w:val="28"/>
          <w:szCs w:val="28"/>
          <w:highlight w:val="none"/>
          <w:lang w:val="zh-CN"/>
        </w:rPr>
      </w:pPr>
      <w:r>
        <w:rPr>
          <w:rFonts w:hint="eastAsia" w:ascii="仿宋_GB2312" w:hAnsi="仿宋_GB2312" w:eastAsia="仿宋_GB2312" w:cs="仿宋_GB2312"/>
          <w:sz w:val="28"/>
          <w:szCs w:val="28"/>
          <w:highlight w:val="none"/>
          <w:lang w:val="zh-CN"/>
        </w:rPr>
        <w:t>1.付款条件：乙方完成合同约定的服务事项，发出项目结案报告，经甲方验收合格，乙方向甲方提供增值税专用发票，由甲方或甲方指定二级公司根据项目实际发生进行据实结算。</w:t>
      </w:r>
    </w:p>
    <w:p w14:paraId="4ECC586F">
      <w:pPr>
        <w:pStyle w:val="14"/>
        <w:tabs>
          <w:tab w:val="left" w:pos="862"/>
        </w:tabs>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zh-CN"/>
        </w:rPr>
        <w:t>2.付款方式：半年期商业汇票（包括银行承兑汇票和商业承兑汇票），</w:t>
      </w:r>
      <w:r>
        <w:rPr>
          <w:rFonts w:hint="eastAsia" w:ascii="仿宋_GB2312" w:hAnsi="仿宋_GB2312" w:eastAsia="仿宋_GB2312" w:cs="仿宋_GB2312"/>
          <w:sz w:val="28"/>
          <w:szCs w:val="28"/>
          <w:highlight w:val="none"/>
        </w:rPr>
        <w:t>由集团内各归属单位签署付款。</w:t>
      </w:r>
    </w:p>
    <w:p w14:paraId="60A9EF45">
      <w:pPr>
        <w:pStyle w:val="14"/>
        <w:tabs>
          <w:tab w:val="left" w:pos="862"/>
        </w:tabs>
        <w:spacing w:line="500" w:lineRule="exact"/>
        <w:ind w:firstLine="560"/>
        <w:rPr>
          <w:rFonts w:hint="eastAsia" w:ascii="仿宋_GB2312" w:hAnsi="仿宋_GB2312" w:eastAsia="仿宋_GB2312" w:cs="仿宋_GB2312"/>
          <w:color w:val="000000" w:themeColor="text1"/>
          <w:kern w:val="0"/>
          <w:sz w:val="28"/>
          <w:szCs w:val="28"/>
          <w:highlight w:val="none"/>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14:textFill>
            <w14:solidFill>
              <w14:schemeClr w14:val="tx1"/>
            </w14:solidFill>
          </w14:textFill>
        </w:rPr>
        <w:t>具体付款时间及方式，以双方签订的合同约定为准。</w:t>
      </w:r>
    </w:p>
    <w:p w14:paraId="12475F39">
      <w:pPr>
        <w:pStyle w:val="14"/>
        <w:tabs>
          <w:tab w:val="left" w:pos="862"/>
        </w:tabs>
        <w:spacing w:line="500" w:lineRule="exact"/>
        <w:ind w:firstLine="560"/>
        <w:rPr>
          <w:rFonts w:hint="default"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pPr>
      <w:r>
        <w:rPr>
          <w:rFonts w:hint="eastAsia" w:ascii="仿宋_GB2312" w:hAnsi="仿宋_GB2312" w:eastAsia="仿宋_GB2312" w:cs="仿宋_GB2312"/>
          <w:color w:val="000000" w:themeColor="text1"/>
          <w:kern w:val="0"/>
          <w:sz w:val="28"/>
          <w:szCs w:val="28"/>
          <w:highlight w:val="none"/>
          <w:lang w:val="en-US" w:eastAsia="zh-CN"/>
          <w14:textFill>
            <w14:solidFill>
              <w14:schemeClr w14:val="tx1"/>
            </w14:solidFill>
          </w14:textFill>
        </w:rPr>
        <w:t>付款方式不允许偏离；</w:t>
      </w:r>
    </w:p>
    <w:p w14:paraId="5881088B">
      <w:pPr>
        <w:pStyle w:val="14"/>
        <w:tabs>
          <w:tab w:val="left" w:pos="862"/>
        </w:tabs>
        <w:spacing w:line="500" w:lineRule="exact"/>
        <w:ind w:firstLine="562"/>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五、投标人资格条件及要求</w:t>
      </w:r>
    </w:p>
    <w:p w14:paraId="777A009F">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 投标人应遵守《中华人民共和国招投标法》及有关的法律和法规。具备独立法人资格，具有独立承担民事责任能力、良好的财务状况、一定的垫资能力，经营稳定，资质符合项目要求，具有全面履约能力。</w:t>
      </w:r>
    </w:p>
    <w:p w14:paraId="177C8D80">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 投标人的注册资金不低于500万，营业执照在有效期内并且经营范围满足招标人需求，在国内注册三年以上（以营业执照成立日期到开标当日计算）。不符合本条款要求的视为废标项，招标人有权取消其投标资格。</w:t>
      </w:r>
    </w:p>
    <w:p w14:paraId="2DCE3D62">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3.投标人在国家企业信用信息公示系统中有不良记录、近三年的公司财务报表异常、存在严重违规或被列入招标人“黑名单”的，招标人有权取消其投标资格。</w:t>
      </w:r>
    </w:p>
    <w:p w14:paraId="559F344E">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4.投标方的直接或间接股东、法定代表人、董事、监事、高管非重汽员工及其亲属。 </w:t>
      </w:r>
    </w:p>
    <w:p w14:paraId="77E0BA48">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 xml:space="preserve">5.招标方无招标违规、谎报年度报告信息、提供虚假资质资料等行为或其他行政处罚记录。 </w:t>
      </w:r>
    </w:p>
    <w:p w14:paraId="04BB35BE">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6.投标方之间必须具有充分的竞争关系。</w:t>
      </w:r>
    </w:p>
    <w:p w14:paraId="62791138">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投标人应有策划执行大型项目的经验,具有良好的风险应对能力，能够认可招标人的工作指令，包括节、假日能正常开展工作等要求，并在开标时携带以往项目策划执行资料、企业资信材料、财务报表及完税证明等备查。</w:t>
      </w:r>
    </w:p>
    <w:p w14:paraId="499A990F">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8.资格审查方式：资格预审，合格制。投标人应编制资格预审文件，否则视为放弃投标，内容包括：</w:t>
      </w:r>
    </w:p>
    <w:p w14:paraId="1C3CE0C5">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（1）投标人基本情况表，附带投标人营业执照副本及复印件（加盖单位公章）。</w:t>
      </w:r>
    </w:p>
    <w:p w14:paraId="34CD0341">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（2）法定代表人身份证复印件，若法定代表人不能出席，需有法定代表人授权委托书（格式见附件）及被委托人身份证（加盖公章）。</w:t>
      </w:r>
    </w:p>
    <w:p w14:paraId="3D35C203">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财务状况报告，依法缴纳税收相关材料复印件盖公章（财务状况报告：近三年审计报告，包括但不限于报告页、经审计的资产负债表、利润表、现金流量表及报表附注；如公司规模小，无审计报告，可提供近三年财务报表，包括但不限于资产负债表、利润表、现金流量表；税收材料：税收完税凭证或税务部门出具的纳税证明）。</w:t>
      </w:r>
    </w:p>
    <w:p w14:paraId="480F2DF7">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（4）无重大违法记录的书面声明原件（加盖公章）。</w:t>
      </w:r>
    </w:p>
    <w:p w14:paraId="5D10DB47">
      <w:pPr>
        <w:pStyle w:val="14"/>
        <w:spacing w:line="500" w:lineRule="exact"/>
        <w:ind w:firstLine="56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5</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lang w:val="en-US" w:eastAsia="zh-CN"/>
        </w:rPr>
        <w:t>保密协议</w:t>
      </w:r>
      <w:r>
        <w:rPr>
          <w:rFonts w:hint="eastAsia" w:ascii="仿宋_GB2312" w:hAnsi="仿宋_GB2312" w:eastAsia="仿宋_GB2312" w:cs="仿宋_GB2312"/>
          <w:sz w:val="28"/>
          <w:szCs w:val="28"/>
          <w:highlight w:val="none"/>
        </w:rPr>
        <w:t>（加盖公章）</w:t>
      </w:r>
    </w:p>
    <w:p w14:paraId="700B1374">
      <w:pPr>
        <w:widowControl/>
        <w:spacing w:line="500" w:lineRule="exact"/>
        <w:ind w:firstLine="562" w:firstLineChars="200"/>
        <w:rPr>
          <w:rFonts w:hint="eastAsia" w:ascii="仿宋_GB2312" w:hAnsi="仿宋_GB2312" w:eastAsia="仿宋_GB2312" w:cs="仿宋_GB2312"/>
          <w:b/>
          <w:kern w:val="0"/>
          <w:sz w:val="28"/>
          <w:szCs w:val="28"/>
          <w:highlight w:val="none"/>
        </w:rPr>
      </w:pPr>
      <w:r>
        <w:rPr>
          <w:rFonts w:hint="eastAsia" w:ascii="仿宋_GB2312" w:hAnsi="仿宋_GB2312" w:eastAsia="仿宋_GB2312" w:cs="仿宋_GB2312"/>
          <w:b/>
          <w:bCs/>
          <w:kern w:val="0"/>
          <w:sz w:val="28"/>
          <w:szCs w:val="28"/>
          <w:highlight w:val="none"/>
        </w:rPr>
        <w:t>六、</w:t>
      </w:r>
      <w:r>
        <w:rPr>
          <w:rFonts w:hint="eastAsia" w:ascii="仿宋_GB2312" w:hAnsi="仿宋_GB2312" w:eastAsia="仿宋_GB2312" w:cs="仿宋_GB2312"/>
          <w:b/>
          <w:kern w:val="0"/>
          <w:sz w:val="28"/>
          <w:szCs w:val="28"/>
          <w:highlight w:val="none"/>
        </w:rPr>
        <w:t>投标书</w:t>
      </w:r>
    </w:p>
    <w:p w14:paraId="2169A5FF">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投标人须提供投标书，电子文档上传至重汽e采通系统。内容包含：</w:t>
      </w:r>
    </w:p>
    <w:p w14:paraId="5E68FD6F">
      <w:pPr>
        <w:spacing w:line="500" w:lineRule="exact"/>
        <w:ind w:firstLine="560" w:firstLineChars="200"/>
        <w:rPr>
          <w:rFonts w:hint="default"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1.资质文件：符合标书第五条的资质文件复印件</w:t>
      </w:r>
      <w:r>
        <w:rPr>
          <w:rFonts w:hint="eastAsia" w:ascii="仿宋_GB2312" w:hAnsi="仿宋_GB2312" w:eastAsia="仿宋_GB2312" w:cs="仿宋_GB2312"/>
          <w:sz w:val="28"/>
          <w:szCs w:val="28"/>
          <w:highlight w:val="none"/>
          <w:lang w:val="en-US" w:eastAsia="zh-CN"/>
        </w:rPr>
        <w:t>+保证金缴纳凭证</w:t>
      </w:r>
    </w:p>
    <w:p w14:paraId="06F910D2">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2.商务部分：报价单；</w:t>
      </w:r>
    </w:p>
    <w:p w14:paraId="410474C2">
      <w:pPr>
        <w:widowControl/>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0"/>
          <w:sz w:val="28"/>
          <w:szCs w:val="28"/>
          <w:highlight w:val="none"/>
        </w:rPr>
        <w:t>3.技术部分：服务方案等。</w:t>
      </w:r>
    </w:p>
    <w:p w14:paraId="20E8EE1F">
      <w:pPr>
        <w:pStyle w:val="14"/>
        <w:spacing w:line="500" w:lineRule="exact"/>
        <w:ind w:firstLine="562"/>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七、评标</w:t>
      </w:r>
    </w:p>
    <w:p w14:paraId="5E3E0321">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1.招标人将坚持“公开、公平、公正”原则，严格按照国家法律法规及公司规章制度要求，设立专家评审小组进行招标评审。</w:t>
      </w:r>
    </w:p>
    <w:p w14:paraId="0C6BB65C">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2.评标方法：</w:t>
      </w:r>
    </w:p>
    <w:p w14:paraId="5D147343">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（1）开标会议由招标人组织并主持，坚持“公开、公平、公正”原则，严格按照国家法律法规及公司规章制度要求，设立专家评审小组进行招标评审；</w:t>
      </w:r>
    </w:p>
    <w:p w14:paraId="5182A6DC">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（2）招标人邀请各投标方指派人员参加开标会议。投标方未参加开标的，视同认可开标结果；</w:t>
      </w:r>
    </w:p>
    <w:p w14:paraId="02CDAA37">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（3）评审小组专家成员先进行技术标评议、后进行</w:t>
      </w:r>
      <w:r>
        <w:rPr>
          <w:rFonts w:hint="eastAsia" w:ascii="仿宋_GB2312" w:hAnsi="仿宋_GB2312" w:eastAsia="仿宋_GB2312" w:cs="仿宋_GB2312"/>
          <w:sz w:val="28"/>
          <w:szCs w:val="28"/>
          <w:highlight w:val="none"/>
          <w:lang w:val="en-US" w:eastAsia="zh-CN"/>
        </w:rPr>
        <w:t>唱标和</w:t>
      </w:r>
      <w:r>
        <w:rPr>
          <w:rFonts w:hint="eastAsia" w:ascii="仿宋_GB2312" w:hAnsi="仿宋_GB2312" w:eastAsia="仿宋_GB2312" w:cs="仿宋_GB2312"/>
          <w:sz w:val="28"/>
          <w:szCs w:val="28"/>
          <w:highlight w:val="none"/>
        </w:rPr>
        <w:t>商务标评议。其中讲标时间30分钟、答疑时间10分钟。严重偏离招标人技术标准的直接淘汰，</w:t>
      </w:r>
      <w:r>
        <w:rPr>
          <w:rFonts w:hint="eastAsia" w:ascii="仿宋_GB2312" w:hAnsi="仿宋_GB2312" w:eastAsia="仿宋_GB2312" w:cs="仿宋_GB2312"/>
          <w:sz w:val="28"/>
          <w:szCs w:val="28"/>
          <w:highlight w:val="yellow"/>
          <w:lang w:val="en-US" w:eastAsia="zh-CN"/>
        </w:rPr>
        <w:t>技术标得分80分以下淘汰</w:t>
      </w:r>
      <w:r>
        <w:rPr>
          <w:rFonts w:hint="eastAsia" w:ascii="仿宋_GB2312" w:hAnsi="仿宋_GB2312" w:eastAsia="仿宋_GB2312" w:cs="仿宋_GB2312"/>
          <w:sz w:val="28"/>
          <w:szCs w:val="28"/>
          <w:highlight w:val="none"/>
          <w:lang w:val="en-US" w:eastAsia="zh-CN"/>
        </w:rPr>
        <w:t>，</w:t>
      </w:r>
      <w:r>
        <w:rPr>
          <w:rFonts w:hint="eastAsia" w:ascii="仿宋_GB2312" w:hAnsi="仿宋_GB2312" w:eastAsia="仿宋_GB2312" w:cs="仿宋_GB2312"/>
          <w:sz w:val="28"/>
          <w:szCs w:val="28"/>
          <w:highlight w:val="none"/>
        </w:rPr>
        <w:t>满足招标人技术标准的进入商务标评议。</w:t>
      </w:r>
    </w:p>
    <w:p w14:paraId="3ADEDDC1">
      <w:pPr>
        <w:keepNext w:val="0"/>
        <w:keepLines w:val="0"/>
        <w:widowControl/>
        <w:suppressLineNumbers w:val="0"/>
        <w:ind w:firstLine="560" w:firstLineChars="200"/>
        <w:jc w:val="left"/>
        <w:rPr>
          <w:rFonts w:hint="eastAsia" w:ascii="仿宋_GB2312" w:hAnsi="仿宋_GB2312" w:eastAsia="仿宋_GB2312" w:cs="仿宋_GB2312"/>
          <w:kern w:val="2"/>
          <w:sz w:val="28"/>
          <w:szCs w:val="28"/>
          <w:highlight w:val="none"/>
          <w:lang w:val="en-US" w:eastAsia="zh-CN" w:bidi="ar-SA"/>
        </w:rPr>
      </w:pPr>
      <w:r>
        <w:rPr>
          <w:rFonts w:hint="eastAsia" w:ascii="仿宋_GB2312" w:hAnsi="仿宋_GB2312" w:eastAsia="仿宋_GB2312" w:cs="仿宋_GB2312"/>
          <w:kern w:val="2"/>
          <w:sz w:val="28"/>
          <w:szCs w:val="28"/>
          <w:highlight w:val="none"/>
          <w:lang w:val="en-US" w:eastAsia="zh-CN" w:bidi="ar-SA"/>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139AC4F3">
      <w:pPr>
        <w:keepNext w:val="0"/>
        <w:keepLines w:val="0"/>
        <w:widowControl/>
        <w:suppressLineNumbers w:val="0"/>
        <w:jc w:val="left"/>
        <w:rPr>
          <w:rFonts w:hint="eastAsia" w:ascii="仿宋_GB2312" w:hAnsi="仿宋_GB2312" w:eastAsia="仿宋_GB2312" w:cs="仿宋_GB2312"/>
          <w:sz w:val="28"/>
          <w:szCs w:val="28"/>
          <w:highlight w:val="none"/>
        </w:rPr>
      </w:pPr>
      <w:r>
        <w:rPr>
          <w:rFonts w:hint="eastAsia" w:ascii="仿宋_GB2312" w:hAnsi="仿宋_GB2312" w:eastAsia="仿宋_GB2312" w:cs="仿宋_GB2312"/>
          <w:kern w:val="2"/>
          <w:sz w:val="28"/>
          <w:szCs w:val="28"/>
          <w:highlight w:val="none"/>
          <w:lang w:val="en-US" w:eastAsia="zh-CN" w:bidi="ar-SA"/>
        </w:rPr>
        <w:t>注意：每一轮在重汽e采通提供澄清报价均有时间限制，未能在规定时间内提交澄清函及报价的视为放弃本次投标。</w:t>
      </w:r>
    </w:p>
    <w:p w14:paraId="75234661">
      <w:pPr>
        <w:pStyle w:val="14"/>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yellow"/>
        </w:rPr>
        <w:t>技术标得分按照占比40%的比例，商务标占总分数的60%，</w:t>
      </w:r>
      <w:r>
        <w:rPr>
          <w:rFonts w:hint="eastAsia" w:ascii="仿宋_GB2312" w:hAnsi="仿宋_GB2312" w:eastAsia="仿宋_GB2312" w:cs="仿宋_GB2312"/>
          <w:sz w:val="28"/>
          <w:szCs w:val="28"/>
          <w:highlight w:val="none"/>
        </w:rPr>
        <w:t>按照最低价格为依据占比进行打分（最低报价/当前报价*60）。以综合评标得分高者（技术标得分+商务标得分）推荐</w:t>
      </w:r>
      <w:r>
        <w:rPr>
          <w:rFonts w:hint="eastAsia" w:ascii="仿宋_GB2312" w:hAnsi="仿宋_GB2312" w:eastAsia="仿宋_GB2312" w:cs="仿宋_GB2312"/>
          <w:sz w:val="28"/>
          <w:szCs w:val="28"/>
          <w:highlight w:val="none"/>
          <w:lang w:val="en-US" w:eastAsia="zh-CN"/>
        </w:rPr>
        <w:t>一家供应商</w:t>
      </w:r>
      <w:r>
        <w:rPr>
          <w:rFonts w:hint="eastAsia" w:ascii="仿宋_GB2312" w:hAnsi="仿宋_GB2312" w:eastAsia="仿宋_GB2312" w:cs="仿宋_GB2312"/>
          <w:sz w:val="28"/>
          <w:szCs w:val="28"/>
          <w:highlight w:val="none"/>
        </w:rPr>
        <w:t>中标。</w:t>
      </w:r>
    </w:p>
    <w:tbl>
      <w:tblPr>
        <w:tblStyle w:val="10"/>
        <w:tblpPr w:leftFromText="180" w:rightFromText="180" w:vertAnchor="text" w:horzAnchor="page" w:tblpXSpec="center" w:tblpY="600"/>
        <w:tblOverlap w:val="never"/>
        <w:tblW w:w="107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102"/>
        <w:gridCol w:w="8928"/>
        <w:gridCol w:w="730"/>
      </w:tblGrid>
      <w:tr w14:paraId="4ADB7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05" w:hRule="atLeast"/>
          <w:jc w:val="center"/>
        </w:trPr>
        <w:tc>
          <w:tcPr>
            <w:tcW w:w="0" w:type="auto"/>
            <w:gridSpan w:val="3"/>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F62BCDB">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技术评分标准</w:t>
            </w:r>
          </w:p>
        </w:tc>
      </w:tr>
      <w:tr w14:paraId="01863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3" w:hRule="atLeast"/>
          <w:jc w:val="center"/>
        </w:trPr>
        <w:tc>
          <w:tcPr>
            <w:tcW w:w="0" w:type="auto"/>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4FA3F8C3">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项目</w:t>
            </w: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5086ED3">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描　　述</w:t>
            </w:r>
          </w:p>
        </w:tc>
        <w:tc>
          <w:tcPr>
            <w:tcW w:w="730"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4B0288DC">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分值</w:t>
            </w:r>
          </w:p>
        </w:tc>
      </w:tr>
      <w:tr w14:paraId="72DC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3"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2ADBB969">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企业资质及服务业绩</w:t>
            </w:r>
          </w:p>
          <w:p w14:paraId="1629F320">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（20分）</w:t>
            </w: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76CAFA87">
            <w:pPr>
              <w:pStyle w:val="9"/>
              <w:keepNext w:val="0"/>
              <w:keepLines w:val="0"/>
              <w:widowControl/>
              <w:suppressLineNumbers w:val="0"/>
              <w:spacing w:before="0" w:beforeAutospacing="0" w:after="0" w:afterAutospacing="0" w:line="360" w:lineRule="auto"/>
              <w:ind w:lef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1.投标人成立时间三年以上，每增加2年得2分，本项最高得6分（以营业执照原件为准）</w:t>
            </w:r>
          </w:p>
        </w:tc>
        <w:tc>
          <w:tcPr>
            <w:tcW w:w="730" w:type="dxa"/>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5A1BA7AD">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20</w:t>
            </w:r>
          </w:p>
        </w:tc>
      </w:tr>
      <w:tr w14:paraId="644FB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402"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5898F44C">
            <w:pPr>
              <w:spacing w:line="360" w:lineRule="auto"/>
              <w:rPr>
                <w:rFonts w:hint="eastAsia" w:ascii="仿宋_GB2312" w:hAnsi="仿宋_GB2312" w:eastAsia="仿宋_GB2312" w:cs="仿宋_GB2312"/>
                <w:sz w:val="28"/>
                <w:szCs w:val="28"/>
              </w:rPr>
            </w:pP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52D52A28">
            <w:pPr>
              <w:pStyle w:val="9"/>
              <w:keepNext w:val="0"/>
              <w:keepLines w:val="0"/>
              <w:widowControl/>
              <w:suppressLineNumbers w:val="0"/>
              <w:spacing w:before="0" w:beforeAutospacing="0" w:after="0" w:afterAutospacing="0" w:line="360" w:lineRule="auto"/>
              <w:ind w:lef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2.投标人每获得1项行业内相关荣誉得2分，本项最高得6分</w:t>
            </w:r>
          </w:p>
        </w:tc>
        <w:tc>
          <w:tcPr>
            <w:tcW w:w="730" w:type="dxa"/>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15A677F8">
            <w:pPr>
              <w:spacing w:line="360" w:lineRule="auto"/>
              <w:rPr>
                <w:rFonts w:hint="eastAsia" w:ascii="仿宋_GB2312" w:hAnsi="仿宋_GB2312" w:eastAsia="仿宋_GB2312" w:cs="仿宋_GB2312"/>
                <w:sz w:val="28"/>
                <w:szCs w:val="28"/>
              </w:rPr>
            </w:pPr>
          </w:p>
        </w:tc>
      </w:tr>
      <w:tr w14:paraId="29484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13"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6C1A7EA">
            <w:pPr>
              <w:spacing w:line="360" w:lineRule="auto"/>
              <w:rPr>
                <w:rFonts w:hint="eastAsia" w:ascii="仿宋_GB2312" w:hAnsi="仿宋_GB2312" w:eastAsia="仿宋_GB2312" w:cs="仿宋_GB2312"/>
                <w:sz w:val="28"/>
                <w:szCs w:val="28"/>
              </w:rPr>
            </w:pP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AD7AE82">
            <w:pPr>
              <w:pStyle w:val="9"/>
              <w:keepNext w:val="0"/>
              <w:keepLines w:val="0"/>
              <w:widowControl/>
              <w:suppressLineNumbers w:val="0"/>
              <w:spacing w:before="0" w:beforeAutospacing="0" w:after="0" w:afterAutospacing="0" w:line="360" w:lineRule="auto"/>
              <w:ind w:lef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3.提供类似汽车行业项目服务业绩，以合同复印件为准，每提供一份得2分，本项最高得8分。</w:t>
            </w:r>
          </w:p>
        </w:tc>
        <w:tc>
          <w:tcPr>
            <w:tcW w:w="730" w:type="dxa"/>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6E29627E">
            <w:pPr>
              <w:spacing w:line="360" w:lineRule="auto"/>
              <w:rPr>
                <w:rFonts w:hint="eastAsia" w:ascii="仿宋_GB2312" w:hAnsi="仿宋_GB2312" w:eastAsia="仿宋_GB2312" w:cs="仿宋_GB2312"/>
                <w:sz w:val="28"/>
                <w:szCs w:val="28"/>
              </w:rPr>
            </w:pPr>
          </w:p>
        </w:tc>
      </w:tr>
      <w:tr w14:paraId="1068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647"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1455572A">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方案策划</w:t>
            </w:r>
          </w:p>
          <w:p w14:paraId="4CC4D887">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w:t>
            </w:r>
            <w:r>
              <w:rPr>
                <w:rFonts w:hint="eastAsia" w:ascii="仿宋_GB2312" w:hAnsi="仿宋_GB2312" w:eastAsia="仿宋_GB2312" w:cs="仿宋_GB2312"/>
                <w:b/>
                <w:bCs/>
                <w:color w:val="000000"/>
                <w:sz w:val="28"/>
                <w:szCs w:val="28"/>
                <w:lang w:val="en-US" w:eastAsia="zh-CN"/>
              </w:rPr>
              <w:t>5</w:t>
            </w:r>
            <w:r>
              <w:rPr>
                <w:rFonts w:hint="eastAsia" w:ascii="仿宋_GB2312" w:hAnsi="仿宋_GB2312" w:eastAsia="仿宋_GB2312" w:cs="仿宋_GB2312"/>
                <w:b/>
                <w:bCs/>
                <w:color w:val="000000"/>
                <w:sz w:val="28"/>
                <w:szCs w:val="28"/>
              </w:rPr>
              <w:t>0分）</w:t>
            </w: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91E936F">
            <w:pPr>
              <w:widowControl/>
              <w:numPr>
                <w:ilvl w:val="0"/>
                <w:numId w:val="0"/>
              </w:numPr>
              <w:spacing w:line="5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highlight w:val="none"/>
                <w:lang w:val="en-US" w:eastAsia="zh-CN"/>
              </w:rPr>
              <w:t>1.</w:t>
            </w:r>
            <w:r>
              <w:rPr>
                <w:rFonts w:hint="eastAsia" w:ascii="仿宋_GB2312" w:hAnsi="仿宋_GB2312" w:eastAsia="仿宋_GB2312" w:cs="仿宋_GB2312"/>
                <w:color w:val="000000"/>
                <w:kern w:val="0"/>
                <w:sz w:val="28"/>
                <w:szCs w:val="28"/>
                <w:highlight w:val="none"/>
              </w:rPr>
              <w:t>项目创意：创作思路新颖，视觉及体验效果突出，符合中国重汽品牌产品定位，展区的布展方案设计、氛围营造、功能分区、展品布展与配套支持</w:t>
            </w:r>
            <w:r>
              <w:rPr>
                <w:rFonts w:hint="eastAsia" w:ascii="仿宋_GB2312" w:hAnsi="仿宋_GB2312" w:eastAsia="仿宋_GB2312" w:cs="仿宋_GB2312"/>
                <w:color w:val="000000"/>
                <w:kern w:val="0"/>
                <w:sz w:val="28"/>
                <w:szCs w:val="28"/>
                <w:highlight w:val="none"/>
                <w:lang w:eastAsia="zh-CN"/>
              </w:rPr>
              <w:t>，</w:t>
            </w:r>
            <w:r>
              <w:rPr>
                <w:rFonts w:hint="eastAsia" w:ascii="仿宋_GB2312" w:hAnsi="仿宋_GB2312" w:eastAsia="仿宋_GB2312" w:cs="仿宋_GB2312"/>
                <w:color w:val="000000"/>
                <w:kern w:val="0"/>
                <w:sz w:val="28"/>
                <w:szCs w:val="28"/>
                <w:highlight w:val="none"/>
              </w:rPr>
              <w:t>具有较好的吸引力、感染力、互动性和可操作性，对中国重汽在行业地位或形象提升有积极作用的，得30分；如有不符合逻辑、方案平淡缺乏创意等情况酌情扣分。本项最高得30分；</w:t>
            </w:r>
          </w:p>
        </w:tc>
        <w:tc>
          <w:tcPr>
            <w:tcW w:w="730"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7EE2FB1A">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lang w:val="en-US" w:eastAsia="zh-CN"/>
              </w:rPr>
              <w:t>3</w:t>
            </w:r>
            <w:r>
              <w:rPr>
                <w:rFonts w:hint="eastAsia" w:ascii="仿宋_GB2312" w:hAnsi="仿宋_GB2312" w:eastAsia="仿宋_GB2312" w:cs="仿宋_GB2312"/>
                <w:color w:val="000000"/>
                <w:sz w:val="28"/>
                <w:szCs w:val="28"/>
              </w:rPr>
              <w:t>0</w:t>
            </w:r>
          </w:p>
        </w:tc>
      </w:tr>
      <w:tr w14:paraId="2B88C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3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0B320D6">
            <w:pPr>
              <w:spacing w:line="360" w:lineRule="auto"/>
              <w:rPr>
                <w:rFonts w:hint="eastAsia" w:ascii="仿宋_GB2312" w:hAnsi="仿宋_GB2312" w:eastAsia="仿宋_GB2312" w:cs="仿宋_GB2312"/>
                <w:sz w:val="28"/>
                <w:szCs w:val="28"/>
              </w:rPr>
            </w:pP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top"/>
          </w:tcPr>
          <w:p w14:paraId="57C0D7B7">
            <w:pPr>
              <w:widowControl/>
              <w:spacing w:line="5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highlight w:val="none"/>
                <w:lang w:val="en-US" w:eastAsia="zh-CN"/>
              </w:rPr>
              <w:t>2.</w:t>
            </w:r>
            <w:r>
              <w:rPr>
                <w:rFonts w:hint="eastAsia" w:ascii="仿宋_GB2312" w:hAnsi="仿宋_GB2312" w:eastAsia="仿宋_GB2312" w:cs="仿宋_GB2312"/>
                <w:color w:val="000000"/>
                <w:kern w:val="0"/>
                <w:sz w:val="28"/>
                <w:szCs w:val="28"/>
                <w:highlight w:val="none"/>
              </w:rPr>
              <w:t>活动策划与运营执行方案：互动体验环节策划及</w:t>
            </w:r>
            <w:r>
              <w:rPr>
                <w:rFonts w:hint="eastAsia" w:ascii="仿宋_GB2312" w:hAnsi="仿宋_GB2312" w:eastAsia="仿宋_GB2312" w:cs="仿宋_GB2312"/>
                <w:color w:val="000000"/>
                <w:kern w:val="0"/>
                <w:sz w:val="28"/>
                <w:szCs w:val="28"/>
                <w:highlight w:val="none"/>
                <w:lang w:val="en-US" w:eastAsia="zh-CN"/>
              </w:rPr>
              <w:t>莱芜试乘活动</w:t>
            </w:r>
            <w:r>
              <w:rPr>
                <w:rFonts w:hint="eastAsia" w:ascii="仿宋_GB2312" w:hAnsi="仿宋_GB2312" w:eastAsia="仿宋_GB2312" w:cs="仿宋_GB2312"/>
                <w:color w:val="000000"/>
                <w:kern w:val="0"/>
                <w:sz w:val="28"/>
                <w:szCs w:val="28"/>
                <w:highlight w:val="none"/>
              </w:rPr>
              <w:t>项目设计的丰富性与可参与性，活动场地布置、环节设置、人员动线安排、现场秩序维护、互动项目执行与礼品准备发放的专业性</w:t>
            </w:r>
            <w:r>
              <w:rPr>
                <w:rFonts w:hint="eastAsia" w:ascii="仿宋_GB2312" w:hAnsi="仿宋_GB2312" w:eastAsia="仿宋_GB2312" w:cs="仿宋_GB2312"/>
                <w:color w:val="000000"/>
                <w:kern w:val="0"/>
                <w:sz w:val="28"/>
                <w:szCs w:val="28"/>
                <w:highlight w:val="none"/>
                <w:lang w:eastAsia="zh-CN"/>
              </w:rPr>
              <w:t>，</w:t>
            </w:r>
            <w:r>
              <w:rPr>
                <w:rFonts w:hint="eastAsia" w:ascii="仿宋_GB2312" w:hAnsi="仿宋_GB2312" w:eastAsia="仿宋_GB2312" w:cs="仿宋_GB2312"/>
                <w:color w:val="000000"/>
                <w:kern w:val="0"/>
                <w:sz w:val="28"/>
                <w:szCs w:val="28"/>
                <w:highlight w:val="none"/>
                <w:lang w:val="en-US" w:eastAsia="zh-CN"/>
              </w:rPr>
              <w:t>互动创意新颖，品牌及产品亮点关联性好，整体策划与执行保障</w:t>
            </w:r>
            <w:r>
              <w:rPr>
                <w:rFonts w:hint="eastAsia" w:ascii="仿宋_GB2312" w:hAnsi="仿宋_GB2312" w:eastAsia="仿宋_GB2312" w:cs="仿宋_GB2312"/>
                <w:color w:val="000000"/>
                <w:kern w:val="0"/>
                <w:sz w:val="28"/>
                <w:szCs w:val="28"/>
                <w:highlight w:val="none"/>
              </w:rPr>
              <w:t>较好的，得</w:t>
            </w:r>
            <w:r>
              <w:rPr>
                <w:rFonts w:hint="eastAsia" w:ascii="仿宋_GB2312" w:hAnsi="仿宋_GB2312" w:eastAsia="仿宋_GB2312" w:cs="仿宋_GB2312"/>
                <w:color w:val="000000"/>
                <w:kern w:val="0"/>
                <w:sz w:val="28"/>
                <w:szCs w:val="28"/>
                <w:highlight w:val="none"/>
                <w:lang w:val="en-US" w:eastAsia="zh-CN"/>
              </w:rPr>
              <w:t>2</w:t>
            </w:r>
            <w:r>
              <w:rPr>
                <w:rFonts w:hint="eastAsia" w:ascii="仿宋_GB2312" w:hAnsi="仿宋_GB2312" w:eastAsia="仿宋_GB2312" w:cs="仿宋_GB2312"/>
                <w:color w:val="000000"/>
                <w:kern w:val="0"/>
                <w:sz w:val="28"/>
                <w:szCs w:val="28"/>
                <w:highlight w:val="none"/>
              </w:rPr>
              <w:t>0分；如规划不清晰、方案平淡缺乏创意等情况酌情扣分。本项最高得</w:t>
            </w:r>
            <w:r>
              <w:rPr>
                <w:rFonts w:hint="eastAsia" w:ascii="仿宋_GB2312" w:hAnsi="仿宋_GB2312" w:eastAsia="仿宋_GB2312" w:cs="仿宋_GB2312"/>
                <w:color w:val="000000"/>
                <w:kern w:val="0"/>
                <w:sz w:val="28"/>
                <w:szCs w:val="28"/>
                <w:highlight w:val="none"/>
                <w:lang w:val="en-US" w:eastAsia="zh-CN"/>
              </w:rPr>
              <w:t>2</w:t>
            </w:r>
            <w:r>
              <w:rPr>
                <w:rFonts w:hint="eastAsia" w:ascii="仿宋_GB2312" w:hAnsi="仿宋_GB2312" w:eastAsia="仿宋_GB2312" w:cs="仿宋_GB2312"/>
                <w:color w:val="000000"/>
                <w:kern w:val="0"/>
                <w:sz w:val="28"/>
                <w:szCs w:val="28"/>
                <w:highlight w:val="none"/>
              </w:rPr>
              <w:t>0分；</w:t>
            </w:r>
          </w:p>
        </w:tc>
        <w:tc>
          <w:tcPr>
            <w:tcW w:w="730"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413924BE">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20</w:t>
            </w:r>
          </w:p>
        </w:tc>
      </w:tr>
      <w:tr w14:paraId="1BAE6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58" w:hRule="atLeast"/>
          <w:jc w:val="center"/>
        </w:trPr>
        <w:tc>
          <w:tcPr>
            <w:tcW w:w="0" w:type="auto"/>
            <w:vMerge w:val="restart"/>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32AA884B">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实施与服务保障</w:t>
            </w:r>
          </w:p>
          <w:p w14:paraId="4BB4DD36">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b/>
                <w:bCs/>
                <w:color w:val="000000"/>
                <w:sz w:val="28"/>
                <w:szCs w:val="28"/>
              </w:rPr>
              <w:t>（</w:t>
            </w:r>
            <w:r>
              <w:rPr>
                <w:rFonts w:hint="eastAsia" w:ascii="仿宋_GB2312" w:hAnsi="仿宋_GB2312" w:eastAsia="仿宋_GB2312" w:cs="仿宋_GB2312"/>
                <w:b/>
                <w:bCs/>
                <w:color w:val="000000"/>
                <w:sz w:val="28"/>
                <w:szCs w:val="28"/>
                <w:lang w:val="en-US" w:eastAsia="zh-CN"/>
              </w:rPr>
              <w:t>3</w:t>
            </w:r>
            <w:r>
              <w:rPr>
                <w:rFonts w:hint="eastAsia" w:ascii="仿宋_GB2312" w:hAnsi="仿宋_GB2312" w:eastAsia="仿宋_GB2312" w:cs="仿宋_GB2312"/>
                <w:b/>
                <w:bCs/>
                <w:color w:val="000000"/>
                <w:sz w:val="28"/>
                <w:szCs w:val="28"/>
              </w:rPr>
              <w:t>0分）</w:t>
            </w: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C4F5ED3">
            <w:pPr>
              <w:widowControl/>
              <w:numPr>
                <w:ilvl w:val="0"/>
                <w:numId w:val="0"/>
              </w:numPr>
              <w:spacing w:line="500" w:lineRule="exact"/>
              <w:jc w:val="left"/>
              <w:rPr>
                <w:rFonts w:hint="eastAsia" w:ascii="仿宋_GB2312" w:hAnsi="仿宋_GB2312" w:eastAsia="仿宋_GB2312" w:cs="仿宋_GB2312"/>
                <w:sz w:val="28"/>
                <w:szCs w:val="28"/>
              </w:rPr>
            </w:pPr>
            <w:r>
              <w:rPr>
                <w:rFonts w:hint="eastAsia" w:ascii="仿宋_GB2312" w:hAnsi="仿宋_GB2312" w:eastAsia="仿宋_GB2312" w:cs="仿宋_GB2312"/>
                <w:color w:val="000000"/>
                <w:kern w:val="0"/>
                <w:sz w:val="28"/>
                <w:szCs w:val="28"/>
                <w:highlight w:val="none"/>
                <w:shd w:val="clear"/>
                <w:lang w:val="en-US" w:eastAsia="zh-CN"/>
              </w:rPr>
              <w:t>1.</w:t>
            </w:r>
            <w:r>
              <w:rPr>
                <w:rFonts w:hint="eastAsia" w:ascii="仿宋_GB2312" w:hAnsi="仿宋_GB2312" w:eastAsia="仿宋_GB2312" w:cs="仿宋_GB2312"/>
                <w:color w:val="000000"/>
                <w:kern w:val="0"/>
                <w:sz w:val="28"/>
                <w:szCs w:val="28"/>
                <w:highlight w:val="none"/>
                <w:shd w:val="clear"/>
              </w:rPr>
              <w:t>材质用料或设备设施：方案</w:t>
            </w:r>
            <w:r>
              <w:rPr>
                <w:rFonts w:hint="eastAsia" w:ascii="仿宋_GB2312" w:hAnsi="仿宋_GB2312" w:eastAsia="仿宋_GB2312" w:cs="仿宋_GB2312"/>
                <w:color w:val="000000"/>
                <w:kern w:val="0"/>
                <w:sz w:val="28"/>
                <w:szCs w:val="28"/>
                <w:highlight w:val="none"/>
                <w:shd w:val="clear"/>
                <w:lang w:val="en-US" w:eastAsia="zh-CN"/>
              </w:rPr>
              <w:t>效果图要求按照真实比例做3D实景渲染，不允许使用其他项目或非真实比例仅示意的效果图，</w:t>
            </w:r>
            <w:r>
              <w:rPr>
                <w:rFonts w:hint="default" w:ascii="仿宋_GB2312" w:hAnsi="仿宋_GB2312" w:eastAsia="仿宋_GB2312" w:cs="仿宋_GB2312"/>
                <w:color w:val="000000"/>
                <w:kern w:val="0"/>
                <w:sz w:val="28"/>
                <w:szCs w:val="28"/>
                <w:highlight w:val="none"/>
                <w:shd w:val="clear"/>
              </w:rPr>
              <w:t>投标人须提供与本项目布展方案及施工范围相对应的详细工程量清单。清单应按展区、功能区域或具体施工部位分类编制，逐项列明项目名称、所在区域、材质说明、规格尺寸、工艺要求、数量及备注说明等内容，确保清单与设计方案及现场实际制作需求相互对应。清单完整、</w:t>
            </w:r>
            <w:r>
              <w:rPr>
                <w:rFonts w:hint="eastAsia" w:ascii="仿宋_GB2312" w:hAnsi="仿宋_GB2312" w:eastAsia="仿宋_GB2312" w:cs="仿宋_GB2312"/>
                <w:color w:val="000000"/>
                <w:kern w:val="0"/>
                <w:sz w:val="28"/>
                <w:szCs w:val="28"/>
                <w:highlight w:val="none"/>
                <w:shd w:val="clear"/>
                <w:lang w:val="en-US" w:eastAsia="zh-CN"/>
              </w:rPr>
              <w:t>内容</w:t>
            </w:r>
            <w:r>
              <w:rPr>
                <w:rFonts w:hint="default" w:ascii="仿宋_GB2312" w:hAnsi="仿宋_GB2312" w:eastAsia="仿宋_GB2312" w:cs="仿宋_GB2312"/>
                <w:color w:val="000000"/>
                <w:kern w:val="0"/>
                <w:sz w:val="28"/>
                <w:szCs w:val="28"/>
                <w:highlight w:val="none"/>
                <w:shd w:val="clear"/>
              </w:rPr>
              <w:t>清晰准确</w:t>
            </w:r>
            <w:r>
              <w:rPr>
                <w:rFonts w:hint="eastAsia" w:ascii="仿宋_GB2312" w:hAnsi="仿宋_GB2312" w:eastAsia="仿宋_GB2312" w:cs="仿宋_GB2312"/>
                <w:color w:val="000000"/>
                <w:kern w:val="0"/>
                <w:sz w:val="28"/>
                <w:szCs w:val="28"/>
                <w:highlight w:val="none"/>
                <w:shd w:val="clear"/>
                <w:lang w:eastAsia="zh-CN"/>
              </w:rPr>
              <w:t>，</w:t>
            </w:r>
            <w:r>
              <w:rPr>
                <w:rFonts w:hint="eastAsia" w:ascii="仿宋_GB2312" w:hAnsi="仿宋_GB2312" w:eastAsia="仿宋_GB2312" w:cs="仿宋_GB2312"/>
                <w:color w:val="000000"/>
                <w:kern w:val="0"/>
                <w:sz w:val="28"/>
                <w:szCs w:val="28"/>
                <w:highlight w:val="none"/>
                <w:shd w:val="clear"/>
                <w:lang w:val="en-US" w:eastAsia="zh-CN"/>
              </w:rPr>
              <w:t>可</w:t>
            </w:r>
            <w:r>
              <w:rPr>
                <w:rFonts w:hint="default" w:ascii="仿宋_GB2312" w:hAnsi="仿宋_GB2312" w:eastAsia="仿宋_GB2312" w:cs="仿宋_GB2312"/>
                <w:color w:val="000000"/>
                <w:kern w:val="0"/>
                <w:sz w:val="28"/>
                <w:szCs w:val="28"/>
                <w:highlight w:val="none"/>
                <w:shd w:val="clear"/>
              </w:rPr>
              <w:t>执行性</w:t>
            </w:r>
            <w:r>
              <w:rPr>
                <w:rFonts w:hint="eastAsia" w:ascii="仿宋_GB2312" w:hAnsi="仿宋_GB2312" w:eastAsia="仿宋_GB2312" w:cs="仿宋_GB2312"/>
                <w:color w:val="000000"/>
                <w:kern w:val="0"/>
                <w:sz w:val="28"/>
                <w:szCs w:val="28"/>
                <w:highlight w:val="none"/>
                <w:shd w:val="clear"/>
                <w:lang w:val="en-US" w:eastAsia="zh-CN"/>
              </w:rPr>
              <w:t>高，</w:t>
            </w:r>
            <w:r>
              <w:rPr>
                <w:rFonts w:hint="eastAsia" w:ascii="仿宋_GB2312" w:hAnsi="仿宋_GB2312" w:eastAsia="仿宋_GB2312" w:cs="仿宋_GB2312"/>
                <w:color w:val="000000"/>
                <w:kern w:val="0"/>
                <w:sz w:val="28"/>
                <w:szCs w:val="28"/>
                <w:highlight w:val="none"/>
                <w:shd w:val="clear"/>
              </w:rPr>
              <w:t>使用的物料材质或制作设备，制作物的创新性、规格、数量、质量</w:t>
            </w:r>
            <w:r>
              <w:rPr>
                <w:rFonts w:hint="eastAsia" w:ascii="仿宋_GB2312" w:hAnsi="仿宋_GB2312" w:eastAsia="仿宋_GB2312" w:cs="仿宋_GB2312"/>
                <w:color w:val="000000"/>
                <w:kern w:val="0"/>
                <w:sz w:val="28"/>
                <w:szCs w:val="28"/>
                <w:highlight w:val="none"/>
                <w:shd w:val="clear"/>
                <w:lang w:val="en-US" w:eastAsia="zh-CN"/>
              </w:rPr>
              <w:t>具有优势</w:t>
            </w:r>
            <w:r>
              <w:rPr>
                <w:rFonts w:hint="eastAsia" w:ascii="仿宋_GB2312" w:hAnsi="仿宋_GB2312" w:eastAsia="仿宋_GB2312" w:cs="仿宋_GB2312"/>
                <w:color w:val="000000"/>
                <w:kern w:val="0"/>
                <w:sz w:val="28"/>
                <w:szCs w:val="28"/>
                <w:highlight w:val="none"/>
                <w:shd w:val="clear"/>
              </w:rPr>
              <w:t>，有较高的性价比得</w:t>
            </w:r>
            <w:r>
              <w:rPr>
                <w:rFonts w:hint="eastAsia" w:ascii="仿宋_GB2312" w:hAnsi="仿宋_GB2312" w:eastAsia="仿宋_GB2312" w:cs="仿宋_GB2312"/>
                <w:color w:val="000000"/>
                <w:kern w:val="0"/>
                <w:sz w:val="28"/>
                <w:szCs w:val="28"/>
                <w:highlight w:val="none"/>
                <w:shd w:val="clear"/>
                <w:lang w:val="en-US" w:eastAsia="zh-CN"/>
              </w:rPr>
              <w:t>20分，</w:t>
            </w:r>
            <w:r>
              <w:rPr>
                <w:rFonts w:hint="default" w:ascii="仿宋_GB2312" w:hAnsi="仿宋_GB2312" w:eastAsia="仿宋_GB2312" w:cs="仿宋_GB2312"/>
                <w:color w:val="000000"/>
                <w:kern w:val="0"/>
                <w:sz w:val="28"/>
                <w:szCs w:val="28"/>
                <w:highlight w:val="none"/>
                <w:shd w:val="clear"/>
              </w:rPr>
              <w:t>描述或规格数量不够详细</w:t>
            </w:r>
            <w:r>
              <w:rPr>
                <w:rFonts w:hint="eastAsia" w:ascii="仿宋_GB2312" w:hAnsi="仿宋_GB2312" w:eastAsia="仿宋_GB2312" w:cs="仿宋_GB2312"/>
                <w:color w:val="000000"/>
                <w:kern w:val="0"/>
                <w:sz w:val="28"/>
                <w:szCs w:val="28"/>
                <w:highlight w:val="none"/>
                <w:shd w:val="clear"/>
                <w:lang w:val="en-US" w:eastAsia="zh-CN"/>
              </w:rPr>
              <w:t>的</w:t>
            </w:r>
            <w:r>
              <w:rPr>
                <w:rFonts w:hint="eastAsia" w:ascii="仿宋_GB2312" w:hAnsi="仿宋_GB2312" w:eastAsia="仿宋_GB2312" w:cs="仿宋_GB2312"/>
                <w:color w:val="000000"/>
                <w:kern w:val="0"/>
                <w:sz w:val="28"/>
                <w:szCs w:val="28"/>
                <w:highlight w:val="none"/>
                <w:shd w:val="clear"/>
              </w:rPr>
              <w:t>酌情扣分</w:t>
            </w:r>
            <w:r>
              <w:rPr>
                <w:rFonts w:hint="eastAsia" w:ascii="仿宋_GB2312" w:hAnsi="仿宋_GB2312" w:eastAsia="仿宋_GB2312" w:cs="仿宋_GB2312"/>
                <w:color w:val="000000"/>
                <w:kern w:val="0"/>
                <w:sz w:val="28"/>
                <w:szCs w:val="28"/>
                <w:highlight w:val="none"/>
                <w:shd w:val="clear"/>
                <w:lang w:eastAsia="zh-CN"/>
              </w:rPr>
              <w:t>，</w:t>
            </w:r>
            <w:r>
              <w:rPr>
                <w:rFonts w:hint="eastAsia" w:ascii="仿宋_GB2312" w:hAnsi="仿宋_GB2312" w:eastAsia="仿宋_GB2312" w:cs="仿宋_GB2312"/>
                <w:color w:val="000000"/>
                <w:kern w:val="0"/>
                <w:sz w:val="28"/>
                <w:szCs w:val="28"/>
                <w:highlight w:val="none"/>
                <w:shd w:val="clear"/>
              </w:rPr>
              <w:t>本项最高得分</w:t>
            </w:r>
            <w:r>
              <w:rPr>
                <w:rFonts w:hint="eastAsia" w:ascii="仿宋_GB2312" w:hAnsi="仿宋_GB2312" w:eastAsia="仿宋_GB2312" w:cs="仿宋_GB2312"/>
                <w:color w:val="000000"/>
                <w:kern w:val="0"/>
                <w:sz w:val="28"/>
                <w:szCs w:val="28"/>
                <w:highlight w:val="none"/>
                <w:shd w:val="clear"/>
                <w:lang w:val="en-US" w:eastAsia="zh-CN"/>
              </w:rPr>
              <w:t>2</w:t>
            </w:r>
            <w:r>
              <w:rPr>
                <w:rFonts w:hint="eastAsia" w:ascii="仿宋_GB2312" w:hAnsi="仿宋_GB2312" w:eastAsia="仿宋_GB2312" w:cs="仿宋_GB2312"/>
                <w:color w:val="000000"/>
                <w:kern w:val="0"/>
                <w:sz w:val="28"/>
                <w:szCs w:val="28"/>
                <w:highlight w:val="none"/>
                <w:shd w:val="clear"/>
              </w:rPr>
              <w:t>0分；</w:t>
            </w:r>
          </w:p>
        </w:tc>
        <w:tc>
          <w:tcPr>
            <w:tcW w:w="730"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1E4D6BCF">
            <w:pPr>
              <w:pStyle w:val="9"/>
              <w:keepNext w:val="0"/>
              <w:keepLines w:val="0"/>
              <w:widowControl/>
              <w:suppressLineNumbers w:val="0"/>
              <w:spacing w:before="0" w:beforeAutospacing="0" w:after="0" w:afterAutospacing="0" w:line="360" w:lineRule="auto"/>
              <w:ind w:left="0" w:firstLine="0"/>
              <w:jc w:val="center"/>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color w:val="000000"/>
                <w:sz w:val="28"/>
                <w:szCs w:val="28"/>
                <w:lang w:val="en-US" w:eastAsia="zh-CN"/>
              </w:rPr>
              <w:t>20</w:t>
            </w:r>
          </w:p>
        </w:tc>
      </w:tr>
      <w:tr w14:paraId="51B8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35" w:hRule="atLeast"/>
          <w:jc w:val="center"/>
        </w:trPr>
        <w:tc>
          <w:tcPr>
            <w:tcW w:w="0" w:type="auto"/>
            <w:vMerge w:val="continue"/>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7EBD8C0C">
            <w:pPr>
              <w:spacing w:line="360" w:lineRule="auto"/>
              <w:rPr>
                <w:rFonts w:hint="eastAsia" w:ascii="仿宋_GB2312" w:hAnsi="仿宋_GB2312" w:eastAsia="仿宋_GB2312" w:cs="仿宋_GB2312"/>
                <w:sz w:val="28"/>
                <w:szCs w:val="28"/>
              </w:rPr>
            </w:pPr>
          </w:p>
        </w:tc>
        <w:tc>
          <w:tcPr>
            <w:tcW w:w="8928"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C374737">
            <w:pPr>
              <w:pStyle w:val="9"/>
              <w:keepNext w:val="0"/>
              <w:keepLines w:val="0"/>
              <w:widowControl/>
              <w:suppressLineNumbers w:val="0"/>
              <w:spacing w:before="0" w:beforeAutospacing="0" w:after="0" w:afterAutospacing="0" w:line="360" w:lineRule="auto"/>
              <w:ind w:left="0" w:firstLine="0"/>
              <w:jc w:val="left"/>
              <w:rPr>
                <w:rFonts w:hint="eastAsia" w:ascii="仿宋_GB2312" w:hAnsi="仿宋_GB2312" w:eastAsia="仿宋_GB2312" w:cs="仿宋_GB2312"/>
                <w:sz w:val="28"/>
                <w:szCs w:val="28"/>
              </w:rPr>
            </w:pPr>
            <w:r>
              <w:rPr>
                <w:rFonts w:hint="eastAsia" w:ascii="仿宋_GB2312" w:hAnsi="仿宋_GB2312" w:eastAsia="仿宋_GB2312" w:cs="仿宋_GB2312"/>
                <w:b w:val="0"/>
                <w:bCs w:val="0"/>
                <w:color w:val="000000"/>
                <w:sz w:val="28"/>
                <w:szCs w:val="28"/>
                <w:lang w:val="en-US" w:eastAsia="zh-CN"/>
              </w:rPr>
              <w:t>2.</w:t>
            </w:r>
            <w:r>
              <w:rPr>
                <w:rFonts w:hint="eastAsia" w:ascii="仿宋_GB2312" w:hAnsi="仿宋_GB2312" w:eastAsia="仿宋_GB2312" w:cs="仿宋_GB2312"/>
                <w:b w:val="0"/>
                <w:bCs w:val="0"/>
                <w:color w:val="000000"/>
                <w:sz w:val="28"/>
                <w:szCs w:val="28"/>
              </w:rPr>
              <w:t>团队分工与保障：</w:t>
            </w:r>
            <w:r>
              <w:rPr>
                <w:rFonts w:hint="eastAsia" w:ascii="仿宋_GB2312" w:hAnsi="仿宋_GB2312" w:eastAsia="仿宋_GB2312" w:cs="仿宋_GB2312"/>
                <w:color w:val="000000"/>
                <w:sz w:val="28"/>
                <w:szCs w:val="28"/>
              </w:rPr>
              <w:t>提供完备的服务保障方案，确保展会搭建方案完整实施。责任分工明确且合理，团队提供服务人员满足业务开展要求，具备相应的专业经验，能够积极响应项目需求得10分；团队人员分工不合理或分工不明确，无法响应项目需求</w:t>
            </w:r>
            <w:r>
              <w:rPr>
                <w:rFonts w:hint="eastAsia" w:ascii="仿宋_GB2312" w:hAnsi="仿宋_GB2312" w:eastAsia="仿宋_GB2312" w:cs="仿宋_GB2312"/>
                <w:sz w:val="28"/>
                <w:szCs w:val="28"/>
              </w:rPr>
              <w:t>酌情扣分</w:t>
            </w:r>
            <w:r>
              <w:rPr>
                <w:rFonts w:hint="eastAsia" w:ascii="仿宋_GB2312" w:hAnsi="仿宋_GB2312" w:eastAsia="仿宋_GB2312" w:cs="仿宋_GB2312"/>
                <w:color w:val="000000"/>
                <w:sz w:val="28"/>
                <w:szCs w:val="28"/>
              </w:rPr>
              <w:t>。本项最高得10分。</w:t>
            </w:r>
          </w:p>
        </w:tc>
        <w:tc>
          <w:tcPr>
            <w:tcW w:w="730"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1883A138">
            <w:pPr>
              <w:pStyle w:val="9"/>
              <w:keepNext w:val="0"/>
              <w:keepLines w:val="0"/>
              <w:widowControl/>
              <w:suppressLineNumbers w:val="0"/>
              <w:spacing w:before="0" w:beforeAutospacing="0" w:after="0" w:afterAutospacing="0" w:line="360" w:lineRule="auto"/>
              <w:ind w:left="0" w:firstLine="0"/>
              <w:jc w:val="center"/>
              <w:rPr>
                <w:rFonts w:hint="eastAsia" w:ascii="仿宋_GB2312" w:hAnsi="仿宋_GB2312" w:eastAsia="仿宋_GB2312" w:cs="仿宋_GB2312"/>
                <w:sz w:val="28"/>
                <w:szCs w:val="28"/>
              </w:rPr>
            </w:pPr>
            <w:r>
              <w:rPr>
                <w:rFonts w:hint="eastAsia" w:ascii="仿宋_GB2312" w:hAnsi="仿宋_GB2312" w:eastAsia="仿宋_GB2312" w:cs="仿宋_GB2312"/>
                <w:color w:val="000000"/>
                <w:sz w:val="28"/>
                <w:szCs w:val="28"/>
              </w:rPr>
              <w:t>10</w:t>
            </w:r>
          </w:p>
        </w:tc>
      </w:tr>
    </w:tbl>
    <w:p w14:paraId="460B0780">
      <w:pPr>
        <w:pStyle w:val="4"/>
        <w:spacing w:line="500" w:lineRule="exact"/>
        <w:rPr>
          <w:rFonts w:hint="eastAsia" w:ascii="仿宋_GB2312" w:hAnsi="仿宋_GB2312" w:eastAsia="仿宋_GB2312" w:cs="仿宋_GB2312"/>
          <w:b/>
          <w:bCs/>
          <w:sz w:val="28"/>
          <w:szCs w:val="28"/>
          <w:highlight w:val="none"/>
        </w:rPr>
      </w:pPr>
    </w:p>
    <w:p w14:paraId="42C5568C">
      <w:pPr>
        <w:pStyle w:val="14"/>
        <w:numPr>
          <w:ilvl w:val="0"/>
          <w:numId w:val="4"/>
        </w:numPr>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投标文件未密封或资料不完整、投标人对招标文件的实质性要求未做出</w:t>
      </w:r>
      <w:r>
        <w:rPr>
          <w:rFonts w:hint="eastAsia" w:ascii="仿宋_GB2312" w:hAnsi="仿宋_GB2312" w:eastAsia="仿宋_GB2312" w:cs="仿宋_GB2312"/>
          <w:sz w:val="28"/>
          <w:szCs w:val="28"/>
          <w:highlight w:val="none"/>
        </w:rPr>
        <w:tab/>
      </w:r>
      <w:r>
        <w:rPr>
          <w:rFonts w:hint="eastAsia" w:ascii="仿宋_GB2312" w:hAnsi="仿宋_GB2312" w:eastAsia="仿宋_GB2312" w:cs="仿宋_GB2312"/>
          <w:sz w:val="28"/>
          <w:szCs w:val="28"/>
          <w:highlight w:val="none"/>
        </w:rPr>
        <w:t>全面响应、有迹象表明投标人串通投标、中标后无正当理由在规定的时间不签订合同的、投标人提供的投标文件弄虚作假及其它违反法律、法规规定情形的，视为无效投标。</w:t>
      </w:r>
    </w:p>
    <w:p w14:paraId="28CCAAB9">
      <w:pPr>
        <w:pStyle w:val="14"/>
        <w:numPr>
          <w:ilvl w:val="0"/>
          <w:numId w:val="4"/>
        </w:numPr>
        <w:spacing w:line="500" w:lineRule="exact"/>
        <w:ind w:firstLine="56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单个投标单位可兼中多个标的。具体标的执行情况以甲方实际情况为准，如该标的项目取消，该项目中标单位也相应取消中标。</w:t>
      </w:r>
    </w:p>
    <w:p w14:paraId="41754E42">
      <w:pPr>
        <w:spacing w:line="500" w:lineRule="exact"/>
        <w:ind w:firstLine="562" w:firstLineChars="200"/>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八、合同授予</w:t>
      </w:r>
    </w:p>
    <w:p w14:paraId="3A233AE1">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1.招标人根据评审工作小组的评标结果确定中标人，并通知中标人。</w:t>
      </w:r>
    </w:p>
    <w:p w14:paraId="1CB4D308">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中标人接到通知后，应及时与招标人联系（一般为3个工作日以内），到招标单位进行签字确认并尽快签订合同。如中标人无正当理由拒签合同或在签订合同时提出无理附加条件的，招标人有权取消该投标人中标资格，该投标人2年内不得参与该类服务的招标项目。</w:t>
      </w:r>
    </w:p>
    <w:p w14:paraId="42112372">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3.合同订立后，中标人应当按合同约定责任履约，不得将中标项目转包或分包给他人，否则视为违约，招标人有权解除合同。</w:t>
      </w:r>
    </w:p>
    <w:p w14:paraId="791329DC">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4.若中标人在履约合同义务能力或信用有严重缺陷，招标人可终止履行本合同，并要求该中标人返还已支付的款项，招标人有权解除合同。</w:t>
      </w:r>
    </w:p>
    <w:p w14:paraId="4C9782EB">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5.双方的权利义务以最终签署的合同为准。</w:t>
      </w:r>
    </w:p>
    <w:p w14:paraId="58BF2C26">
      <w:pPr>
        <w:spacing w:line="500" w:lineRule="exact"/>
        <w:ind w:firstLine="562" w:firstLineChars="200"/>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九、废标及终止招标</w:t>
      </w:r>
    </w:p>
    <w:p w14:paraId="7D5FA5B7">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1.投标人有下列情形之一的，将被视为废标，招标人将按照有关法律法规行使权力。投标人给招标人造成损失的，招标人有索赔的权力，投标人应给予赔偿。</w:t>
      </w:r>
    </w:p>
    <w:p w14:paraId="66BB7FEE">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（1）投标人提供的有关资格、资质证明文件不全、不真实；</w:t>
      </w:r>
    </w:p>
    <w:p w14:paraId="5944FADF">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（2）投标人在报价有效期内撤回投标；</w:t>
      </w:r>
    </w:p>
    <w:p w14:paraId="712C2486">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（3）在评标过程中，投标人有企图影响评标结果公正性的任何项目；</w:t>
      </w:r>
    </w:p>
    <w:p w14:paraId="56FE1598">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（4）投标人以任何形式诋毁他人投标；</w:t>
      </w:r>
    </w:p>
    <w:p w14:paraId="79570C23">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（5）投标人串通投标；</w:t>
      </w:r>
    </w:p>
    <w:p w14:paraId="79F6E584">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（6）以他人名义投标或以任何方式骗取中标；</w:t>
      </w:r>
    </w:p>
    <w:p w14:paraId="2264AE7F">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（7）投标人对招标文件做出实质性变更；</w:t>
      </w:r>
    </w:p>
    <w:p w14:paraId="2BD2DF50">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（8）投标人负责人为同一人或者存在控股、管理关系的不同单位；</w:t>
      </w:r>
    </w:p>
    <w:p w14:paraId="41EDDD3B">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（9）投标人被举报、检举，并经招标方查实无误的；</w:t>
      </w:r>
    </w:p>
    <w:p w14:paraId="22EC31AA">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（10）法律、法规规定的其他情况；</w:t>
      </w:r>
    </w:p>
    <w:p w14:paraId="159CE9CA">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（11）符合条件的投标人或者对招标文件做实质响应的投标人不足三家的；</w:t>
      </w:r>
    </w:p>
    <w:p w14:paraId="23EB6BA3">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（12）投标人承诺并同意因招标人公司政策变化引起的随时终止项目的情形，并自行承担由此带来的一切损失；</w:t>
      </w:r>
    </w:p>
    <w:p w14:paraId="4E5AE141">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2.出现下列情形，招标人有权否决所有投标人的投标，并终止招标。</w:t>
      </w:r>
    </w:p>
    <w:p w14:paraId="01BB6E3E">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（1）出现影响评审公正性的违法、违规行为；</w:t>
      </w:r>
    </w:p>
    <w:p w14:paraId="3DF748C5">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（2）评标委员会经评审，认为投标人不符合招标文件要求的；</w:t>
      </w:r>
    </w:p>
    <w:p w14:paraId="40C7D11C">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（3）因重大变故，本项目取消；</w:t>
      </w:r>
    </w:p>
    <w:p w14:paraId="709C83E5">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（4）招标人认为其他应终止招标的情形。</w:t>
      </w:r>
    </w:p>
    <w:p w14:paraId="24CA0301">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0661F3DF">
      <w:pPr>
        <w:spacing w:line="500" w:lineRule="exact"/>
        <w:ind w:firstLine="562" w:firstLineChars="200"/>
        <w:rPr>
          <w:rFonts w:hint="eastAsia"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十、解释权</w:t>
      </w:r>
    </w:p>
    <w:p w14:paraId="569AC458">
      <w:pPr>
        <w:spacing w:line="500" w:lineRule="exact"/>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本招标文件的最终解释权归招标人，当对一个问题有多种解释时以招标人的书面解释为准。招标文件未做须知明示，而又有相关法律、法规规定的，招标人对此所做解释以相关的法律、法规规定为依据。</w:t>
      </w:r>
    </w:p>
    <w:p w14:paraId="68D4AF78">
      <w:pPr>
        <w:spacing w:line="500" w:lineRule="exact"/>
        <w:ind w:firstLine="560" w:firstLineChars="200"/>
        <w:rPr>
          <w:rFonts w:hint="eastAsia" w:ascii="仿宋_GB2312" w:hAnsi="仿宋_GB2312" w:eastAsia="仿宋_GB2312" w:cs="仿宋_GB2312"/>
          <w:sz w:val="28"/>
          <w:szCs w:val="28"/>
          <w:highlight w:val="none"/>
        </w:rPr>
      </w:pPr>
    </w:p>
    <w:p w14:paraId="47CC768A">
      <w:pPr>
        <w:spacing w:line="500" w:lineRule="exact"/>
        <w:ind w:firstLine="560" w:firstLineChars="200"/>
        <w:rPr>
          <w:rFonts w:hint="eastAsia" w:ascii="仿宋_GB2312" w:hAnsi="仿宋_GB2312" w:eastAsia="仿宋_GB2312" w:cs="仿宋_GB2312"/>
          <w:sz w:val="28"/>
          <w:szCs w:val="28"/>
          <w:highlight w:val="none"/>
        </w:rPr>
      </w:pPr>
    </w:p>
    <w:p w14:paraId="38A32E31">
      <w:pPr>
        <w:spacing w:line="500" w:lineRule="exact"/>
        <w:rPr>
          <w:rFonts w:hint="eastAsia" w:ascii="仿宋_GB2312" w:hAnsi="仿宋_GB2312" w:eastAsia="仿宋_GB2312" w:cs="仿宋_GB2312"/>
          <w:sz w:val="28"/>
          <w:szCs w:val="28"/>
          <w:highlight w:val="none"/>
          <w:lang w:val="en-US" w:eastAsia="zh-CN"/>
        </w:rPr>
      </w:pPr>
    </w:p>
    <w:p w14:paraId="1E2FD932">
      <w:pPr>
        <w:spacing w:line="500" w:lineRule="exact"/>
        <w:jc w:val="right"/>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lang w:val="en-US" w:eastAsia="zh-CN"/>
        </w:rPr>
        <w:object>
          <v:shape id="_x0000_i1025" o:spt="75" type="#_x0000_t75" style="height:65.5pt;width:72.5pt;" o:ole="t" filled="f" o:preferrelative="t" stroked="f" coordsize="21600,21600">
            <v:path/>
            <v:fill on="f" focussize="0,0"/>
            <v:stroke on="f"/>
            <v:imagedata r:id="rId5" o:title=""/>
            <o:lock v:ext="edit" aspectratio="t"/>
            <w10:wrap type="none"/>
            <w10:anchorlock/>
          </v:shape>
          <o:OLEObject Type="Embed" ProgID="Word.Document.12" ShapeID="_x0000_i1025" DrawAspect="Icon" ObjectID="_1468075725" r:id="rId4">
            <o:LockedField>false</o:LockedField>
          </o:OLEObject>
        </w:object>
      </w:r>
      <w:r>
        <w:rPr>
          <w:rFonts w:hint="eastAsia" w:ascii="仿宋_GB2312" w:hAnsi="仿宋_GB2312" w:eastAsia="仿宋_GB2312" w:cs="仿宋_GB2312"/>
          <w:sz w:val="28"/>
          <w:szCs w:val="28"/>
          <w:lang w:val="en-US" w:eastAsia="zh-CN"/>
        </w:rPr>
        <w:object>
          <v:shape id="_x0000_i1026" o:spt="75" type="#_x0000_t75" style="height:65.5pt;width:72.5pt;" o:ole="t" filled="f" o:preferrelative="t" stroked="f" coordsize="21600,21600">
            <v:path/>
            <v:fill on="f" focussize="0,0"/>
            <v:stroke on="f"/>
            <v:imagedata r:id="rId7" o:title=""/>
            <o:lock v:ext="edit" aspectratio="t"/>
            <w10:wrap type="none"/>
            <w10:anchorlock/>
          </v:shape>
          <o:OLEObject Type="Embed" ProgID="Word.Document.8" ShapeID="_x0000_i1026" DrawAspect="Icon" ObjectID="_1468075726" r:id="rId6">
            <o:LockedField>false</o:LockedField>
          </o:OLEObject>
        </w:object>
      </w:r>
      <w:r>
        <w:rPr>
          <w:rFonts w:hint="eastAsia" w:ascii="仿宋_GB2312" w:hAnsi="仿宋_GB2312" w:eastAsia="仿宋_GB2312" w:cs="仿宋_GB2312"/>
          <w:sz w:val="28"/>
          <w:szCs w:val="28"/>
          <w:highlight w:val="none"/>
        </w:rPr>
        <w:t>中国重型汽车集团有限公司</w:t>
      </w:r>
    </w:p>
    <w:p w14:paraId="72661F18">
      <w:pPr>
        <w:spacing w:line="500" w:lineRule="exact"/>
        <w:ind w:firstLine="5040" w:firstLineChars="1800"/>
        <w:jc w:val="right"/>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rPr>
        <w:t>202</w:t>
      </w:r>
      <w:r>
        <w:rPr>
          <w:rFonts w:hint="eastAsia" w:ascii="仿宋_GB2312" w:hAnsi="仿宋_GB2312" w:eastAsia="仿宋_GB2312" w:cs="仿宋_GB2312"/>
          <w:sz w:val="28"/>
          <w:szCs w:val="28"/>
          <w:highlight w:val="none"/>
          <w:lang w:val="en-US" w:eastAsia="zh-CN"/>
        </w:rPr>
        <w:t>6</w:t>
      </w:r>
      <w:r>
        <w:rPr>
          <w:rFonts w:hint="eastAsia" w:ascii="仿宋_GB2312" w:hAnsi="仿宋_GB2312" w:eastAsia="仿宋_GB2312" w:cs="仿宋_GB2312"/>
          <w:sz w:val="28"/>
          <w:szCs w:val="28"/>
          <w:highlight w:val="none"/>
        </w:rPr>
        <w:t>.1</w:t>
      </w:r>
      <w:r>
        <w:rPr>
          <w:rFonts w:hint="eastAsia" w:ascii="仿宋_GB2312" w:hAnsi="仿宋_GB2312" w:eastAsia="仿宋_GB2312" w:cs="仿宋_GB2312"/>
          <w:sz w:val="28"/>
          <w:szCs w:val="28"/>
          <w:highlight w:val="none"/>
          <w:lang w:val="en-US" w:eastAsia="zh-CN"/>
        </w:rPr>
        <w:t>1</w:t>
      </w:r>
    </w:p>
    <w:p w14:paraId="5DC2DA51">
      <w:pPr>
        <w:spacing w:line="500" w:lineRule="exact"/>
        <w:ind w:firstLine="560" w:firstLineChars="200"/>
        <w:rPr>
          <w:rFonts w:hint="eastAsia" w:ascii="仿宋_GB2312" w:hAnsi="仿宋_GB2312" w:eastAsia="仿宋_GB2312" w:cs="仿宋_GB2312"/>
          <w:sz w:val="28"/>
          <w:szCs w:val="28"/>
          <w:highlight w:val="none"/>
        </w:rPr>
      </w:pPr>
    </w:p>
    <w:p w14:paraId="1B1813EE">
      <w:pPr>
        <w:spacing w:line="500" w:lineRule="exact"/>
        <w:ind w:firstLine="560" w:firstLineChars="200"/>
        <w:rPr>
          <w:rFonts w:hint="eastAsia" w:ascii="仿宋_GB2312" w:hAnsi="仿宋_GB2312" w:eastAsia="仿宋_GB2312" w:cs="仿宋_GB2312"/>
          <w:sz w:val="28"/>
          <w:szCs w:val="28"/>
          <w:highlight w:val="none"/>
        </w:rPr>
      </w:pPr>
    </w:p>
    <w:p w14:paraId="61332B09">
      <w:pPr>
        <w:spacing w:line="500" w:lineRule="exact"/>
        <w:ind w:firstLine="560" w:firstLineChars="200"/>
        <w:rPr>
          <w:rFonts w:hint="eastAsia" w:ascii="仿宋_GB2312" w:hAnsi="仿宋_GB2312" w:eastAsia="仿宋_GB2312" w:cs="仿宋_GB2312"/>
          <w:sz w:val="28"/>
          <w:szCs w:val="28"/>
          <w:highlight w:val="none"/>
        </w:rPr>
      </w:pPr>
    </w:p>
    <w:p w14:paraId="42AE6991">
      <w:pPr>
        <w:spacing w:line="500" w:lineRule="exact"/>
        <w:ind w:firstLine="560" w:firstLineChars="200"/>
        <w:rPr>
          <w:rFonts w:hint="eastAsia" w:ascii="仿宋_GB2312" w:hAnsi="仿宋_GB2312" w:eastAsia="仿宋_GB2312" w:cs="仿宋_GB2312"/>
          <w:sz w:val="28"/>
          <w:szCs w:val="28"/>
          <w:highlight w:val="none"/>
        </w:rPr>
      </w:pPr>
    </w:p>
    <w:p w14:paraId="1CDD4B41">
      <w:pPr>
        <w:spacing w:line="500" w:lineRule="exact"/>
        <w:ind w:firstLine="560" w:firstLineChars="200"/>
        <w:rPr>
          <w:rFonts w:hint="eastAsia" w:ascii="仿宋_GB2312" w:hAnsi="仿宋_GB2312" w:eastAsia="仿宋_GB2312" w:cs="仿宋_GB2312"/>
          <w:sz w:val="28"/>
          <w:szCs w:val="28"/>
          <w:highlight w:val="none"/>
        </w:rPr>
      </w:pPr>
    </w:p>
    <w:p w14:paraId="20E382EB">
      <w:pPr>
        <w:spacing w:line="500" w:lineRule="exact"/>
        <w:ind w:firstLine="560" w:firstLineChars="200"/>
        <w:rPr>
          <w:rFonts w:hint="eastAsia" w:ascii="仿宋_GB2312" w:hAnsi="仿宋_GB2312" w:eastAsia="仿宋_GB2312" w:cs="仿宋_GB2312"/>
          <w:sz w:val="28"/>
          <w:szCs w:val="28"/>
          <w:highlight w:val="none"/>
        </w:rPr>
      </w:pPr>
    </w:p>
    <w:p w14:paraId="796A599C">
      <w:pPr>
        <w:spacing w:line="500" w:lineRule="exact"/>
        <w:ind w:firstLine="560" w:firstLineChars="200"/>
        <w:rPr>
          <w:rFonts w:hint="eastAsia" w:ascii="仿宋_GB2312" w:hAnsi="仿宋_GB2312" w:eastAsia="仿宋_GB2312" w:cs="仿宋_GB2312"/>
          <w:sz w:val="28"/>
          <w:szCs w:val="28"/>
          <w:highlight w:val="none"/>
        </w:rPr>
      </w:pPr>
    </w:p>
    <w:p w14:paraId="020E9E08">
      <w:pPr>
        <w:spacing w:line="500" w:lineRule="exact"/>
        <w:ind w:firstLine="560" w:firstLineChars="200"/>
        <w:rPr>
          <w:rFonts w:hint="eastAsia" w:ascii="仿宋_GB2312" w:hAnsi="仿宋_GB2312" w:eastAsia="仿宋_GB2312" w:cs="仿宋_GB2312"/>
          <w:sz w:val="28"/>
          <w:szCs w:val="28"/>
          <w:highlight w:val="none"/>
        </w:rPr>
      </w:pPr>
    </w:p>
    <w:p w14:paraId="178F41E1">
      <w:pPr>
        <w:spacing w:line="500" w:lineRule="exact"/>
        <w:ind w:firstLine="560" w:firstLineChars="200"/>
        <w:rPr>
          <w:rFonts w:hint="eastAsia" w:ascii="仿宋_GB2312" w:hAnsi="仿宋_GB2312" w:eastAsia="仿宋_GB2312" w:cs="仿宋_GB2312"/>
          <w:sz w:val="28"/>
          <w:szCs w:val="28"/>
          <w:highlight w:val="none"/>
        </w:rPr>
      </w:pPr>
    </w:p>
    <w:p w14:paraId="15C1FA3E">
      <w:pPr>
        <w:spacing w:line="500" w:lineRule="exact"/>
        <w:ind w:firstLine="560" w:firstLineChars="200"/>
        <w:rPr>
          <w:rFonts w:hint="eastAsia" w:ascii="仿宋_GB2312" w:hAnsi="仿宋_GB2312" w:eastAsia="仿宋_GB2312" w:cs="仿宋_GB2312"/>
          <w:sz w:val="28"/>
          <w:szCs w:val="28"/>
          <w:highlight w:val="none"/>
        </w:rPr>
      </w:pPr>
    </w:p>
    <w:p w14:paraId="44EABE01">
      <w:pPr>
        <w:spacing w:line="500" w:lineRule="exact"/>
        <w:ind w:firstLine="560" w:firstLineChars="200"/>
        <w:rPr>
          <w:rFonts w:hint="eastAsia" w:ascii="仿宋_GB2312" w:hAnsi="仿宋_GB2312" w:eastAsia="仿宋_GB2312" w:cs="仿宋_GB2312"/>
          <w:sz w:val="28"/>
          <w:szCs w:val="28"/>
          <w:highlight w:val="none"/>
        </w:rPr>
      </w:pPr>
    </w:p>
    <w:p w14:paraId="5626E6A9">
      <w:pPr>
        <w:spacing w:line="500" w:lineRule="exact"/>
        <w:ind w:firstLine="560" w:firstLineChars="200"/>
        <w:rPr>
          <w:rFonts w:hint="eastAsia" w:ascii="仿宋_GB2312" w:hAnsi="仿宋_GB2312" w:eastAsia="仿宋_GB2312" w:cs="仿宋_GB2312"/>
          <w:sz w:val="28"/>
          <w:szCs w:val="28"/>
          <w:highlight w:val="none"/>
        </w:rPr>
      </w:pPr>
    </w:p>
    <w:p w14:paraId="67B10B6E">
      <w:pPr>
        <w:spacing w:line="500" w:lineRule="exact"/>
        <w:ind w:firstLine="560" w:firstLineChars="200"/>
        <w:rPr>
          <w:rFonts w:hint="eastAsia" w:ascii="仿宋_GB2312" w:hAnsi="仿宋_GB2312" w:eastAsia="仿宋_GB2312" w:cs="仿宋_GB2312"/>
          <w:sz w:val="28"/>
          <w:szCs w:val="28"/>
          <w:highlight w:val="none"/>
        </w:rPr>
      </w:pPr>
    </w:p>
    <w:p w14:paraId="10C825F8">
      <w:pPr>
        <w:spacing w:line="500" w:lineRule="exact"/>
        <w:ind w:firstLine="560" w:firstLineChars="200"/>
        <w:rPr>
          <w:rFonts w:hint="eastAsia" w:ascii="仿宋_GB2312" w:hAnsi="仿宋_GB2312" w:eastAsia="仿宋_GB2312" w:cs="仿宋_GB2312"/>
          <w:sz w:val="28"/>
          <w:szCs w:val="28"/>
          <w:highlight w:val="none"/>
        </w:rPr>
      </w:pPr>
    </w:p>
    <w:p w14:paraId="5EA9CA88">
      <w:pPr>
        <w:spacing w:line="500" w:lineRule="exact"/>
        <w:ind w:firstLine="560" w:firstLineChars="200"/>
        <w:rPr>
          <w:rFonts w:hint="eastAsia" w:ascii="仿宋_GB2312" w:hAnsi="仿宋_GB2312" w:eastAsia="仿宋_GB2312" w:cs="仿宋_GB2312"/>
          <w:sz w:val="28"/>
          <w:szCs w:val="28"/>
          <w:highlight w:val="none"/>
        </w:rPr>
      </w:pPr>
    </w:p>
    <w:p w14:paraId="24703F04">
      <w:pPr>
        <w:spacing w:line="500" w:lineRule="exact"/>
        <w:ind w:firstLine="560" w:firstLineChars="200"/>
        <w:rPr>
          <w:rFonts w:hint="eastAsia" w:ascii="仿宋_GB2312" w:hAnsi="仿宋_GB2312" w:eastAsia="仿宋_GB2312" w:cs="仿宋_GB2312"/>
          <w:sz w:val="28"/>
          <w:szCs w:val="28"/>
          <w:highlight w:val="none"/>
        </w:rPr>
      </w:pPr>
    </w:p>
    <w:p w14:paraId="5F2047C5">
      <w:pPr>
        <w:spacing w:line="500" w:lineRule="exact"/>
        <w:ind w:firstLine="560" w:firstLineChars="200"/>
        <w:rPr>
          <w:rFonts w:hint="eastAsia" w:ascii="仿宋_GB2312" w:hAnsi="仿宋_GB2312" w:eastAsia="仿宋_GB2312" w:cs="仿宋_GB2312"/>
          <w:sz w:val="28"/>
          <w:szCs w:val="28"/>
          <w:highlight w:val="none"/>
        </w:rPr>
      </w:pPr>
    </w:p>
    <w:p w14:paraId="549C831B">
      <w:pPr>
        <w:spacing w:line="500" w:lineRule="exact"/>
        <w:rPr>
          <w:rFonts w:hint="eastAsia" w:ascii="仿宋_GB2312" w:hAnsi="仿宋_GB2312" w:eastAsia="仿宋_GB2312" w:cs="仿宋_GB2312"/>
          <w:sz w:val="28"/>
          <w:szCs w:val="28"/>
          <w:highlight w:val="none"/>
        </w:rPr>
      </w:pPr>
    </w:p>
    <w:p w14:paraId="29B18CD1">
      <w:pPr>
        <w:spacing w:line="500" w:lineRule="exact"/>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附件：</w:t>
      </w:r>
    </w:p>
    <w:p w14:paraId="52C85D35">
      <w:pPr>
        <w:spacing w:line="360" w:lineRule="auto"/>
        <w:jc w:val="center"/>
        <w:rPr>
          <w:rFonts w:hint="eastAsia" w:ascii="宋体" w:hAnsi="宋体" w:eastAsia="宋体" w:cs="宋体"/>
          <w:b/>
          <w:bCs/>
          <w:sz w:val="28"/>
          <w:szCs w:val="28"/>
          <w:highlight w:val="none"/>
        </w:rPr>
      </w:pPr>
      <w:r>
        <w:rPr>
          <w:rFonts w:hint="eastAsia" w:ascii="宋体" w:hAnsi="宋体" w:eastAsia="宋体" w:cs="宋体"/>
          <w:b/>
          <w:bCs/>
          <w:sz w:val="28"/>
          <w:szCs w:val="28"/>
          <w:highlight w:val="none"/>
        </w:rPr>
        <w:t>法人授权委托书</w:t>
      </w:r>
    </w:p>
    <w:p w14:paraId="4BBE44A4">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致</w:t>
      </w:r>
      <w:r>
        <w:rPr>
          <w:rFonts w:hint="eastAsia" w:ascii="宋体" w:hAnsi="宋体" w:eastAsia="宋体" w:cs="宋体"/>
          <w:szCs w:val="21"/>
          <w:highlight w:val="none"/>
          <w:u w:val="single"/>
        </w:rPr>
        <w:t>（招标人名称）                            ：</w:t>
      </w:r>
      <w:r>
        <w:rPr>
          <w:rFonts w:hint="eastAsia" w:ascii="宋体" w:hAnsi="宋体" w:eastAsia="宋体" w:cs="宋体"/>
          <w:szCs w:val="21"/>
          <w:highlight w:val="none"/>
        </w:rPr>
        <w:t xml:space="preserve"> </w:t>
      </w:r>
    </w:p>
    <w:p w14:paraId="1EAF6D97">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本授权委托书声明：我</w:t>
      </w:r>
      <w:r>
        <w:rPr>
          <w:rFonts w:hint="eastAsia" w:ascii="宋体" w:hAnsi="宋体" w:eastAsia="宋体" w:cs="宋体"/>
          <w:szCs w:val="21"/>
          <w:highlight w:val="none"/>
          <w:u w:val="single"/>
        </w:rPr>
        <w:t xml:space="preserve">（法人姓名）       </w:t>
      </w:r>
      <w:r>
        <w:rPr>
          <w:rFonts w:hint="eastAsia" w:ascii="宋体" w:hAnsi="宋体" w:eastAsia="宋体" w:cs="宋体"/>
          <w:szCs w:val="21"/>
          <w:highlight w:val="none"/>
        </w:rPr>
        <w:t>系</w:t>
      </w:r>
      <w:r>
        <w:rPr>
          <w:rFonts w:hint="eastAsia" w:ascii="宋体" w:hAnsi="宋体" w:eastAsia="宋体" w:cs="宋体"/>
          <w:szCs w:val="21"/>
          <w:highlight w:val="none"/>
          <w:u w:val="single"/>
        </w:rPr>
        <w:t xml:space="preserve">（投标人名称）                   </w:t>
      </w:r>
      <w:r>
        <w:rPr>
          <w:rFonts w:hint="eastAsia" w:ascii="宋体" w:hAnsi="宋体" w:eastAsia="宋体" w:cs="宋体"/>
          <w:szCs w:val="21"/>
          <w:highlight w:val="none"/>
        </w:rPr>
        <w:t>的法定代</w:t>
      </w:r>
    </w:p>
    <w:p w14:paraId="464DEACD">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表人，现授权委托</w:t>
      </w:r>
      <w:r>
        <w:rPr>
          <w:rFonts w:hint="eastAsia" w:ascii="宋体" w:hAnsi="宋体" w:eastAsia="宋体" w:cs="宋体"/>
          <w:szCs w:val="21"/>
          <w:highlight w:val="none"/>
          <w:u w:val="single"/>
        </w:rPr>
        <w:t xml:space="preserve">（投标人名称）                    </w:t>
      </w:r>
      <w:r>
        <w:rPr>
          <w:rFonts w:hint="eastAsia" w:ascii="宋体" w:hAnsi="宋体" w:eastAsia="宋体" w:cs="宋体"/>
          <w:szCs w:val="21"/>
          <w:highlight w:val="none"/>
        </w:rPr>
        <w:t>的</w:t>
      </w:r>
      <w:r>
        <w:rPr>
          <w:rFonts w:hint="eastAsia" w:ascii="宋体" w:hAnsi="宋体" w:eastAsia="宋体" w:cs="宋体"/>
          <w:szCs w:val="21"/>
          <w:highlight w:val="none"/>
          <w:u w:val="single"/>
        </w:rPr>
        <w:t xml:space="preserve"> （授权委托代理人姓名）        </w:t>
      </w:r>
      <w:r>
        <w:rPr>
          <w:rFonts w:hint="eastAsia" w:ascii="宋体" w:hAnsi="宋体" w:eastAsia="宋体" w:cs="宋体"/>
          <w:szCs w:val="21"/>
          <w:highlight w:val="none"/>
        </w:rPr>
        <w:t>为我</w:t>
      </w:r>
    </w:p>
    <w:p w14:paraId="75F1F8FF">
      <w:pPr>
        <w:spacing w:line="360" w:lineRule="auto"/>
        <w:rPr>
          <w:rFonts w:hint="eastAsia" w:ascii="宋体" w:hAnsi="宋体" w:eastAsia="宋体" w:cs="宋体"/>
          <w:szCs w:val="21"/>
          <w:highlight w:val="none"/>
        </w:rPr>
      </w:pPr>
      <w:r>
        <w:rPr>
          <w:rFonts w:hint="eastAsia" w:ascii="宋体" w:hAnsi="宋体" w:eastAsia="宋体" w:cs="宋体"/>
          <w:szCs w:val="21"/>
          <w:highlight w:val="none"/>
        </w:rPr>
        <w:t>公司参加贵方组织的</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项目</w:t>
      </w:r>
      <w:r>
        <w:rPr>
          <w:rFonts w:hint="eastAsia" w:ascii="宋体" w:hAnsi="宋体" w:eastAsia="宋体" w:cs="宋体"/>
          <w:szCs w:val="21"/>
          <w:highlight w:val="none"/>
        </w:rPr>
        <w:t>的法定代表人授权委托代理人，全权代表本公司处理投标过程的一切事宜，包括：投标、参与开标、谈判、签约等。</w:t>
      </w:r>
    </w:p>
    <w:p w14:paraId="126C21B1">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 xml:space="preserve">投标人授权代表在投标过程中所签署的一切文件和处理与之有关的一切事务，我公司均予认可并对此承担全部责任。 </w:t>
      </w:r>
    </w:p>
    <w:p w14:paraId="53DD0F7B">
      <w:pPr>
        <w:spacing w:line="360" w:lineRule="auto"/>
        <w:rPr>
          <w:rFonts w:hint="eastAsia" w:ascii="宋体" w:hAnsi="宋体" w:eastAsia="宋体" w:cs="宋体"/>
          <w:szCs w:val="21"/>
          <w:highlight w:val="none"/>
          <w:u w:val="single"/>
        </w:rPr>
      </w:pPr>
      <w:r>
        <w:rPr>
          <w:rFonts w:hint="eastAsia" w:ascii="宋体" w:hAnsi="宋体" w:eastAsia="宋体" w:cs="宋体"/>
          <w:szCs w:val="21"/>
          <w:highlight w:val="none"/>
        </w:rPr>
        <w:t>委托期限：</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年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月</w:t>
      </w:r>
      <w:r>
        <w:rPr>
          <w:rFonts w:hint="eastAsia" w:ascii="宋体" w:hAnsi="宋体" w:eastAsia="宋体" w:cs="宋体"/>
          <w:szCs w:val="21"/>
          <w:highlight w:val="none"/>
          <w:u w:val="single"/>
          <w:lang w:val="en-US" w:eastAsia="zh-CN"/>
        </w:rPr>
        <w:t xml:space="preserve"> *</w:t>
      </w:r>
      <w:r>
        <w:rPr>
          <w:rFonts w:hint="eastAsia" w:ascii="宋体" w:hAnsi="宋体" w:eastAsia="宋体" w:cs="宋体"/>
          <w:szCs w:val="21"/>
          <w:highlight w:val="none"/>
          <w:u w:val="single"/>
        </w:rPr>
        <w:t xml:space="preserve"> 日至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年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月 </w:t>
      </w:r>
      <w:r>
        <w:rPr>
          <w:rFonts w:hint="eastAsia" w:ascii="宋体" w:hAnsi="宋体" w:eastAsia="宋体" w:cs="宋体"/>
          <w:szCs w:val="21"/>
          <w:highlight w:val="none"/>
          <w:u w:val="single"/>
          <w:lang w:val="en-US" w:eastAsia="zh-CN"/>
        </w:rPr>
        <w:t>*</w:t>
      </w:r>
      <w:r>
        <w:rPr>
          <w:rFonts w:hint="eastAsia" w:ascii="宋体" w:hAnsi="宋体" w:eastAsia="宋体" w:cs="宋体"/>
          <w:szCs w:val="21"/>
          <w:highlight w:val="none"/>
          <w:u w:val="single"/>
        </w:rPr>
        <w:t xml:space="preserve"> 日</w:t>
      </w:r>
    </w:p>
    <w:p w14:paraId="625A77E9">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Cs w:val="21"/>
          <w:highlight w:val="none"/>
        </w:rPr>
        <w:t>全权代表无转委权。特此委托。</w:t>
      </w:r>
    </w:p>
    <w:p w14:paraId="40F17557">
      <w:pPr>
        <w:rPr>
          <w:rFonts w:hint="eastAsia" w:ascii="宋体" w:hAnsi="宋体" w:eastAsia="宋体" w:cs="宋体"/>
          <w:szCs w:val="21"/>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3B8DD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2" w:hRule="atLeast"/>
        </w:trPr>
        <w:tc>
          <w:tcPr>
            <w:tcW w:w="4077" w:type="dxa"/>
            <w:noWrap w:val="0"/>
            <w:vAlign w:val="top"/>
          </w:tcPr>
          <w:p w14:paraId="128458A6">
            <w:pPr>
              <w:rPr>
                <w:rFonts w:hint="eastAsia" w:ascii="宋体" w:hAnsi="宋体" w:eastAsia="宋体" w:cs="宋体"/>
                <w:szCs w:val="21"/>
                <w:highlight w:val="none"/>
              </w:rPr>
            </w:pPr>
            <w:r>
              <w:rPr>
                <w:rFonts w:hint="eastAsia" w:ascii="宋体" w:hAnsi="宋体" w:eastAsia="宋体" w:cs="宋体"/>
                <w:szCs w:val="21"/>
                <w:highlight w:val="none"/>
              </w:rPr>
              <w:t>法定代表人身份证复印件（正面）</w:t>
            </w:r>
          </w:p>
        </w:tc>
      </w:tr>
    </w:tbl>
    <w:p w14:paraId="21A4B007">
      <w:pPr>
        <w:rPr>
          <w:rFonts w:hint="eastAsia" w:ascii="宋体" w:hAnsi="宋体" w:eastAsia="宋体" w:cs="宋体"/>
          <w:vanish/>
          <w:highlight w:val="none"/>
        </w:rPr>
      </w:pPr>
    </w:p>
    <w:tbl>
      <w:tblPr>
        <w:tblStyle w:val="10"/>
        <w:tblpPr w:leftFromText="180" w:rightFromText="180" w:vertAnchor="text" w:horzAnchor="page" w:tblpX="6117" w:tblpY="-23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4"/>
      </w:tblGrid>
      <w:tr w14:paraId="4E45A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8" w:hRule="atLeast"/>
        </w:trPr>
        <w:tc>
          <w:tcPr>
            <w:tcW w:w="3794" w:type="dxa"/>
            <w:noWrap w:val="0"/>
            <w:vAlign w:val="top"/>
          </w:tcPr>
          <w:p w14:paraId="0BBA1BA6">
            <w:pPr>
              <w:rPr>
                <w:rFonts w:hint="eastAsia" w:ascii="宋体" w:hAnsi="宋体" w:eastAsia="宋体" w:cs="宋体"/>
                <w:szCs w:val="21"/>
                <w:highlight w:val="none"/>
              </w:rPr>
            </w:pPr>
            <w:r>
              <w:rPr>
                <w:rFonts w:hint="eastAsia" w:ascii="宋体" w:hAnsi="宋体" w:eastAsia="宋体" w:cs="宋体"/>
                <w:szCs w:val="21"/>
                <w:highlight w:val="none"/>
              </w:rPr>
              <w:softHyphen/>
            </w:r>
            <w:r>
              <w:rPr>
                <w:rFonts w:hint="eastAsia" w:ascii="宋体" w:hAnsi="宋体" w:eastAsia="宋体" w:cs="宋体"/>
                <w:szCs w:val="21"/>
                <w:highlight w:val="none"/>
              </w:rPr>
              <w:softHyphen/>
            </w:r>
            <w:r>
              <w:rPr>
                <w:rFonts w:hint="eastAsia" w:ascii="宋体" w:hAnsi="宋体" w:eastAsia="宋体" w:cs="宋体"/>
                <w:szCs w:val="21"/>
                <w:highlight w:val="none"/>
              </w:rPr>
              <w:softHyphen/>
            </w:r>
            <w:r>
              <w:rPr>
                <w:rFonts w:hint="eastAsia" w:ascii="宋体" w:hAnsi="宋体" w:eastAsia="宋体" w:cs="宋体"/>
                <w:szCs w:val="21"/>
                <w:highlight w:val="none"/>
              </w:rPr>
              <w:softHyphen/>
            </w:r>
            <w:r>
              <w:rPr>
                <w:rFonts w:hint="eastAsia" w:ascii="宋体" w:hAnsi="宋体" w:eastAsia="宋体" w:cs="宋体"/>
                <w:szCs w:val="21"/>
                <w:highlight w:val="none"/>
              </w:rPr>
              <w:t>法定代表人身份证复印件（反面）</w:t>
            </w:r>
          </w:p>
        </w:tc>
      </w:tr>
    </w:tbl>
    <w:p w14:paraId="313FBDB2">
      <w:pPr>
        <w:rPr>
          <w:rFonts w:hint="eastAsia" w:ascii="宋体" w:hAnsi="宋体" w:eastAsia="宋体" w:cs="宋体"/>
          <w:vanish/>
          <w:highlight w:val="none"/>
        </w:rPr>
      </w:pPr>
    </w:p>
    <w:tbl>
      <w:tblPr>
        <w:tblStyle w:val="10"/>
        <w:tblpPr w:leftFromText="180" w:rightFromText="180" w:vertAnchor="text" w:horzAnchor="page" w:tblpX="6018" w:tblpY="75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00"/>
      </w:tblGrid>
      <w:tr w14:paraId="60454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4" w:hRule="atLeast"/>
        </w:trPr>
        <w:tc>
          <w:tcPr>
            <w:tcW w:w="4100" w:type="dxa"/>
            <w:noWrap w:val="0"/>
            <w:vAlign w:val="top"/>
          </w:tcPr>
          <w:p w14:paraId="1F6FB092">
            <w:pPr>
              <w:rPr>
                <w:rFonts w:hint="eastAsia" w:ascii="宋体" w:hAnsi="宋体" w:eastAsia="宋体" w:cs="宋体"/>
                <w:szCs w:val="21"/>
                <w:highlight w:val="none"/>
              </w:rPr>
            </w:pPr>
            <w:r>
              <w:rPr>
                <w:rFonts w:hint="eastAsia" w:ascii="宋体" w:hAnsi="宋体" w:eastAsia="宋体" w:cs="宋体"/>
                <w:szCs w:val="21"/>
                <w:highlight w:val="none"/>
              </w:rPr>
              <w:t>授权代理人身份证复印件（反面）</w:t>
            </w:r>
          </w:p>
        </w:tc>
      </w:tr>
    </w:tbl>
    <w:p w14:paraId="4A9D8C22">
      <w:pPr>
        <w:rPr>
          <w:rFonts w:hint="eastAsia" w:ascii="宋体" w:hAnsi="宋体" w:eastAsia="宋体" w:cs="宋体"/>
          <w:szCs w:val="21"/>
          <w:highlight w:val="none"/>
        </w:rPr>
      </w:pPr>
    </w:p>
    <w:p w14:paraId="01A33013">
      <w:pPr>
        <w:rPr>
          <w:rFonts w:hint="eastAsia" w:ascii="宋体" w:hAnsi="宋体" w:eastAsia="宋体" w:cs="宋体"/>
          <w:szCs w:val="21"/>
          <w:highlight w:val="none"/>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77"/>
      </w:tblGrid>
      <w:tr w14:paraId="406B6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6" w:hRule="atLeast"/>
        </w:trPr>
        <w:tc>
          <w:tcPr>
            <w:tcW w:w="4077" w:type="dxa"/>
            <w:noWrap w:val="0"/>
            <w:vAlign w:val="top"/>
          </w:tcPr>
          <w:p w14:paraId="4345634A">
            <w:pPr>
              <w:rPr>
                <w:rFonts w:hint="eastAsia" w:ascii="宋体" w:hAnsi="宋体" w:eastAsia="宋体" w:cs="宋体"/>
                <w:szCs w:val="21"/>
                <w:highlight w:val="none"/>
              </w:rPr>
            </w:pPr>
            <w:r>
              <w:rPr>
                <w:rFonts w:hint="eastAsia" w:ascii="宋体" w:hAnsi="宋体" w:eastAsia="宋体" w:cs="宋体"/>
                <w:szCs w:val="21"/>
                <w:highlight w:val="none"/>
              </w:rPr>
              <w:t>授权代理人身份证复印件（正面）</w:t>
            </w:r>
          </w:p>
        </w:tc>
      </w:tr>
    </w:tbl>
    <w:p w14:paraId="47B2DF48">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szCs w:val="21"/>
          <w:highlight w:val="none"/>
          <w:u w:val="single"/>
        </w:rPr>
      </w:pPr>
      <w:r>
        <w:rPr>
          <w:rFonts w:hint="eastAsia" w:ascii="宋体" w:hAnsi="宋体" w:eastAsia="宋体" w:cs="宋体"/>
          <w:szCs w:val="21"/>
          <w:highlight w:val="none"/>
        </w:rPr>
        <w:t xml:space="preserve">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单位名称（公章）：</w:t>
      </w:r>
      <w:r>
        <w:rPr>
          <w:rFonts w:hint="eastAsia" w:ascii="宋体" w:hAnsi="宋体" w:eastAsia="宋体" w:cs="宋体"/>
          <w:szCs w:val="21"/>
          <w:highlight w:val="none"/>
          <w:u w:val="single"/>
        </w:rPr>
        <w:t xml:space="preserve">                  </w:t>
      </w:r>
    </w:p>
    <w:p w14:paraId="245B8C7E">
      <w:pPr>
        <w:keepNext w:val="0"/>
        <w:keepLines w:val="0"/>
        <w:pageBreakBefore w:val="0"/>
        <w:widowControl w:val="0"/>
        <w:kinsoku/>
        <w:wordWrap/>
        <w:overflowPunct/>
        <w:topLinePunct w:val="0"/>
        <w:autoSpaceDE/>
        <w:autoSpaceDN/>
        <w:bidi w:val="0"/>
        <w:adjustRightInd/>
        <w:snapToGrid/>
        <w:spacing w:line="432" w:lineRule="auto"/>
        <w:ind w:firstLine="5250" w:firstLineChars="2500"/>
        <w:jc w:val="left"/>
        <w:textAlignment w:val="auto"/>
        <w:rPr>
          <w:rFonts w:hint="eastAsia" w:ascii="宋体" w:hAnsi="宋体" w:eastAsia="宋体" w:cs="宋体"/>
          <w:szCs w:val="21"/>
          <w:highlight w:val="none"/>
          <w:u w:val="single"/>
        </w:rPr>
      </w:pPr>
      <w:r>
        <w:rPr>
          <w:rFonts w:hint="eastAsia" w:ascii="宋体" w:hAnsi="宋体" w:eastAsia="宋体" w:cs="宋体"/>
          <w:szCs w:val="21"/>
          <w:highlight w:val="none"/>
        </w:rPr>
        <w:t xml:space="preserve">法定代表人签字： </w:t>
      </w:r>
      <w:r>
        <w:rPr>
          <w:rFonts w:hint="eastAsia" w:ascii="宋体" w:hAnsi="宋体" w:eastAsia="宋体" w:cs="宋体"/>
          <w:szCs w:val="21"/>
          <w:highlight w:val="none"/>
          <w:u w:val="single"/>
        </w:rPr>
        <w:t xml:space="preserve">                  </w:t>
      </w:r>
    </w:p>
    <w:p w14:paraId="32FEFE12">
      <w:pPr>
        <w:keepNext w:val="0"/>
        <w:keepLines w:val="0"/>
        <w:pageBreakBefore w:val="0"/>
        <w:widowControl w:val="0"/>
        <w:kinsoku/>
        <w:wordWrap/>
        <w:overflowPunct/>
        <w:topLinePunct w:val="0"/>
        <w:autoSpaceDE/>
        <w:autoSpaceDN/>
        <w:bidi w:val="0"/>
        <w:adjustRightInd/>
        <w:snapToGrid/>
        <w:spacing w:line="432" w:lineRule="auto"/>
        <w:ind w:firstLine="5250" w:firstLineChars="2500"/>
        <w:jc w:val="left"/>
        <w:textAlignment w:val="auto"/>
        <w:rPr>
          <w:rFonts w:hint="eastAsia" w:ascii="宋体" w:hAnsi="宋体" w:eastAsia="宋体" w:cs="宋体"/>
          <w:b/>
          <w:sz w:val="28"/>
          <w:szCs w:val="22"/>
          <w:highlight w:val="none"/>
          <w:lang w:bidi="ar"/>
        </w:rPr>
      </w:pPr>
      <w:r>
        <w:rPr>
          <w:rFonts w:hint="eastAsia" w:ascii="宋体" w:hAnsi="宋体" w:eastAsia="宋体" w:cs="宋体"/>
          <w:szCs w:val="21"/>
          <w:highlight w:val="none"/>
        </w:rPr>
        <w:t xml:space="preserve">授权代理人签字： </w:t>
      </w:r>
      <w:r>
        <w:rPr>
          <w:rFonts w:hint="eastAsia" w:ascii="宋体" w:hAnsi="宋体" w:eastAsia="宋体" w:cs="宋体"/>
          <w:szCs w:val="21"/>
          <w:highlight w:val="none"/>
          <w:u w:val="single"/>
        </w:rPr>
        <w:t xml:space="preserve">                  </w:t>
      </w:r>
    </w:p>
    <w:p w14:paraId="25A54678">
      <w:pPr>
        <w:keepNext w:val="0"/>
        <w:keepLines w:val="0"/>
        <w:pageBreakBefore w:val="0"/>
        <w:widowControl w:val="0"/>
        <w:kinsoku/>
        <w:wordWrap/>
        <w:overflowPunct/>
        <w:topLinePunct w:val="0"/>
        <w:autoSpaceDE/>
        <w:autoSpaceDN/>
        <w:bidi w:val="0"/>
        <w:adjustRightInd/>
        <w:snapToGrid/>
        <w:spacing w:line="432" w:lineRule="auto"/>
        <w:ind w:firstLine="6510" w:firstLineChars="3100"/>
        <w:textAlignment w:val="auto"/>
        <w:rPr>
          <w:rFonts w:hint="eastAsia" w:ascii="宋体" w:hAnsi="宋体" w:eastAsia="宋体" w:cs="宋体"/>
          <w:szCs w:val="21"/>
          <w:highlight w:val="none"/>
        </w:rPr>
      </w:pPr>
      <w:r>
        <w:rPr>
          <w:rFonts w:hint="eastAsia" w:ascii="宋体" w:hAnsi="宋体" w:eastAsia="宋体" w:cs="宋体"/>
          <w:szCs w:val="21"/>
          <w:highlight w:val="none"/>
        </w:rPr>
        <w:t xml:space="preserve">日期：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年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月  </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 xml:space="preserve"> 日</w:t>
      </w:r>
    </w:p>
    <w:p w14:paraId="3907C044">
      <w:pPr>
        <w:adjustRightInd w:val="0"/>
        <w:snapToGrid w:val="0"/>
        <w:spacing w:line="360" w:lineRule="auto"/>
        <w:jc w:val="center"/>
        <w:rPr>
          <w:rFonts w:ascii="黑体" w:hAnsi="黑体" w:eastAsia="黑体"/>
          <w:bCs/>
          <w:sz w:val="28"/>
          <w:szCs w:val="28"/>
          <w:lang w:val="en-GB"/>
        </w:rPr>
      </w:pPr>
      <w:r>
        <w:rPr>
          <w:rFonts w:ascii="黑体" w:hAnsi="黑体" w:eastAsia="黑体"/>
          <w:bCs/>
          <w:sz w:val="28"/>
          <w:szCs w:val="28"/>
          <w:lang w:val="en-GB"/>
        </w:rPr>
        <w:t xml:space="preserve">                                   </w:t>
      </w:r>
    </w:p>
    <w:p w14:paraId="1295C98F">
      <w:pPr>
        <w:adjustRightInd w:val="0"/>
        <w:snapToGrid w:val="0"/>
        <w:spacing w:line="360" w:lineRule="auto"/>
        <w:jc w:val="center"/>
        <w:rPr>
          <w:rFonts w:ascii="黑体" w:hAnsi="黑体" w:eastAsia="黑体"/>
          <w:bCs/>
          <w:sz w:val="28"/>
          <w:szCs w:val="28"/>
          <w:lang w:val="en-GB"/>
        </w:rPr>
      </w:pPr>
    </w:p>
    <w:p w14:paraId="69A018CF">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b/>
          <w:bCs/>
          <w:sz w:val="32"/>
          <w:szCs w:val="32"/>
          <w:highlight w:val="none"/>
        </w:rPr>
        <w:t>企业情况、从业经历一览表</w:t>
      </w:r>
    </w:p>
    <w:tbl>
      <w:tblPr>
        <w:tblStyle w:val="10"/>
        <w:tblW w:w="99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650"/>
        <w:gridCol w:w="1704"/>
        <w:gridCol w:w="1433"/>
        <w:gridCol w:w="1603"/>
        <w:gridCol w:w="1534"/>
        <w:gridCol w:w="2016"/>
      </w:tblGrid>
      <w:tr w14:paraId="1C9E0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9" w:hRule="atLeast"/>
        </w:trPr>
        <w:tc>
          <w:tcPr>
            <w:tcW w:w="9940" w:type="dxa"/>
            <w:gridSpan w:val="6"/>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662DCCAB">
            <w:pPr>
              <w:pStyle w:val="9"/>
              <w:keepNext w:val="0"/>
              <w:keepLines w:val="0"/>
              <w:widowControl/>
              <w:suppressLineNumbers w:val="0"/>
              <w:shd w:val="clear"/>
              <w:spacing w:before="0" w:beforeAutospacing="0" w:after="0" w:afterAutospacing="0" w:line="360" w:lineRule="auto"/>
              <w:ind w:left="0" w:firstLine="56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企业情况</w:t>
            </w:r>
          </w:p>
        </w:tc>
      </w:tr>
      <w:tr w14:paraId="67E2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09"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3668F6E7">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公司名称</w:t>
            </w:r>
          </w:p>
        </w:tc>
        <w:tc>
          <w:tcPr>
            <w:tcW w:w="1704"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50794F8">
            <w:pPr>
              <w:shd w:val="clear"/>
              <w:spacing w:line="360" w:lineRule="auto"/>
              <w:jc w:val="center"/>
              <w:rPr>
                <w:rFonts w:hint="eastAsia" w:ascii="仿宋_GB2312" w:hAnsi="仿宋_GB2312" w:eastAsia="仿宋_GB2312" w:cs="仿宋_GB2312"/>
                <w:sz w:val="24"/>
                <w:szCs w:val="24"/>
                <w:highlight w:val="none"/>
              </w:rPr>
            </w:pPr>
          </w:p>
        </w:tc>
        <w:tc>
          <w:tcPr>
            <w:tcW w:w="143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ADA4F3E">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成立时间</w:t>
            </w:r>
          </w:p>
        </w:tc>
        <w:tc>
          <w:tcPr>
            <w:tcW w:w="1603"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E53767C">
            <w:pPr>
              <w:shd w:val="clear"/>
              <w:spacing w:line="360" w:lineRule="auto"/>
              <w:jc w:val="center"/>
              <w:rPr>
                <w:rFonts w:hint="eastAsia" w:ascii="仿宋_GB2312" w:hAnsi="仿宋_GB2312" w:eastAsia="仿宋_GB2312" w:cs="仿宋_GB2312"/>
                <w:sz w:val="24"/>
                <w:szCs w:val="24"/>
                <w:highlight w:val="none"/>
              </w:rPr>
            </w:pPr>
          </w:p>
        </w:tc>
        <w:tc>
          <w:tcPr>
            <w:tcW w:w="1534"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D78D604">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注册资本</w:t>
            </w:r>
          </w:p>
        </w:tc>
        <w:tc>
          <w:tcPr>
            <w:tcW w:w="2016"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9382110">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万元</w:t>
            </w:r>
          </w:p>
        </w:tc>
      </w:tr>
      <w:tr w14:paraId="30B84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975"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0322C48E">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公司在册</w:t>
            </w:r>
          </w:p>
          <w:p w14:paraId="3233A4DB">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员工人数</w:t>
            </w:r>
          </w:p>
        </w:tc>
        <w:tc>
          <w:tcPr>
            <w:tcW w:w="3137" w:type="dxa"/>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2BD12C9D">
            <w:pPr>
              <w:pStyle w:val="9"/>
              <w:keepNext w:val="0"/>
              <w:keepLines w:val="0"/>
              <w:widowControl/>
              <w:suppressLineNumbers w:val="0"/>
              <w:shd w:val="clear"/>
              <w:spacing w:before="0" w:beforeAutospacing="0" w:after="0" w:afterAutospacing="0" w:line="360" w:lineRule="auto"/>
              <w:ind w:left="0" w:firstLine="196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人</w:t>
            </w:r>
          </w:p>
        </w:tc>
        <w:tc>
          <w:tcPr>
            <w:tcW w:w="3137" w:type="dxa"/>
            <w:gridSpan w:val="2"/>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8F1D196">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团队配备</w:t>
            </w:r>
          </w:p>
          <w:p w14:paraId="50C93A1F">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员工人数</w:t>
            </w:r>
          </w:p>
        </w:tc>
        <w:tc>
          <w:tcPr>
            <w:tcW w:w="2016" w:type="dxa"/>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3B313FBA">
            <w:pPr>
              <w:pStyle w:val="9"/>
              <w:keepNext w:val="0"/>
              <w:keepLines w:val="0"/>
              <w:widowControl/>
              <w:suppressLineNumbers w:val="0"/>
              <w:shd w:val="clear"/>
              <w:spacing w:before="0" w:beforeAutospacing="0" w:after="0" w:afterAutospacing="0" w:line="360" w:lineRule="auto"/>
              <w:ind w:left="0" w:firstLine="112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人</w:t>
            </w:r>
          </w:p>
        </w:tc>
      </w:tr>
      <w:tr w14:paraId="246C4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925"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0BE0E1A0">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公司现有主要业务</w:t>
            </w:r>
          </w:p>
        </w:tc>
        <w:tc>
          <w:tcPr>
            <w:tcW w:w="8290" w:type="dxa"/>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8739E9B">
            <w:pPr>
              <w:shd w:val="clear"/>
              <w:spacing w:line="360" w:lineRule="auto"/>
              <w:rPr>
                <w:rFonts w:hint="eastAsia" w:ascii="仿宋_GB2312" w:hAnsi="仿宋_GB2312" w:eastAsia="仿宋_GB2312" w:cs="仿宋_GB2312"/>
                <w:sz w:val="24"/>
                <w:szCs w:val="24"/>
                <w:highlight w:val="none"/>
              </w:rPr>
            </w:pPr>
          </w:p>
        </w:tc>
      </w:tr>
      <w:tr w14:paraId="3DFF2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673" w:hRule="atLeast"/>
        </w:trPr>
        <w:tc>
          <w:tcPr>
            <w:tcW w:w="1650" w:type="dxa"/>
            <w:tcBorders>
              <w:top w:val="single" w:color="000000" w:sz="6" w:space="0"/>
              <w:left w:val="single" w:color="000000" w:sz="6" w:space="0"/>
              <w:bottom w:val="single" w:color="000000" w:sz="6" w:space="0"/>
              <w:right w:val="single" w:color="000000" w:sz="6" w:space="0"/>
            </w:tcBorders>
            <w:shd w:val="clear" w:color="auto" w:fill="auto"/>
            <w:tcMar>
              <w:top w:w="60" w:type="dxa"/>
              <w:left w:w="105" w:type="dxa"/>
              <w:bottom w:w="60" w:type="dxa"/>
              <w:right w:w="105" w:type="dxa"/>
            </w:tcMar>
            <w:vAlign w:val="center"/>
          </w:tcPr>
          <w:p w14:paraId="2840C05D">
            <w:pPr>
              <w:pStyle w:val="9"/>
              <w:keepNext w:val="0"/>
              <w:keepLines w:val="0"/>
              <w:widowControl/>
              <w:suppressLineNumbers w:val="0"/>
              <w:shd w:val="clear"/>
              <w:spacing w:before="0" w:beforeAutospacing="0" w:after="0" w:afterAutospacing="0" w:line="360" w:lineRule="auto"/>
              <w:ind w:left="0" w:firstLine="0"/>
              <w:jc w:val="center"/>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企业简介</w:t>
            </w:r>
          </w:p>
        </w:tc>
        <w:tc>
          <w:tcPr>
            <w:tcW w:w="8290" w:type="dxa"/>
            <w:gridSpan w:val="5"/>
            <w:tcBorders>
              <w:top w:val="single" w:color="000000" w:sz="6" w:space="0"/>
              <w:left w:val="single" w:color="000000" w:sz="6" w:space="0"/>
              <w:bottom w:val="single" w:color="000000" w:sz="6" w:space="0"/>
              <w:right w:val="single" w:color="000000" w:sz="6" w:space="0"/>
            </w:tcBorders>
            <w:shd w:val="clear" w:color="auto" w:fill="auto"/>
            <w:tcMar>
              <w:top w:w="60" w:type="dxa"/>
              <w:left w:w="120" w:type="dxa"/>
              <w:bottom w:w="60" w:type="dxa"/>
              <w:right w:w="105" w:type="dxa"/>
            </w:tcMar>
            <w:vAlign w:val="center"/>
          </w:tcPr>
          <w:p w14:paraId="020FAA19">
            <w:pPr>
              <w:shd w:val="clear"/>
              <w:spacing w:line="360" w:lineRule="auto"/>
              <w:rPr>
                <w:rFonts w:hint="eastAsia" w:ascii="仿宋_GB2312" w:hAnsi="仿宋_GB2312" w:eastAsia="仿宋_GB2312" w:cs="仿宋_GB2312"/>
                <w:sz w:val="24"/>
                <w:szCs w:val="24"/>
                <w:highlight w:val="none"/>
              </w:rPr>
            </w:pPr>
          </w:p>
        </w:tc>
      </w:tr>
    </w:tbl>
    <w:p w14:paraId="446C70FA">
      <w:pPr>
        <w:pStyle w:val="9"/>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投标人名称（盖章）：</w:t>
      </w:r>
    </w:p>
    <w:p w14:paraId="3852A627">
      <w:pPr>
        <w:pStyle w:val="9"/>
        <w:keepNext w:val="0"/>
        <w:keepLines w:val="0"/>
        <w:widowControl/>
        <w:suppressLineNumbers w:val="0"/>
        <w:shd w:val="clear"/>
        <w:spacing w:before="0" w:beforeAutospacing="0" w:after="0" w:afterAutospacing="0" w:line="360" w:lineRule="auto"/>
        <w:ind w:left="0" w:firstLine="0"/>
        <w:jc w:val="left"/>
        <w:rPr>
          <w:rFonts w:hint="eastAsia" w:ascii="仿宋_GB2312" w:hAnsi="仿宋_GB2312" w:eastAsia="仿宋_GB2312" w:cs="仿宋_GB2312"/>
          <w:highlight w:val="none"/>
        </w:rPr>
      </w:pPr>
      <w:r>
        <w:rPr>
          <w:rFonts w:hint="eastAsia" w:ascii="仿宋_GB2312" w:hAnsi="仿宋_GB2312" w:eastAsia="仿宋_GB2312" w:cs="仿宋_GB2312"/>
          <w:sz w:val="28"/>
          <w:szCs w:val="28"/>
          <w:highlight w:val="none"/>
        </w:rPr>
        <w:t>法定代表人或授权代表签字：</w:t>
      </w:r>
    </w:p>
    <w:p w14:paraId="71571D56">
      <w:pPr>
        <w:adjustRightInd w:val="0"/>
        <w:snapToGrid w:val="0"/>
        <w:spacing w:line="360" w:lineRule="auto"/>
        <w:jc w:val="center"/>
        <w:rPr>
          <w:rFonts w:ascii="黑体" w:hAnsi="黑体" w:eastAsia="黑体"/>
          <w:bCs/>
          <w:sz w:val="28"/>
          <w:szCs w:val="28"/>
          <w:lang w:val="en-GB"/>
        </w:rPr>
      </w:pPr>
    </w:p>
    <w:p w14:paraId="5B385105">
      <w:pPr>
        <w:adjustRightInd w:val="0"/>
        <w:snapToGrid w:val="0"/>
        <w:spacing w:line="360" w:lineRule="auto"/>
        <w:jc w:val="center"/>
        <w:rPr>
          <w:rFonts w:ascii="黑体" w:hAnsi="黑体" w:eastAsia="黑体"/>
          <w:bCs/>
          <w:sz w:val="28"/>
          <w:szCs w:val="28"/>
          <w:lang w:val="en-GB"/>
        </w:rPr>
      </w:pPr>
    </w:p>
    <w:p w14:paraId="5D712CAE">
      <w:pPr>
        <w:adjustRightInd w:val="0"/>
        <w:snapToGrid w:val="0"/>
        <w:spacing w:line="360" w:lineRule="auto"/>
        <w:jc w:val="center"/>
        <w:rPr>
          <w:rFonts w:ascii="黑体" w:hAnsi="黑体" w:eastAsia="黑体"/>
          <w:bCs/>
          <w:sz w:val="28"/>
          <w:szCs w:val="28"/>
          <w:lang w:val="en-GB"/>
        </w:rPr>
      </w:pPr>
    </w:p>
    <w:p w14:paraId="69532341">
      <w:pPr>
        <w:adjustRightInd w:val="0"/>
        <w:snapToGrid w:val="0"/>
        <w:spacing w:line="360" w:lineRule="auto"/>
        <w:jc w:val="center"/>
        <w:rPr>
          <w:rFonts w:ascii="黑体" w:hAnsi="黑体" w:eastAsia="黑体"/>
          <w:bCs/>
          <w:sz w:val="28"/>
          <w:szCs w:val="28"/>
          <w:lang w:val="en-GB"/>
        </w:rPr>
      </w:pPr>
    </w:p>
    <w:p w14:paraId="0D134D89">
      <w:pPr>
        <w:adjustRightInd w:val="0"/>
        <w:snapToGrid w:val="0"/>
        <w:spacing w:line="360" w:lineRule="auto"/>
        <w:jc w:val="center"/>
        <w:rPr>
          <w:rFonts w:ascii="黑体" w:hAnsi="黑体" w:eastAsia="黑体"/>
          <w:bCs/>
          <w:sz w:val="28"/>
          <w:szCs w:val="28"/>
          <w:lang w:val="en-GB"/>
        </w:rPr>
      </w:pPr>
    </w:p>
    <w:p w14:paraId="4E77A04B">
      <w:pPr>
        <w:adjustRightInd w:val="0"/>
        <w:snapToGrid w:val="0"/>
        <w:spacing w:line="360" w:lineRule="auto"/>
        <w:jc w:val="center"/>
        <w:rPr>
          <w:rFonts w:hint="eastAsia" w:ascii="黑体" w:hAnsi="黑体" w:eastAsia="黑体"/>
          <w:bCs/>
          <w:sz w:val="28"/>
          <w:szCs w:val="28"/>
          <w:lang w:val="en-GB"/>
        </w:rPr>
      </w:pPr>
      <w:r>
        <w:rPr>
          <w:rFonts w:ascii="黑体" w:hAnsi="黑体" w:eastAsia="黑体"/>
          <w:bCs/>
          <w:sz w:val="28"/>
          <w:szCs w:val="28"/>
          <w:lang w:val="en-GB"/>
        </w:rPr>
        <w:t xml:space="preserve">    </w:t>
      </w:r>
    </w:p>
    <w:p w14:paraId="22E6D9E6">
      <w:pPr>
        <w:adjustRightInd w:val="0"/>
        <w:snapToGrid w:val="0"/>
        <w:spacing w:line="360" w:lineRule="auto"/>
        <w:jc w:val="center"/>
        <w:rPr>
          <w:rFonts w:hint="eastAsia" w:ascii="黑体" w:hAnsi="黑体" w:eastAsia="黑体" w:cs="黑体"/>
          <w:bCs/>
          <w:sz w:val="52"/>
          <w:szCs w:val="52"/>
          <w:lang w:val="en-GB"/>
        </w:rPr>
      </w:pPr>
      <w:r>
        <w:rPr>
          <w:rFonts w:hint="eastAsia" w:ascii="黑体" w:hAnsi="黑体" w:eastAsia="黑体" w:cs="黑体"/>
          <w:bCs/>
          <w:sz w:val="52"/>
          <w:szCs w:val="52"/>
          <w:lang w:val="en-GB"/>
        </w:rPr>
        <w:t>保密协议</w:t>
      </w:r>
    </w:p>
    <w:p w14:paraId="69F38644">
      <w:pPr>
        <w:adjustRightInd w:val="0"/>
        <w:snapToGrid w:val="0"/>
        <w:spacing w:line="360" w:lineRule="auto"/>
        <w:jc w:val="center"/>
        <w:rPr>
          <w:rFonts w:hint="eastAsia" w:ascii="黑体" w:hAnsi="黑体" w:eastAsia="黑体" w:cs="黑体"/>
          <w:bCs/>
          <w:sz w:val="28"/>
          <w:szCs w:val="28"/>
          <w:lang w:val="en-GB"/>
        </w:rPr>
      </w:pPr>
    </w:p>
    <w:p w14:paraId="3DA2DA50">
      <w:pPr>
        <w:adjustRightInd w:val="0"/>
        <w:snapToGrid w:val="0"/>
        <w:spacing w:line="360" w:lineRule="auto"/>
        <w:jc w:val="center"/>
        <w:rPr>
          <w:rFonts w:hint="eastAsia" w:ascii="黑体" w:hAnsi="黑体" w:eastAsia="黑体" w:cs="黑体"/>
          <w:bCs/>
          <w:sz w:val="28"/>
          <w:szCs w:val="28"/>
          <w:lang w:val="en-GB"/>
        </w:rPr>
      </w:pPr>
    </w:p>
    <w:p w14:paraId="0B7333B6">
      <w:pPr>
        <w:adjustRightInd w:val="0"/>
        <w:snapToGrid w:val="0"/>
        <w:spacing w:line="360" w:lineRule="auto"/>
        <w:jc w:val="center"/>
        <w:rPr>
          <w:rFonts w:hint="eastAsia" w:ascii="黑体" w:hAnsi="黑体" w:eastAsia="黑体" w:cs="黑体"/>
          <w:bCs/>
          <w:sz w:val="28"/>
          <w:szCs w:val="28"/>
          <w:lang w:val="en-GB"/>
        </w:rPr>
      </w:pPr>
    </w:p>
    <w:p w14:paraId="7C1A8B9F">
      <w:pPr>
        <w:adjustRightInd w:val="0"/>
        <w:snapToGrid w:val="0"/>
        <w:spacing w:line="360" w:lineRule="auto"/>
        <w:jc w:val="center"/>
        <w:rPr>
          <w:rFonts w:hint="eastAsia" w:ascii="黑体" w:hAnsi="黑体" w:eastAsia="黑体" w:cs="黑体"/>
          <w:bCs/>
          <w:sz w:val="28"/>
          <w:szCs w:val="28"/>
          <w:lang w:val="en-GB"/>
        </w:rPr>
      </w:pPr>
    </w:p>
    <w:p w14:paraId="6BC8A34F">
      <w:pPr>
        <w:adjustRightInd w:val="0"/>
        <w:snapToGrid w:val="0"/>
        <w:spacing w:line="360" w:lineRule="auto"/>
        <w:jc w:val="center"/>
        <w:rPr>
          <w:rFonts w:hint="eastAsia" w:ascii="黑体" w:hAnsi="黑体" w:eastAsia="黑体" w:cs="黑体"/>
          <w:bCs/>
          <w:sz w:val="28"/>
          <w:szCs w:val="28"/>
          <w:lang w:val="en-GB"/>
        </w:rPr>
      </w:pPr>
    </w:p>
    <w:p w14:paraId="40E7BE04">
      <w:pPr>
        <w:adjustRightInd w:val="0"/>
        <w:snapToGrid w:val="0"/>
        <w:spacing w:line="360" w:lineRule="auto"/>
        <w:jc w:val="center"/>
        <w:rPr>
          <w:rFonts w:hint="eastAsia" w:ascii="黑体" w:hAnsi="黑体" w:eastAsia="黑体" w:cs="黑体"/>
          <w:bCs/>
          <w:sz w:val="28"/>
          <w:szCs w:val="28"/>
          <w:lang w:val="en-GB"/>
        </w:rPr>
      </w:pPr>
    </w:p>
    <w:p w14:paraId="186CDA0B">
      <w:pPr>
        <w:adjustRightInd w:val="0"/>
        <w:snapToGrid w:val="0"/>
        <w:spacing w:line="360" w:lineRule="auto"/>
        <w:jc w:val="center"/>
        <w:rPr>
          <w:rFonts w:hint="eastAsia" w:ascii="黑体" w:hAnsi="黑体" w:eastAsia="黑体" w:cs="黑体"/>
          <w:bCs/>
          <w:sz w:val="28"/>
          <w:szCs w:val="28"/>
          <w:lang w:val="en-GB"/>
        </w:rPr>
      </w:pPr>
    </w:p>
    <w:p w14:paraId="181F61AE">
      <w:pPr>
        <w:adjustRightInd w:val="0"/>
        <w:snapToGrid w:val="0"/>
        <w:spacing w:line="360" w:lineRule="auto"/>
        <w:jc w:val="center"/>
        <w:rPr>
          <w:rFonts w:hint="eastAsia" w:ascii="黑体" w:hAnsi="黑体" w:eastAsia="黑体" w:cs="黑体"/>
          <w:bCs/>
          <w:sz w:val="28"/>
          <w:szCs w:val="28"/>
          <w:lang w:val="en-GB"/>
        </w:rPr>
      </w:pPr>
    </w:p>
    <w:p w14:paraId="7073C5D3">
      <w:pPr>
        <w:adjustRightInd w:val="0"/>
        <w:snapToGrid w:val="0"/>
        <w:spacing w:line="360" w:lineRule="auto"/>
        <w:jc w:val="center"/>
        <w:rPr>
          <w:rFonts w:hint="eastAsia" w:ascii="黑体" w:hAnsi="黑体" w:eastAsia="黑体" w:cs="黑体"/>
          <w:bCs/>
          <w:sz w:val="28"/>
          <w:szCs w:val="28"/>
          <w:lang w:val="en-GB"/>
        </w:rPr>
      </w:pPr>
    </w:p>
    <w:p w14:paraId="2F43D014">
      <w:pPr>
        <w:adjustRightInd w:val="0"/>
        <w:snapToGrid w:val="0"/>
        <w:spacing w:line="360" w:lineRule="auto"/>
        <w:jc w:val="center"/>
        <w:rPr>
          <w:rFonts w:hint="eastAsia" w:ascii="黑体" w:hAnsi="黑体" w:eastAsia="黑体" w:cs="黑体"/>
          <w:bCs/>
          <w:sz w:val="28"/>
          <w:szCs w:val="28"/>
          <w:lang w:val="en-GB"/>
        </w:rPr>
      </w:pPr>
    </w:p>
    <w:p w14:paraId="20285F15">
      <w:pPr>
        <w:adjustRightInd w:val="0"/>
        <w:snapToGrid w:val="0"/>
        <w:spacing w:line="360" w:lineRule="auto"/>
        <w:jc w:val="center"/>
        <w:rPr>
          <w:rFonts w:hint="eastAsia" w:ascii="黑体" w:hAnsi="黑体" w:eastAsia="黑体" w:cs="黑体"/>
          <w:bCs/>
          <w:sz w:val="24"/>
          <w:szCs w:val="24"/>
        </w:rPr>
      </w:pPr>
      <w:r>
        <w:rPr>
          <w:rFonts w:hint="eastAsia" w:ascii="黑体" w:hAnsi="黑体" w:eastAsia="黑体" w:cs="黑体"/>
          <w:bCs/>
          <w:sz w:val="24"/>
          <w:szCs w:val="24"/>
          <w:lang w:val="en-US" w:eastAsia="zh-CN"/>
        </w:rPr>
        <w:t xml:space="preserve">  </w:t>
      </w:r>
      <w:r>
        <w:rPr>
          <w:rFonts w:hint="eastAsia" w:ascii="黑体" w:hAnsi="黑体" w:eastAsia="黑体" w:cs="黑体"/>
          <w:bCs/>
          <w:sz w:val="24"/>
          <w:szCs w:val="24"/>
          <w:lang w:val="en-GB"/>
        </w:rPr>
        <w:t>甲方：</w:t>
      </w:r>
      <w:r>
        <w:rPr>
          <w:rFonts w:hint="eastAsia" w:ascii="黑体" w:hAnsi="黑体" w:eastAsia="黑体" w:cs="黑体"/>
          <w:bCs/>
          <w:sz w:val="24"/>
          <w:szCs w:val="24"/>
        </w:rPr>
        <w:t>中国重汽集团济南动力有限公司</w:t>
      </w:r>
    </w:p>
    <w:p w14:paraId="59D8AC7A">
      <w:pPr>
        <w:adjustRightInd w:val="0"/>
        <w:snapToGrid w:val="0"/>
        <w:spacing w:line="360" w:lineRule="auto"/>
        <w:ind w:firstLine="2660" w:firstLineChars="950"/>
        <w:jc w:val="center"/>
        <w:rPr>
          <w:rFonts w:hint="eastAsia" w:ascii="黑体" w:hAnsi="黑体" w:eastAsia="黑体" w:cs="黑体"/>
          <w:bCs/>
          <w:sz w:val="28"/>
          <w:szCs w:val="28"/>
          <w:lang w:val="en-GB"/>
        </w:rPr>
      </w:pPr>
    </w:p>
    <w:p w14:paraId="6D64AC35">
      <w:pPr>
        <w:adjustRightInd w:val="0"/>
        <w:snapToGrid w:val="0"/>
        <w:spacing w:line="360" w:lineRule="auto"/>
        <w:ind w:firstLine="2640" w:firstLineChars="1100"/>
        <w:jc w:val="both"/>
        <w:rPr>
          <w:rFonts w:hint="default" w:ascii="方正小标宋简体" w:hAnsi="黑体" w:eastAsia="黑体"/>
          <w:bCs/>
          <w:sz w:val="24"/>
          <w:szCs w:val="24"/>
          <w:u w:val="single"/>
          <w:lang w:val="en-US" w:eastAsia="zh-CN"/>
        </w:rPr>
      </w:pPr>
      <w:r>
        <w:rPr>
          <w:rFonts w:hint="eastAsia" w:ascii="黑体" w:hAnsi="黑体" w:eastAsia="黑体" w:cs="黑体"/>
          <w:bCs/>
          <w:sz w:val="24"/>
          <w:szCs w:val="24"/>
          <w:lang w:val="en-GB"/>
        </w:rPr>
        <w:t>乙方：</w:t>
      </w:r>
      <w:r>
        <w:rPr>
          <w:rFonts w:hint="eastAsia" w:ascii="黑体" w:hAnsi="黑体" w:eastAsia="黑体" w:cs="黑体"/>
          <w:bCs/>
          <w:sz w:val="24"/>
          <w:szCs w:val="24"/>
          <w:highlight w:val="yellow"/>
          <w:u w:val="single"/>
          <w:lang w:val="en-US" w:eastAsia="zh-CN"/>
        </w:rPr>
        <w:t xml:space="preserve">请正确填写公司名称          </w:t>
      </w:r>
    </w:p>
    <w:p w14:paraId="3965711C">
      <w:pPr>
        <w:widowControl/>
        <w:jc w:val="left"/>
        <w:rPr>
          <w:rFonts w:hint="eastAsia" w:asciiTheme="minorEastAsia" w:hAnsiTheme="minorEastAsia" w:cstheme="minorEastAsia"/>
          <w:b/>
          <w:bCs/>
          <w:sz w:val="22"/>
        </w:rPr>
      </w:pPr>
    </w:p>
    <w:p w14:paraId="5882AFB0">
      <w:pPr>
        <w:spacing w:line="360" w:lineRule="auto"/>
        <w:rPr>
          <w:rFonts w:hint="eastAsia" w:ascii="仿宋_GB2312" w:eastAsia="仿宋_GB2312" w:hAnsiTheme="minorEastAsia" w:cstheme="minorEastAsia"/>
          <w:sz w:val="24"/>
          <w:szCs w:val="24"/>
        </w:rPr>
      </w:pPr>
    </w:p>
    <w:p w14:paraId="3D410DB0">
      <w:pPr>
        <w:spacing w:line="360" w:lineRule="auto"/>
        <w:rPr>
          <w:rFonts w:hint="eastAsia" w:ascii="仿宋_GB2312" w:eastAsia="仿宋_GB2312" w:hAnsiTheme="minorEastAsia" w:cstheme="minorEastAsia"/>
          <w:sz w:val="24"/>
          <w:szCs w:val="24"/>
        </w:rPr>
      </w:pPr>
    </w:p>
    <w:p w14:paraId="5A046B94">
      <w:pPr>
        <w:spacing w:line="360" w:lineRule="auto"/>
        <w:rPr>
          <w:rFonts w:hint="eastAsia" w:ascii="仿宋_GB2312" w:eastAsia="仿宋_GB2312" w:hAnsiTheme="minorEastAsia" w:cstheme="minorEastAsia"/>
          <w:sz w:val="24"/>
          <w:szCs w:val="24"/>
        </w:rPr>
      </w:pPr>
    </w:p>
    <w:p w14:paraId="2A5D5700">
      <w:pPr>
        <w:spacing w:line="360" w:lineRule="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本协议由以下双方于</w:t>
      </w:r>
      <w:r>
        <w:rPr>
          <w:rFonts w:hint="eastAsia" w:ascii="仿宋_GB2312" w:eastAsia="仿宋_GB2312" w:hAnsiTheme="minorEastAsia" w:cstheme="minorEastAsia"/>
          <w:sz w:val="24"/>
          <w:szCs w:val="24"/>
          <w:u w:val="single"/>
        </w:rPr>
        <w:t xml:space="preserve"> </w:t>
      </w:r>
      <w:r>
        <w:rPr>
          <w:rFonts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u w:val="single"/>
        </w:rPr>
        <w:t>山东济南</w:t>
      </w:r>
      <w:r>
        <w:rPr>
          <w:rFonts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共同签署：</w:t>
      </w:r>
    </w:p>
    <w:p w14:paraId="73DFC846">
      <w:pPr>
        <w:spacing w:line="360" w:lineRule="auto"/>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t>甲方：中国重汽集团济南动力有限公司</w:t>
      </w:r>
    </w:p>
    <w:p w14:paraId="694505B5">
      <w:pPr>
        <w:spacing w:line="360" w:lineRule="auto"/>
        <w:rPr>
          <w:rFonts w:hint="eastAsia" w:ascii="仿宋_GB2312" w:hAnsi="宋体" w:eastAsia="仿宋_GB2312" w:cs="宋体"/>
          <w:sz w:val="24"/>
          <w:szCs w:val="24"/>
        </w:rPr>
      </w:pPr>
      <w:r>
        <w:rPr>
          <w:rFonts w:hint="eastAsia" w:ascii="仿宋_GB2312" w:hAnsi="宋体" w:eastAsia="仿宋_GB2312" w:cs="宋体"/>
          <w:sz w:val="24"/>
          <w:szCs w:val="24"/>
        </w:rPr>
        <w:t>公司住所：山东省济南市高新区华奥路777号中国重汽科技大厦</w:t>
      </w:r>
    </w:p>
    <w:p w14:paraId="6A7C8F3D">
      <w:pPr>
        <w:spacing w:line="360" w:lineRule="auto"/>
        <w:rPr>
          <w:rFonts w:hint="eastAsia" w:ascii="仿宋_GB2312" w:hAnsi="宋体" w:eastAsia="仿宋_GB2312" w:cs="宋体"/>
          <w:sz w:val="24"/>
          <w:szCs w:val="24"/>
          <w:highlight w:val="none"/>
        </w:rPr>
      </w:pPr>
      <w:r>
        <w:rPr>
          <w:rFonts w:hint="eastAsia" w:ascii="仿宋_GB2312" w:hAnsi="宋体" w:eastAsia="仿宋_GB2312" w:cs="宋体"/>
          <w:sz w:val="24"/>
          <w:szCs w:val="24"/>
          <w:highlight w:val="none"/>
        </w:rPr>
        <w:t>法定代表人：</w:t>
      </w:r>
      <w:r>
        <w:rPr>
          <w:rFonts w:ascii="仿宋_GB2312" w:hAnsi="宋体" w:eastAsia="仿宋_GB2312" w:cs="宋体"/>
          <w:sz w:val="24"/>
          <w:szCs w:val="24"/>
          <w:highlight w:val="none"/>
        </w:rPr>
        <w:t>张燕</w:t>
      </w:r>
      <w:r>
        <w:rPr>
          <w:rFonts w:hint="eastAsia" w:ascii="仿宋_GB2312" w:hAnsi="宋体" w:eastAsia="仿宋_GB2312" w:cs="宋体"/>
          <w:sz w:val="24"/>
          <w:szCs w:val="24"/>
          <w:highlight w:val="none"/>
        </w:rPr>
        <w:t xml:space="preserve"> </w:t>
      </w:r>
    </w:p>
    <w:p w14:paraId="70341446">
      <w:pPr>
        <w:spacing w:line="360" w:lineRule="auto"/>
        <w:rPr>
          <w:rFonts w:hint="eastAsia" w:ascii="仿宋_GB2312" w:hAnsi="宋体" w:eastAsia="仿宋_GB2312" w:cs="宋体"/>
          <w:sz w:val="24"/>
          <w:szCs w:val="24"/>
        </w:rPr>
      </w:pPr>
    </w:p>
    <w:p w14:paraId="621B29BE">
      <w:pPr>
        <w:spacing w:line="360" w:lineRule="auto"/>
        <w:rPr>
          <w:rFonts w:hint="eastAsia" w:ascii="仿宋_GB2312" w:hAnsi="宋体" w:eastAsia="仿宋_GB2312" w:cs="宋体"/>
          <w:sz w:val="24"/>
          <w:szCs w:val="24"/>
        </w:rPr>
      </w:pPr>
      <w:r>
        <w:rPr>
          <w:rFonts w:hint="eastAsia" w:ascii="仿宋_GB2312" w:hAnsi="宋体" w:eastAsia="仿宋_GB2312" w:cs="宋体"/>
          <w:sz w:val="24"/>
          <w:szCs w:val="24"/>
        </w:rPr>
        <w:t xml:space="preserve">乙方： </w:t>
      </w:r>
      <w:r>
        <w:rPr>
          <w:rFonts w:hint="eastAsia" w:ascii="仿宋_GB2312" w:hAnsi="宋体" w:eastAsia="仿宋_GB2312" w:cs="宋体"/>
          <w:sz w:val="24"/>
          <w:szCs w:val="24"/>
          <w:highlight w:val="yellow"/>
          <w:lang w:val="en-US" w:eastAsia="zh-CN"/>
        </w:rPr>
        <w:t>请正确填写公司名称</w:t>
      </w:r>
    </w:p>
    <w:p w14:paraId="6DFBBCE9">
      <w:pPr>
        <w:spacing w:line="360" w:lineRule="auto"/>
        <w:rPr>
          <w:rFonts w:hint="default" w:ascii="仿宋_GB2312" w:hAnsi="宋体" w:eastAsia="仿宋_GB2312" w:cs="宋体"/>
          <w:sz w:val="24"/>
          <w:szCs w:val="24"/>
          <w:lang w:val="en-US"/>
        </w:rPr>
      </w:pPr>
      <w:r>
        <w:rPr>
          <w:rFonts w:hint="eastAsia" w:ascii="仿宋_GB2312" w:hAnsi="宋体" w:eastAsia="仿宋_GB2312" w:cs="宋体"/>
          <w:sz w:val="24"/>
          <w:szCs w:val="24"/>
        </w:rPr>
        <w:t>公司住所：</w:t>
      </w:r>
      <w:r>
        <w:rPr>
          <w:rFonts w:hint="eastAsia" w:ascii="仿宋_GB2312" w:hAnsi="宋体" w:eastAsia="仿宋_GB2312" w:cs="宋体"/>
          <w:sz w:val="24"/>
          <w:szCs w:val="24"/>
          <w:highlight w:val="yellow"/>
          <w:lang w:val="en-US" w:eastAsia="zh-CN"/>
        </w:rPr>
        <w:t>请正确填写</w:t>
      </w:r>
    </w:p>
    <w:p w14:paraId="5FA57E7B">
      <w:pPr>
        <w:spacing w:line="360" w:lineRule="auto"/>
        <w:rPr>
          <w:rFonts w:hint="eastAsia" w:ascii="仿宋_GB2312" w:hAnsi="宋体" w:eastAsia="仿宋_GB2312" w:cs="宋体"/>
          <w:sz w:val="24"/>
          <w:szCs w:val="24"/>
        </w:rPr>
      </w:pPr>
      <w:r>
        <w:rPr>
          <w:rFonts w:hint="eastAsia" w:ascii="仿宋_GB2312" w:hAnsi="宋体" w:eastAsia="仿宋_GB2312" w:cs="宋体"/>
          <w:sz w:val="24"/>
          <w:szCs w:val="24"/>
        </w:rPr>
        <w:t>法定代表人：</w:t>
      </w:r>
      <w:r>
        <w:rPr>
          <w:rFonts w:hint="eastAsia" w:ascii="仿宋_GB2312" w:hAnsi="宋体" w:eastAsia="仿宋_GB2312" w:cs="宋体"/>
          <w:sz w:val="24"/>
          <w:szCs w:val="24"/>
          <w:highlight w:val="yellow"/>
          <w:lang w:val="en-US" w:eastAsia="zh-CN"/>
        </w:rPr>
        <w:t>请正确填写</w:t>
      </w:r>
    </w:p>
    <w:p w14:paraId="504ABDBD">
      <w:pPr>
        <w:spacing w:line="360" w:lineRule="auto"/>
        <w:rPr>
          <w:rFonts w:hint="eastAsia" w:ascii="仿宋_GB2312" w:hAnsi="宋体" w:eastAsia="仿宋_GB2312" w:cs="宋体"/>
          <w:sz w:val="24"/>
          <w:szCs w:val="24"/>
          <w:lang w:val="en-GB"/>
        </w:rPr>
      </w:pPr>
    </w:p>
    <w:p w14:paraId="6031CBBF">
      <w:pPr>
        <w:spacing w:line="360" w:lineRule="auto"/>
        <w:ind w:firstLine="480" w:firstLineChars="200"/>
        <w:jc w:val="left"/>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甲乙双方需开展</w:t>
      </w:r>
      <w:r>
        <w:rPr>
          <w:rFonts w:hint="eastAsia" w:ascii="仿宋_GB2312" w:eastAsia="仿宋_GB2312" w:hAnsiTheme="minorEastAsia" w:cstheme="minorEastAsia"/>
          <w:sz w:val="24"/>
          <w:szCs w:val="24"/>
          <w:u w:val="single"/>
          <w:lang w:val="en-US" w:eastAsia="zh-CN"/>
        </w:rPr>
        <w:t>山东重工中国重汽集团2027年合作伙伴大会系列项目（</w:t>
      </w:r>
      <w:r>
        <w:rPr>
          <w:rFonts w:hint="eastAsia" w:ascii="仿宋_GB2312" w:eastAsia="仿宋_GB2312" w:hAnsiTheme="minorEastAsia" w:cstheme="minorEastAsia"/>
          <w:sz w:val="24"/>
          <w:szCs w:val="24"/>
          <w:u w:val="single"/>
        </w:rPr>
        <w:t>项目名称暂定</w:t>
      </w:r>
      <w:r>
        <w:rPr>
          <w:rFonts w:hint="eastAsia" w:ascii="仿宋_GB2312" w:eastAsia="仿宋_GB2312" w:hAnsiTheme="minorEastAsia" w:cstheme="minorEastAsia"/>
          <w:sz w:val="24"/>
          <w:szCs w:val="24"/>
          <w:u w:val="single"/>
          <w:lang w:val="en-US" w:eastAsia="zh-CN"/>
        </w:rPr>
        <w:t>）</w:t>
      </w:r>
      <w:r>
        <w:rPr>
          <w:rFonts w:hint="eastAsia" w:ascii="仿宋_GB2312" w:eastAsia="仿宋_GB2312" w:hAnsiTheme="minorEastAsia" w:cstheme="minorEastAsia"/>
          <w:sz w:val="24"/>
          <w:szCs w:val="24"/>
        </w:rPr>
        <w:t>合作。出于该合作目的，甲方已经或将要向乙方提供有关项目的保密信息。经平等协商，双方自愿签订协议如下：</w:t>
      </w:r>
    </w:p>
    <w:p w14:paraId="36608F5A">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第一条 定义</w:t>
      </w:r>
    </w:p>
    <w:p w14:paraId="23F4D71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1、“保密信息”指甲方现在或将来向乙方提供的</w:t>
      </w:r>
      <w:r>
        <w:rPr>
          <w:rFonts w:hint="eastAsia" w:ascii="仿宋_GB2312" w:eastAsia="仿宋_GB2312" w:hAnsiTheme="minorEastAsia" w:cstheme="minorEastAsia"/>
          <w:sz w:val="24"/>
          <w:szCs w:val="24"/>
          <w:lang w:val="en-GB"/>
        </w:rPr>
        <w:t>与本协议有关的任何信息和数据，包括但不限于任何类型的</w:t>
      </w:r>
      <w:r>
        <w:rPr>
          <w:rFonts w:hint="eastAsia" w:ascii="仿宋_GB2312" w:eastAsia="仿宋_GB2312" w:hAnsiTheme="minorEastAsia" w:cstheme="minorEastAsia"/>
          <w:sz w:val="24"/>
          <w:szCs w:val="24"/>
        </w:rPr>
        <w:t>经营信息、技术信息</w:t>
      </w:r>
      <w:r>
        <w:rPr>
          <w:rFonts w:hint="eastAsia" w:ascii="仿宋_GB2312" w:eastAsia="仿宋_GB2312" w:hAnsiTheme="minorEastAsia" w:cstheme="minorEastAsia"/>
          <w:sz w:val="24"/>
          <w:szCs w:val="24"/>
          <w:lang w:val="en-GB"/>
        </w:rPr>
        <w:t>、</w:t>
      </w:r>
      <w:r>
        <w:rPr>
          <w:rFonts w:hint="eastAsia" w:ascii="仿宋_GB2312" w:eastAsia="仿宋_GB2312" w:hAnsiTheme="minorEastAsia" w:cstheme="minorEastAsia"/>
          <w:sz w:val="24"/>
          <w:szCs w:val="24"/>
        </w:rPr>
        <w:t>商务信息、人力资源管理信息及财务信息等，无论该等信息以何种形式提供，如纸质文件、录音、录像、照片、磁（光）盘、数据电文（包括电传、电报、传真、电子数据交换、电子邮件、电子文档）或其他，也无论该信息是以口头还是书面方式、是否标识为保密、也无论该等信息储存于何种载体（包括电子信息）。</w:t>
      </w:r>
    </w:p>
    <w:p w14:paraId="66454D43">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2、信息提供方：甲方</w:t>
      </w:r>
    </w:p>
    <w:p w14:paraId="779085D6">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3、信息接受方：乙方</w:t>
      </w:r>
    </w:p>
    <w:p w14:paraId="62147CB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4、第三方：指本协议双方之外的任何第三方。</w:t>
      </w:r>
    </w:p>
    <w:p w14:paraId="1818B038">
      <w:pPr>
        <w:spacing w:line="360" w:lineRule="auto"/>
        <w:ind w:firstLine="480" w:firstLineChars="200"/>
        <w:rPr>
          <w:rFonts w:hint="eastAsia" w:ascii="仿宋_GB2312" w:eastAsia="仿宋_GB2312" w:hAnsiTheme="minorEastAsia" w:cstheme="minorEastAsia"/>
          <w:sz w:val="24"/>
          <w:szCs w:val="24"/>
        </w:rPr>
      </w:pPr>
      <w:r>
        <w:rPr>
          <w:rFonts w:hint="eastAsia" w:ascii="仿宋_GB2312" w:hAnsi="宋体" w:eastAsia="仿宋_GB2312" w:cs="宋体"/>
          <w:sz w:val="24"/>
          <w:szCs w:val="24"/>
        </w:rPr>
        <w:t>5、</w:t>
      </w:r>
      <w:r>
        <w:rPr>
          <w:rFonts w:hint="eastAsia" w:ascii="仿宋_GB2312" w:hAnsi="宋体" w:eastAsia="仿宋_GB2312" w:cs="宋体"/>
          <w:sz w:val="24"/>
          <w:szCs w:val="24"/>
          <w:lang w:val="en-GB"/>
        </w:rPr>
        <w:t>关联</w:t>
      </w:r>
      <w:r>
        <w:rPr>
          <w:rFonts w:hint="eastAsia" w:ascii="仿宋_GB2312" w:hAnsi="宋体" w:eastAsia="仿宋_GB2312" w:cs="宋体"/>
          <w:sz w:val="24"/>
          <w:szCs w:val="24"/>
        </w:rPr>
        <w:t>公司</w:t>
      </w:r>
      <w:r>
        <w:rPr>
          <w:rFonts w:hint="eastAsia" w:ascii="仿宋_GB2312" w:hAnsi="宋体" w:eastAsia="仿宋_GB2312" w:cs="宋体"/>
          <w:sz w:val="24"/>
          <w:szCs w:val="24"/>
          <w:lang w:val="en-GB"/>
        </w:rPr>
        <w:t>：直接或间接控制</w:t>
      </w:r>
      <w:r>
        <w:rPr>
          <w:rFonts w:hint="eastAsia" w:ascii="仿宋_GB2312" w:hAnsi="宋体" w:eastAsia="仿宋_GB2312" w:cs="宋体"/>
          <w:sz w:val="24"/>
          <w:szCs w:val="24"/>
        </w:rPr>
        <w:t>一</w:t>
      </w:r>
      <w:r>
        <w:rPr>
          <w:rFonts w:hint="eastAsia" w:ascii="仿宋_GB2312" w:hAnsi="宋体" w:eastAsia="仿宋_GB2312" w:cs="宋体"/>
          <w:sz w:val="24"/>
          <w:szCs w:val="24"/>
          <w:lang w:val="en-GB"/>
        </w:rPr>
        <w:t>方，或者受控于</w:t>
      </w:r>
      <w:r>
        <w:rPr>
          <w:rFonts w:hint="eastAsia" w:ascii="仿宋_GB2312" w:hAnsi="宋体" w:eastAsia="仿宋_GB2312" w:cs="宋体"/>
          <w:sz w:val="24"/>
          <w:szCs w:val="24"/>
        </w:rPr>
        <w:t>该</w:t>
      </w:r>
      <w:r>
        <w:rPr>
          <w:rFonts w:hint="eastAsia" w:ascii="仿宋_GB2312" w:hAnsi="宋体" w:eastAsia="仿宋_GB2312" w:cs="宋体"/>
          <w:sz w:val="24"/>
          <w:szCs w:val="24"/>
          <w:lang w:val="en-GB"/>
        </w:rPr>
        <w:t>方，或者与</w:t>
      </w:r>
      <w:r>
        <w:rPr>
          <w:rFonts w:hint="eastAsia" w:ascii="仿宋_GB2312" w:hAnsi="宋体" w:eastAsia="仿宋_GB2312" w:cs="宋体"/>
          <w:sz w:val="24"/>
          <w:szCs w:val="24"/>
        </w:rPr>
        <w:t>该</w:t>
      </w:r>
      <w:r>
        <w:rPr>
          <w:rFonts w:hint="eastAsia" w:ascii="仿宋_GB2312" w:hAnsi="宋体" w:eastAsia="仿宋_GB2312" w:cs="宋体"/>
          <w:sz w:val="24"/>
          <w:szCs w:val="24"/>
          <w:lang w:val="en-GB"/>
        </w:rPr>
        <w:t>方共同处于控制之下的任何</w:t>
      </w:r>
      <w:r>
        <w:rPr>
          <w:rFonts w:hint="eastAsia" w:ascii="仿宋_GB2312" w:eastAsia="仿宋_GB2312" w:hAnsiTheme="minorEastAsia" w:cstheme="minorEastAsia"/>
          <w:sz w:val="24"/>
          <w:szCs w:val="24"/>
        </w:rPr>
        <w:t>第三方。</w:t>
      </w:r>
    </w:p>
    <w:p w14:paraId="2FA52F36">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第二条 保密信息的提供</w:t>
      </w:r>
    </w:p>
    <w:p w14:paraId="3BAA176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1、本协议所述之保密信息均由协议双方为洽谈合作事项之目的而提供。</w:t>
      </w:r>
    </w:p>
    <w:p w14:paraId="23FD89F7">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2、保密信息的所有权及知识产权归属于甲方或甲方具有合法来源。</w:t>
      </w:r>
    </w:p>
    <w:p w14:paraId="6F64A75D">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3、本协议任何条款均不视为将保密信息的所有权和其他权利转让给乙方。</w:t>
      </w:r>
    </w:p>
    <w:p w14:paraId="5C313C23">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第三条 保密义务</w:t>
      </w:r>
    </w:p>
    <w:p w14:paraId="464A9FF9">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1、乙方仅能将甲方提供的保密信息用于本协议所约定的项目并承担保密义务。</w:t>
      </w:r>
    </w:p>
    <w:p w14:paraId="7DD51C4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乙方将采取有效措施使用甲方提供的保密信息，只将该等保密信息提供给本方负责决策或实施合作事项的具体参与人员，乙方及其相关人员不得以任何方式或形式散布、披露或传播给该范围以外的人（包括乙方关联机构），也不得允许任何保密信息被泄漏、被披露、被交流。</w:t>
      </w:r>
    </w:p>
    <w:p w14:paraId="18317CB1">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如果乙方为项目需要，而不得不向该第三方披露保密信息，则乙方应事先从甲方得到书面同意。乙方应在披露保密信息之前，按照与本协议相同的保护程度与该第三方签署一份保密协议。若上述第三方（包括其股东、高管、雇员）发生泄密，乙方应与该第三方承担连带责任。</w:t>
      </w:r>
    </w:p>
    <w:p w14:paraId="1049404D">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 xml:space="preserve">4、如乙方得悉甲方的任何保密信息遭侵犯或疑似侵权，乙方应立即通知甲方。如果甲方决定就侵权行为进行起诉，或以其他方式停止或阻止该实际或可能发生的侵权行为，乙方尽最大限度予以协助。 </w:t>
      </w:r>
    </w:p>
    <w:p w14:paraId="2AD7FF4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5、乙方不得在世界任何地方就保密信息进行升级、变更和/或改进，亦不得直接或间接提交或促使提交专利或著作权或其它权利的申请，也不得以其名义取得或促使以其他人名义取得任何专利或其它权利注册。</w:t>
      </w:r>
    </w:p>
    <w:p w14:paraId="36672C58">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 xml:space="preserve">6、乙方应遵从甲方不时发出的有关使用、处理和保管保密信息的任何指令或政策，并按照甲方的要求将本协议项下保密信息的使用情况向甲方汇报。 </w:t>
      </w:r>
    </w:p>
    <w:p w14:paraId="76FB7E86">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7、乙方不得为第三方利益使用保密信息，不得非为实现双方合作目的使用保密信息，不得对保密信息采取任何反向工程、反向编译或反向分解等行为。</w:t>
      </w:r>
    </w:p>
    <w:p w14:paraId="4C8A8E9E">
      <w:pPr>
        <w:spacing w:line="360" w:lineRule="auto"/>
        <w:ind w:firstLine="480" w:firstLineChars="200"/>
        <w:rPr>
          <w:rFonts w:hint="eastAsia" w:ascii="仿宋_GB2312" w:eastAsia="仿宋_GB2312" w:hAnsiTheme="minorEastAsia" w:cstheme="minorEastAsia"/>
          <w:sz w:val="24"/>
          <w:szCs w:val="24"/>
          <w:highlight w:val="yellow"/>
        </w:rPr>
      </w:pPr>
      <w:r>
        <w:rPr>
          <w:rFonts w:hint="eastAsia" w:ascii="仿宋_GB2312" w:eastAsia="仿宋_GB2312" w:hAnsiTheme="minorEastAsia" w:cstheme="minorEastAsia"/>
          <w:sz w:val="24"/>
          <w:szCs w:val="24"/>
        </w:rPr>
        <w:t>8、双方合作期间形成的与本协议有关的任何信息和数据受本协议约束。</w:t>
      </w:r>
    </w:p>
    <w:p w14:paraId="562D0720">
      <w:pPr>
        <w:tabs>
          <w:tab w:val="left" w:pos="567"/>
        </w:tabs>
        <w:spacing w:line="360" w:lineRule="auto"/>
        <w:ind w:firstLine="480" w:firstLineChars="200"/>
        <w:rPr>
          <w:rFonts w:hint="eastAsia" w:ascii="仿宋_GB2312" w:hAnsi="宋体" w:eastAsia="仿宋_GB2312" w:cs="宋体"/>
          <w:sz w:val="24"/>
          <w:szCs w:val="24"/>
          <w:lang w:val="en-GB"/>
        </w:rPr>
      </w:pPr>
      <w:r>
        <w:rPr>
          <w:rFonts w:hint="eastAsia" w:ascii="仿宋_GB2312" w:hAnsi="宋体" w:eastAsia="仿宋_GB2312" w:cs="宋体"/>
          <w:sz w:val="24"/>
          <w:szCs w:val="24"/>
          <w:lang w:val="en-GB"/>
        </w:rPr>
        <w:t>在本协议签订后，</w:t>
      </w:r>
      <w:r>
        <w:rPr>
          <w:rFonts w:hint="eastAsia" w:ascii="仿宋_GB2312" w:hAnsi="宋体" w:eastAsia="仿宋_GB2312" w:cs="宋体"/>
          <w:sz w:val="24"/>
          <w:szCs w:val="24"/>
        </w:rPr>
        <w:t>甲方仅将保密信息向乙</w:t>
      </w:r>
      <w:r>
        <w:rPr>
          <w:rFonts w:hint="eastAsia" w:ascii="仿宋_GB2312" w:hAnsi="宋体" w:eastAsia="仿宋_GB2312" w:cs="宋体"/>
          <w:sz w:val="24"/>
          <w:szCs w:val="24"/>
          <w:lang w:val="en-GB"/>
        </w:rPr>
        <w:t>方</w:t>
      </w:r>
      <w:r>
        <w:rPr>
          <w:rFonts w:hint="eastAsia" w:ascii="仿宋_GB2312" w:hAnsi="宋体" w:eastAsia="仿宋_GB2312" w:cs="宋体"/>
          <w:sz w:val="24"/>
          <w:szCs w:val="24"/>
        </w:rPr>
        <w:t>指定联系人</w:t>
      </w:r>
      <w:bookmarkStart w:id="1" w:name="OLE_LINK3"/>
      <w:bookmarkStart w:id="2" w:name="OLE_LINK2"/>
      <w:r>
        <w:rPr>
          <w:rFonts w:hint="eastAsia" w:ascii="仿宋_GB2312" w:hAnsi="宋体" w:eastAsia="仿宋_GB2312" w:cs="宋体"/>
          <w:sz w:val="24"/>
          <w:szCs w:val="24"/>
        </w:rPr>
        <w:t>：</w:t>
      </w:r>
      <w:bookmarkStart w:id="3" w:name="OLE_LINK1"/>
      <w:r>
        <w:rPr>
          <w:rFonts w:hint="eastAsia" w:ascii="仿宋_GB2312" w:hAnsi="宋体" w:eastAsia="仿宋_GB2312" w:cs="宋体"/>
          <w:sz w:val="24"/>
          <w:szCs w:val="24"/>
          <w:u w:val="single"/>
        </w:rPr>
        <w:t xml:space="preserve">  </w:t>
      </w:r>
      <w:r>
        <w:rPr>
          <w:rFonts w:hint="eastAsia" w:ascii="仿宋_GB2312" w:hAnsi="宋体" w:eastAsia="仿宋_GB2312" w:cs="宋体"/>
          <w:sz w:val="24"/>
          <w:szCs w:val="24"/>
          <w:highlight w:val="yellow"/>
          <w:u w:val="single"/>
          <w:lang w:val="en-US" w:eastAsia="zh-CN"/>
        </w:rPr>
        <w:t>姓  名</w:t>
      </w:r>
      <w:r>
        <w:rPr>
          <w:rFonts w:hint="eastAsia" w:ascii="仿宋_GB2312" w:hAnsi="宋体" w:eastAsia="仿宋_GB2312" w:cs="宋体"/>
          <w:sz w:val="24"/>
          <w:szCs w:val="24"/>
          <w:u w:val="single"/>
        </w:rPr>
        <w:t xml:space="preserve"> </w:t>
      </w:r>
      <w:bookmarkEnd w:id="1"/>
      <w:r>
        <w:rPr>
          <w:rFonts w:hint="eastAsia" w:ascii="仿宋_GB2312" w:hAnsi="宋体" w:eastAsia="仿宋_GB2312" w:cs="宋体"/>
          <w:sz w:val="24"/>
          <w:szCs w:val="24"/>
          <w:u w:val="single"/>
        </w:rPr>
        <w:t xml:space="preserve"> </w:t>
      </w:r>
      <w:bookmarkEnd w:id="2"/>
      <w:r>
        <w:rPr>
          <w:rFonts w:hint="eastAsia" w:ascii="仿宋_GB2312" w:hAnsi="宋体" w:eastAsia="仿宋_GB2312" w:cs="宋体"/>
          <w:sz w:val="24"/>
          <w:szCs w:val="24"/>
          <w:u w:val="single"/>
        </w:rPr>
        <w:t xml:space="preserve"> </w:t>
      </w:r>
      <w:bookmarkEnd w:id="3"/>
      <w:r>
        <w:rPr>
          <w:rFonts w:hint="eastAsia" w:ascii="仿宋_GB2312" w:hAnsi="宋体" w:eastAsia="仿宋_GB2312" w:cs="宋体"/>
          <w:sz w:val="24"/>
          <w:szCs w:val="24"/>
        </w:rPr>
        <w:t>进行披露，如乙方联系人发生变更，应立即书面通知甲方并做出新的授权。</w:t>
      </w:r>
    </w:p>
    <w:p w14:paraId="516452B8">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第四条 保密义务的例外</w:t>
      </w:r>
    </w:p>
    <w:p w14:paraId="0B1BCD12">
      <w:pPr>
        <w:spacing w:line="360" w:lineRule="auto"/>
        <w:ind w:firstLine="480" w:firstLineChars="200"/>
        <w:rPr>
          <w:rFonts w:hint="eastAsia" w:ascii="仿宋_GB2312" w:eastAsia="仿宋_GB2312" w:hAnsiTheme="minorEastAsia" w:cstheme="minorEastAsia"/>
          <w:sz w:val="24"/>
          <w:szCs w:val="24"/>
          <w:lang w:val="en-GB"/>
        </w:rPr>
      </w:pPr>
      <w:r>
        <w:rPr>
          <w:rFonts w:hint="eastAsia" w:ascii="仿宋_GB2312" w:eastAsia="仿宋_GB2312" w:hAnsiTheme="minorEastAsia" w:cstheme="minorEastAsia"/>
          <w:sz w:val="24"/>
          <w:szCs w:val="24"/>
        </w:rPr>
        <w:t>1、</w:t>
      </w:r>
      <w:r>
        <w:rPr>
          <w:rFonts w:hint="eastAsia" w:ascii="仿宋_GB2312" w:eastAsia="仿宋_GB2312" w:hAnsiTheme="minorEastAsia" w:cstheme="minorEastAsia"/>
          <w:sz w:val="24"/>
          <w:szCs w:val="24"/>
          <w:lang w:val="en-GB"/>
        </w:rPr>
        <w:t>根据有关法律或有管辖权的法院、仲裁机构、交易所或政府机构</w:t>
      </w:r>
      <w:r>
        <w:rPr>
          <w:rFonts w:hint="eastAsia" w:ascii="仿宋_GB2312" w:eastAsia="仿宋_GB2312" w:hAnsiTheme="minorEastAsia" w:cstheme="minorEastAsia"/>
          <w:sz w:val="24"/>
          <w:szCs w:val="24"/>
        </w:rPr>
        <w:t>的</w:t>
      </w:r>
      <w:r>
        <w:rPr>
          <w:rFonts w:hint="eastAsia" w:ascii="仿宋_GB2312" w:eastAsia="仿宋_GB2312" w:hAnsiTheme="minorEastAsia" w:cstheme="minorEastAsia"/>
          <w:sz w:val="24"/>
          <w:szCs w:val="24"/>
          <w:lang w:val="en-GB"/>
        </w:rPr>
        <w:t>要求而披露保密信息。</w:t>
      </w:r>
    </w:p>
    <w:p w14:paraId="45B02A59">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2、事先取得甲方书面同意而公开的信息。</w:t>
      </w:r>
    </w:p>
    <w:p w14:paraId="6EC61B68">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披露该等保密信息之前，乙方应当立即通知甲方，并提供有关该等命令的通知，协同甲方采取有效措施防范风险。</w:t>
      </w:r>
    </w:p>
    <w:p w14:paraId="33227CC1">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第五条 保密信息的返还</w:t>
      </w:r>
    </w:p>
    <w:p w14:paraId="559073C8">
      <w:pPr>
        <w:tabs>
          <w:tab w:val="left" w:pos="990"/>
        </w:tabs>
        <w:spacing w:line="360" w:lineRule="auto"/>
        <w:ind w:firstLine="480" w:firstLineChars="200"/>
        <w:rPr>
          <w:rFonts w:hint="eastAsia" w:ascii="仿宋_GB2312" w:hAnsi="宋体" w:eastAsia="仿宋_GB2312" w:cs="宋体"/>
          <w:sz w:val="24"/>
          <w:szCs w:val="24"/>
        </w:rPr>
      </w:pPr>
      <w:r>
        <w:rPr>
          <w:rFonts w:hint="eastAsia" w:ascii="仿宋_GB2312" w:eastAsia="仿宋_GB2312" w:hAnsiTheme="minorEastAsia" w:cstheme="minorEastAsia"/>
          <w:sz w:val="24"/>
          <w:szCs w:val="24"/>
        </w:rPr>
        <w:t>根据</w:t>
      </w:r>
      <w:r>
        <w:rPr>
          <w:rFonts w:hint="eastAsia" w:ascii="仿宋_GB2312" w:hAnsi="宋体" w:eastAsia="仿宋_GB2312" w:cs="宋体"/>
          <w:sz w:val="24"/>
          <w:szCs w:val="24"/>
        </w:rPr>
        <w:t>甲方要求或乙方违约时</w:t>
      </w:r>
      <w:r>
        <w:rPr>
          <w:rFonts w:hint="eastAsia" w:ascii="仿宋_GB2312" w:hAnsi="宋体" w:eastAsia="仿宋_GB2312" w:cs="宋体"/>
          <w:sz w:val="24"/>
          <w:szCs w:val="24"/>
          <w:lang w:val="en-GB"/>
        </w:rPr>
        <w:t>，</w:t>
      </w:r>
      <w:r>
        <w:rPr>
          <w:rFonts w:hint="eastAsia" w:ascii="仿宋_GB2312" w:hAnsi="宋体" w:eastAsia="仿宋_GB2312" w:cs="宋体"/>
          <w:sz w:val="24"/>
          <w:szCs w:val="24"/>
        </w:rPr>
        <w:t>乙方应</w:t>
      </w:r>
      <w:r>
        <w:rPr>
          <w:rFonts w:hint="eastAsia" w:ascii="仿宋_GB2312" w:hAnsi="宋体" w:eastAsia="仿宋_GB2312" w:cs="宋体"/>
          <w:sz w:val="24"/>
          <w:szCs w:val="24"/>
          <w:lang w:val="en-GB"/>
        </w:rPr>
        <w:t>立即</w:t>
      </w:r>
      <w:r>
        <w:rPr>
          <w:rFonts w:hint="eastAsia" w:ascii="仿宋_GB2312" w:hAnsi="宋体" w:eastAsia="仿宋_GB2312" w:cs="宋体"/>
          <w:sz w:val="24"/>
          <w:szCs w:val="24"/>
        </w:rPr>
        <w:t>在甲方要求的时间内</w:t>
      </w:r>
      <w:r>
        <w:rPr>
          <w:rFonts w:hint="eastAsia" w:ascii="仿宋_GB2312" w:hAnsi="宋体" w:eastAsia="仿宋_GB2312" w:cs="宋体"/>
          <w:sz w:val="24"/>
          <w:szCs w:val="24"/>
          <w:lang w:val="en-GB"/>
        </w:rPr>
        <w:t>向甲方返还所有保密信息并不得保存副本，</w:t>
      </w:r>
      <w:r>
        <w:rPr>
          <w:rFonts w:hint="eastAsia" w:ascii="仿宋_GB2312" w:hAnsi="宋体" w:eastAsia="仿宋_GB2312" w:cs="宋体"/>
          <w:sz w:val="24"/>
          <w:szCs w:val="24"/>
        </w:rPr>
        <w:t>包括但不限于储存于</w:t>
      </w:r>
      <w:r>
        <w:rPr>
          <w:rFonts w:hint="eastAsia" w:ascii="仿宋_GB2312" w:hAnsi="宋体" w:eastAsia="仿宋_GB2312" w:cs="宋体"/>
          <w:sz w:val="24"/>
          <w:szCs w:val="24"/>
          <w:lang w:val="en-GB"/>
        </w:rPr>
        <w:t>计算机磁盘、CD-ROM驱动、CD-ROM、硬盘、软件或任何纸质媒介的材料</w:t>
      </w:r>
      <w:r>
        <w:rPr>
          <w:rFonts w:hint="eastAsia" w:ascii="仿宋_GB2312" w:hAnsi="宋体" w:eastAsia="仿宋_GB2312" w:cs="宋体"/>
          <w:sz w:val="24"/>
          <w:szCs w:val="24"/>
        </w:rPr>
        <w:t>及其</w:t>
      </w:r>
      <w:r>
        <w:rPr>
          <w:rFonts w:hint="eastAsia" w:ascii="仿宋_GB2312" w:hAnsi="宋体" w:eastAsia="仿宋_GB2312" w:cs="宋体"/>
          <w:sz w:val="24"/>
          <w:szCs w:val="24"/>
          <w:lang w:val="en-GB"/>
        </w:rPr>
        <w:t>备份。</w:t>
      </w:r>
      <w:r>
        <w:rPr>
          <w:rFonts w:hint="eastAsia" w:ascii="仿宋_GB2312" w:hAnsi="宋体" w:eastAsia="仿宋_GB2312" w:cs="宋体"/>
          <w:sz w:val="24"/>
          <w:szCs w:val="24"/>
        </w:rPr>
        <w:t>因</w:t>
      </w:r>
      <w:r>
        <w:rPr>
          <w:rFonts w:hint="eastAsia" w:ascii="仿宋_GB2312" w:hAnsi="宋体" w:eastAsia="仿宋_GB2312" w:cs="宋体"/>
          <w:sz w:val="24"/>
          <w:szCs w:val="24"/>
          <w:lang w:val="en-GB"/>
        </w:rPr>
        <w:t>保密信息载体及保密信息介质的特性导致客观上无法返还甲方的，乙方应当于甲方要求的时间内将载有保密信息的载体或介质销毁，或对其进行处理使其不具有保密信息保存和传递功能，以达到乙方不保存任何保密信息的目的，</w:t>
      </w:r>
      <w:r>
        <w:rPr>
          <w:rFonts w:hint="eastAsia" w:ascii="仿宋_GB2312" w:hAnsi="宋体" w:eastAsia="仿宋_GB2312" w:cs="宋体"/>
          <w:sz w:val="24"/>
          <w:szCs w:val="24"/>
        </w:rPr>
        <w:t>同时乙方应</w:t>
      </w:r>
      <w:r>
        <w:rPr>
          <w:rFonts w:hint="eastAsia" w:ascii="仿宋_GB2312" w:hAnsi="宋体" w:eastAsia="仿宋_GB2312" w:cs="宋体"/>
          <w:sz w:val="24"/>
          <w:szCs w:val="24"/>
          <w:lang w:val="en-GB"/>
        </w:rPr>
        <w:t>向</w:t>
      </w:r>
      <w:r>
        <w:rPr>
          <w:rFonts w:hint="eastAsia" w:ascii="仿宋_GB2312" w:hAnsi="宋体" w:eastAsia="仿宋_GB2312" w:cs="宋体"/>
          <w:sz w:val="24"/>
          <w:szCs w:val="24"/>
        </w:rPr>
        <w:t>甲</w:t>
      </w:r>
      <w:r>
        <w:rPr>
          <w:rFonts w:hint="eastAsia" w:ascii="仿宋_GB2312" w:hAnsi="宋体" w:eastAsia="仿宋_GB2312" w:cs="宋体"/>
          <w:sz w:val="24"/>
          <w:szCs w:val="24"/>
          <w:lang w:val="en-GB"/>
        </w:rPr>
        <w:t>方出具已经归还或销毁</w:t>
      </w:r>
      <w:r>
        <w:rPr>
          <w:rFonts w:hint="eastAsia" w:ascii="仿宋_GB2312" w:hAnsi="宋体" w:eastAsia="仿宋_GB2312" w:cs="宋体"/>
          <w:sz w:val="24"/>
          <w:szCs w:val="24"/>
        </w:rPr>
        <w:t>全部</w:t>
      </w:r>
      <w:r>
        <w:rPr>
          <w:rFonts w:hint="eastAsia" w:ascii="仿宋_GB2312" w:hAnsi="宋体" w:eastAsia="仿宋_GB2312" w:cs="宋体"/>
          <w:sz w:val="24"/>
          <w:szCs w:val="24"/>
          <w:lang w:val="en-GB"/>
        </w:rPr>
        <w:t>材料的书面</w:t>
      </w:r>
      <w:r>
        <w:rPr>
          <w:rFonts w:hint="eastAsia" w:ascii="仿宋_GB2312" w:hAnsi="宋体" w:eastAsia="仿宋_GB2312" w:cs="宋体"/>
          <w:sz w:val="24"/>
          <w:szCs w:val="24"/>
        </w:rPr>
        <w:t>承诺。</w:t>
      </w:r>
    </w:p>
    <w:p w14:paraId="1994892E">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第六条 保密期限</w:t>
      </w:r>
    </w:p>
    <w:p w14:paraId="20E64975">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除本协议双方另有约定外，本协议的保密期限自甲方提供保密信息之日起至本协议所述保密信息向公众披露或为公众所知悉之日止。</w:t>
      </w:r>
    </w:p>
    <w:p w14:paraId="37BCE4E7">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第七条 违约责任</w:t>
      </w:r>
    </w:p>
    <w:p w14:paraId="5E03AB77">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 xml:space="preserve">1、如乙方违反本协议约定，应立即停止使用保密信息。如果乙方董事、监事 、高级管理人员、员工、股东、关联机构、代理、顾问、参与项目谈判的人员以及其他利益相关人的行为与本协议相违背，均视为乙方违反本协议。 </w:t>
      </w:r>
    </w:p>
    <w:p w14:paraId="7E3D8930">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2、双方确认，基于保密信息的性质，乙方任何违反本协议的行为将对甲方造成不可弥补的损害，乙方（包括乙方董事、监事 、高级管理人员、员工、股东、关联机构、代理、顾问、参与项目谈判的人员以及其他利益相关人），应当对于因违反本协议而给甲方及甲方关联公司造成的全部损失承担赔偿责任及可期待的商业利益损失。</w:t>
      </w:r>
    </w:p>
    <w:p w14:paraId="6B0F9D5C">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3、在各种情况下，双方一致认为甲方的损失均应被视为最少不低于</w:t>
      </w:r>
      <w:r>
        <w:rPr>
          <w:rFonts w:hint="eastAsia" w:ascii="仿宋_GB2312" w:eastAsia="仿宋_GB2312" w:hAnsiTheme="minorEastAsia" w:cstheme="minorEastAsia"/>
          <w:sz w:val="24"/>
          <w:szCs w:val="24"/>
          <w:highlight w:val="none"/>
          <w:u w:val="single"/>
        </w:rPr>
        <w:t>叁佰</w:t>
      </w:r>
      <w:r>
        <w:rPr>
          <w:rFonts w:hint="eastAsia" w:ascii="仿宋_GB2312" w:eastAsia="仿宋_GB2312" w:hAnsiTheme="minorEastAsia" w:cstheme="minorEastAsia"/>
          <w:sz w:val="24"/>
          <w:szCs w:val="24"/>
        </w:rPr>
        <w:t xml:space="preserve">万元。 </w:t>
      </w:r>
    </w:p>
    <w:p w14:paraId="17816A1B">
      <w:pPr>
        <w:spacing w:line="360" w:lineRule="auto"/>
        <w:ind w:firstLine="480" w:firstLineChars="200"/>
        <w:rPr>
          <w:rFonts w:ascii="仿宋_GB2312" w:eastAsia="仿宋_GB2312"/>
          <w:sz w:val="24"/>
          <w:szCs w:val="24"/>
        </w:rPr>
      </w:pPr>
      <w:r>
        <w:rPr>
          <w:rFonts w:hint="eastAsia" w:ascii="仿宋_GB2312" w:eastAsia="仿宋_GB2312" w:hAnsiTheme="minorEastAsia" w:cstheme="minorEastAsia"/>
          <w:sz w:val="24"/>
          <w:szCs w:val="24"/>
        </w:rPr>
        <w:t>4、</w:t>
      </w:r>
      <w:r>
        <w:rPr>
          <w:rFonts w:hint="eastAsia" w:ascii="仿宋_GB2312" w:eastAsia="仿宋_GB2312"/>
          <w:sz w:val="24"/>
          <w:szCs w:val="24"/>
        </w:rPr>
        <w:t>如乙方违反第三条第5项的约定提交了申请或取得专利或著作权或其他权利注册，则乙方除应按本协议的约定承担违约责任外，还应根据甲方要求，毫不延迟地将该等申请、注册的权利无偿转让给甲方。该等转让或变更涉及所有费用由乙方承担。</w:t>
      </w:r>
    </w:p>
    <w:p w14:paraId="1BBE99F9">
      <w:pPr>
        <w:spacing w:line="360" w:lineRule="auto"/>
        <w:ind w:firstLine="480" w:firstLineChars="200"/>
        <w:rPr>
          <w:rFonts w:ascii="仿宋_GB2312" w:eastAsia="仿宋_GB2312"/>
          <w:sz w:val="24"/>
          <w:szCs w:val="24"/>
        </w:rPr>
      </w:pPr>
      <w:r>
        <w:rPr>
          <w:rFonts w:hint="eastAsia" w:ascii="仿宋_GB2312" w:eastAsia="仿宋_GB2312" w:hAnsiTheme="minorEastAsia" w:cstheme="minorEastAsia"/>
          <w:sz w:val="24"/>
          <w:szCs w:val="24"/>
        </w:rPr>
        <w:t>5、如果乙方违反本合同约定（含附件，如有）的，除应按本合同约定赔偿损失及违约金外，还应赔偿包括但不限于甲方因此支出的或预计支付的诉讼费、保全申请费、保全保险费、鉴定费、评估费、司法审计费、拍卖费、律师费等一切费用。</w:t>
      </w:r>
    </w:p>
    <w:p w14:paraId="797EA43C">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第八条 适用法律及争议的解决</w:t>
      </w:r>
    </w:p>
    <w:p w14:paraId="17907BD6">
      <w:pPr>
        <w:tabs>
          <w:tab w:val="left" w:pos="567"/>
        </w:tabs>
        <w:spacing w:line="360" w:lineRule="auto"/>
        <w:ind w:firstLine="480" w:firstLineChars="200"/>
        <w:rPr>
          <w:rFonts w:hint="eastAsia" w:ascii="仿宋_GB2312" w:hAnsi="宋体" w:eastAsia="仿宋_GB2312" w:cs="宋体"/>
          <w:sz w:val="24"/>
          <w:szCs w:val="24"/>
          <w:lang w:val="en-GB"/>
        </w:rPr>
      </w:pPr>
      <w:r>
        <w:rPr>
          <w:rFonts w:hint="eastAsia" w:ascii="仿宋_GB2312" w:hAnsi="宋体" w:eastAsia="仿宋_GB2312" w:cs="宋体"/>
          <w:sz w:val="24"/>
          <w:szCs w:val="24"/>
          <w:lang w:val="en-GB"/>
        </w:rPr>
        <w:t>本协议受中国现行</w:t>
      </w:r>
      <w:r>
        <w:rPr>
          <w:rFonts w:hint="eastAsia" w:ascii="仿宋_GB2312" w:hAnsi="宋体" w:eastAsia="仿宋_GB2312" w:cs="宋体"/>
          <w:sz w:val="24"/>
          <w:szCs w:val="24"/>
        </w:rPr>
        <w:t>有效的法律</w:t>
      </w:r>
      <w:r>
        <w:rPr>
          <w:rFonts w:hint="eastAsia" w:ascii="仿宋_GB2312" w:hAnsi="宋体" w:eastAsia="仿宋_GB2312" w:cs="宋体"/>
          <w:sz w:val="24"/>
          <w:szCs w:val="24"/>
          <w:lang w:val="en-GB"/>
        </w:rPr>
        <w:t>管辖，因本协议引起的或与本协议有关的任何争议，应由双方先行协商解决，协商不成的，由甲方所在地法院诉讼解决。</w:t>
      </w:r>
    </w:p>
    <w:p w14:paraId="5C3C5D43">
      <w:pPr>
        <w:spacing w:line="360" w:lineRule="auto"/>
        <w:ind w:firstLine="560" w:firstLineChars="200"/>
        <w:rPr>
          <w:rFonts w:hint="eastAsia" w:ascii="黑体" w:hAnsi="黑体" w:eastAsia="黑体" w:cstheme="minorEastAsia"/>
          <w:bCs/>
          <w:sz w:val="28"/>
          <w:szCs w:val="28"/>
        </w:rPr>
      </w:pPr>
      <w:r>
        <w:rPr>
          <w:rFonts w:hint="eastAsia" w:ascii="黑体" w:hAnsi="黑体" w:eastAsia="黑体" w:cstheme="minorEastAsia"/>
          <w:bCs/>
          <w:sz w:val="28"/>
          <w:szCs w:val="28"/>
        </w:rPr>
        <w:t xml:space="preserve">第九条 继续有效 </w:t>
      </w:r>
    </w:p>
    <w:p w14:paraId="78B73AF3">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如果本协议有任何条款或部分因任何原因被判定为无效或不可执行，本协议其他条款不应受到影响，在法律允许的范围内继续具有完全效力。</w:t>
      </w:r>
    </w:p>
    <w:p w14:paraId="64F943A3">
      <w:pPr>
        <w:spacing w:line="360" w:lineRule="auto"/>
        <w:ind w:firstLine="560" w:firstLineChars="200"/>
        <w:rPr>
          <w:rFonts w:hint="eastAsia" w:ascii="仿宋_GB2312" w:eastAsia="仿宋_GB2312" w:hAnsiTheme="minorEastAsia" w:cstheme="minorEastAsia"/>
          <w:sz w:val="24"/>
          <w:szCs w:val="24"/>
        </w:rPr>
      </w:pPr>
      <w:r>
        <w:rPr>
          <w:rFonts w:hint="eastAsia" w:ascii="黑体" w:hAnsi="黑体" w:eastAsia="黑体" w:cstheme="minorEastAsia"/>
          <w:bCs/>
          <w:sz w:val="28"/>
          <w:szCs w:val="28"/>
        </w:rPr>
        <w:t>第十条 协议生效</w:t>
      </w:r>
    </w:p>
    <w:p w14:paraId="6D679109">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1、协议双方同意，本协议于双方签署之日起生效。但是如果本协议签订前存在甲方向乙方提供保密信息的，也适用本协议。</w:t>
      </w:r>
      <w:r>
        <w:rPr>
          <w:rFonts w:ascii="仿宋_GB2312" w:eastAsia="仿宋_GB2312" w:hAnsiTheme="minorEastAsia" w:cstheme="minorEastAsia"/>
          <w:sz w:val="24"/>
          <w:szCs w:val="24"/>
        </w:rPr>
        <w:t xml:space="preserve"> </w:t>
      </w:r>
    </w:p>
    <w:p w14:paraId="5072A15E">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2、协议双方对本协议内容的修改或补充，应采用书面形式订立补充协议，补充协议经双方签署生效，成为本协议的有效组成部份、与本协议具有同等法律效力。</w:t>
      </w:r>
    </w:p>
    <w:p w14:paraId="21FCFFDF">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3、本协议正本一式三份，甲方执两份，乙方执一份，具有同等法律效力。</w:t>
      </w:r>
    </w:p>
    <w:p w14:paraId="7C7BA1FB">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兹此，双方已促使本协议由各自正式授权代表签署或加盖双方公章或合同专用章。</w:t>
      </w:r>
    </w:p>
    <w:p w14:paraId="06D84F29">
      <w:pPr>
        <w:spacing w:line="360" w:lineRule="auto"/>
        <w:ind w:firstLine="480" w:firstLineChars="200"/>
        <w:rPr>
          <w:rFonts w:hint="eastAsia" w:ascii="仿宋_GB2312" w:eastAsia="仿宋_GB2312" w:hAnsiTheme="minorEastAsia" w:cstheme="minorEastAsia"/>
          <w:sz w:val="24"/>
          <w:szCs w:val="24"/>
        </w:rPr>
      </w:pPr>
    </w:p>
    <w:p w14:paraId="59C48B42">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本合同的各签约方选择使用电子签约的，已由法定代表人本人或授权其代理人在电子签约平台进行了实名注册，并通过CA证书进行签约。电子签约的任一方均已知晓且同意通过代理人密码登录账户后的所有操作视为该方的行为，并自愿承担由此产生的一切法律后果。电子签约方的代理人包括在平台完成认证并具有相应盖章、签字权限的管理员、盖章人或签名人。电子签约方在相关电子合同通过CA证书进行电子签章的，视为该方有效签署合同。如各方签章时间不一致的，以最后签章的时间为准。本合同所有的手写涂改、一方擅自增加、删改、篡改部分无效（个人手写签名除外）。</w:t>
      </w:r>
    </w:p>
    <w:p w14:paraId="4C53D470">
      <w:pPr>
        <w:spacing w:line="360" w:lineRule="auto"/>
        <w:ind w:firstLine="480" w:firstLineChars="2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若一方不使用电子签约，此情形下各方认可并同意电子签章与在纸质合同上手写签名或者盖章具有同等的法律效力，一方在合同上使用电子签章，另一方将已完成电子签章的合同打印为纸质合同后，再于合同签署处加盖实物印章、手写签名视为各方已签署完毕。</w:t>
      </w:r>
    </w:p>
    <w:p w14:paraId="4AA3D201">
      <w:pPr>
        <w:spacing w:line="360" w:lineRule="auto"/>
        <w:ind w:firstLine="480" w:firstLineChars="200"/>
        <w:rPr>
          <w:rFonts w:hint="eastAsia" w:ascii="仿宋_GB2312" w:eastAsia="仿宋_GB2312" w:hAnsiTheme="minorEastAsia" w:cstheme="minorEastAsia"/>
          <w:sz w:val="24"/>
          <w:szCs w:val="24"/>
        </w:rPr>
      </w:pPr>
    </w:p>
    <w:p w14:paraId="030C8FD4">
      <w:pPr>
        <w:spacing w:line="360" w:lineRule="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甲方：</w:t>
      </w:r>
      <w:r>
        <w:rPr>
          <w:rFonts w:hint="eastAsia" w:ascii="仿宋_GB2312" w:hAnsi="宋体" w:eastAsia="仿宋_GB2312" w:cs="宋体"/>
          <w:sz w:val="24"/>
          <w:szCs w:val="24"/>
          <w:u w:val="single"/>
        </w:rPr>
        <w:t>中国重汽集团济南动力有限公司</w:t>
      </w:r>
      <w:r>
        <w:rPr>
          <w:rFonts w:hint="eastAsia" w:ascii="仿宋_GB2312" w:eastAsia="仿宋_GB2312" w:hAnsiTheme="minorEastAsia" w:cstheme="minorEastAsia"/>
          <w:sz w:val="24"/>
          <w:szCs w:val="24"/>
        </w:rPr>
        <w:t>（盖章）</w:t>
      </w:r>
    </w:p>
    <w:p w14:paraId="27868E85">
      <w:pPr>
        <w:spacing w:line="360" w:lineRule="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法定代表人或授权代表：</w:t>
      </w:r>
      <w:r>
        <w:rPr>
          <w:rFonts w:hint="eastAsia" w:ascii="仿宋_GB2312" w:eastAsia="仿宋_GB2312" w:hAnsiTheme="minorEastAsia" w:cstheme="minorEastAsia"/>
          <w:sz w:val="24"/>
          <w:szCs w:val="24"/>
          <w:u w:val="single"/>
        </w:rPr>
        <w:t xml:space="preserve">                </w:t>
      </w:r>
      <w:r>
        <w:rPr>
          <w:rFonts w:hint="eastAsia" w:ascii="仿宋_GB2312" w:eastAsia="仿宋_GB2312" w:hAnsiTheme="minorEastAsia" w:cstheme="minorEastAsia"/>
          <w:sz w:val="24"/>
          <w:szCs w:val="24"/>
        </w:rPr>
        <w:t>（签字）</w:t>
      </w:r>
    </w:p>
    <w:p w14:paraId="1854817A">
      <w:pPr>
        <w:spacing w:line="360" w:lineRule="auto"/>
        <w:ind w:firstLine="5520" w:firstLineChars="2300"/>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年  月  日</w:t>
      </w:r>
    </w:p>
    <w:p w14:paraId="35BC644D">
      <w:pPr>
        <w:spacing w:line="360" w:lineRule="auto"/>
        <w:rPr>
          <w:rFonts w:hint="eastAsia" w:ascii="仿宋_GB2312" w:eastAsia="仿宋_GB2312" w:hAnsiTheme="minorEastAsia" w:cstheme="minorEastAsia"/>
          <w:sz w:val="24"/>
          <w:szCs w:val="24"/>
        </w:rPr>
      </w:pPr>
    </w:p>
    <w:p w14:paraId="121D9E30">
      <w:pPr>
        <w:spacing w:line="360" w:lineRule="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乙方：</w:t>
      </w:r>
      <w:r>
        <w:rPr>
          <w:rFonts w:hint="eastAsia" w:ascii="仿宋_GB2312" w:eastAsia="仿宋_GB2312" w:hAnsiTheme="minorEastAsia" w:cstheme="minorEastAsia"/>
          <w:sz w:val="24"/>
          <w:szCs w:val="24"/>
          <w:highlight w:val="yellow"/>
          <w:u w:val="single"/>
          <w:lang w:val="en-US" w:eastAsia="zh-CN"/>
        </w:rPr>
        <w:t xml:space="preserve">   请正确填写公司名称  </w:t>
      </w:r>
      <w:r>
        <w:rPr>
          <w:rFonts w:hint="eastAsia" w:ascii="仿宋_GB2312" w:eastAsia="仿宋_GB2312" w:hAnsiTheme="minorEastAsia" w:cstheme="minorEastAsia"/>
          <w:sz w:val="24"/>
          <w:szCs w:val="24"/>
          <w:highlight w:val="yellow"/>
          <w:u w:val="none"/>
          <w:lang w:val="en-US" w:eastAsia="zh-CN"/>
        </w:rPr>
        <w:t xml:space="preserve"> </w:t>
      </w:r>
      <w:r>
        <w:rPr>
          <w:rFonts w:hint="eastAsia" w:ascii="仿宋_GB2312" w:eastAsia="仿宋_GB2312" w:hAnsiTheme="minorEastAsia" w:cstheme="minorEastAsia"/>
          <w:sz w:val="24"/>
          <w:szCs w:val="24"/>
          <w:highlight w:val="none"/>
          <w:u w:val="none"/>
          <w:lang w:val="en-US" w:eastAsia="zh-CN"/>
        </w:rPr>
        <w:t xml:space="preserve"> </w:t>
      </w:r>
      <w:r>
        <w:rPr>
          <w:rFonts w:hint="eastAsia" w:ascii="仿宋_GB2312" w:eastAsia="仿宋_GB2312" w:hAnsiTheme="minorEastAsia" w:cstheme="minorEastAsia"/>
          <w:sz w:val="24"/>
          <w:szCs w:val="24"/>
          <w:highlight w:val="yellow"/>
        </w:rPr>
        <w:t>（盖章）</w:t>
      </w:r>
    </w:p>
    <w:p w14:paraId="3276AB37">
      <w:pPr>
        <w:spacing w:line="360" w:lineRule="auto"/>
        <w:rPr>
          <w:rFonts w:hint="eastAsia" w:ascii="仿宋_GB2312" w:eastAsia="仿宋_GB2312" w:hAnsiTheme="minorEastAsia" w:cstheme="minorEastAsia"/>
          <w:sz w:val="24"/>
          <w:szCs w:val="24"/>
        </w:rPr>
      </w:pPr>
      <w:r>
        <w:rPr>
          <w:rFonts w:hint="eastAsia" w:ascii="仿宋_GB2312" w:eastAsia="仿宋_GB2312" w:hAnsiTheme="minorEastAsia" w:cstheme="minorEastAsia"/>
          <w:sz w:val="24"/>
          <w:szCs w:val="24"/>
        </w:rPr>
        <w:t>法定代表人或授权代表：</w:t>
      </w:r>
      <w:r>
        <w:rPr>
          <w:rFonts w:hint="eastAsia" w:ascii="仿宋_GB2312" w:eastAsia="仿宋_GB2312" w:hAnsiTheme="minorEastAsia" w:cstheme="minorEastAsia"/>
          <w:sz w:val="24"/>
          <w:szCs w:val="24"/>
          <w:highlight w:val="yellow"/>
          <w:u w:val="single"/>
          <w:lang w:val="en-US" w:eastAsia="zh-CN"/>
        </w:rPr>
        <w:t>请正确填写</w:t>
      </w:r>
      <w:r>
        <w:rPr>
          <w:rFonts w:hint="eastAsia" w:ascii="仿宋_GB2312" w:eastAsia="仿宋_GB2312" w:hAnsiTheme="minorEastAsia" w:cstheme="minorEastAsia"/>
          <w:sz w:val="24"/>
          <w:szCs w:val="24"/>
          <w:highlight w:val="none"/>
          <w:u w:val="single"/>
          <w:lang w:val="en-US" w:eastAsia="zh-CN"/>
        </w:rPr>
        <w:t xml:space="preserve"> </w:t>
      </w:r>
      <w:r>
        <w:rPr>
          <w:rFonts w:hint="eastAsia" w:ascii="仿宋_GB2312" w:eastAsia="仿宋_GB2312" w:hAnsiTheme="minorEastAsia" w:cstheme="minorEastAsia"/>
          <w:sz w:val="24"/>
          <w:szCs w:val="24"/>
          <w:highlight w:val="yellow"/>
        </w:rPr>
        <w:t>（签字）</w:t>
      </w:r>
    </w:p>
    <w:p w14:paraId="23DFAF6A">
      <w:pPr>
        <w:spacing w:line="360" w:lineRule="auto"/>
        <w:ind w:firstLine="5520" w:firstLineChars="2300"/>
      </w:pPr>
      <w:r>
        <w:rPr>
          <w:rFonts w:hint="eastAsia" w:ascii="仿宋_GB2312" w:eastAsia="仿宋_GB2312" w:hAnsiTheme="minorEastAsia" w:cstheme="minorEastAsia"/>
          <w:sz w:val="24"/>
          <w:szCs w:val="24"/>
          <w:highlight w:val="yellow"/>
        </w:rPr>
        <w:t>年  月  日</w:t>
      </w:r>
    </w:p>
    <w:p w14:paraId="42AE80EE">
      <w:pPr>
        <w:spacing w:line="500" w:lineRule="exact"/>
        <w:ind w:firstLine="560" w:firstLineChars="200"/>
        <w:rPr>
          <w:rFonts w:hint="eastAsia" w:ascii="仿宋_GB2312" w:hAnsi="仿宋_GB2312" w:eastAsia="仿宋_GB2312" w:cs="仿宋_GB2312"/>
          <w:sz w:val="28"/>
          <w:szCs w:val="28"/>
          <w:highlight w:val="none"/>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17BCAF8"/>
    <w:multiLevelType w:val="singleLevel"/>
    <w:tmpl w:val="D17BCAF8"/>
    <w:lvl w:ilvl="0" w:tentative="0">
      <w:start w:val="7"/>
      <w:numFmt w:val="decimal"/>
      <w:lvlText w:val="%1."/>
      <w:lvlJc w:val="left"/>
      <w:pPr>
        <w:tabs>
          <w:tab w:val="left" w:pos="312"/>
        </w:tabs>
      </w:pPr>
    </w:lvl>
  </w:abstractNum>
  <w:abstractNum w:abstractNumId="1">
    <w:nsid w:val="2EFEE4F9"/>
    <w:multiLevelType w:val="singleLevel"/>
    <w:tmpl w:val="2EFEE4F9"/>
    <w:lvl w:ilvl="0" w:tentative="0">
      <w:start w:val="1"/>
      <w:numFmt w:val="decimal"/>
      <w:lvlText w:val="%1."/>
      <w:lvlJc w:val="left"/>
      <w:pPr>
        <w:ind w:left="1055" w:hanging="425"/>
      </w:pPr>
      <w:rPr>
        <w:rFonts w:hint="default"/>
      </w:rPr>
    </w:lvl>
  </w:abstractNum>
  <w:abstractNum w:abstractNumId="2">
    <w:nsid w:val="6641F056"/>
    <w:multiLevelType w:val="singleLevel"/>
    <w:tmpl w:val="6641F056"/>
    <w:lvl w:ilvl="0" w:tentative="0">
      <w:start w:val="3"/>
      <w:numFmt w:val="chineseCounting"/>
      <w:suff w:val="nothing"/>
      <w:lvlText w:val="%1、"/>
      <w:lvlJc w:val="left"/>
      <w:rPr>
        <w:rFonts w:hint="eastAsia"/>
      </w:rPr>
    </w:lvl>
  </w:abstractNum>
  <w:abstractNum w:abstractNumId="3">
    <w:nsid w:val="6D84078C"/>
    <w:multiLevelType w:val="singleLevel"/>
    <w:tmpl w:val="6D84078C"/>
    <w:lvl w:ilvl="0" w:tentative="0">
      <w:start w:val="3"/>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IyZDhmZTFjNDNjZWU2ZWI3NTIxZjY2YzBhMzA2YmUifQ=="/>
  </w:docVars>
  <w:rsids>
    <w:rsidRoot w:val="002B556A"/>
    <w:rsid w:val="00004036"/>
    <w:rsid w:val="00014CDA"/>
    <w:rsid w:val="00035998"/>
    <w:rsid w:val="00047296"/>
    <w:rsid w:val="00067FE8"/>
    <w:rsid w:val="00076117"/>
    <w:rsid w:val="000803F4"/>
    <w:rsid w:val="000844E0"/>
    <w:rsid w:val="00094CDA"/>
    <w:rsid w:val="00095A13"/>
    <w:rsid w:val="000A168F"/>
    <w:rsid w:val="000A65B3"/>
    <w:rsid w:val="000B44D3"/>
    <w:rsid w:val="000B57ED"/>
    <w:rsid w:val="000B67BF"/>
    <w:rsid w:val="000E0FFE"/>
    <w:rsid w:val="000E633E"/>
    <w:rsid w:val="000F1A4D"/>
    <w:rsid w:val="000F6F18"/>
    <w:rsid w:val="00112475"/>
    <w:rsid w:val="00116B2E"/>
    <w:rsid w:val="0013083A"/>
    <w:rsid w:val="001422A5"/>
    <w:rsid w:val="00146E7A"/>
    <w:rsid w:val="001625D5"/>
    <w:rsid w:val="001644E6"/>
    <w:rsid w:val="001652A3"/>
    <w:rsid w:val="00166CAB"/>
    <w:rsid w:val="001673E1"/>
    <w:rsid w:val="0018158C"/>
    <w:rsid w:val="001915F5"/>
    <w:rsid w:val="001A337C"/>
    <w:rsid w:val="001B6911"/>
    <w:rsid w:val="001C6976"/>
    <w:rsid w:val="001D7566"/>
    <w:rsid w:val="001F65B2"/>
    <w:rsid w:val="002034CE"/>
    <w:rsid w:val="0022181C"/>
    <w:rsid w:val="00222987"/>
    <w:rsid w:val="002341CE"/>
    <w:rsid w:val="00271805"/>
    <w:rsid w:val="0027265E"/>
    <w:rsid w:val="002903AD"/>
    <w:rsid w:val="00297632"/>
    <w:rsid w:val="002A5E0C"/>
    <w:rsid w:val="002B1CDA"/>
    <w:rsid w:val="002B4226"/>
    <w:rsid w:val="002B51A4"/>
    <w:rsid w:val="002B556A"/>
    <w:rsid w:val="002B55A3"/>
    <w:rsid w:val="003048FE"/>
    <w:rsid w:val="00305EEE"/>
    <w:rsid w:val="00311EF5"/>
    <w:rsid w:val="00330238"/>
    <w:rsid w:val="00331DC6"/>
    <w:rsid w:val="00334C26"/>
    <w:rsid w:val="003372E4"/>
    <w:rsid w:val="00343DFC"/>
    <w:rsid w:val="0036372A"/>
    <w:rsid w:val="00365B1F"/>
    <w:rsid w:val="00392E37"/>
    <w:rsid w:val="003E0923"/>
    <w:rsid w:val="003E53C3"/>
    <w:rsid w:val="00404658"/>
    <w:rsid w:val="00407E5E"/>
    <w:rsid w:val="00416A0C"/>
    <w:rsid w:val="0042083E"/>
    <w:rsid w:val="00427FB8"/>
    <w:rsid w:val="004311BB"/>
    <w:rsid w:val="00463631"/>
    <w:rsid w:val="0048774F"/>
    <w:rsid w:val="004C1445"/>
    <w:rsid w:val="004D3D6B"/>
    <w:rsid w:val="004E2A27"/>
    <w:rsid w:val="004E3B35"/>
    <w:rsid w:val="004E6D21"/>
    <w:rsid w:val="004F74BF"/>
    <w:rsid w:val="00512B4A"/>
    <w:rsid w:val="0051583A"/>
    <w:rsid w:val="00534EF2"/>
    <w:rsid w:val="00535EAF"/>
    <w:rsid w:val="00562101"/>
    <w:rsid w:val="00572B54"/>
    <w:rsid w:val="005B3B36"/>
    <w:rsid w:val="005B57A1"/>
    <w:rsid w:val="005C0465"/>
    <w:rsid w:val="005C625F"/>
    <w:rsid w:val="005E1792"/>
    <w:rsid w:val="0060045D"/>
    <w:rsid w:val="006154EC"/>
    <w:rsid w:val="00630F99"/>
    <w:rsid w:val="00636F66"/>
    <w:rsid w:val="00645E25"/>
    <w:rsid w:val="00646BD4"/>
    <w:rsid w:val="00663BDA"/>
    <w:rsid w:val="00683EA0"/>
    <w:rsid w:val="00692E43"/>
    <w:rsid w:val="006B687F"/>
    <w:rsid w:val="006D3869"/>
    <w:rsid w:val="006F69A6"/>
    <w:rsid w:val="00706991"/>
    <w:rsid w:val="007137E8"/>
    <w:rsid w:val="007402FB"/>
    <w:rsid w:val="0074562C"/>
    <w:rsid w:val="00745ABF"/>
    <w:rsid w:val="007644CE"/>
    <w:rsid w:val="00766F65"/>
    <w:rsid w:val="007717C9"/>
    <w:rsid w:val="007A1A6E"/>
    <w:rsid w:val="007B27B8"/>
    <w:rsid w:val="007B513B"/>
    <w:rsid w:val="007C038B"/>
    <w:rsid w:val="007D1A28"/>
    <w:rsid w:val="007D767E"/>
    <w:rsid w:val="007E0D37"/>
    <w:rsid w:val="007E267C"/>
    <w:rsid w:val="007F5822"/>
    <w:rsid w:val="00820DF0"/>
    <w:rsid w:val="00836835"/>
    <w:rsid w:val="00880269"/>
    <w:rsid w:val="008850CF"/>
    <w:rsid w:val="008C1B55"/>
    <w:rsid w:val="008E4F9E"/>
    <w:rsid w:val="00931219"/>
    <w:rsid w:val="009322EB"/>
    <w:rsid w:val="0093342E"/>
    <w:rsid w:val="00955D0F"/>
    <w:rsid w:val="0098148F"/>
    <w:rsid w:val="009847B5"/>
    <w:rsid w:val="0099702E"/>
    <w:rsid w:val="009E4DC2"/>
    <w:rsid w:val="009E70DF"/>
    <w:rsid w:val="009F06CA"/>
    <w:rsid w:val="009F4D8E"/>
    <w:rsid w:val="00A0482F"/>
    <w:rsid w:val="00A13EAF"/>
    <w:rsid w:val="00A2213D"/>
    <w:rsid w:val="00A2231A"/>
    <w:rsid w:val="00A31A1F"/>
    <w:rsid w:val="00A40044"/>
    <w:rsid w:val="00A42615"/>
    <w:rsid w:val="00A5631B"/>
    <w:rsid w:val="00A61AA6"/>
    <w:rsid w:val="00A7597B"/>
    <w:rsid w:val="00A81D22"/>
    <w:rsid w:val="00A964D7"/>
    <w:rsid w:val="00A96F03"/>
    <w:rsid w:val="00AA77A4"/>
    <w:rsid w:val="00AB0BB8"/>
    <w:rsid w:val="00AD206B"/>
    <w:rsid w:val="00AE5537"/>
    <w:rsid w:val="00AF46AC"/>
    <w:rsid w:val="00AF7BB1"/>
    <w:rsid w:val="00B04723"/>
    <w:rsid w:val="00B156FF"/>
    <w:rsid w:val="00B2719C"/>
    <w:rsid w:val="00B30930"/>
    <w:rsid w:val="00B3277C"/>
    <w:rsid w:val="00B44220"/>
    <w:rsid w:val="00B561C4"/>
    <w:rsid w:val="00B56B1E"/>
    <w:rsid w:val="00B7062C"/>
    <w:rsid w:val="00B75D18"/>
    <w:rsid w:val="00B7728D"/>
    <w:rsid w:val="00B817CD"/>
    <w:rsid w:val="00BE62CD"/>
    <w:rsid w:val="00C03520"/>
    <w:rsid w:val="00C53E0B"/>
    <w:rsid w:val="00C5446E"/>
    <w:rsid w:val="00C92BD9"/>
    <w:rsid w:val="00C965A2"/>
    <w:rsid w:val="00CA187C"/>
    <w:rsid w:val="00CC2266"/>
    <w:rsid w:val="00CC69CF"/>
    <w:rsid w:val="00D03191"/>
    <w:rsid w:val="00D124B4"/>
    <w:rsid w:val="00D32549"/>
    <w:rsid w:val="00D56392"/>
    <w:rsid w:val="00D56E3C"/>
    <w:rsid w:val="00D91002"/>
    <w:rsid w:val="00DA39ED"/>
    <w:rsid w:val="00DC551F"/>
    <w:rsid w:val="00DC7F0F"/>
    <w:rsid w:val="00DD38D4"/>
    <w:rsid w:val="00DD504A"/>
    <w:rsid w:val="00DD7CB7"/>
    <w:rsid w:val="00DD7E93"/>
    <w:rsid w:val="00DE19DA"/>
    <w:rsid w:val="00DF3665"/>
    <w:rsid w:val="00DF7DE7"/>
    <w:rsid w:val="00E0407C"/>
    <w:rsid w:val="00E0587B"/>
    <w:rsid w:val="00E25770"/>
    <w:rsid w:val="00E34DA4"/>
    <w:rsid w:val="00E363C8"/>
    <w:rsid w:val="00E4560C"/>
    <w:rsid w:val="00E46654"/>
    <w:rsid w:val="00E46C37"/>
    <w:rsid w:val="00E619E0"/>
    <w:rsid w:val="00E639B9"/>
    <w:rsid w:val="00E64F69"/>
    <w:rsid w:val="00EA176C"/>
    <w:rsid w:val="00EA38BE"/>
    <w:rsid w:val="00EB5405"/>
    <w:rsid w:val="00EE1ACC"/>
    <w:rsid w:val="00EF4DEE"/>
    <w:rsid w:val="00F01A72"/>
    <w:rsid w:val="00F023F3"/>
    <w:rsid w:val="00F135DB"/>
    <w:rsid w:val="00F4767D"/>
    <w:rsid w:val="00F57175"/>
    <w:rsid w:val="00F65DB6"/>
    <w:rsid w:val="00F66F31"/>
    <w:rsid w:val="00F75FDB"/>
    <w:rsid w:val="00FA5939"/>
    <w:rsid w:val="00FB19DA"/>
    <w:rsid w:val="00FD307C"/>
    <w:rsid w:val="00FF36C2"/>
    <w:rsid w:val="010827C0"/>
    <w:rsid w:val="015B4FE6"/>
    <w:rsid w:val="01702BB2"/>
    <w:rsid w:val="01761E20"/>
    <w:rsid w:val="01B2298E"/>
    <w:rsid w:val="01C25065"/>
    <w:rsid w:val="01C47734"/>
    <w:rsid w:val="01E81FA3"/>
    <w:rsid w:val="02024918"/>
    <w:rsid w:val="021474BD"/>
    <w:rsid w:val="02383240"/>
    <w:rsid w:val="02814DBA"/>
    <w:rsid w:val="0286092F"/>
    <w:rsid w:val="02A61BFA"/>
    <w:rsid w:val="02F961D3"/>
    <w:rsid w:val="031376E5"/>
    <w:rsid w:val="03451AAA"/>
    <w:rsid w:val="0361265C"/>
    <w:rsid w:val="03C70AD5"/>
    <w:rsid w:val="03CE395E"/>
    <w:rsid w:val="03E64860"/>
    <w:rsid w:val="03FB315B"/>
    <w:rsid w:val="041D6583"/>
    <w:rsid w:val="043560BB"/>
    <w:rsid w:val="043A0051"/>
    <w:rsid w:val="044A4B65"/>
    <w:rsid w:val="04AC4660"/>
    <w:rsid w:val="04DD11EF"/>
    <w:rsid w:val="052F4900"/>
    <w:rsid w:val="056B38C0"/>
    <w:rsid w:val="05DE0E4B"/>
    <w:rsid w:val="0639691E"/>
    <w:rsid w:val="06452184"/>
    <w:rsid w:val="06482017"/>
    <w:rsid w:val="067949B4"/>
    <w:rsid w:val="06A54C8F"/>
    <w:rsid w:val="06A66D03"/>
    <w:rsid w:val="06A738EE"/>
    <w:rsid w:val="06AD37E7"/>
    <w:rsid w:val="06E25862"/>
    <w:rsid w:val="06F141E7"/>
    <w:rsid w:val="071E217F"/>
    <w:rsid w:val="0721282E"/>
    <w:rsid w:val="072350F7"/>
    <w:rsid w:val="074D53D1"/>
    <w:rsid w:val="07503A71"/>
    <w:rsid w:val="07991D80"/>
    <w:rsid w:val="07A01F66"/>
    <w:rsid w:val="07AF24FF"/>
    <w:rsid w:val="07C2009C"/>
    <w:rsid w:val="07DF7D49"/>
    <w:rsid w:val="083F2621"/>
    <w:rsid w:val="084A176D"/>
    <w:rsid w:val="086E1352"/>
    <w:rsid w:val="088A6164"/>
    <w:rsid w:val="08B55DF4"/>
    <w:rsid w:val="08CE0793"/>
    <w:rsid w:val="08FE2557"/>
    <w:rsid w:val="090715AF"/>
    <w:rsid w:val="090B7355"/>
    <w:rsid w:val="091D149D"/>
    <w:rsid w:val="094C3466"/>
    <w:rsid w:val="09644499"/>
    <w:rsid w:val="096B7C2E"/>
    <w:rsid w:val="096F116A"/>
    <w:rsid w:val="09776154"/>
    <w:rsid w:val="097924AD"/>
    <w:rsid w:val="098608CE"/>
    <w:rsid w:val="098C0797"/>
    <w:rsid w:val="0A06352B"/>
    <w:rsid w:val="0A1E11A5"/>
    <w:rsid w:val="0A462C4C"/>
    <w:rsid w:val="0A825391"/>
    <w:rsid w:val="0AA23C9F"/>
    <w:rsid w:val="0B164094"/>
    <w:rsid w:val="0B2422E9"/>
    <w:rsid w:val="0B4C599F"/>
    <w:rsid w:val="0B786794"/>
    <w:rsid w:val="0B7E0D7F"/>
    <w:rsid w:val="0B8326A4"/>
    <w:rsid w:val="0BB2263D"/>
    <w:rsid w:val="0BF63B5F"/>
    <w:rsid w:val="0BFD28DE"/>
    <w:rsid w:val="0C1F5AC0"/>
    <w:rsid w:val="0C681B81"/>
    <w:rsid w:val="0C8E2713"/>
    <w:rsid w:val="0CA65850"/>
    <w:rsid w:val="0CB43068"/>
    <w:rsid w:val="0CC779D3"/>
    <w:rsid w:val="0CCA74C4"/>
    <w:rsid w:val="0CCD48BE"/>
    <w:rsid w:val="0CDA5103"/>
    <w:rsid w:val="0D3161A1"/>
    <w:rsid w:val="0D33713F"/>
    <w:rsid w:val="0D426EB6"/>
    <w:rsid w:val="0D473D3C"/>
    <w:rsid w:val="0D491136"/>
    <w:rsid w:val="0D6B65B1"/>
    <w:rsid w:val="0D8B0A01"/>
    <w:rsid w:val="0D8D29CB"/>
    <w:rsid w:val="0DA22B05"/>
    <w:rsid w:val="0DB30A18"/>
    <w:rsid w:val="0DC7755F"/>
    <w:rsid w:val="0DD462EE"/>
    <w:rsid w:val="0DFA5B87"/>
    <w:rsid w:val="0E4F1A2E"/>
    <w:rsid w:val="0E6F10F2"/>
    <w:rsid w:val="0EC75A69"/>
    <w:rsid w:val="0ED735F8"/>
    <w:rsid w:val="0F1B5BD8"/>
    <w:rsid w:val="0F220EF1"/>
    <w:rsid w:val="0F2D6BC7"/>
    <w:rsid w:val="0F421CD5"/>
    <w:rsid w:val="0F516C29"/>
    <w:rsid w:val="0F5C5F84"/>
    <w:rsid w:val="0FA45DAA"/>
    <w:rsid w:val="0FB04764"/>
    <w:rsid w:val="0FB56209"/>
    <w:rsid w:val="0FC14BAE"/>
    <w:rsid w:val="0FC31E05"/>
    <w:rsid w:val="0FC427A5"/>
    <w:rsid w:val="0FD82BCB"/>
    <w:rsid w:val="0FDA42C3"/>
    <w:rsid w:val="1028716B"/>
    <w:rsid w:val="103B1560"/>
    <w:rsid w:val="10B951E3"/>
    <w:rsid w:val="10FE6EF8"/>
    <w:rsid w:val="110F1949"/>
    <w:rsid w:val="112D1D65"/>
    <w:rsid w:val="118B4792"/>
    <w:rsid w:val="11B5429E"/>
    <w:rsid w:val="11FB4122"/>
    <w:rsid w:val="12042B30"/>
    <w:rsid w:val="123A27E6"/>
    <w:rsid w:val="123D49DF"/>
    <w:rsid w:val="12437AFC"/>
    <w:rsid w:val="124915FF"/>
    <w:rsid w:val="12695089"/>
    <w:rsid w:val="12727028"/>
    <w:rsid w:val="127A6D5C"/>
    <w:rsid w:val="12B04CF5"/>
    <w:rsid w:val="12BA7692"/>
    <w:rsid w:val="12EA1229"/>
    <w:rsid w:val="132536A6"/>
    <w:rsid w:val="135A6EFE"/>
    <w:rsid w:val="135D6FE9"/>
    <w:rsid w:val="13623FB2"/>
    <w:rsid w:val="13631AD8"/>
    <w:rsid w:val="139F4658"/>
    <w:rsid w:val="13B11002"/>
    <w:rsid w:val="13CF716E"/>
    <w:rsid w:val="13E960F9"/>
    <w:rsid w:val="13EB044B"/>
    <w:rsid w:val="13F15B61"/>
    <w:rsid w:val="13F35552"/>
    <w:rsid w:val="141B7916"/>
    <w:rsid w:val="145204CA"/>
    <w:rsid w:val="149124D1"/>
    <w:rsid w:val="14981ABE"/>
    <w:rsid w:val="14E5786A"/>
    <w:rsid w:val="14ED1FA1"/>
    <w:rsid w:val="15406575"/>
    <w:rsid w:val="154C585A"/>
    <w:rsid w:val="15520056"/>
    <w:rsid w:val="1623129F"/>
    <w:rsid w:val="16551BAC"/>
    <w:rsid w:val="1663363A"/>
    <w:rsid w:val="166602CB"/>
    <w:rsid w:val="167F2962"/>
    <w:rsid w:val="16A00F8B"/>
    <w:rsid w:val="16C32FBA"/>
    <w:rsid w:val="16D248F1"/>
    <w:rsid w:val="16D50F3F"/>
    <w:rsid w:val="16F41113"/>
    <w:rsid w:val="17970792"/>
    <w:rsid w:val="17B96104"/>
    <w:rsid w:val="17D75700"/>
    <w:rsid w:val="180513B0"/>
    <w:rsid w:val="18096901"/>
    <w:rsid w:val="18152DF3"/>
    <w:rsid w:val="181C386D"/>
    <w:rsid w:val="18654F80"/>
    <w:rsid w:val="188B7100"/>
    <w:rsid w:val="189369CF"/>
    <w:rsid w:val="18A92683"/>
    <w:rsid w:val="18B828C6"/>
    <w:rsid w:val="18F97167"/>
    <w:rsid w:val="18FF4F6D"/>
    <w:rsid w:val="193871D4"/>
    <w:rsid w:val="19402505"/>
    <w:rsid w:val="1987291A"/>
    <w:rsid w:val="1990691F"/>
    <w:rsid w:val="19F14A17"/>
    <w:rsid w:val="1A3131C0"/>
    <w:rsid w:val="1A602AAD"/>
    <w:rsid w:val="1AE6371B"/>
    <w:rsid w:val="1B0C408D"/>
    <w:rsid w:val="1B1418BE"/>
    <w:rsid w:val="1B611234"/>
    <w:rsid w:val="1B7170CE"/>
    <w:rsid w:val="1B8847D2"/>
    <w:rsid w:val="1BE72FEC"/>
    <w:rsid w:val="1C0B1479"/>
    <w:rsid w:val="1C1E0AEE"/>
    <w:rsid w:val="1C24136B"/>
    <w:rsid w:val="1C766F28"/>
    <w:rsid w:val="1CF67A68"/>
    <w:rsid w:val="1D044C03"/>
    <w:rsid w:val="1D046798"/>
    <w:rsid w:val="1D102896"/>
    <w:rsid w:val="1D361E68"/>
    <w:rsid w:val="1D4236A9"/>
    <w:rsid w:val="1D4E66FD"/>
    <w:rsid w:val="1D7A63DB"/>
    <w:rsid w:val="1D981DF4"/>
    <w:rsid w:val="1DB4365C"/>
    <w:rsid w:val="1DF95513"/>
    <w:rsid w:val="1E2A2254"/>
    <w:rsid w:val="1E2C7696"/>
    <w:rsid w:val="1E5170FD"/>
    <w:rsid w:val="1E856661"/>
    <w:rsid w:val="1E8568B9"/>
    <w:rsid w:val="1EFD7285"/>
    <w:rsid w:val="1F187937"/>
    <w:rsid w:val="1F3368CD"/>
    <w:rsid w:val="1F516007"/>
    <w:rsid w:val="1F62533A"/>
    <w:rsid w:val="1F7A363B"/>
    <w:rsid w:val="1F9000F9"/>
    <w:rsid w:val="1F996FAD"/>
    <w:rsid w:val="1FEA0867"/>
    <w:rsid w:val="1FF37751"/>
    <w:rsid w:val="202A22FB"/>
    <w:rsid w:val="20363B3B"/>
    <w:rsid w:val="208132C3"/>
    <w:rsid w:val="20A0436C"/>
    <w:rsid w:val="20BF540A"/>
    <w:rsid w:val="20F326ED"/>
    <w:rsid w:val="21145639"/>
    <w:rsid w:val="21222FD3"/>
    <w:rsid w:val="212F2F31"/>
    <w:rsid w:val="215B7D0D"/>
    <w:rsid w:val="21D249F9"/>
    <w:rsid w:val="21F20BF7"/>
    <w:rsid w:val="21F618A8"/>
    <w:rsid w:val="21F66939"/>
    <w:rsid w:val="22112389"/>
    <w:rsid w:val="223E3E3C"/>
    <w:rsid w:val="22806203"/>
    <w:rsid w:val="228C2DF9"/>
    <w:rsid w:val="22904F95"/>
    <w:rsid w:val="22D46AC1"/>
    <w:rsid w:val="22DE117B"/>
    <w:rsid w:val="22E53DE6"/>
    <w:rsid w:val="230B5602"/>
    <w:rsid w:val="231F3C6E"/>
    <w:rsid w:val="236A7AA7"/>
    <w:rsid w:val="23A92664"/>
    <w:rsid w:val="23C860B3"/>
    <w:rsid w:val="23ED32DB"/>
    <w:rsid w:val="24303C58"/>
    <w:rsid w:val="243E167B"/>
    <w:rsid w:val="24596D0B"/>
    <w:rsid w:val="24690D75"/>
    <w:rsid w:val="24733F78"/>
    <w:rsid w:val="247A404C"/>
    <w:rsid w:val="24CC3981"/>
    <w:rsid w:val="2503561E"/>
    <w:rsid w:val="250474F1"/>
    <w:rsid w:val="25090731"/>
    <w:rsid w:val="251D5F8B"/>
    <w:rsid w:val="25212055"/>
    <w:rsid w:val="252E2035"/>
    <w:rsid w:val="253959AA"/>
    <w:rsid w:val="25D32AED"/>
    <w:rsid w:val="25D76ACA"/>
    <w:rsid w:val="260643C0"/>
    <w:rsid w:val="261D5FE4"/>
    <w:rsid w:val="26230386"/>
    <w:rsid w:val="26311744"/>
    <w:rsid w:val="26413EFB"/>
    <w:rsid w:val="264562B9"/>
    <w:rsid w:val="264E03C6"/>
    <w:rsid w:val="26545C7B"/>
    <w:rsid w:val="26764A85"/>
    <w:rsid w:val="26893CCE"/>
    <w:rsid w:val="26B050C5"/>
    <w:rsid w:val="26B446CD"/>
    <w:rsid w:val="26CC2EB0"/>
    <w:rsid w:val="26FB67A0"/>
    <w:rsid w:val="26FC7E22"/>
    <w:rsid w:val="272F01F7"/>
    <w:rsid w:val="27501860"/>
    <w:rsid w:val="2750735A"/>
    <w:rsid w:val="275D5EF4"/>
    <w:rsid w:val="27673E35"/>
    <w:rsid w:val="276B56D3"/>
    <w:rsid w:val="27710810"/>
    <w:rsid w:val="27856069"/>
    <w:rsid w:val="278649C7"/>
    <w:rsid w:val="27A624AE"/>
    <w:rsid w:val="27C748D4"/>
    <w:rsid w:val="27F1355B"/>
    <w:rsid w:val="27F154AD"/>
    <w:rsid w:val="27FD2FB2"/>
    <w:rsid w:val="28373807"/>
    <w:rsid w:val="283C0E1E"/>
    <w:rsid w:val="28923FCD"/>
    <w:rsid w:val="290A4A78"/>
    <w:rsid w:val="29121B7F"/>
    <w:rsid w:val="297C274F"/>
    <w:rsid w:val="299B11E3"/>
    <w:rsid w:val="29B6075C"/>
    <w:rsid w:val="29D82716"/>
    <w:rsid w:val="29F846ED"/>
    <w:rsid w:val="2A094D30"/>
    <w:rsid w:val="2A151926"/>
    <w:rsid w:val="2A1C040D"/>
    <w:rsid w:val="2A202079"/>
    <w:rsid w:val="2A3C3357"/>
    <w:rsid w:val="2A487D4C"/>
    <w:rsid w:val="2A605404"/>
    <w:rsid w:val="2A6B79E4"/>
    <w:rsid w:val="2ABB250F"/>
    <w:rsid w:val="2ACC2D7E"/>
    <w:rsid w:val="2ADC41F2"/>
    <w:rsid w:val="2AF14141"/>
    <w:rsid w:val="2B6C62CF"/>
    <w:rsid w:val="2B6E670E"/>
    <w:rsid w:val="2B7B1C5D"/>
    <w:rsid w:val="2BA967CA"/>
    <w:rsid w:val="2BB42031"/>
    <w:rsid w:val="2BC11496"/>
    <w:rsid w:val="2BCC070B"/>
    <w:rsid w:val="2BD42B52"/>
    <w:rsid w:val="2BFA5DC9"/>
    <w:rsid w:val="2C201013"/>
    <w:rsid w:val="2C2045B2"/>
    <w:rsid w:val="2C464019"/>
    <w:rsid w:val="2C6D4915"/>
    <w:rsid w:val="2C7617D9"/>
    <w:rsid w:val="2C8E62CA"/>
    <w:rsid w:val="2CA25BEC"/>
    <w:rsid w:val="2CC35B9E"/>
    <w:rsid w:val="2CD63AFA"/>
    <w:rsid w:val="2D076F01"/>
    <w:rsid w:val="2D1A73FF"/>
    <w:rsid w:val="2D205696"/>
    <w:rsid w:val="2D406755"/>
    <w:rsid w:val="2D5269EE"/>
    <w:rsid w:val="2DBC5B22"/>
    <w:rsid w:val="2DCE0CA8"/>
    <w:rsid w:val="2DD0226D"/>
    <w:rsid w:val="2DDA2821"/>
    <w:rsid w:val="2E0000BF"/>
    <w:rsid w:val="2E4830E2"/>
    <w:rsid w:val="2E5B7B24"/>
    <w:rsid w:val="2E731311"/>
    <w:rsid w:val="2E8E7EF9"/>
    <w:rsid w:val="2E9316E2"/>
    <w:rsid w:val="2E9D030D"/>
    <w:rsid w:val="2EA965F7"/>
    <w:rsid w:val="2EAF0F44"/>
    <w:rsid w:val="2F0F64BF"/>
    <w:rsid w:val="2FAD25B0"/>
    <w:rsid w:val="2FEC5EE4"/>
    <w:rsid w:val="2FF752D6"/>
    <w:rsid w:val="30170BDE"/>
    <w:rsid w:val="301727F2"/>
    <w:rsid w:val="301A69C5"/>
    <w:rsid w:val="30274161"/>
    <w:rsid w:val="302B15D4"/>
    <w:rsid w:val="303F5B52"/>
    <w:rsid w:val="305C3852"/>
    <w:rsid w:val="306453B6"/>
    <w:rsid w:val="30826642"/>
    <w:rsid w:val="30CD5ED0"/>
    <w:rsid w:val="30D342E9"/>
    <w:rsid w:val="30D77936"/>
    <w:rsid w:val="30EF532C"/>
    <w:rsid w:val="30F0369B"/>
    <w:rsid w:val="310856C3"/>
    <w:rsid w:val="311E0892"/>
    <w:rsid w:val="31245A6F"/>
    <w:rsid w:val="3163199F"/>
    <w:rsid w:val="318B0720"/>
    <w:rsid w:val="31F46DB5"/>
    <w:rsid w:val="321451C7"/>
    <w:rsid w:val="32250729"/>
    <w:rsid w:val="3231112D"/>
    <w:rsid w:val="325946B1"/>
    <w:rsid w:val="328238D1"/>
    <w:rsid w:val="329C259B"/>
    <w:rsid w:val="32A01E05"/>
    <w:rsid w:val="32AC6870"/>
    <w:rsid w:val="32AD2F75"/>
    <w:rsid w:val="32C76083"/>
    <w:rsid w:val="32DC6A2B"/>
    <w:rsid w:val="330B16B1"/>
    <w:rsid w:val="330E33B7"/>
    <w:rsid w:val="33612A7D"/>
    <w:rsid w:val="337E22EA"/>
    <w:rsid w:val="33CB7921"/>
    <w:rsid w:val="33DE0FDB"/>
    <w:rsid w:val="33E151BE"/>
    <w:rsid w:val="33EC6368"/>
    <w:rsid w:val="34150A37"/>
    <w:rsid w:val="342D6CBE"/>
    <w:rsid w:val="34664620"/>
    <w:rsid w:val="34684D49"/>
    <w:rsid w:val="34B939AD"/>
    <w:rsid w:val="34CC3529"/>
    <w:rsid w:val="34E72A14"/>
    <w:rsid w:val="350D03CE"/>
    <w:rsid w:val="357B4469"/>
    <w:rsid w:val="35914F53"/>
    <w:rsid w:val="35F04FF6"/>
    <w:rsid w:val="35F5085E"/>
    <w:rsid w:val="360E0489"/>
    <w:rsid w:val="36110506"/>
    <w:rsid w:val="363870C8"/>
    <w:rsid w:val="363B0967"/>
    <w:rsid w:val="366C172B"/>
    <w:rsid w:val="36857E34"/>
    <w:rsid w:val="369E0EF6"/>
    <w:rsid w:val="36AC1CD0"/>
    <w:rsid w:val="36AC392C"/>
    <w:rsid w:val="36DD40B2"/>
    <w:rsid w:val="36E95FCF"/>
    <w:rsid w:val="36F203D4"/>
    <w:rsid w:val="37014E3D"/>
    <w:rsid w:val="37061FB8"/>
    <w:rsid w:val="374251E9"/>
    <w:rsid w:val="37426BA0"/>
    <w:rsid w:val="37775226"/>
    <w:rsid w:val="37CD55EE"/>
    <w:rsid w:val="37F47971"/>
    <w:rsid w:val="380545D1"/>
    <w:rsid w:val="380E4D1F"/>
    <w:rsid w:val="38241748"/>
    <w:rsid w:val="3857120C"/>
    <w:rsid w:val="38821599"/>
    <w:rsid w:val="3896601F"/>
    <w:rsid w:val="38F255F3"/>
    <w:rsid w:val="39055E5E"/>
    <w:rsid w:val="39382F3B"/>
    <w:rsid w:val="39561614"/>
    <w:rsid w:val="397B72CC"/>
    <w:rsid w:val="39974106"/>
    <w:rsid w:val="39995577"/>
    <w:rsid w:val="39A14F85"/>
    <w:rsid w:val="39AE5171"/>
    <w:rsid w:val="39D90DF0"/>
    <w:rsid w:val="39FF3A59"/>
    <w:rsid w:val="3A2F2590"/>
    <w:rsid w:val="3A336FD0"/>
    <w:rsid w:val="3A594803"/>
    <w:rsid w:val="3A6A181A"/>
    <w:rsid w:val="3A7C32FC"/>
    <w:rsid w:val="3A9C574C"/>
    <w:rsid w:val="3AD90C18"/>
    <w:rsid w:val="3AE63FA0"/>
    <w:rsid w:val="3B1B0D67"/>
    <w:rsid w:val="3B424B80"/>
    <w:rsid w:val="3B457B92"/>
    <w:rsid w:val="3B4958D4"/>
    <w:rsid w:val="3B691AD2"/>
    <w:rsid w:val="3BA42B0A"/>
    <w:rsid w:val="3BA9496F"/>
    <w:rsid w:val="3BDB7D6F"/>
    <w:rsid w:val="3C8E6374"/>
    <w:rsid w:val="3CA90152"/>
    <w:rsid w:val="3CB85E9D"/>
    <w:rsid w:val="3CCD42E3"/>
    <w:rsid w:val="3CDB69FF"/>
    <w:rsid w:val="3D320A2F"/>
    <w:rsid w:val="3D3F0480"/>
    <w:rsid w:val="3D7F382F"/>
    <w:rsid w:val="3D8E0053"/>
    <w:rsid w:val="3DA54253"/>
    <w:rsid w:val="3DB34726"/>
    <w:rsid w:val="3DC53153"/>
    <w:rsid w:val="3DE667ED"/>
    <w:rsid w:val="3E047CA2"/>
    <w:rsid w:val="3E063608"/>
    <w:rsid w:val="3E0D3118"/>
    <w:rsid w:val="3E13136A"/>
    <w:rsid w:val="3E197B83"/>
    <w:rsid w:val="3E315F74"/>
    <w:rsid w:val="3E93331B"/>
    <w:rsid w:val="3E970704"/>
    <w:rsid w:val="3EA3328C"/>
    <w:rsid w:val="3ED855D4"/>
    <w:rsid w:val="3EEF4CE9"/>
    <w:rsid w:val="3F136699"/>
    <w:rsid w:val="3F2D57B8"/>
    <w:rsid w:val="3F426DA7"/>
    <w:rsid w:val="3F5C0E58"/>
    <w:rsid w:val="3F640D7A"/>
    <w:rsid w:val="3F676329"/>
    <w:rsid w:val="3F9E5B10"/>
    <w:rsid w:val="3FA425BA"/>
    <w:rsid w:val="3FB84DD6"/>
    <w:rsid w:val="3FC57C57"/>
    <w:rsid w:val="3FD80FD4"/>
    <w:rsid w:val="3FF74CD3"/>
    <w:rsid w:val="400D3374"/>
    <w:rsid w:val="401A4F12"/>
    <w:rsid w:val="403A7F6C"/>
    <w:rsid w:val="40694322"/>
    <w:rsid w:val="408E1CA8"/>
    <w:rsid w:val="40E26603"/>
    <w:rsid w:val="4140116E"/>
    <w:rsid w:val="4177481D"/>
    <w:rsid w:val="41C71300"/>
    <w:rsid w:val="41D356A9"/>
    <w:rsid w:val="42091919"/>
    <w:rsid w:val="422E19E3"/>
    <w:rsid w:val="42854E1C"/>
    <w:rsid w:val="42D96742"/>
    <w:rsid w:val="42FE78CF"/>
    <w:rsid w:val="433F136A"/>
    <w:rsid w:val="436A3FEC"/>
    <w:rsid w:val="43901440"/>
    <w:rsid w:val="43A55671"/>
    <w:rsid w:val="440A7D25"/>
    <w:rsid w:val="442C18EF"/>
    <w:rsid w:val="443B38BF"/>
    <w:rsid w:val="445300EE"/>
    <w:rsid w:val="445361E5"/>
    <w:rsid w:val="4467075B"/>
    <w:rsid w:val="447909B3"/>
    <w:rsid w:val="44C46F12"/>
    <w:rsid w:val="45181E73"/>
    <w:rsid w:val="4528655A"/>
    <w:rsid w:val="4537188B"/>
    <w:rsid w:val="45470DEF"/>
    <w:rsid w:val="45573F85"/>
    <w:rsid w:val="456D412A"/>
    <w:rsid w:val="45810446"/>
    <w:rsid w:val="45AC228E"/>
    <w:rsid w:val="45B778DE"/>
    <w:rsid w:val="45BD0141"/>
    <w:rsid w:val="45C16A25"/>
    <w:rsid w:val="45CA5C29"/>
    <w:rsid w:val="45D9491A"/>
    <w:rsid w:val="45E05789"/>
    <w:rsid w:val="45EB65C5"/>
    <w:rsid w:val="45EF52CA"/>
    <w:rsid w:val="46765B27"/>
    <w:rsid w:val="46773596"/>
    <w:rsid w:val="4679185E"/>
    <w:rsid w:val="468E055B"/>
    <w:rsid w:val="46C73B51"/>
    <w:rsid w:val="47154E2D"/>
    <w:rsid w:val="47226C56"/>
    <w:rsid w:val="472B2E32"/>
    <w:rsid w:val="47845F41"/>
    <w:rsid w:val="47CC58C3"/>
    <w:rsid w:val="480D334D"/>
    <w:rsid w:val="480D47B5"/>
    <w:rsid w:val="48181B49"/>
    <w:rsid w:val="481903DC"/>
    <w:rsid w:val="484D62D8"/>
    <w:rsid w:val="48554F32"/>
    <w:rsid w:val="486C7551"/>
    <w:rsid w:val="486D73A7"/>
    <w:rsid w:val="487E6CB0"/>
    <w:rsid w:val="489C2E6C"/>
    <w:rsid w:val="48C04CFB"/>
    <w:rsid w:val="48C07043"/>
    <w:rsid w:val="48FC21D7"/>
    <w:rsid w:val="49154731"/>
    <w:rsid w:val="493F20C4"/>
    <w:rsid w:val="4947691A"/>
    <w:rsid w:val="4958546C"/>
    <w:rsid w:val="497C6E74"/>
    <w:rsid w:val="4A105BF1"/>
    <w:rsid w:val="4A1A2A4F"/>
    <w:rsid w:val="4A22714C"/>
    <w:rsid w:val="4A5751EC"/>
    <w:rsid w:val="4A657908"/>
    <w:rsid w:val="4AD64D94"/>
    <w:rsid w:val="4ADD1DF8"/>
    <w:rsid w:val="4AFC77EC"/>
    <w:rsid w:val="4B1871BC"/>
    <w:rsid w:val="4B8B15F1"/>
    <w:rsid w:val="4B983D0E"/>
    <w:rsid w:val="4B9A6F9D"/>
    <w:rsid w:val="4B9C2868"/>
    <w:rsid w:val="4BCA036B"/>
    <w:rsid w:val="4BE86194"/>
    <w:rsid w:val="4BEF26E0"/>
    <w:rsid w:val="4CC771F6"/>
    <w:rsid w:val="4CE86476"/>
    <w:rsid w:val="4CEA0599"/>
    <w:rsid w:val="4D3D691B"/>
    <w:rsid w:val="4D4C30B0"/>
    <w:rsid w:val="4D665E71"/>
    <w:rsid w:val="4D6F63E0"/>
    <w:rsid w:val="4D97278D"/>
    <w:rsid w:val="4DBF6F91"/>
    <w:rsid w:val="4DC4703C"/>
    <w:rsid w:val="4DD03C33"/>
    <w:rsid w:val="4DEA38F4"/>
    <w:rsid w:val="4DFE06E5"/>
    <w:rsid w:val="4DFF265C"/>
    <w:rsid w:val="4E1458CD"/>
    <w:rsid w:val="4E1C5C16"/>
    <w:rsid w:val="4E365997"/>
    <w:rsid w:val="4E6345FE"/>
    <w:rsid w:val="4E751631"/>
    <w:rsid w:val="4E796078"/>
    <w:rsid w:val="4E8567CB"/>
    <w:rsid w:val="4E8A0F12"/>
    <w:rsid w:val="4EE21DED"/>
    <w:rsid w:val="4EED4604"/>
    <w:rsid w:val="4EEF4040"/>
    <w:rsid w:val="4EFB41B1"/>
    <w:rsid w:val="4F1162B1"/>
    <w:rsid w:val="4F2D5EB6"/>
    <w:rsid w:val="4F5B6D1C"/>
    <w:rsid w:val="4F721E8F"/>
    <w:rsid w:val="4FDA746A"/>
    <w:rsid w:val="4FE94B38"/>
    <w:rsid w:val="505439EB"/>
    <w:rsid w:val="507E483F"/>
    <w:rsid w:val="50882014"/>
    <w:rsid w:val="50963A23"/>
    <w:rsid w:val="50AC6291"/>
    <w:rsid w:val="50C72BB1"/>
    <w:rsid w:val="510A0061"/>
    <w:rsid w:val="510B7E3B"/>
    <w:rsid w:val="510C5509"/>
    <w:rsid w:val="51323F3D"/>
    <w:rsid w:val="517815CB"/>
    <w:rsid w:val="51D07D5D"/>
    <w:rsid w:val="52050E49"/>
    <w:rsid w:val="520771A9"/>
    <w:rsid w:val="523378C5"/>
    <w:rsid w:val="523E6AED"/>
    <w:rsid w:val="52AB07CA"/>
    <w:rsid w:val="532760A3"/>
    <w:rsid w:val="533F370C"/>
    <w:rsid w:val="535651D0"/>
    <w:rsid w:val="536777EC"/>
    <w:rsid w:val="53733096"/>
    <w:rsid w:val="53745029"/>
    <w:rsid w:val="537A50EC"/>
    <w:rsid w:val="53807561"/>
    <w:rsid w:val="53870676"/>
    <w:rsid w:val="53A45945"/>
    <w:rsid w:val="53BD0779"/>
    <w:rsid w:val="53E97F57"/>
    <w:rsid w:val="540705B0"/>
    <w:rsid w:val="542528E6"/>
    <w:rsid w:val="542F0206"/>
    <w:rsid w:val="546E240E"/>
    <w:rsid w:val="548C0FB1"/>
    <w:rsid w:val="54CF0031"/>
    <w:rsid w:val="54DE4E87"/>
    <w:rsid w:val="550C1AA1"/>
    <w:rsid w:val="55103159"/>
    <w:rsid w:val="551C453C"/>
    <w:rsid w:val="55202DAA"/>
    <w:rsid w:val="554C5142"/>
    <w:rsid w:val="5563191F"/>
    <w:rsid w:val="55637D03"/>
    <w:rsid w:val="559B0682"/>
    <w:rsid w:val="55B31E70"/>
    <w:rsid w:val="55D32512"/>
    <w:rsid w:val="55F66200"/>
    <w:rsid w:val="56185E01"/>
    <w:rsid w:val="563E4662"/>
    <w:rsid w:val="56762CFA"/>
    <w:rsid w:val="568A0251"/>
    <w:rsid w:val="568B738B"/>
    <w:rsid w:val="56AB01BB"/>
    <w:rsid w:val="57272B15"/>
    <w:rsid w:val="57684EDC"/>
    <w:rsid w:val="57752615"/>
    <w:rsid w:val="577E1E59"/>
    <w:rsid w:val="5794102A"/>
    <w:rsid w:val="579D4B86"/>
    <w:rsid w:val="57CA100E"/>
    <w:rsid w:val="57F126DA"/>
    <w:rsid w:val="58034DE8"/>
    <w:rsid w:val="58037861"/>
    <w:rsid w:val="580928E6"/>
    <w:rsid w:val="58146A7D"/>
    <w:rsid w:val="587753D7"/>
    <w:rsid w:val="58AB1524"/>
    <w:rsid w:val="58B71C77"/>
    <w:rsid w:val="58CF5213"/>
    <w:rsid w:val="590925F5"/>
    <w:rsid w:val="594F1B2D"/>
    <w:rsid w:val="5954396A"/>
    <w:rsid w:val="59797C6F"/>
    <w:rsid w:val="59897E96"/>
    <w:rsid w:val="598B6C60"/>
    <w:rsid w:val="59927FEE"/>
    <w:rsid w:val="59945B14"/>
    <w:rsid w:val="59A541C5"/>
    <w:rsid w:val="59B25D33"/>
    <w:rsid w:val="59DA0D48"/>
    <w:rsid w:val="59F11964"/>
    <w:rsid w:val="59F66763"/>
    <w:rsid w:val="5A124512"/>
    <w:rsid w:val="5A1770D1"/>
    <w:rsid w:val="5A604A46"/>
    <w:rsid w:val="5A6749B5"/>
    <w:rsid w:val="5A74453C"/>
    <w:rsid w:val="5ACA7EC8"/>
    <w:rsid w:val="5AD7215D"/>
    <w:rsid w:val="5AF3254F"/>
    <w:rsid w:val="5B215F84"/>
    <w:rsid w:val="5B266C40"/>
    <w:rsid w:val="5B501D6B"/>
    <w:rsid w:val="5BA73E63"/>
    <w:rsid w:val="5BB66216"/>
    <w:rsid w:val="5BB93F58"/>
    <w:rsid w:val="5C4225CE"/>
    <w:rsid w:val="5C743E53"/>
    <w:rsid w:val="5C853EE7"/>
    <w:rsid w:val="5CAE0AD4"/>
    <w:rsid w:val="5CC223FD"/>
    <w:rsid w:val="5CCD6DD4"/>
    <w:rsid w:val="5CD31049"/>
    <w:rsid w:val="5CFD30D6"/>
    <w:rsid w:val="5D1C75E3"/>
    <w:rsid w:val="5D454A69"/>
    <w:rsid w:val="5D486506"/>
    <w:rsid w:val="5D55249C"/>
    <w:rsid w:val="5D691B81"/>
    <w:rsid w:val="5DB27E01"/>
    <w:rsid w:val="5DCD57F8"/>
    <w:rsid w:val="5DDB3ACF"/>
    <w:rsid w:val="5DF9688E"/>
    <w:rsid w:val="5E1912EB"/>
    <w:rsid w:val="5E2C27BF"/>
    <w:rsid w:val="5E3A0AB1"/>
    <w:rsid w:val="5E4F4700"/>
    <w:rsid w:val="5E5A7849"/>
    <w:rsid w:val="5EA467FA"/>
    <w:rsid w:val="5EA52572"/>
    <w:rsid w:val="5EAF519E"/>
    <w:rsid w:val="5F2F17AA"/>
    <w:rsid w:val="5FF235D7"/>
    <w:rsid w:val="601222BF"/>
    <w:rsid w:val="6031230F"/>
    <w:rsid w:val="60340051"/>
    <w:rsid w:val="60375AF7"/>
    <w:rsid w:val="605D2E1B"/>
    <w:rsid w:val="608A1A1F"/>
    <w:rsid w:val="60E6759D"/>
    <w:rsid w:val="60F135E1"/>
    <w:rsid w:val="60F670B5"/>
    <w:rsid w:val="61185A7D"/>
    <w:rsid w:val="611F03B9"/>
    <w:rsid w:val="61592E65"/>
    <w:rsid w:val="61BE48FA"/>
    <w:rsid w:val="61C35893"/>
    <w:rsid w:val="61C35CE9"/>
    <w:rsid w:val="62035F2D"/>
    <w:rsid w:val="62400C34"/>
    <w:rsid w:val="6245335F"/>
    <w:rsid w:val="625C2438"/>
    <w:rsid w:val="62691964"/>
    <w:rsid w:val="6271733B"/>
    <w:rsid w:val="6281602A"/>
    <w:rsid w:val="62886432"/>
    <w:rsid w:val="62B47A98"/>
    <w:rsid w:val="62BD4297"/>
    <w:rsid w:val="62E20B71"/>
    <w:rsid w:val="62E53AA1"/>
    <w:rsid w:val="630156F8"/>
    <w:rsid w:val="63115AB0"/>
    <w:rsid w:val="63216347"/>
    <w:rsid w:val="63604CB9"/>
    <w:rsid w:val="6381129F"/>
    <w:rsid w:val="6387320F"/>
    <w:rsid w:val="638B00E1"/>
    <w:rsid w:val="63964B41"/>
    <w:rsid w:val="639F6894"/>
    <w:rsid w:val="63B31431"/>
    <w:rsid w:val="63CE60C7"/>
    <w:rsid w:val="63DF3C9F"/>
    <w:rsid w:val="63E5542D"/>
    <w:rsid w:val="63FF496B"/>
    <w:rsid w:val="6415590B"/>
    <w:rsid w:val="642A59F3"/>
    <w:rsid w:val="643A375C"/>
    <w:rsid w:val="645273BE"/>
    <w:rsid w:val="645D6268"/>
    <w:rsid w:val="648C3D49"/>
    <w:rsid w:val="649E3CEB"/>
    <w:rsid w:val="649F1D3D"/>
    <w:rsid w:val="64EA5182"/>
    <w:rsid w:val="651346D9"/>
    <w:rsid w:val="652357FA"/>
    <w:rsid w:val="65295CAB"/>
    <w:rsid w:val="661A7524"/>
    <w:rsid w:val="661C75BD"/>
    <w:rsid w:val="66214BD4"/>
    <w:rsid w:val="66442670"/>
    <w:rsid w:val="66903B07"/>
    <w:rsid w:val="66AB011A"/>
    <w:rsid w:val="66E04A8F"/>
    <w:rsid w:val="66F67793"/>
    <w:rsid w:val="672F4561"/>
    <w:rsid w:val="674115CF"/>
    <w:rsid w:val="67482028"/>
    <w:rsid w:val="67584625"/>
    <w:rsid w:val="67672ABA"/>
    <w:rsid w:val="67AF606B"/>
    <w:rsid w:val="67C26AFE"/>
    <w:rsid w:val="67F518DE"/>
    <w:rsid w:val="67F80A3B"/>
    <w:rsid w:val="680E60B0"/>
    <w:rsid w:val="68161876"/>
    <w:rsid w:val="681F0C4B"/>
    <w:rsid w:val="6841330B"/>
    <w:rsid w:val="684A6664"/>
    <w:rsid w:val="685C5A87"/>
    <w:rsid w:val="688B7C65"/>
    <w:rsid w:val="68DD1B22"/>
    <w:rsid w:val="68FC7232"/>
    <w:rsid w:val="692F13B6"/>
    <w:rsid w:val="693966D8"/>
    <w:rsid w:val="69574EC3"/>
    <w:rsid w:val="697D3521"/>
    <w:rsid w:val="69992CD3"/>
    <w:rsid w:val="699A0D92"/>
    <w:rsid w:val="69E6093C"/>
    <w:rsid w:val="69F076B0"/>
    <w:rsid w:val="69F61ED3"/>
    <w:rsid w:val="6A015169"/>
    <w:rsid w:val="6A1A5B66"/>
    <w:rsid w:val="6A2230B3"/>
    <w:rsid w:val="6A3D7CE2"/>
    <w:rsid w:val="6A4A333D"/>
    <w:rsid w:val="6A5A4C82"/>
    <w:rsid w:val="6AAB53B4"/>
    <w:rsid w:val="6AD41F45"/>
    <w:rsid w:val="6AEB0211"/>
    <w:rsid w:val="6AF6612B"/>
    <w:rsid w:val="6B1F7566"/>
    <w:rsid w:val="6B291CC0"/>
    <w:rsid w:val="6B4C26F3"/>
    <w:rsid w:val="6B6A0DCB"/>
    <w:rsid w:val="6B866A9F"/>
    <w:rsid w:val="6BA07176"/>
    <w:rsid w:val="6BD57512"/>
    <w:rsid w:val="6BD91E3F"/>
    <w:rsid w:val="6BE02E3B"/>
    <w:rsid w:val="6BEE7C41"/>
    <w:rsid w:val="6BF5423D"/>
    <w:rsid w:val="6C091515"/>
    <w:rsid w:val="6C122E99"/>
    <w:rsid w:val="6C384A25"/>
    <w:rsid w:val="6C530A75"/>
    <w:rsid w:val="6C643A6C"/>
    <w:rsid w:val="6C711CE5"/>
    <w:rsid w:val="6CB01F84"/>
    <w:rsid w:val="6CC13DA5"/>
    <w:rsid w:val="6CE55CB0"/>
    <w:rsid w:val="6CEF1588"/>
    <w:rsid w:val="6CFF162F"/>
    <w:rsid w:val="6D064B23"/>
    <w:rsid w:val="6D0A27C7"/>
    <w:rsid w:val="6D0C7279"/>
    <w:rsid w:val="6D0C7624"/>
    <w:rsid w:val="6D176058"/>
    <w:rsid w:val="6D365409"/>
    <w:rsid w:val="6D3C4456"/>
    <w:rsid w:val="6DD24A05"/>
    <w:rsid w:val="6DD864C0"/>
    <w:rsid w:val="6DEF314F"/>
    <w:rsid w:val="6E21241A"/>
    <w:rsid w:val="6E3A6CA9"/>
    <w:rsid w:val="6E52760E"/>
    <w:rsid w:val="6E57633D"/>
    <w:rsid w:val="6E5B4BDD"/>
    <w:rsid w:val="6E8D7282"/>
    <w:rsid w:val="6E8E7147"/>
    <w:rsid w:val="6E9F5970"/>
    <w:rsid w:val="6EBB3548"/>
    <w:rsid w:val="6EC14852"/>
    <w:rsid w:val="6EE60768"/>
    <w:rsid w:val="6F2A7532"/>
    <w:rsid w:val="6F335F16"/>
    <w:rsid w:val="6F3770F2"/>
    <w:rsid w:val="6F4F630E"/>
    <w:rsid w:val="6F592AB1"/>
    <w:rsid w:val="6F732214"/>
    <w:rsid w:val="6F92269E"/>
    <w:rsid w:val="6F9A370A"/>
    <w:rsid w:val="6F9F0C0C"/>
    <w:rsid w:val="6FE263EB"/>
    <w:rsid w:val="700A492A"/>
    <w:rsid w:val="700C0E69"/>
    <w:rsid w:val="70251764"/>
    <w:rsid w:val="70270FE6"/>
    <w:rsid w:val="70340294"/>
    <w:rsid w:val="70453BB5"/>
    <w:rsid w:val="706D0E2B"/>
    <w:rsid w:val="707C3BBE"/>
    <w:rsid w:val="708514CB"/>
    <w:rsid w:val="70A74983"/>
    <w:rsid w:val="70CC2F56"/>
    <w:rsid w:val="710D0ECB"/>
    <w:rsid w:val="71333A0D"/>
    <w:rsid w:val="713B4E1E"/>
    <w:rsid w:val="71516148"/>
    <w:rsid w:val="71956476"/>
    <w:rsid w:val="71C61219"/>
    <w:rsid w:val="71C7324E"/>
    <w:rsid w:val="71DE643C"/>
    <w:rsid w:val="71EB4144"/>
    <w:rsid w:val="71FF6640"/>
    <w:rsid w:val="7205184D"/>
    <w:rsid w:val="721C688E"/>
    <w:rsid w:val="721F3DBF"/>
    <w:rsid w:val="723E22A6"/>
    <w:rsid w:val="72556331"/>
    <w:rsid w:val="72620876"/>
    <w:rsid w:val="726C4446"/>
    <w:rsid w:val="727F33AE"/>
    <w:rsid w:val="729D3834"/>
    <w:rsid w:val="72F766A7"/>
    <w:rsid w:val="7331524D"/>
    <w:rsid w:val="737733D7"/>
    <w:rsid w:val="73C6500C"/>
    <w:rsid w:val="741D63B3"/>
    <w:rsid w:val="741F2B90"/>
    <w:rsid w:val="748A428C"/>
    <w:rsid w:val="74A05657"/>
    <w:rsid w:val="74CB0B2C"/>
    <w:rsid w:val="74DC161E"/>
    <w:rsid w:val="75134281"/>
    <w:rsid w:val="753A7A60"/>
    <w:rsid w:val="754D07DA"/>
    <w:rsid w:val="7556045B"/>
    <w:rsid w:val="7557460F"/>
    <w:rsid w:val="757F2F2C"/>
    <w:rsid w:val="75826D11"/>
    <w:rsid w:val="75B07D22"/>
    <w:rsid w:val="75D25EEA"/>
    <w:rsid w:val="75DA6B4D"/>
    <w:rsid w:val="75ED2776"/>
    <w:rsid w:val="7600537F"/>
    <w:rsid w:val="760F4A49"/>
    <w:rsid w:val="76AD0529"/>
    <w:rsid w:val="76D17FED"/>
    <w:rsid w:val="76DF3F86"/>
    <w:rsid w:val="76FC5BC6"/>
    <w:rsid w:val="774F73F7"/>
    <w:rsid w:val="775330CB"/>
    <w:rsid w:val="77672662"/>
    <w:rsid w:val="77736309"/>
    <w:rsid w:val="777658BF"/>
    <w:rsid w:val="77A22789"/>
    <w:rsid w:val="77BF424C"/>
    <w:rsid w:val="77DB3CED"/>
    <w:rsid w:val="782D11B6"/>
    <w:rsid w:val="782D565A"/>
    <w:rsid w:val="789B6A68"/>
    <w:rsid w:val="789D27E0"/>
    <w:rsid w:val="78B81D2B"/>
    <w:rsid w:val="78C63702"/>
    <w:rsid w:val="78C95383"/>
    <w:rsid w:val="78D5702C"/>
    <w:rsid w:val="790A7749"/>
    <w:rsid w:val="79116D2A"/>
    <w:rsid w:val="791A4267"/>
    <w:rsid w:val="791E653A"/>
    <w:rsid w:val="792B789D"/>
    <w:rsid w:val="794F75C9"/>
    <w:rsid w:val="79586707"/>
    <w:rsid w:val="795E7B8D"/>
    <w:rsid w:val="797B2250"/>
    <w:rsid w:val="798A33BB"/>
    <w:rsid w:val="798D4BB9"/>
    <w:rsid w:val="79D319C8"/>
    <w:rsid w:val="7A1E01F5"/>
    <w:rsid w:val="7A620960"/>
    <w:rsid w:val="7A715CD2"/>
    <w:rsid w:val="7AA15E8B"/>
    <w:rsid w:val="7AE75F94"/>
    <w:rsid w:val="7B0C4903"/>
    <w:rsid w:val="7B1935D5"/>
    <w:rsid w:val="7B1B79EC"/>
    <w:rsid w:val="7B3239D6"/>
    <w:rsid w:val="7B9F3C35"/>
    <w:rsid w:val="7BD071D9"/>
    <w:rsid w:val="7C084414"/>
    <w:rsid w:val="7C0E7942"/>
    <w:rsid w:val="7C2E2674"/>
    <w:rsid w:val="7C6F6C53"/>
    <w:rsid w:val="7C7D329E"/>
    <w:rsid w:val="7C7F3FAA"/>
    <w:rsid w:val="7C7F6A4D"/>
    <w:rsid w:val="7C897DCD"/>
    <w:rsid w:val="7C9B6E16"/>
    <w:rsid w:val="7D24514B"/>
    <w:rsid w:val="7D3F28BF"/>
    <w:rsid w:val="7D472D1A"/>
    <w:rsid w:val="7D511DEB"/>
    <w:rsid w:val="7D554332"/>
    <w:rsid w:val="7D747887"/>
    <w:rsid w:val="7DA65383"/>
    <w:rsid w:val="7DDA320F"/>
    <w:rsid w:val="7DE97BF0"/>
    <w:rsid w:val="7DF6174D"/>
    <w:rsid w:val="7DFA4230"/>
    <w:rsid w:val="7E0C7AC0"/>
    <w:rsid w:val="7E0E2979"/>
    <w:rsid w:val="7E813C0D"/>
    <w:rsid w:val="7EA61CC2"/>
    <w:rsid w:val="7ECD1958"/>
    <w:rsid w:val="7EDC1B88"/>
    <w:rsid w:val="7F1C7AB8"/>
    <w:rsid w:val="7F1F06B4"/>
    <w:rsid w:val="7F221254"/>
    <w:rsid w:val="7F453289"/>
    <w:rsid w:val="7F466E5E"/>
    <w:rsid w:val="7F6466F7"/>
    <w:rsid w:val="7F7922F6"/>
    <w:rsid w:val="7F92718A"/>
    <w:rsid w:val="7F983D01"/>
    <w:rsid w:val="7F9A549E"/>
    <w:rsid w:val="7FF423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Theme="minorEastAsia" w:cstheme="minorBidi"/>
      <w:kern w:val="2"/>
      <w:sz w:val="21"/>
      <w:szCs w:val="22"/>
      <w:lang w:val="en-US" w:eastAsia="zh-CN" w:bidi="ar-SA"/>
    </w:rPr>
  </w:style>
  <w:style w:type="paragraph" w:styleId="2">
    <w:name w:val="heading 2"/>
    <w:next w:val="1"/>
    <w:qFormat/>
    <w:uiPriority w:val="0"/>
    <w:pPr>
      <w:spacing w:before="320" w:after="120" w:line="288" w:lineRule="auto"/>
      <w:outlineLvl w:val="1"/>
    </w:pPr>
    <w:rPr>
      <w:rFonts w:ascii="Arial" w:hAnsi="Arial" w:eastAsia="等线" w:cs="Arial"/>
      <w:b/>
      <w:bCs/>
      <w:sz w:val="32"/>
      <w:szCs w:val="32"/>
      <w:lang w:val="en-US" w:eastAsia="zh-CN" w:bidi="ar-SA"/>
    </w:rPr>
  </w:style>
  <w:style w:type="paragraph" w:styleId="3">
    <w:name w:val="heading 3"/>
    <w:next w:val="1"/>
    <w:qFormat/>
    <w:uiPriority w:val="0"/>
    <w:pPr>
      <w:spacing w:before="300" w:after="120" w:line="288" w:lineRule="auto"/>
      <w:outlineLvl w:val="2"/>
    </w:pPr>
    <w:rPr>
      <w:rFonts w:ascii="Arial" w:hAnsi="Arial" w:eastAsia="等线" w:cs="Arial"/>
      <w:b/>
      <w:bCs/>
      <w:sz w:val="30"/>
      <w:szCs w:val="30"/>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Plain Text"/>
    <w:basedOn w:val="1"/>
    <w:link w:val="22"/>
    <w:qFormat/>
    <w:uiPriority w:val="0"/>
    <w:rPr>
      <w:rFonts w:ascii="宋体" w:hAnsi="Courier New" w:eastAsia="宋体"/>
      <w:szCs w:val="20"/>
    </w:rPr>
  </w:style>
  <w:style w:type="paragraph" w:styleId="5">
    <w:name w:val="Date"/>
    <w:basedOn w:val="1"/>
    <w:next w:val="1"/>
    <w:link w:val="19"/>
    <w:qFormat/>
    <w:uiPriority w:val="0"/>
    <w:pPr>
      <w:ind w:left="100" w:leftChars="2500"/>
    </w:pPr>
  </w:style>
  <w:style w:type="paragraph" w:styleId="6">
    <w:name w:val="Balloon Text"/>
    <w:basedOn w:val="1"/>
    <w:link w:val="18"/>
    <w:qFormat/>
    <w:uiPriority w:val="0"/>
    <w:rPr>
      <w:sz w:val="18"/>
      <w:szCs w:val="18"/>
    </w:rPr>
  </w:style>
  <w:style w:type="paragraph" w:styleId="7">
    <w:name w:val="footer"/>
    <w:basedOn w:val="1"/>
    <w:link w:val="17"/>
    <w:qFormat/>
    <w:uiPriority w:val="0"/>
    <w:pPr>
      <w:tabs>
        <w:tab w:val="center" w:pos="4153"/>
        <w:tab w:val="right" w:pos="8306"/>
      </w:tabs>
      <w:snapToGrid w:val="0"/>
      <w:jc w:val="left"/>
    </w:pPr>
    <w:rPr>
      <w:sz w:val="18"/>
      <w:szCs w:val="18"/>
    </w:rPr>
  </w:style>
  <w:style w:type="paragraph" w:styleId="8">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jc w:val="left"/>
    </w:pPr>
    <w:rPr>
      <w:rFonts w:eastAsia="宋体" w:cs="Times New Roman"/>
      <w:kern w:val="0"/>
      <w:sz w:val="24"/>
      <w:szCs w:val="24"/>
    </w:rPr>
  </w:style>
  <w:style w:type="character" w:styleId="12">
    <w:name w:val="Strong"/>
    <w:basedOn w:val="11"/>
    <w:qFormat/>
    <w:uiPriority w:val="22"/>
    <w:rPr>
      <w:b/>
      <w:bCs/>
    </w:rPr>
  </w:style>
  <w:style w:type="character" w:styleId="13">
    <w:name w:val="page number"/>
    <w:basedOn w:val="11"/>
    <w:qFormat/>
    <w:uiPriority w:val="0"/>
  </w:style>
  <w:style w:type="paragraph" w:customStyle="1" w:styleId="14">
    <w:name w:val="列出段落1"/>
    <w:basedOn w:val="1"/>
    <w:qFormat/>
    <w:uiPriority w:val="0"/>
    <w:pPr>
      <w:ind w:firstLine="420" w:firstLineChars="200"/>
    </w:pPr>
  </w:style>
  <w:style w:type="paragraph" w:customStyle="1" w:styleId="15">
    <w:name w:val="列出段落2"/>
    <w:basedOn w:val="1"/>
    <w:qFormat/>
    <w:uiPriority w:val="34"/>
    <w:pPr>
      <w:ind w:firstLine="420" w:firstLineChars="200"/>
    </w:pPr>
    <w:rPr>
      <w:rFonts w:eastAsia="宋体" w:cs="Times New Roman"/>
    </w:rPr>
  </w:style>
  <w:style w:type="character" w:customStyle="1" w:styleId="16">
    <w:name w:val="页眉 字符"/>
    <w:basedOn w:val="11"/>
    <w:link w:val="8"/>
    <w:qFormat/>
    <w:uiPriority w:val="99"/>
    <w:rPr>
      <w:rFonts w:ascii="Calibri" w:hAnsi="Calibri"/>
      <w:kern w:val="2"/>
      <w:sz w:val="18"/>
      <w:szCs w:val="18"/>
    </w:rPr>
  </w:style>
  <w:style w:type="character" w:customStyle="1" w:styleId="17">
    <w:name w:val="页脚 字符"/>
    <w:basedOn w:val="11"/>
    <w:link w:val="7"/>
    <w:qFormat/>
    <w:uiPriority w:val="0"/>
    <w:rPr>
      <w:rFonts w:ascii="Calibri" w:hAnsi="Calibri"/>
      <w:kern w:val="2"/>
      <w:sz w:val="18"/>
      <w:szCs w:val="18"/>
    </w:rPr>
  </w:style>
  <w:style w:type="character" w:customStyle="1" w:styleId="18">
    <w:name w:val="批注框文本 字符"/>
    <w:basedOn w:val="11"/>
    <w:link w:val="6"/>
    <w:qFormat/>
    <w:uiPriority w:val="0"/>
    <w:rPr>
      <w:rFonts w:ascii="Calibri" w:hAnsi="Calibri"/>
      <w:kern w:val="2"/>
      <w:sz w:val="18"/>
      <w:szCs w:val="18"/>
    </w:rPr>
  </w:style>
  <w:style w:type="character" w:customStyle="1" w:styleId="19">
    <w:name w:val="日期 字符"/>
    <w:basedOn w:val="11"/>
    <w:link w:val="5"/>
    <w:qFormat/>
    <w:uiPriority w:val="0"/>
    <w:rPr>
      <w:rFonts w:ascii="Calibri" w:hAnsi="Calibri"/>
      <w:kern w:val="2"/>
      <w:sz w:val="21"/>
      <w:szCs w:val="22"/>
    </w:rPr>
  </w:style>
  <w:style w:type="paragraph" w:customStyle="1" w:styleId="20">
    <w:name w:val="Default"/>
    <w:qFormat/>
    <w:uiPriority w:val="0"/>
    <w:pPr>
      <w:widowControl w:val="0"/>
      <w:autoSpaceDE w:val="0"/>
      <w:autoSpaceDN w:val="0"/>
      <w:adjustRightInd w:val="0"/>
    </w:pPr>
    <w:rPr>
      <w:rFonts w:ascii="仿宋" w:eastAsia="仿宋" w:cs="仿宋" w:hAnsiTheme="minorHAnsi"/>
      <w:color w:val="000000"/>
      <w:sz w:val="24"/>
      <w:szCs w:val="24"/>
      <w:lang w:val="en-US" w:eastAsia="zh-CN" w:bidi="ar-SA"/>
    </w:rPr>
  </w:style>
  <w:style w:type="paragraph" w:styleId="21">
    <w:name w:val="List Paragraph"/>
    <w:basedOn w:val="1"/>
    <w:unhideWhenUsed/>
    <w:qFormat/>
    <w:uiPriority w:val="99"/>
    <w:pPr>
      <w:ind w:firstLine="420" w:firstLineChars="200"/>
    </w:pPr>
  </w:style>
  <w:style w:type="character" w:customStyle="1" w:styleId="22">
    <w:name w:val="纯文本 字符"/>
    <w:link w:val="4"/>
    <w:qFormat/>
    <w:uiPriority w:val="0"/>
    <w:rPr>
      <w:rFonts w:ascii="宋体" w:hAnsi="Courier New" w:eastAsia="宋体"/>
      <w:kern w:val="2"/>
      <w:sz w:val="21"/>
    </w:rPr>
  </w:style>
  <w:style w:type="character" w:customStyle="1" w:styleId="23">
    <w:name w:val="纯文本 字符1"/>
    <w:basedOn w:val="11"/>
    <w:semiHidden/>
    <w:qFormat/>
    <w:uiPriority w:val="0"/>
    <w:rPr>
      <w:rFonts w:hAnsi="Courier New" w:cs="Courier New" w:asciiTheme="minorEastAsia"/>
      <w:kern w:val="2"/>
      <w:sz w:val="21"/>
      <w:szCs w:val="22"/>
    </w:rPr>
  </w:style>
  <w:style w:type="paragraph" w:customStyle="1" w:styleId="24">
    <w:name w:val="_Style 13"/>
    <w:qFormat/>
    <w:uiPriority w:val="0"/>
    <w:pPr>
      <w:spacing w:before="120" w:after="120" w:line="288" w:lineRule="auto"/>
    </w:pPr>
    <w:rPr>
      <w:rFonts w:ascii="Arial" w:hAnsi="Arial" w:eastAsia="等线" w:cs="Arial"/>
      <w:sz w:val="22"/>
      <w:szCs w:val="22"/>
      <w:lang w:val="en-US" w:eastAsia="zh-CN" w:bidi="ar-SA"/>
    </w:rPr>
  </w:style>
  <w:style w:type="paragraph" w:customStyle="1" w:styleId="25">
    <w:name w:val="ds-markdown-paragraph"/>
    <w:basedOn w:val="1"/>
    <w:qFormat/>
    <w:uiPriority w:val="0"/>
    <w:pPr>
      <w:widowControl/>
      <w:spacing w:before="100" w:beforeAutospacing="1" w:after="100" w:afterAutospacing="1"/>
      <w:jc w:val="left"/>
    </w:pPr>
    <w:rPr>
      <w:rFonts w:ascii="宋体" w:hAnsi="宋体" w:cs="宋体"/>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17</Pages>
  <Words>92</Words>
  <Characters>109</Characters>
  <Lines>41</Lines>
  <Paragraphs>11</Paragraphs>
  <TotalTime>0</TotalTime>
  <ScaleCrop>false</ScaleCrop>
  <LinksUpToDate>false</LinksUpToDate>
  <CharactersWithSpaces>111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2023-05-24T09:42:00Z</dcterms:created>
  <dc:creator>Administrator</dc:creator>
  <cp:lastModifiedBy>李帅威</cp:lastModifiedBy>
  <cp:lastPrinted>2016-08-03T06:26:00Z</cp:lastPrinted>
  <dcterms:modified xsi:type="dcterms:W3CDTF">2026-11-06T11:10:58Z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2410644757DA482BA63C846C2C22DBDB_13</vt:lpwstr>
  </property>
  <property fmtid="{D5CDD505-2E9C-101B-9397-08002B2CF9AE}" pid="4" name="KSOTemplateDocerSaveRecord">
    <vt:lpwstr>eyJoZGlkIjoiZDZiY2E3MTk3OWVkMDZmNDgwYmUwNDViMmIxMTA0OGYiLCJ1c2VySWQiOiIxNzY1NTM3NjAwIn0=</vt:lpwstr>
  </property>
</Properties>
</file>