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BB9930">
      <w:pPr>
        <w:pStyle w:val="94"/>
      </w:pPr>
      <w:r>
        <w:rPr>
          <w:sz w:val="48"/>
          <w:szCs w:val="48"/>
        </w:rPr>
        <w:drawing>
          <wp:anchor distT="0" distB="0" distL="114300" distR="114300" simplePos="0" relativeHeight="251659264" behindDoc="0" locked="0" layoutInCell="1" allowOverlap="1">
            <wp:simplePos x="0" y="0"/>
            <wp:positionH relativeFrom="column">
              <wp:posOffset>10795</wp:posOffset>
            </wp:positionH>
            <wp:positionV relativeFrom="paragraph">
              <wp:posOffset>-6350</wp:posOffset>
            </wp:positionV>
            <wp:extent cx="2548890" cy="889000"/>
            <wp:effectExtent l="0" t="0" r="3810" b="6350"/>
            <wp:wrapNone/>
            <wp:docPr id="1" name="图片 1"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im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548890" cy="889000"/>
                    </a:xfrm>
                    <a:prstGeom prst="rect">
                      <a:avLst/>
                    </a:prstGeom>
                    <a:noFill/>
                    <a:ln>
                      <a:noFill/>
                    </a:ln>
                  </pic:spPr>
                </pic:pic>
              </a:graphicData>
            </a:graphic>
          </wp:anchor>
        </w:drawing>
      </w:r>
    </w:p>
    <w:p w14:paraId="66F0CAD5">
      <w:pPr>
        <w:ind w:right="280"/>
        <w:jc w:val="center"/>
        <w:rPr>
          <w:rFonts w:ascii="宋体" w:hAnsi="宋体"/>
          <w:sz w:val="48"/>
          <w:szCs w:val="48"/>
        </w:rPr>
      </w:pPr>
    </w:p>
    <w:p w14:paraId="3EA24C15">
      <w:pPr>
        <w:ind w:right="280"/>
        <w:jc w:val="center"/>
        <w:rPr>
          <w:rFonts w:ascii="宋体" w:hAnsi="宋体"/>
          <w:sz w:val="48"/>
          <w:szCs w:val="48"/>
        </w:rPr>
      </w:pPr>
    </w:p>
    <w:p w14:paraId="734DA162">
      <w:pPr>
        <w:ind w:right="280"/>
        <w:jc w:val="center"/>
        <w:rPr>
          <w:rFonts w:ascii="宋体" w:hAnsi="宋体"/>
          <w:sz w:val="48"/>
          <w:szCs w:val="48"/>
        </w:rPr>
      </w:pPr>
    </w:p>
    <w:p w14:paraId="0435320E">
      <w:pPr>
        <w:ind w:right="280"/>
        <w:jc w:val="center"/>
        <w:rPr>
          <w:rFonts w:ascii="宋体" w:hAnsi="宋体"/>
          <w:sz w:val="48"/>
          <w:szCs w:val="48"/>
        </w:rPr>
      </w:pPr>
    </w:p>
    <w:p w14:paraId="07CDE389">
      <w:pPr>
        <w:ind w:right="280"/>
        <w:jc w:val="center"/>
        <w:rPr>
          <w:rFonts w:ascii="楷体_GB2312" w:hAnsi="宋体" w:eastAsia="楷体_GB2312"/>
          <w:sz w:val="52"/>
          <w:szCs w:val="52"/>
        </w:rPr>
      </w:pPr>
    </w:p>
    <w:p w14:paraId="009EA4D6">
      <w:pPr>
        <w:ind w:right="280"/>
        <w:jc w:val="center"/>
        <w:rPr>
          <w:rFonts w:ascii="楷体_GB2312" w:hAnsi="宋体" w:eastAsia="楷体_GB2312"/>
          <w:sz w:val="52"/>
          <w:szCs w:val="52"/>
        </w:rPr>
      </w:pPr>
      <w:r>
        <w:rPr>
          <w:rFonts w:hint="eastAsia" w:ascii="楷体_GB2312" w:hAnsi="宋体" w:eastAsia="楷体_GB2312"/>
          <w:sz w:val="52"/>
          <w:szCs w:val="52"/>
          <w:lang w:val="en-US" w:eastAsia="zh-CN"/>
        </w:rPr>
        <w:t>整车仓储用地</w:t>
      </w:r>
      <w:r>
        <w:rPr>
          <w:rFonts w:hint="eastAsia" w:ascii="楷体_GB2312" w:hAnsi="宋体" w:eastAsia="楷体_GB2312"/>
          <w:sz w:val="52"/>
          <w:szCs w:val="52"/>
        </w:rPr>
        <w:t>招标项目</w:t>
      </w:r>
    </w:p>
    <w:p w14:paraId="612663B5">
      <w:pPr>
        <w:ind w:right="280"/>
        <w:jc w:val="center"/>
        <w:rPr>
          <w:sz w:val="28"/>
          <w:szCs w:val="28"/>
        </w:rPr>
      </w:pPr>
    </w:p>
    <w:p w14:paraId="18CBF8EA">
      <w:pPr>
        <w:ind w:right="280"/>
        <w:jc w:val="center"/>
        <w:rPr>
          <w:sz w:val="28"/>
          <w:szCs w:val="28"/>
        </w:rPr>
      </w:pPr>
    </w:p>
    <w:p w14:paraId="6418E5FF">
      <w:pPr>
        <w:jc w:val="center"/>
        <w:rPr>
          <w:rFonts w:ascii="宋体" w:hAnsi="宋体" w:cs="宋体"/>
          <w:sz w:val="72"/>
          <w:szCs w:val="72"/>
        </w:rPr>
      </w:pPr>
      <w:r>
        <w:rPr>
          <w:rFonts w:hint="eastAsia" w:ascii="宋体" w:hAnsi="宋体" w:cs="宋体"/>
          <w:sz w:val="72"/>
          <w:szCs w:val="72"/>
        </w:rPr>
        <w:t>招标文件</w:t>
      </w:r>
    </w:p>
    <w:p w14:paraId="2A3C624C">
      <w:pPr>
        <w:jc w:val="center"/>
        <w:rPr>
          <w:rFonts w:ascii="宋体" w:hAnsi="宋体"/>
          <w:sz w:val="48"/>
          <w:szCs w:val="48"/>
        </w:rPr>
      </w:pPr>
    </w:p>
    <w:p w14:paraId="6993BE58">
      <w:pPr>
        <w:jc w:val="center"/>
        <w:rPr>
          <w:rFonts w:ascii="宋体" w:hAnsi="宋体"/>
          <w:sz w:val="48"/>
          <w:szCs w:val="48"/>
        </w:rPr>
      </w:pPr>
    </w:p>
    <w:p w14:paraId="63FA33C5">
      <w:pPr>
        <w:widowControl/>
        <w:spacing w:line="360" w:lineRule="auto"/>
        <w:jc w:val="center"/>
        <w:rPr>
          <w:rFonts w:hint="eastAsia" w:ascii="宋体" w:hAnsi="宋体" w:cs="宋体"/>
          <w:b/>
          <w:bCs/>
          <w:kern w:val="0"/>
          <w:sz w:val="32"/>
          <w:szCs w:val="32"/>
          <w:highlight w:val="none"/>
          <w:u w:val="single"/>
        </w:rPr>
      </w:pPr>
      <w:r>
        <w:rPr>
          <w:rFonts w:hint="eastAsia" w:ascii="宋体" w:hAnsi="宋体" w:cs="宋体"/>
          <w:b/>
          <w:bCs/>
          <w:kern w:val="0"/>
          <w:sz w:val="32"/>
          <w:szCs w:val="32"/>
          <w:highlight w:val="none"/>
        </w:rPr>
        <w:t>项目编号：ZBGL2026100257</w:t>
      </w:r>
    </w:p>
    <w:p w14:paraId="10A10BCC">
      <w:pPr>
        <w:jc w:val="center"/>
        <w:rPr>
          <w:rFonts w:ascii="宋体" w:hAnsi="宋体"/>
          <w:sz w:val="48"/>
          <w:szCs w:val="48"/>
        </w:rPr>
      </w:pPr>
    </w:p>
    <w:p w14:paraId="0D4E54EC">
      <w:pPr>
        <w:jc w:val="center"/>
        <w:rPr>
          <w:rFonts w:ascii="宋体" w:hAnsi="宋体"/>
          <w:sz w:val="48"/>
          <w:szCs w:val="48"/>
        </w:rPr>
      </w:pPr>
    </w:p>
    <w:p w14:paraId="111CA3F9">
      <w:pPr>
        <w:jc w:val="center"/>
        <w:rPr>
          <w:rFonts w:ascii="宋体" w:hAnsi="宋体"/>
          <w:sz w:val="28"/>
          <w:szCs w:val="28"/>
        </w:rPr>
      </w:pPr>
    </w:p>
    <w:p w14:paraId="12CB50D1">
      <w:pPr>
        <w:jc w:val="center"/>
        <w:rPr>
          <w:rFonts w:ascii="宋体" w:hAnsi="宋体"/>
          <w:sz w:val="28"/>
          <w:szCs w:val="28"/>
        </w:rPr>
      </w:pPr>
    </w:p>
    <w:p w14:paraId="1CE80EBC">
      <w:pPr>
        <w:jc w:val="center"/>
        <w:rPr>
          <w:rFonts w:ascii="宋体" w:hAnsi="宋体"/>
          <w:sz w:val="28"/>
          <w:szCs w:val="28"/>
          <w:highlight w:val="none"/>
        </w:rPr>
      </w:pPr>
      <w:r>
        <w:rPr>
          <w:rFonts w:hint="eastAsia" w:ascii="宋体" w:hAnsi="宋体"/>
          <w:sz w:val="28"/>
          <w:szCs w:val="28"/>
          <w:highlight w:val="none"/>
        </w:rPr>
        <w:t>招 标 人：中国重汽集团</w:t>
      </w:r>
      <w:r>
        <w:rPr>
          <w:rFonts w:hint="eastAsia" w:ascii="宋体" w:hAnsi="宋体"/>
          <w:sz w:val="28"/>
          <w:szCs w:val="28"/>
          <w:highlight w:val="none"/>
          <w:u w:val="single"/>
          <w:lang w:val="en-US" w:eastAsia="zh-CN"/>
        </w:rPr>
        <w:t>济宁商用车</w:t>
      </w:r>
      <w:r>
        <w:rPr>
          <w:rFonts w:hint="eastAsia" w:ascii="宋体" w:hAnsi="宋体"/>
          <w:sz w:val="28"/>
          <w:szCs w:val="28"/>
          <w:highlight w:val="none"/>
        </w:rPr>
        <w:t>有限公司</w:t>
      </w:r>
    </w:p>
    <w:p w14:paraId="0D8A0D9A">
      <w:pPr>
        <w:jc w:val="center"/>
        <w:rPr>
          <w:rFonts w:ascii="宋体" w:hAnsi="宋体"/>
          <w:sz w:val="28"/>
          <w:szCs w:val="28"/>
        </w:rPr>
      </w:pPr>
    </w:p>
    <w:p w14:paraId="0438957B">
      <w:pPr>
        <w:jc w:val="center"/>
        <w:rPr>
          <w:rFonts w:ascii="宋体" w:hAnsi="宋体"/>
          <w:sz w:val="28"/>
          <w:szCs w:val="28"/>
          <w:u w:val="single"/>
        </w:rPr>
      </w:pPr>
      <w:r>
        <w:rPr>
          <w:rFonts w:hint="eastAsia" w:ascii="宋体" w:hAnsi="宋体"/>
          <w:sz w:val="28"/>
          <w:szCs w:val="28"/>
          <w:u w:val="single"/>
        </w:rPr>
        <w:t>20</w:t>
      </w:r>
      <w:r>
        <w:rPr>
          <w:rFonts w:hint="eastAsia" w:ascii="宋体" w:hAnsi="宋体"/>
          <w:sz w:val="28"/>
          <w:szCs w:val="28"/>
          <w:u w:val="single"/>
          <w:lang w:val="en-US" w:eastAsia="zh-CN"/>
        </w:rPr>
        <w:t>26</w:t>
      </w:r>
      <w:r>
        <w:rPr>
          <w:rFonts w:hint="eastAsia" w:ascii="宋体" w:hAnsi="宋体"/>
          <w:sz w:val="28"/>
          <w:szCs w:val="28"/>
          <w:u w:val="single"/>
        </w:rPr>
        <w:t>年</w:t>
      </w:r>
      <w:r>
        <w:rPr>
          <w:rFonts w:hint="eastAsia" w:ascii="宋体" w:hAnsi="宋体"/>
          <w:sz w:val="28"/>
          <w:szCs w:val="28"/>
          <w:u w:val="single"/>
          <w:lang w:val="en-US" w:eastAsia="zh-CN"/>
        </w:rPr>
        <w:t>11</w:t>
      </w:r>
      <w:r>
        <w:rPr>
          <w:rFonts w:hint="eastAsia" w:ascii="宋体" w:hAnsi="宋体"/>
          <w:sz w:val="28"/>
          <w:szCs w:val="28"/>
          <w:u w:val="single"/>
        </w:rPr>
        <w:t>月</w:t>
      </w:r>
    </w:p>
    <w:p w14:paraId="09CB3C92">
      <w:pPr>
        <w:spacing w:line="480" w:lineRule="auto"/>
        <w:jc w:val="center"/>
        <w:rPr>
          <w:rFonts w:ascii="宋体" w:hAnsi="宋体"/>
          <w:b/>
          <w:bCs/>
          <w:sz w:val="48"/>
          <w:szCs w:val="48"/>
        </w:rPr>
      </w:pPr>
    </w:p>
    <w:p w14:paraId="112A63CA">
      <w:pPr>
        <w:spacing w:line="480" w:lineRule="auto"/>
        <w:jc w:val="center"/>
        <w:rPr>
          <w:rFonts w:ascii="宋体" w:hAnsi="宋体"/>
          <w:b/>
          <w:bCs/>
          <w:sz w:val="48"/>
          <w:szCs w:val="48"/>
        </w:rPr>
        <w:sectPr>
          <w:footerReference r:id="rId6" w:type="first"/>
          <w:headerReference r:id="rId3" w:type="default"/>
          <w:footerReference r:id="rId4" w:type="default"/>
          <w:footerReference r:id="rId5" w:type="even"/>
          <w:pgSz w:w="11906" w:h="16838"/>
          <w:pgMar w:top="1701" w:right="1418" w:bottom="1134" w:left="1418" w:header="851" w:footer="992" w:gutter="0"/>
          <w:pgNumType w:fmt="numberInDash" w:start="1"/>
          <w:cols w:space="720" w:num="1"/>
          <w:titlePg/>
          <w:docGrid w:type="lines" w:linePitch="312" w:charSpace="0"/>
        </w:sectPr>
      </w:pPr>
    </w:p>
    <w:sdt>
      <w:sdtPr>
        <w:rPr>
          <w:rFonts w:ascii="Times New Roman" w:hAnsi="Times New Roman" w:eastAsia="宋体" w:cs="Times New Roman"/>
          <w:color w:val="auto"/>
          <w:kern w:val="2"/>
          <w:sz w:val="21"/>
          <w:szCs w:val="20"/>
          <w:lang w:val="zh-CN"/>
        </w:rPr>
        <w:id w:val="-629018532"/>
      </w:sdtPr>
      <w:sdtEndPr>
        <w:rPr>
          <w:rFonts w:ascii="Times New Roman" w:hAnsi="Times New Roman" w:eastAsia="宋体" w:cs="Times New Roman"/>
          <w:b/>
          <w:bCs/>
          <w:color w:val="auto"/>
          <w:kern w:val="2"/>
          <w:sz w:val="21"/>
          <w:szCs w:val="20"/>
          <w:lang w:val="zh-CN"/>
        </w:rPr>
      </w:sdtEndPr>
      <w:sdtContent>
        <w:p w14:paraId="176426B1">
          <w:pPr>
            <w:pStyle w:val="68"/>
            <w:jc w:val="center"/>
            <w:rPr>
              <w:rFonts w:ascii="黑体" w:hAnsi="黑体" w:eastAsia="黑体"/>
              <w:b/>
              <w:color w:val="auto"/>
              <w:sz w:val="44"/>
              <w:szCs w:val="44"/>
              <w:lang w:val="zh-CN"/>
            </w:rPr>
          </w:pPr>
          <w:r>
            <w:rPr>
              <w:rFonts w:ascii="黑体" w:hAnsi="黑体" w:eastAsia="黑体"/>
              <w:b/>
              <w:color w:val="auto"/>
              <w:sz w:val="44"/>
              <w:szCs w:val="44"/>
              <w:lang w:val="zh-CN"/>
            </w:rPr>
            <w:t>目</w:t>
          </w:r>
          <w:r>
            <w:rPr>
              <w:rFonts w:hint="eastAsia" w:ascii="黑体" w:hAnsi="黑体" w:eastAsia="黑体"/>
              <w:b/>
              <w:color w:val="auto"/>
              <w:sz w:val="44"/>
              <w:szCs w:val="44"/>
              <w:lang w:val="zh-CN"/>
            </w:rPr>
            <w:t xml:space="preserve"> </w:t>
          </w:r>
          <w:r>
            <w:rPr>
              <w:rFonts w:ascii="黑体" w:hAnsi="黑体" w:eastAsia="黑体"/>
              <w:b/>
              <w:color w:val="auto"/>
              <w:sz w:val="44"/>
              <w:szCs w:val="44"/>
              <w:lang w:val="zh-CN"/>
            </w:rPr>
            <w:t xml:space="preserve">    录</w:t>
          </w:r>
        </w:p>
        <w:p w14:paraId="46B5AC1E">
          <w:pPr>
            <w:pStyle w:val="22"/>
            <w:tabs>
              <w:tab w:val="right" w:leader="middleDot" w:pos="9070"/>
              <w:tab w:val="clear" w:pos="8729"/>
            </w:tabs>
            <w:spacing w:line="720" w:lineRule="auto"/>
          </w:pPr>
          <w:r>
            <w:rPr>
              <w:rFonts w:hint="eastAsia" w:ascii="Calibri" w:hAnsi="Calibri"/>
              <w:bCs/>
              <w:kern w:val="44"/>
              <w:sz w:val="36"/>
              <w:szCs w:val="44"/>
            </w:rPr>
            <w:fldChar w:fldCharType="begin"/>
          </w:r>
          <w:r>
            <w:rPr>
              <w:rFonts w:hint="eastAsia" w:ascii="Calibri" w:hAnsi="Calibri"/>
              <w:bCs/>
              <w:kern w:val="44"/>
              <w:sz w:val="36"/>
              <w:szCs w:val="44"/>
            </w:rPr>
            <w:instrText xml:space="preserve">TOC \o "1-1" \h \u </w:instrText>
          </w:r>
          <w:r>
            <w:rPr>
              <w:rFonts w:hint="eastAsia" w:ascii="Calibri" w:hAnsi="Calibri"/>
              <w:bCs/>
              <w:kern w:val="44"/>
              <w:sz w:val="36"/>
              <w:szCs w:val="44"/>
            </w:rPr>
            <w:fldChar w:fldCharType="separate"/>
          </w:r>
          <w:r>
            <w:rPr>
              <w:rFonts w:hint="eastAsia" w:ascii="Calibri" w:hAnsi="Calibri"/>
              <w:bCs/>
              <w:kern w:val="44"/>
              <w:szCs w:val="44"/>
            </w:rPr>
            <w:fldChar w:fldCharType="begin"/>
          </w:r>
          <w:r>
            <w:rPr>
              <w:rFonts w:hint="eastAsia" w:ascii="Calibri" w:hAnsi="Calibri"/>
              <w:bCs/>
              <w:kern w:val="44"/>
              <w:szCs w:val="44"/>
            </w:rPr>
            <w:instrText xml:space="preserve"> HYPERLINK \l _Toc7104 </w:instrText>
          </w:r>
          <w:r>
            <w:rPr>
              <w:rFonts w:hint="eastAsia" w:ascii="Calibri" w:hAnsi="Calibri"/>
              <w:bCs/>
              <w:kern w:val="44"/>
              <w:szCs w:val="44"/>
            </w:rPr>
            <w:fldChar w:fldCharType="separate"/>
          </w:r>
          <w:r>
            <w:rPr>
              <w:rFonts w:hint="eastAsia"/>
            </w:rPr>
            <w:t>招标公告</w:t>
          </w:r>
          <w:r>
            <w:tab/>
          </w:r>
          <w:r>
            <w:fldChar w:fldCharType="begin"/>
          </w:r>
          <w:r>
            <w:instrText xml:space="preserve"> PAGEREF _Toc7104 \h </w:instrText>
          </w:r>
          <w:r>
            <w:fldChar w:fldCharType="separate"/>
          </w:r>
          <w:r>
            <w:t>- 1 -</w:t>
          </w:r>
          <w:r>
            <w:fldChar w:fldCharType="end"/>
          </w:r>
          <w:r>
            <w:rPr>
              <w:rFonts w:hint="eastAsia" w:ascii="Calibri" w:hAnsi="Calibri"/>
              <w:bCs/>
              <w:kern w:val="44"/>
              <w:szCs w:val="44"/>
            </w:rPr>
            <w:fldChar w:fldCharType="end"/>
          </w:r>
        </w:p>
        <w:p w14:paraId="3718B9B5">
          <w:pPr>
            <w:pStyle w:val="22"/>
            <w:tabs>
              <w:tab w:val="right" w:leader="middleDot" w:pos="9070"/>
              <w:tab w:val="clear" w:pos="8729"/>
            </w:tabs>
            <w:spacing w:line="720" w:lineRule="auto"/>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_Toc7753 </w:instrText>
          </w:r>
          <w:r>
            <w:rPr>
              <w:rFonts w:hint="eastAsia" w:ascii="Calibri" w:hAnsi="Calibri" w:eastAsia="宋体" w:cs="Times New Roman"/>
              <w:bCs/>
              <w:kern w:val="44"/>
              <w:szCs w:val="44"/>
            </w:rPr>
            <w:fldChar w:fldCharType="separate"/>
          </w:r>
          <w:r>
            <w:rPr>
              <w:rFonts w:hint="eastAsia"/>
            </w:rPr>
            <w:t>第一部分  投标人须知</w:t>
          </w:r>
          <w:r>
            <w:tab/>
          </w:r>
          <w:r>
            <w:fldChar w:fldCharType="begin"/>
          </w:r>
          <w:r>
            <w:instrText xml:space="preserve"> PAGEREF _Toc7753 \h </w:instrText>
          </w:r>
          <w:r>
            <w:fldChar w:fldCharType="separate"/>
          </w:r>
          <w:r>
            <w:t>- 2 -</w:t>
          </w:r>
          <w:r>
            <w:fldChar w:fldCharType="end"/>
          </w:r>
          <w:r>
            <w:rPr>
              <w:rFonts w:hint="eastAsia" w:ascii="Calibri" w:hAnsi="Calibri" w:eastAsia="宋体" w:cs="Times New Roman"/>
              <w:bCs/>
              <w:kern w:val="44"/>
              <w:szCs w:val="44"/>
            </w:rPr>
            <w:fldChar w:fldCharType="end"/>
          </w:r>
        </w:p>
        <w:p w14:paraId="7691DBF9">
          <w:pPr>
            <w:pStyle w:val="22"/>
            <w:tabs>
              <w:tab w:val="right" w:leader="middleDot" w:pos="9070"/>
              <w:tab w:val="clear" w:pos="8729"/>
            </w:tabs>
            <w:spacing w:line="720" w:lineRule="auto"/>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_Toc5925 </w:instrText>
          </w:r>
          <w:r>
            <w:rPr>
              <w:rFonts w:hint="eastAsia" w:ascii="Calibri" w:hAnsi="Calibri" w:eastAsia="宋体" w:cs="Times New Roman"/>
              <w:bCs/>
              <w:kern w:val="44"/>
              <w:szCs w:val="44"/>
            </w:rPr>
            <w:fldChar w:fldCharType="separate"/>
          </w:r>
          <w:r>
            <w:rPr>
              <w:rFonts w:hint="eastAsia"/>
            </w:rPr>
            <w:t>第</w:t>
          </w:r>
          <w:r>
            <w:rPr>
              <w:rFonts w:hint="eastAsia"/>
              <w:lang w:val="en-US" w:eastAsia="zh-CN"/>
            </w:rPr>
            <w:t>二</w:t>
          </w:r>
          <w:r>
            <w:rPr>
              <w:rFonts w:hint="eastAsia"/>
            </w:rPr>
            <w:t>部分　</w:t>
          </w:r>
          <w:r>
            <w:rPr>
              <w:rFonts w:hint="eastAsia"/>
              <w:lang w:val="en-US" w:eastAsia="zh-CN"/>
            </w:rPr>
            <w:t>投标文件附件</w:t>
          </w:r>
          <w:r>
            <w:tab/>
          </w:r>
          <w:r>
            <w:fldChar w:fldCharType="begin"/>
          </w:r>
          <w:r>
            <w:instrText xml:space="preserve"> PAGEREF _Toc5925 \h </w:instrText>
          </w:r>
          <w:r>
            <w:fldChar w:fldCharType="separate"/>
          </w:r>
          <w:r>
            <w:t>- 9 -</w:t>
          </w:r>
          <w:r>
            <w:fldChar w:fldCharType="end"/>
          </w:r>
          <w:r>
            <w:rPr>
              <w:rFonts w:hint="eastAsia" w:ascii="Calibri" w:hAnsi="Calibri" w:eastAsia="宋体" w:cs="Times New Roman"/>
              <w:bCs/>
              <w:kern w:val="44"/>
              <w:szCs w:val="44"/>
            </w:rPr>
            <w:fldChar w:fldCharType="end"/>
          </w:r>
        </w:p>
        <w:p w14:paraId="6617A57C">
          <w:pPr>
            <w:pStyle w:val="22"/>
            <w:spacing w:line="720" w:lineRule="auto"/>
          </w:pPr>
          <w:r>
            <w:rPr>
              <w:rFonts w:hint="eastAsia" w:ascii="Calibri" w:hAnsi="Calibri" w:eastAsia="宋体" w:cs="Times New Roman"/>
              <w:bCs/>
              <w:kern w:val="44"/>
              <w:szCs w:val="44"/>
            </w:rPr>
            <w:fldChar w:fldCharType="end"/>
          </w:r>
        </w:p>
      </w:sdtContent>
    </w:sdt>
    <w:p w14:paraId="582BF911">
      <w:pPr>
        <w:pStyle w:val="15"/>
        <w:tabs>
          <w:tab w:val="left" w:pos="2940"/>
        </w:tabs>
        <w:spacing w:line="360" w:lineRule="auto"/>
      </w:pPr>
      <w:r>
        <w:tab/>
      </w:r>
    </w:p>
    <w:p w14:paraId="29FEE1FC">
      <w:pPr>
        <w:pStyle w:val="15"/>
        <w:spacing w:line="360" w:lineRule="auto"/>
        <w:jc w:val="center"/>
      </w:pPr>
    </w:p>
    <w:p w14:paraId="104D1A2D">
      <w:pPr>
        <w:pStyle w:val="15"/>
        <w:spacing w:line="360" w:lineRule="auto"/>
        <w:jc w:val="center"/>
        <w:sectPr>
          <w:pgSz w:w="11906" w:h="16838"/>
          <w:pgMar w:top="1701" w:right="1418" w:bottom="1134" w:left="1418" w:header="851" w:footer="992" w:gutter="0"/>
          <w:pgNumType w:fmt="numberInDash" w:start="1"/>
          <w:cols w:space="720" w:num="1"/>
          <w:titlePg/>
          <w:docGrid w:type="lines" w:linePitch="312" w:charSpace="0"/>
        </w:sectPr>
      </w:pPr>
    </w:p>
    <w:p w14:paraId="0230EEDA">
      <w:pPr>
        <w:pStyle w:val="71"/>
      </w:pPr>
      <w:bookmarkStart w:id="0" w:name="_Toc47976587"/>
      <w:bookmarkStart w:id="1" w:name="_Toc7104"/>
      <w:r>
        <w:rPr>
          <w:rFonts w:hint="eastAsia"/>
        </w:rPr>
        <w:t>招标公告</w:t>
      </w:r>
      <w:bookmarkEnd w:id="0"/>
      <w:bookmarkEnd w:id="1"/>
    </w:p>
    <w:p w14:paraId="5953C7BF">
      <w:pPr>
        <w:pStyle w:val="71"/>
        <w:rPr>
          <w:rFonts w:hint="eastAsia"/>
          <w:sz w:val="28"/>
        </w:rPr>
      </w:pPr>
      <w:bookmarkStart w:id="2" w:name="_Toc32474"/>
      <w:r>
        <w:rPr>
          <w:rFonts w:hint="eastAsia"/>
          <w:sz w:val="28"/>
          <w:lang w:val="en-US" w:eastAsia="zh-CN"/>
        </w:rPr>
        <w:t>整车仓储用地</w:t>
      </w:r>
      <w:r>
        <w:rPr>
          <w:rFonts w:hint="eastAsia"/>
          <w:sz w:val="28"/>
        </w:rPr>
        <w:t>招标公告</w:t>
      </w:r>
      <w:bookmarkEnd w:id="2"/>
    </w:p>
    <w:p w14:paraId="3B867C39">
      <w:pPr>
        <w:pStyle w:val="71"/>
        <w:rPr>
          <w:rFonts w:hint="eastAsia"/>
        </w:rPr>
      </w:pPr>
    </w:p>
    <w:p w14:paraId="2A47C58A">
      <w:pPr>
        <w:pStyle w:val="72"/>
      </w:pPr>
      <w:bookmarkStart w:id="3" w:name="_Toc47976588"/>
      <w:r>
        <w:rPr>
          <w:rFonts w:hint="eastAsia"/>
        </w:rPr>
        <w:t>项目名称及项目编号</w:t>
      </w:r>
      <w:bookmarkEnd w:id="3"/>
    </w:p>
    <w:p w14:paraId="0A2A33E6">
      <w:pPr>
        <w:pStyle w:val="72"/>
        <w:numPr>
          <w:ilvl w:val="0"/>
          <w:numId w:val="0"/>
        </w:numPr>
        <w:ind w:leftChars="0"/>
        <w:rPr>
          <w:rFonts w:hint="eastAsia" w:ascii="宋体" w:eastAsia="宋体" w:cs="Times New Roman"/>
          <w:b w:val="0"/>
          <w:bCs w:val="0"/>
          <w:kern w:val="2"/>
          <w:sz w:val="21"/>
          <w:lang w:val="en-US" w:eastAsia="zh-CN" w:bidi="ar-SA"/>
        </w:rPr>
      </w:pPr>
      <w:r>
        <w:rPr>
          <w:rFonts w:hint="eastAsia" w:ascii="宋体" w:eastAsia="宋体" w:cs="Times New Roman"/>
          <w:b w:val="0"/>
          <w:bCs w:val="0"/>
          <w:kern w:val="2"/>
          <w:sz w:val="21"/>
          <w:lang w:val="en-US" w:eastAsia="zh-CN" w:bidi="ar-SA"/>
        </w:rPr>
        <w:t>（1）项目名称：中国重汽集团济宁商用车有限公司整车仓储用地项目</w:t>
      </w:r>
    </w:p>
    <w:p w14:paraId="15020D03">
      <w:pPr>
        <w:pStyle w:val="72"/>
        <w:numPr>
          <w:ilvl w:val="0"/>
          <w:numId w:val="0"/>
        </w:numPr>
        <w:ind w:leftChars="0"/>
        <w:rPr>
          <w:rFonts w:hint="eastAsia" w:ascii="宋体" w:eastAsia="宋体" w:cs="Times New Roman"/>
          <w:b w:val="0"/>
          <w:bCs w:val="0"/>
          <w:kern w:val="2"/>
          <w:sz w:val="21"/>
          <w:lang w:val="en-US" w:eastAsia="zh-CN" w:bidi="ar-SA"/>
        </w:rPr>
      </w:pPr>
      <w:r>
        <w:rPr>
          <w:rFonts w:hint="eastAsia" w:ascii="宋体" w:eastAsia="宋体" w:cs="Times New Roman"/>
          <w:b w:val="0"/>
          <w:bCs w:val="0"/>
          <w:kern w:val="2"/>
          <w:sz w:val="21"/>
          <w:lang w:val="en-US" w:eastAsia="zh-CN" w:bidi="ar-SA"/>
        </w:rPr>
        <w:t>（2）项目编号：ZBGL2026100257</w:t>
      </w:r>
    </w:p>
    <w:p w14:paraId="0AB9F24D">
      <w:pPr>
        <w:pStyle w:val="72"/>
      </w:pPr>
      <w:bookmarkStart w:id="4" w:name="_Toc47976589"/>
      <w:r>
        <w:rPr>
          <w:rFonts w:hint="eastAsia"/>
          <w:lang w:val="en-US" w:eastAsia="zh-CN"/>
        </w:rPr>
        <w:t>项目概况</w:t>
      </w:r>
      <w:r>
        <w:rPr>
          <w:rFonts w:hint="eastAsia"/>
        </w:rPr>
        <w:t>及招标形式</w:t>
      </w:r>
      <w:bookmarkEnd w:id="4"/>
    </w:p>
    <w:p w14:paraId="1A912F05">
      <w:pPr>
        <w:pStyle w:val="72"/>
        <w:numPr>
          <w:ilvl w:val="0"/>
          <w:numId w:val="0"/>
        </w:numPr>
        <w:ind w:leftChars="0"/>
        <w:rPr>
          <w:rFonts w:hint="eastAsia" w:ascii="宋体" w:hAnsi="Courier New" w:eastAsia="宋体" w:cs="Times New Roman"/>
          <w:b w:val="0"/>
          <w:bCs w:val="0"/>
          <w:kern w:val="2"/>
          <w:sz w:val="21"/>
          <w:lang w:val="en-US" w:eastAsia="zh-CN" w:bidi="ar-SA"/>
        </w:rPr>
      </w:pPr>
      <w:r>
        <w:rPr>
          <w:rFonts w:hint="eastAsia" w:ascii="宋体" w:eastAsia="宋体" w:cs="Times New Roman"/>
          <w:b w:val="0"/>
          <w:bCs w:val="0"/>
          <w:kern w:val="2"/>
          <w:sz w:val="21"/>
          <w:lang w:val="en-US" w:eastAsia="zh-CN" w:bidi="ar-SA"/>
        </w:rPr>
        <w:t>（1）</w:t>
      </w:r>
      <w:r>
        <w:rPr>
          <w:rFonts w:hint="eastAsia" w:ascii="宋体" w:hAnsi="Courier New" w:eastAsia="宋体" w:cs="Times New Roman"/>
          <w:b w:val="0"/>
          <w:bCs w:val="0"/>
          <w:kern w:val="2"/>
          <w:sz w:val="21"/>
          <w:lang w:val="en-US" w:eastAsia="zh-CN" w:bidi="ar-SA"/>
        </w:rPr>
        <w:t>招标内容：现计划租</w:t>
      </w:r>
      <w:r>
        <w:rPr>
          <w:rFonts w:hint="eastAsia" w:ascii="宋体" w:hAnsi="Courier New" w:eastAsia="宋体" w:cs="Times New Roman"/>
          <w:b w:val="0"/>
          <w:bCs w:val="0"/>
          <w:color w:val="000000" w:themeColor="text1"/>
          <w:kern w:val="2"/>
          <w:sz w:val="21"/>
          <w:lang w:val="en-US" w:eastAsia="zh-CN" w:bidi="ar-SA"/>
          <w14:textFill>
            <w14:solidFill>
              <w14:schemeClr w14:val="tx1"/>
            </w14:solidFill>
          </w14:textFill>
        </w:rPr>
        <w:t>赁</w:t>
      </w:r>
      <w:r>
        <w:rPr>
          <w:rFonts w:hint="eastAsia" w:ascii="宋体" w:eastAsia="宋体" w:cs="Times New Roman"/>
          <w:b w:val="0"/>
          <w:bCs w:val="0"/>
          <w:color w:val="000000" w:themeColor="text1"/>
          <w:kern w:val="2"/>
          <w:sz w:val="21"/>
          <w:lang w:val="en-US" w:eastAsia="zh-CN" w:bidi="ar-SA"/>
          <w14:textFill>
            <w14:solidFill>
              <w14:schemeClr w14:val="tx1"/>
            </w14:solidFill>
          </w14:textFill>
        </w:rPr>
        <w:t>水泥</w:t>
      </w:r>
      <w:r>
        <w:rPr>
          <w:rFonts w:hint="eastAsia" w:ascii="宋体" w:hAnsi="Courier New" w:eastAsia="宋体" w:cs="Times New Roman"/>
          <w:b w:val="0"/>
          <w:bCs w:val="0"/>
          <w:color w:val="000000" w:themeColor="text1"/>
          <w:kern w:val="2"/>
          <w:sz w:val="21"/>
          <w:lang w:val="en-US" w:eastAsia="zh-CN" w:bidi="ar-SA"/>
          <w14:textFill>
            <w14:solidFill>
              <w14:schemeClr w14:val="tx1"/>
            </w14:solidFill>
          </w14:textFill>
        </w:rPr>
        <w:t>硬化或石子铺设场地</w:t>
      </w:r>
      <w:r>
        <w:rPr>
          <w:rFonts w:hint="eastAsia" w:ascii="宋体" w:eastAsia="宋体" w:cs="Times New Roman"/>
          <w:b w:val="0"/>
          <w:bCs w:val="0"/>
          <w:color w:val="000000" w:themeColor="text1"/>
          <w:kern w:val="2"/>
          <w:sz w:val="21"/>
          <w:lang w:val="en-US" w:eastAsia="zh-CN" w:bidi="ar-SA"/>
          <w14:textFill>
            <w14:solidFill>
              <w14:schemeClr w14:val="tx1"/>
            </w14:solidFill>
          </w14:textFill>
        </w:rPr>
        <w:t>25</w:t>
      </w:r>
      <w:r>
        <w:rPr>
          <w:rFonts w:hint="eastAsia" w:ascii="宋体" w:hAnsi="Courier New" w:eastAsia="宋体" w:cs="Times New Roman"/>
          <w:b w:val="0"/>
          <w:bCs w:val="0"/>
          <w:color w:val="000000" w:themeColor="text1"/>
          <w:kern w:val="2"/>
          <w:sz w:val="21"/>
          <w:lang w:val="en-US" w:eastAsia="zh-CN" w:bidi="ar-SA"/>
          <w14:textFill>
            <w14:solidFill>
              <w14:schemeClr w14:val="tx1"/>
            </w14:solidFill>
          </w14:textFill>
        </w:rPr>
        <w:t>0</w:t>
      </w:r>
      <w:r>
        <w:rPr>
          <w:rFonts w:hint="eastAsia" w:ascii="宋体" w:hAnsi="Courier New" w:eastAsia="宋体" w:cs="Times New Roman"/>
          <w:b w:val="0"/>
          <w:bCs w:val="0"/>
          <w:kern w:val="2"/>
          <w:sz w:val="21"/>
          <w:lang w:val="en-US" w:eastAsia="zh-CN" w:bidi="ar-SA"/>
        </w:rPr>
        <w:t>00-</w:t>
      </w:r>
      <w:r>
        <w:rPr>
          <w:rFonts w:hint="eastAsia" w:ascii="宋体" w:eastAsia="宋体" w:cs="Times New Roman"/>
          <w:b w:val="0"/>
          <w:bCs w:val="0"/>
          <w:kern w:val="2"/>
          <w:sz w:val="21"/>
          <w:lang w:val="en-US" w:eastAsia="zh-CN" w:bidi="ar-SA"/>
        </w:rPr>
        <w:t>30</w:t>
      </w:r>
      <w:r>
        <w:rPr>
          <w:rFonts w:hint="eastAsia" w:ascii="宋体" w:hAnsi="Courier New" w:eastAsia="宋体" w:cs="Times New Roman"/>
          <w:b w:val="0"/>
          <w:bCs w:val="0"/>
          <w:kern w:val="2"/>
          <w:sz w:val="21"/>
          <w:lang w:val="en-US" w:eastAsia="zh-CN" w:bidi="ar-SA"/>
        </w:rPr>
        <w:t>000㎡，存放已入库的成品车辆，租赁周期1年，租赁后相关成品车辆，需进出双方厂区，投标人在接收到招标文件后，应组织相关人员进行实地查勘，与招标人进行现场对接后进行规划、报价。  租赁场地需产权明晰，地面平整，状态良好。</w:t>
      </w:r>
    </w:p>
    <w:p w14:paraId="28A7AC1C">
      <w:pPr>
        <w:pStyle w:val="72"/>
        <w:numPr>
          <w:ilvl w:val="0"/>
          <w:numId w:val="0"/>
        </w:numPr>
        <w:ind w:leftChars="0"/>
        <w:rPr>
          <w:rFonts w:hint="eastAsia" w:ascii="宋体" w:hAnsi="Courier New" w:eastAsia="宋体" w:cs="Times New Roman"/>
          <w:b w:val="0"/>
          <w:bCs w:val="0"/>
          <w:kern w:val="2"/>
          <w:sz w:val="21"/>
          <w:lang w:val="en-US" w:eastAsia="zh-CN" w:bidi="ar-SA"/>
        </w:rPr>
      </w:pPr>
      <w:r>
        <w:rPr>
          <w:rFonts w:hint="eastAsia" w:ascii="宋体" w:eastAsia="宋体" w:cs="Times New Roman"/>
          <w:b w:val="0"/>
          <w:bCs w:val="0"/>
          <w:kern w:val="2"/>
          <w:sz w:val="21"/>
          <w:lang w:val="en-US" w:eastAsia="zh-CN" w:bidi="ar-SA"/>
        </w:rPr>
        <w:t>（2）</w:t>
      </w:r>
      <w:r>
        <w:rPr>
          <w:rFonts w:hint="eastAsia" w:ascii="宋体" w:hAnsi="Courier New" w:eastAsia="宋体" w:cs="Times New Roman"/>
          <w:b w:val="0"/>
          <w:bCs w:val="0"/>
          <w:kern w:val="2"/>
          <w:sz w:val="21"/>
          <w:lang w:val="en-US" w:eastAsia="zh-CN" w:bidi="ar-SA"/>
        </w:rPr>
        <w:t>招标形式：公开招标。</w:t>
      </w:r>
    </w:p>
    <w:p w14:paraId="76B97D53">
      <w:pPr>
        <w:pStyle w:val="72"/>
        <w:rPr>
          <w:highlight w:val="none"/>
        </w:rPr>
      </w:pPr>
      <w:bookmarkStart w:id="5" w:name="_Toc47976591"/>
      <w:r>
        <w:rPr>
          <w:rFonts w:hint="eastAsia"/>
          <w:highlight w:val="none"/>
        </w:rPr>
        <w:t>报名及招标文件的获取</w:t>
      </w:r>
      <w:bookmarkEnd w:id="5"/>
    </w:p>
    <w:p w14:paraId="409955D4">
      <w:pPr>
        <w:pStyle w:val="72"/>
        <w:numPr>
          <w:ilvl w:val="0"/>
          <w:numId w:val="0"/>
        </w:numPr>
        <w:ind w:leftChars="0"/>
        <w:rPr>
          <w:rFonts w:hint="eastAsia" w:ascii="宋体" w:hAnsi="Courier New" w:eastAsia="宋体" w:cs="Times New Roman"/>
          <w:b w:val="0"/>
          <w:bCs w:val="0"/>
          <w:kern w:val="2"/>
          <w:sz w:val="21"/>
          <w:lang w:val="en-US" w:eastAsia="zh-CN" w:bidi="ar-SA"/>
        </w:rPr>
      </w:pPr>
      <w:r>
        <w:rPr>
          <w:rFonts w:hint="eastAsia" w:ascii="宋体" w:hAnsi="Courier New" w:eastAsia="宋体" w:cs="Times New Roman"/>
          <w:b w:val="0"/>
          <w:bCs w:val="0"/>
          <w:kern w:val="2"/>
          <w:sz w:val="21"/>
          <w:lang w:val="en-US" w:eastAsia="zh-CN" w:bidi="ar-SA"/>
        </w:rPr>
        <w:t>请在中国重汽官网http://www.cnhtc.com.cn（新闻中心-通知公告）下载获取。</w:t>
      </w:r>
    </w:p>
    <w:p w14:paraId="4509C0DA">
      <w:pPr>
        <w:pStyle w:val="72"/>
        <w:rPr>
          <w:highlight w:val="none"/>
        </w:rPr>
      </w:pPr>
      <w:bookmarkStart w:id="6" w:name="_Toc47976592"/>
      <w:r>
        <w:rPr>
          <w:rFonts w:hint="eastAsia"/>
          <w:highlight w:val="none"/>
        </w:rPr>
        <w:t>投标文件的递交</w:t>
      </w:r>
      <w:bookmarkEnd w:id="6"/>
    </w:p>
    <w:p w14:paraId="1F0C6C89">
      <w:pPr>
        <w:pStyle w:val="72"/>
        <w:numPr>
          <w:ilvl w:val="0"/>
          <w:numId w:val="0"/>
        </w:numPr>
        <w:ind w:leftChars="0"/>
        <w:rPr>
          <w:rFonts w:hint="eastAsia" w:ascii="宋体" w:hAnsi="Courier New" w:eastAsia="宋体" w:cs="Times New Roman"/>
          <w:b/>
          <w:bCs w:val="0"/>
          <w:kern w:val="2"/>
          <w:sz w:val="21"/>
          <w:lang w:val="en-US" w:eastAsia="zh-CN" w:bidi="ar-SA"/>
        </w:rPr>
      </w:pPr>
      <w:r>
        <w:rPr>
          <w:rFonts w:hint="eastAsia" w:ascii="宋体" w:hAnsi="Courier New" w:eastAsia="宋体" w:cs="Times New Roman"/>
          <w:b/>
          <w:bCs w:val="0"/>
          <w:kern w:val="2"/>
          <w:sz w:val="21"/>
          <w:lang w:val="en-US" w:eastAsia="zh-CN" w:bidi="ar-SA"/>
        </w:rPr>
        <w:t>于开标当日在投标地点现场递交</w:t>
      </w:r>
    </w:p>
    <w:p w14:paraId="27B65ABD">
      <w:pPr>
        <w:pStyle w:val="72"/>
        <w:rPr>
          <w:highlight w:val="none"/>
        </w:rPr>
      </w:pPr>
      <w:r>
        <w:rPr>
          <w:rFonts w:hint="eastAsia"/>
          <w:highlight w:val="none"/>
          <w:lang w:val="en-US" w:eastAsia="zh-CN"/>
        </w:rPr>
        <w:t>开标时间和地点</w:t>
      </w:r>
    </w:p>
    <w:p w14:paraId="4C1B14BD">
      <w:pPr>
        <w:pStyle w:val="72"/>
        <w:keepNext w:val="0"/>
        <w:keepLines w:val="0"/>
        <w:pageBreakBefore w:val="0"/>
        <w:widowControl w:val="0"/>
        <w:numPr>
          <w:ilvl w:val="0"/>
          <w:numId w:val="9"/>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开标时间：2026年11月17日，具体开标时间另行通知。</w:t>
      </w:r>
    </w:p>
    <w:p w14:paraId="0AF3B7B7">
      <w:pPr>
        <w:pStyle w:val="72"/>
        <w:keepNext w:val="0"/>
        <w:keepLines w:val="0"/>
        <w:pageBreakBefore w:val="0"/>
        <w:widowControl w:val="0"/>
        <w:numPr>
          <w:ilvl w:val="0"/>
          <w:numId w:val="9"/>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开标地点：中国重汽集团济宁商用车有限公司</w:t>
      </w:r>
    </w:p>
    <w:p w14:paraId="22385406">
      <w:pPr>
        <w:pStyle w:val="72"/>
        <w:rPr>
          <w:highlight w:val="none"/>
        </w:rPr>
      </w:pPr>
      <w:bookmarkStart w:id="7" w:name="_Toc47976593"/>
      <w:r>
        <w:rPr>
          <w:rFonts w:hint="eastAsia"/>
          <w:highlight w:val="none"/>
        </w:rPr>
        <w:t>招标公告发布媒介</w:t>
      </w:r>
      <w:bookmarkEnd w:id="7"/>
    </w:p>
    <w:p w14:paraId="15C59335">
      <w:pPr>
        <w:pStyle w:val="73"/>
        <w:numPr>
          <w:ilvl w:val="0"/>
          <w:numId w:val="0"/>
        </w:numPr>
        <w:ind w:left="1130" w:hanging="420"/>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本次招标公告同时在中国重汽集团官网上发布。</w:t>
      </w:r>
    </w:p>
    <w:p w14:paraId="65FC2213">
      <w:pPr>
        <w:pStyle w:val="72"/>
        <w:rPr>
          <w:highlight w:val="none"/>
        </w:rPr>
      </w:pPr>
      <w:bookmarkStart w:id="8" w:name="_Toc47976594"/>
      <w:r>
        <w:rPr>
          <w:rFonts w:hint="eastAsia"/>
          <w:highlight w:val="none"/>
        </w:rPr>
        <w:t>联系方式</w:t>
      </w:r>
      <w:bookmarkEnd w:id="8"/>
    </w:p>
    <w:p w14:paraId="6616660D">
      <w:pPr>
        <w:pStyle w:val="72"/>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default"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 xml:space="preserve"> 联系人：杨胜利，电话：15588724949</w:t>
      </w:r>
    </w:p>
    <w:p w14:paraId="5F538BD8">
      <w:pPr>
        <w:pStyle w:val="76"/>
      </w:pPr>
    </w:p>
    <w:p w14:paraId="6D4C3503">
      <w:pPr>
        <w:pStyle w:val="76"/>
      </w:pPr>
    </w:p>
    <w:p w14:paraId="70A7FEA7">
      <w:pPr>
        <w:pStyle w:val="76"/>
        <w:jc w:val="both"/>
        <w:rPr>
          <w:rFonts w:hint="default"/>
          <w:highlight w:val="cyan"/>
          <w:u w:val="single"/>
          <w:lang w:val="en-US" w:eastAsia="zh-CN"/>
        </w:rPr>
      </w:pPr>
    </w:p>
    <w:p w14:paraId="3A7E2D48">
      <w:pPr>
        <w:pStyle w:val="76"/>
        <w:jc w:val="right"/>
        <w:rPr>
          <w:rFonts w:hint="eastAsia"/>
          <w:highlight w:val="cyan"/>
          <w:u w:val="single"/>
          <w:lang w:val="en-US" w:eastAsia="zh-CN"/>
        </w:rPr>
      </w:pPr>
    </w:p>
    <w:p w14:paraId="22C6BEDA">
      <w:pPr>
        <w:pStyle w:val="76"/>
        <w:jc w:val="right"/>
        <w:rPr>
          <w:rFonts w:hint="eastAsia"/>
          <w:highlight w:val="cyan"/>
          <w:u w:val="single"/>
          <w:lang w:val="en-US" w:eastAsia="zh-CN"/>
        </w:rPr>
      </w:pPr>
    </w:p>
    <w:p w14:paraId="410F58AB">
      <w:pPr>
        <w:pStyle w:val="76"/>
        <w:ind w:firstLine="6510" w:firstLineChars="3100"/>
        <w:jc w:val="both"/>
      </w:pPr>
      <w:r>
        <w:rPr>
          <w:rFonts w:hint="eastAsia"/>
          <w:highlight w:val="none"/>
          <w:u w:val="single"/>
          <w:lang w:val="en-US" w:eastAsia="zh-CN"/>
        </w:rPr>
        <w:t>20X</w:t>
      </w:r>
      <w:r>
        <w:rPr>
          <w:highlight w:val="none"/>
          <w:u w:val="single"/>
        </w:rPr>
        <w:t>X</w:t>
      </w:r>
      <w:r>
        <w:rPr>
          <w:rFonts w:hint="eastAsia"/>
        </w:rPr>
        <w:t>年</w:t>
      </w:r>
      <w:r>
        <w:rPr>
          <w:u w:val="single"/>
        </w:rPr>
        <w:t>X</w:t>
      </w:r>
      <w:r>
        <w:rPr>
          <w:rFonts w:hint="eastAsia"/>
        </w:rPr>
        <w:t>月</w:t>
      </w:r>
      <w:r>
        <w:rPr>
          <w:u w:val="single"/>
        </w:rPr>
        <w:t>X</w:t>
      </w:r>
      <w:r>
        <w:rPr>
          <w:rFonts w:hint="eastAsia"/>
        </w:rPr>
        <w:t>日</w:t>
      </w:r>
    </w:p>
    <w:p w14:paraId="04C96706">
      <w:pPr>
        <w:pStyle w:val="76"/>
      </w:pPr>
    </w:p>
    <w:p w14:paraId="3D820EEC">
      <w:pPr>
        <w:pStyle w:val="71"/>
      </w:pPr>
      <w:bookmarkStart w:id="9" w:name="_Toc47976595"/>
      <w:bookmarkStart w:id="10" w:name="_Toc7753"/>
      <w:r>
        <w:rPr>
          <w:rFonts w:hint="eastAsia"/>
        </w:rPr>
        <w:t>第一部分  投标人须知</w:t>
      </w:r>
      <w:bookmarkEnd w:id="9"/>
      <w:bookmarkEnd w:id="10"/>
    </w:p>
    <w:p w14:paraId="418340FC">
      <w:pPr>
        <w:pStyle w:val="72"/>
        <w:numPr>
          <w:ilvl w:val="0"/>
          <w:numId w:val="10"/>
        </w:numPr>
        <w:ind w:left="420"/>
        <w:jc w:val="left"/>
      </w:pPr>
      <w:bookmarkStart w:id="11" w:name="_Toc47976596"/>
      <w:r>
        <w:rPr>
          <w:rFonts w:hint="eastAsia"/>
        </w:rPr>
        <w:t>项目介绍</w:t>
      </w:r>
      <w:bookmarkEnd w:id="11"/>
    </w:p>
    <w:p w14:paraId="7B719E73">
      <w:pPr>
        <w:pStyle w:val="76"/>
        <w:numPr>
          <w:ilvl w:val="0"/>
          <w:numId w:val="11"/>
        </w:numPr>
        <w:ind w:left="425" w:leftChars="0" w:hanging="425" w:firstLineChars="0"/>
      </w:pPr>
      <w:r>
        <w:rPr>
          <w:rFonts w:hint="eastAsia"/>
        </w:rPr>
        <w:t>项目名称：中国重汽集团济宁商用车有限公司整车仓储用地项目</w:t>
      </w:r>
    </w:p>
    <w:p w14:paraId="17A97EAA">
      <w:pPr>
        <w:pStyle w:val="76"/>
        <w:numPr>
          <w:ilvl w:val="0"/>
          <w:numId w:val="11"/>
        </w:numPr>
        <w:ind w:left="425" w:leftChars="0" w:hanging="425" w:firstLineChars="0"/>
        <w:rPr>
          <w:highlight w:val="none"/>
        </w:rPr>
      </w:pPr>
      <w:r>
        <w:rPr>
          <w:rFonts w:hint="eastAsia"/>
          <w:highlight w:val="none"/>
        </w:rPr>
        <w:t>项目编号：</w:t>
      </w:r>
      <w:r>
        <w:rPr>
          <w:rFonts w:hint="eastAsia"/>
          <w:highlight w:val="none"/>
        </w:rPr>
        <w:tab/>
      </w:r>
      <w:r>
        <w:rPr>
          <w:rFonts w:hint="eastAsia"/>
          <w:highlight w:val="none"/>
        </w:rPr>
        <w:t>ZBGL2026100257</w:t>
      </w:r>
    </w:p>
    <w:p w14:paraId="5C6CF568">
      <w:pPr>
        <w:pStyle w:val="76"/>
        <w:numPr>
          <w:ilvl w:val="0"/>
          <w:numId w:val="11"/>
        </w:numPr>
        <w:ind w:left="425" w:leftChars="0" w:hanging="425" w:firstLineChars="0"/>
      </w:pPr>
      <w:r>
        <w:rPr>
          <w:rFonts w:hint="eastAsia"/>
        </w:rPr>
        <w:t>招标形式：</w:t>
      </w:r>
      <w:bookmarkStart w:id="12" w:name="_Toc47112482"/>
      <w:r>
        <w:rPr>
          <w:rFonts w:hint="eastAsia"/>
          <w:lang w:val="en-US" w:eastAsia="zh-CN"/>
        </w:rPr>
        <w:t>公开招标</w:t>
      </w:r>
    </w:p>
    <w:p w14:paraId="151561C8">
      <w:pPr>
        <w:pStyle w:val="76"/>
        <w:numPr>
          <w:ilvl w:val="0"/>
          <w:numId w:val="11"/>
        </w:numPr>
        <w:ind w:left="425" w:leftChars="0" w:hanging="425" w:firstLineChars="0"/>
        <w:rPr>
          <w:rFonts w:hint="default" w:ascii="宋体" w:hAnsi="Courier New" w:eastAsia="宋体" w:cs="Times New Roman"/>
          <w:highlight w:val="none"/>
          <w:lang w:val="en-US" w:eastAsia="zh-CN"/>
        </w:rPr>
      </w:pPr>
      <w:r>
        <w:rPr>
          <w:rFonts w:hint="eastAsia"/>
          <w:highlight w:val="none"/>
          <w:lang w:val="en-US" w:eastAsia="zh-CN"/>
        </w:rPr>
        <w:t>项目概况：</w:t>
      </w:r>
      <w:r>
        <w:rPr>
          <w:rFonts w:hint="eastAsia"/>
          <w:highlight w:val="none"/>
        </w:rPr>
        <w:t>现计划租</w:t>
      </w:r>
      <w:r>
        <w:rPr>
          <w:rFonts w:hint="eastAsia"/>
          <w:color w:val="000000" w:themeColor="text1"/>
          <w:highlight w:val="none"/>
          <w14:textFill>
            <w14:solidFill>
              <w14:schemeClr w14:val="tx1"/>
            </w14:solidFill>
          </w14:textFill>
        </w:rPr>
        <w:t>赁</w:t>
      </w:r>
      <w:r>
        <w:rPr>
          <w:rFonts w:hint="eastAsia"/>
          <w:color w:val="000000" w:themeColor="text1"/>
          <w:highlight w:val="none"/>
          <w:lang w:val="en-US" w:eastAsia="zh-CN"/>
          <w14:textFill>
            <w14:solidFill>
              <w14:schemeClr w14:val="tx1"/>
            </w14:solidFill>
          </w14:textFill>
        </w:rPr>
        <w:t>水泥</w:t>
      </w:r>
      <w:r>
        <w:rPr>
          <w:rFonts w:hint="eastAsia"/>
          <w:color w:val="000000" w:themeColor="text1"/>
          <w:highlight w:val="none"/>
          <w14:textFill>
            <w14:solidFill>
              <w14:schemeClr w14:val="tx1"/>
            </w14:solidFill>
          </w14:textFill>
        </w:rPr>
        <w:t>硬化场地或石子铺设地面2500</w:t>
      </w:r>
      <w:r>
        <w:rPr>
          <w:rFonts w:hint="eastAsia"/>
          <w:highlight w:val="none"/>
        </w:rPr>
        <w:t>0-30000㎡可以承重重卡车辆进出，雨雪天气不受影响，租赁周期1年，租赁后相关成品车辆需进出双方厂区，投标人在接收到招标文件后，应组织相关人员进行实地查勘，与招标人进行现场对接后进行规划、报价。  租赁场地需产权明晰，地面平整，状态良好，交通便利，全方位监控及24小时安保服务，场地四周需围墙封闭，距离济宁商用车实际距离小于7KM，且与济宁商用车公司间道路允许商用车行驶。</w:t>
      </w:r>
      <w:r>
        <w:rPr>
          <w:rFonts w:hint="eastAsia" w:cs="Times New Roman"/>
          <w:highlight w:val="none"/>
          <w:lang w:val="en-US" w:eastAsia="zh-CN"/>
        </w:rPr>
        <w:t>招标内容</w:t>
      </w:r>
      <w:r>
        <w:rPr>
          <w:rFonts w:hint="eastAsia" w:ascii="宋体" w:hAnsi="Courier New" w:eastAsia="宋体" w:cs="Times New Roman"/>
          <w:highlight w:val="none"/>
          <w:lang w:val="en-US" w:eastAsia="zh-CN"/>
        </w:rPr>
        <w:t>具体要求详见《技术标书》。</w:t>
      </w:r>
    </w:p>
    <w:p w14:paraId="10BC6F77">
      <w:pPr>
        <w:pStyle w:val="76"/>
        <w:numPr>
          <w:ilvl w:val="0"/>
          <w:numId w:val="11"/>
        </w:numPr>
        <w:ind w:left="425" w:leftChars="0" w:hanging="425" w:firstLineChars="0"/>
        <w:rPr>
          <w:rFonts w:hint="default"/>
          <w:lang w:val="en-US" w:eastAsia="zh-CN"/>
        </w:rPr>
      </w:pPr>
      <w:r>
        <w:rPr>
          <w:rFonts w:hint="eastAsia"/>
          <w:lang w:val="en-US" w:eastAsia="zh-CN"/>
        </w:rPr>
        <w:t>报价：报价应包含币种、不含税金额、税率及价税合计金额</w:t>
      </w:r>
    </w:p>
    <w:p w14:paraId="2A2F2260">
      <w:pPr>
        <w:pStyle w:val="76"/>
        <w:numPr>
          <w:ilvl w:val="0"/>
          <w:numId w:val="11"/>
        </w:numPr>
        <w:ind w:left="425" w:leftChars="0" w:hanging="425" w:firstLineChars="0"/>
        <w:rPr>
          <w:rFonts w:hint="eastAsia"/>
          <w:lang w:val="en-US" w:eastAsia="zh-CN"/>
        </w:rPr>
      </w:pPr>
      <w:r>
        <w:rPr>
          <w:rFonts w:hint="eastAsia"/>
          <w:lang w:val="en-US" w:eastAsia="zh-CN"/>
        </w:rPr>
        <w:t>招标人信息：杨胜利  电话15588724949</w:t>
      </w:r>
    </w:p>
    <w:bookmarkEnd w:id="12"/>
    <w:p w14:paraId="50DC6C75">
      <w:pPr>
        <w:pStyle w:val="72"/>
      </w:pPr>
      <w:bookmarkStart w:id="13" w:name="_Toc47976598"/>
      <w:r>
        <w:rPr>
          <w:rFonts w:hint="eastAsia"/>
        </w:rPr>
        <w:t>合格的投标人。</w:t>
      </w:r>
      <w:bookmarkEnd w:id="13"/>
    </w:p>
    <w:p w14:paraId="3C8DE851">
      <w:pPr>
        <w:pStyle w:val="73"/>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投标人须遵守《中华人民共和国招标投标法》及其它有关的法律和法规；为中华人民共和国境内注册的独立法人机构，具有独立承担民事责任能力；</w:t>
      </w:r>
    </w:p>
    <w:p w14:paraId="3A0297CA">
      <w:pPr>
        <w:pStyle w:val="73"/>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ascii="宋体" w:hAnsi="Courier New" w:eastAsia="宋体" w:cs="Times New Roman"/>
          <w:b w:val="0"/>
          <w:bCs/>
          <w:strike w:val="0"/>
          <w:dstrike w:val="0"/>
          <w:highlight w:val="none"/>
        </w:rPr>
      </w:pPr>
      <w:r>
        <w:rPr>
          <w:rFonts w:hint="eastAsia" w:ascii="宋体" w:hAnsi="Courier New" w:eastAsia="宋体" w:cs="Times New Roman"/>
          <w:b w:val="0"/>
          <w:bCs/>
          <w:strike w:val="0"/>
          <w:dstrike w:val="0"/>
          <w:highlight w:val="none"/>
        </w:rPr>
        <w:t>拟标投人必须是在中华人民共和国境内注册的独立法人机构，具有独立承担民事责任能力；</w:t>
      </w:r>
    </w:p>
    <w:p w14:paraId="2B164D82">
      <w:pPr>
        <w:pStyle w:val="73"/>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投标人须具有良好的商业信誉和健全的财务会计制度，财务状况和市场行为良好。没有处于被有权机关吊销营业执照、吊销资质、停业整顿、取消投标资格以及财产被接管、冻结或进入破产程序等；</w:t>
      </w:r>
    </w:p>
    <w:p w14:paraId="11A84527">
      <w:pPr>
        <w:pStyle w:val="73"/>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投标人在“信用中国”中未列入联合惩戒失信人名单，且工商行政管理局的《国家企业信用信息公示系统》中查询不存在不良记录；</w:t>
      </w:r>
    </w:p>
    <w:p w14:paraId="7850D9F4">
      <w:pPr>
        <w:pStyle w:val="73"/>
        <w:numPr>
          <w:ilvl w:val="0"/>
          <w:numId w:val="12"/>
        </w:numPr>
        <w:ind w:left="0" w:firstLine="0"/>
        <w:rPr>
          <w:b w:val="0"/>
          <w:bCs/>
        </w:rPr>
      </w:pPr>
      <w:r>
        <w:rPr>
          <w:rFonts w:hint="eastAsia" w:ascii="宋体" w:hAnsi="Courier New" w:eastAsia="宋体" w:cs="Times New Roman"/>
          <w:b w:val="0"/>
          <w:bCs/>
          <w:strike w:val="0"/>
          <w:dstrike w:val="0"/>
          <w:highlight w:val="none"/>
        </w:rPr>
        <w:t>无招标违规、谎报年度报告信息、提供虚假资质资料等行为或其他行政处罚记录；</w:t>
      </w:r>
    </w:p>
    <w:p w14:paraId="0124C8EA">
      <w:pPr>
        <w:pStyle w:val="73"/>
        <w:numPr>
          <w:ilvl w:val="0"/>
          <w:numId w:val="12"/>
        </w:numPr>
        <w:ind w:left="0" w:firstLine="0"/>
        <w:rPr>
          <w:rFonts w:hint="eastAsia" w:ascii="宋体" w:hAnsi="Courier New" w:eastAsia="宋体" w:cs="Times New Roman"/>
          <w:b w:val="0"/>
          <w:bCs/>
          <w:strike w:val="0"/>
          <w:dstrike w:val="0"/>
          <w:highlight w:val="none"/>
        </w:rPr>
      </w:pPr>
      <w:r>
        <w:rPr>
          <w:rFonts w:hint="eastAsia"/>
          <w:b w:val="0"/>
          <w:bCs/>
        </w:rPr>
        <w:t>近三年内在经营活动中无与本项目有关的违法及重大违规情况</w:t>
      </w:r>
      <w:r>
        <w:rPr>
          <w:rFonts w:hint="eastAsia"/>
          <w:b w:val="0"/>
          <w:bCs/>
          <w:lang w:eastAsia="zh-CN"/>
        </w:rPr>
        <w:t>；</w:t>
      </w:r>
    </w:p>
    <w:p w14:paraId="7F71A33C">
      <w:pPr>
        <w:pStyle w:val="73"/>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投标人没有被列入招标人处《黑名单》（《黑名单》指投标人与招标人在以往或正在进行的合作中，存在招标人认为的违反合同约定或违反法律法规等的失信行为）的；</w:t>
      </w:r>
    </w:p>
    <w:p w14:paraId="45902C3C">
      <w:pPr>
        <w:pStyle w:val="73"/>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公司经营范围满足招标项目需求；</w:t>
      </w:r>
    </w:p>
    <w:p w14:paraId="46FDC1F4">
      <w:pPr>
        <w:pStyle w:val="73"/>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投标人须具有履行招标文件所有设备、专业技术等要求的能力；</w:t>
      </w:r>
    </w:p>
    <w:p w14:paraId="10068469">
      <w:pPr>
        <w:pStyle w:val="73"/>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投标人须有依法缴纳税收和社会保障资金的良好记录；</w:t>
      </w:r>
    </w:p>
    <w:p w14:paraId="651270A8">
      <w:pPr>
        <w:pStyle w:val="73"/>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具有本次招标货物的供货、安装、售后服务等的相应资质；</w:t>
      </w:r>
    </w:p>
    <w:p w14:paraId="274E20B1">
      <w:pPr>
        <w:pStyle w:val="73"/>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投标人须负责提供合理的便于运输的包装物，并承担相关费用</w:t>
      </w:r>
      <w:r>
        <w:rPr>
          <w:rFonts w:hint="eastAsia"/>
          <w:b w:val="0"/>
          <w:bCs/>
          <w:strike w:val="0"/>
          <w:dstrike w:val="0"/>
          <w:highlight w:val="none"/>
          <w:lang w:eastAsia="zh-CN"/>
        </w:rPr>
        <w:t>；</w:t>
      </w:r>
    </w:p>
    <w:p w14:paraId="7B48E8FC">
      <w:pPr>
        <w:pStyle w:val="73"/>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投标人须认可招标人的工作指令，包括节、假日能正常开展工作的要求。</w:t>
      </w:r>
    </w:p>
    <w:p w14:paraId="316F538A">
      <w:pPr>
        <w:pStyle w:val="73"/>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ascii="宋体" w:hAnsi="Courier New" w:eastAsia="宋体" w:cs="Times New Roman"/>
          <w:b w:val="0"/>
          <w:bCs/>
          <w:strike w:val="0"/>
          <w:dstrike w:val="0"/>
          <w:highlight w:val="none"/>
          <w:lang w:val="en-US" w:eastAsia="zh-CN"/>
        </w:rPr>
        <w:t>拟投标人的直接或间接股东、法定代表人、董事、监事、高管非重汽员工及其亲属；</w:t>
      </w:r>
    </w:p>
    <w:p w14:paraId="371EFEB6">
      <w:pPr>
        <w:pStyle w:val="73"/>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投标人必须是最终投标、签订合同的单位，不得以任何理由将已中标项目以任何形式转包或者分包给其他单位</w:t>
      </w:r>
      <w:r>
        <w:rPr>
          <w:rFonts w:hint="eastAsia"/>
          <w:b w:val="0"/>
          <w:bCs/>
          <w:strike w:val="0"/>
          <w:dstrike w:val="0"/>
          <w:highlight w:val="none"/>
          <w:lang w:eastAsia="zh-CN"/>
        </w:rPr>
        <w:t>；</w:t>
      </w:r>
    </w:p>
    <w:p w14:paraId="3339A7C9">
      <w:pPr>
        <w:pStyle w:val="73"/>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本次招标项目</w:t>
      </w:r>
      <w:r>
        <w:rPr>
          <w:rFonts w:hint="eastAsia"/>
          <w:b w:val="0"/>
          <w:bCs/>
          <w:strike w:val="0"/>
          <w:dstrike w:val="0"/>
          <w:highlight w:val="none"/>
          <w:u w:val="none"/>
        </w:rPr>
        <w:t>不接受</w:t>
      </w:r>
      <w:r>
        <w:rPr>
          <w:rFonts w:hint="eastAsia"/>
          <w:b w:val="0"/>
          <w:bCs/>
          <w:strike w:val="0"/>
          <w:dstrike w:val="0"/>
          <w:highlight w:val="none"/>
        </w:rPr>
        <w:t>联合体投标</w:t>
      </w:r>
      <w:r>
        <w:rPr>
          <w:rFonts w:hint="eastAsia"/>
          <w:b w:val="0"/>
          <w:bCs/>
          <w:strike w:val="0"/>
          <w:dstrike w:val="0"/>
          <w:highlight w:val="none"/>
          <w:lang w:eastAsia="zh-CN"/>
        </w:rPr>
        <w:t>；</w:t>
      </w:r>
      <w:r>
        <w:rPr>
          <w:rFonts w:hint="eastAsia"/>
          <w:b w:val="0"/>
          <w:bCs/>
          <w:strike w:val="0"/>
          <w:dstrike w:val="0"/>
          <w:highlight w:val="none"/>
        </w:rPr>
        <w:t>法律、行政法规规定的其他条件</w:t>
      </w:r>
      <w:r>
        <w:rPr>
          <w:rFonts w:hint="eastAsia"/>
          <w:b w:val="0"/>
          <w:bCs/>
          <w:strike w:val="0"/>
          <w:dstrike w:val="0"/>
          <w:highlight w:val="none"/>
          <w:lang w:eastAsia="zh-CN"/>
        </w:rPr>
        <w:t>；</w:t>
      </w:r>
    </w:p>
    <w:p w14:paraId="31CA8C38">
      <w:pPr>
        <w:pStyle w:val="72"/>
        <w:rPr>
          <w:rFonts w:hint="eastAsia" w:hAnsi="Courier New" w:cs="Times New Roman"/>
          <w:highlight w:val="none"/>
        </w:rPr>
      </w:pPr>
      <w:r>
        <w:rPr>
          <w:rFonts w:hint="eastAsia" w:hAnsi="Courier New" w:cs="Times New Roman"/>
          <w:highlight w:val="none"/>
        </w:rPr>
        <w:t>件的</w:t>
      </w:r>
      <w:r>
        <w:rPr>
          <w:rFonts w:hint="eastAsia" w:hAnsi="Courier New" w:cs="Times New Roman"/>
          <w:highlight w:val="none"/>
          <w:lang w:val="en-US" w:eastAsia="zh-CN"/>
        </w:rPr>
        <w:t>领取、</w:t>
      </w:r>
      <w:r>
        <w:rPr>
          <w:rFonts w:hint="eastAsia" w:hAnsi="Courier New" w:cs="Times New Roman"/>
          <w:highlight w:val="none"/>
        </w:rPr>
        <w:t>答疑、</w:t>
      </w:r>
      <w:r>
        <w:rPr>
          <w:rFonts w:hint="eastAsia" w:hAnsi="Courier New" w:cs="Times New Roman"/>
          <w:highlight w:val="none"/>
          <w:lang w:val="en-US" w:eastAsia="zh-CN"/>
        </w:rPr>
        <w:t>应标</w:t>
      </w:r>
      <w:r>
        <w:rPr>
          <w:rFonts w:hint="eastAsia" w:hAnsi="Courier New" w:cs="Times New Roman"/>
          <w:highlight w:val="none"/>
        </w:rPr>
        <w:t>及投标报名</w:t>
      </w:r>
    </w:p>
    <w:p w14:paraId="09A92690">
      <w:pPr>
        <w:pStyle w:val="76"/>
        <w:numPr>
          <w:ilvl w:val="0"/>
          <w:numId w:val="13"/>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发标时间：20</w:t>
      </w:r>
      <w:r>
        <w:rPr>
          <w:rFonts w:hint="eastAsia" w:cs="Times New Roman"/>
          <w:highlight w:val="none"/>
          <w:lang w:val="en-US" w:eastAsia="zh-CN"/>
        </w:rPr>
        <w:t>26</w:t>
      </w:r>
      <w:r>
        <w:rPr>
          <w:rFonts w:hint="eastAsia" w:ascii="宋体" w:hAnsi="Courier New" w:eastAsia="宋体" w:cs="Times New Roman"/>
          <w:highlight w:val="none"/>
          <w:lang w:val="en-US" w:eastAsia="zh-CN"/>
        </w:rPr>
        <w:t>年</w:t>
      </w:r>
      <w:r>
        <w:rPr>
          <w:rFonts w:hint="eastAsia" w:cs="Times New Roman"/>
          <w:color w:val="000000" w:themeColor="text1"/>
          <w:highlight w:val="none"/>
          <w:lang w:val="en-US" w:eastAsia="zh-CN"/>
          <w14:textFill>
            <w14:solidFill>
              <w14:schemeClr w14:val="tx1"/>
            </w14:solidFill>
          </w14:textFill>
        </w:rPr>
        <w:t>11</w:t>
      </w:r>
      <w:r>
        <w:rPr>
          <w:rFonts w:hint="eastAsia" w:ascii="宋体" w:hAnsi="Courier New" w:eastAsia="宋体" w:cs="Times New Roman"/>
          <w:color w:val="000000" w:themeColor="text1"/>
          <w:highlight w:val="none"/>
          <w:lang w:val="en-US" w:eastAsia="zh-CN"/>
          <w14:textFill>
            <w14:solidFill>
              <w14:schemeClr w14:val="tx1"/>
            </w14:solidFill>
          </w14:textFill>
        </w:rPr>
        <w:t>月</w:t>
      </w:r>
      <w:r>
        <w:rPr>
          <w:rFonts w:hint="eastAsia" w:cs="Times New Roman"/>
          <w:color w:val="000000" w:themeColor="text1"/>
          <w:highlight w:val="none"/>
          <w:lang w:val="en-US" w:eastAsia="zh-CN"/>
          <w14:textFill>
            <w14:solidFill>
              <w14:schemeClr w14:val="tx1"/>
            </w14:solidFill>
          </w14:textFill>
        </w:rPr>
        <w:t>2</w:t>
      </w:r>
      <w:r>
        <w:rPr>
          <w:rFonts w:hint="eastAsia" w:ascii="宋体" w:hAnsi="Courier New" w:eastAsia="宋体" w:cs="Times New Roman"/>
          <w:color w:val="000000" w:themeColor="text1"/>
          <w:highlight w:val="none"/>
          <w:lang w:val="en-US" w:eastAsia="zh-CN"/>
          <w14:textFill>
            <w14:solidFill>
              <w14:schemeClr w14:val="tx1"/>
            </w14:solidFill>
          </w14:textFill>
        </w:rPr>
        <w:t>日</w:t>
      </w:r>
    </w:p>
    <w:p w14:paraId="62084E4B">
      <w:pPr>
        <w:pStyle w:val="76"/>
        <w:numPr>
          <w:ilvl w:val="0"/>
          <w:numId w:val="13"/>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答疑时间：20</w:t>
      </w:r>
      <w:r>
        <w:rPr>
          <w:rFonts w:hint="eastAsia" w:cs="Times New Roman"/>
          <w:highlight w:val="none"/>
          <w:lang w:val="en-US" w:eastAsia="zh-CN"/>
        </w:rPr>
        <w:t>26</w:t>
      </w:r>
      <w:r>
        <w:rPr>
          <w:rFonts w:hint="eastAsia" w:ascii="宋体" w:hAnsi="Courier New" w:eastAsia="宋体" w:cs="Times New Roman"/>
          <w:highlight w:val="none"/>
          <w:lang w:val="en-US" w:eastAsia="zh-CN"/>
        </w:rPr>
        <w:t>年</w:t>
      </w:r>
      <w:r>
        <w:rPr>
          <w:rFonts w:hint="eastAsia" w:cs="Times New Roman"/>
          <w:color w:val="000000" w:themeColor="text1"/>
          <w:highlight w:val="none"/>
          <w:lang w:val="en-US" w:eastAsia="zh-CN"/>
          <w14:textFill>
            <w14:solidFill>
              <w14:schemeClr w14:val="tx1"/>
            </w14:solidFill>
          </w14:textFill>
        </w:rPr>
        <w:t>11</w:t>
      </w:r>
      <w:r>
        <w:rPr>
          <w:rFonts w:hint="eastAsia" w:ascii="宋体" w:hAnsi="Courier New" w:eastAsia="宋体" w:cs="Times New Roman"/>
          <w:color w:val="000000" w:themeColor="text1"/>
          <w:highlight w:val="none"/>
          <w:lang w:val="en-US" w:eastAsia="zh-CN"/>
          <w14:textFill>
            <w14:solidFill>
              <w14:schemeClr w14:val="tx1"/>
            </w14:solidFill>
          </w14:textFill>
        </w:rPr>
        <w:t>月</w:t>
      </w:r>
      <w:r>
        <w:rPr>
          <w:rFonts w:hint="eastAsia" w:cs="Times New Roman"/>
          <w:color w:val="000000" w:themeColor="text1"/>
          <w:highlight w:val="none"/>
          <w:lang w:val="en-US" w:eastAsia="zh-CN"/>
          <w14:textFill>
            <w14:solidFill>
              <w14:schemeClr w14:val="tx1"/>
            </w14:solidFill>
          </w14:textFill>
        </w:rPr>
        <w:t>12</w:t>
      </w:r>
      <w:r>
        <w:rPr>
          <w:rFonts w:hint="eastAsia" w:ascii="宋体" w:hAnsi="Courier New" w:eastAsia="宋体" w:cs="Times New Roman"/>
          <w:color w:val="000000" w:themeColor="text1"/>
          <w:highlight w:val="none"/>
          <w:lang w:val="en-US" w:eastAsia="zh-CN"/>
          <w14:textFill>
            <w14:solidFill>
              <w14:schemeClr w14:val="tx1"/>
            </w14:solidFill>
          </w14:textFill>
        </w:rPr>
        <w:t>日前</w:t>
      </w:r>
    </w:p>
    <w:p w14:paraId="62CB87C4">
      <w:pPr>
        <w:pStyle w:val="76"/>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jc w:val="both"/>
        <w:textAlignment w:val="auto"/>
        <w:rPr>
          <w:rFonts w:hint="eastAsia" w:cs="Times New Roman"/>
          <w:highlight w:val="none"/>
          <w:lang w:val="en-US" w:eastAsia="zh-CN"/>
        </w:rPr>
      </w:pPr>
      <w:r>
        <w:rPr>
          <w:rFonts w:hint="eastAsia" w:cs="Times New Roman"/>
          <w:highlight w:val="none"/>
          <w:lang w:val="en-US" w:eastAsia="zh-CN"/>
        </w:rPr>
        <w:t>提交疑问方式：将答疑问题以word文件格式发送至联系人邮件内，并电话联系工作人员查收，邮件名格式为：XXX公司（五个字以内公司简称）XX项目答疑文件。同时必须在邮件中以文字方式提供投标人全称、投标授权人姓名、联系方式（固定电话、手机、电子邮箱），并提供附件2法定代表人授权委托书。</w:t>
      </w:r>
    </w:p>
    <w:p w14:paraId="07C0B551">
      <w:pPr>
        <w:pStyle w:val="76"/>
        <w:numPr>
          <w:ilvl w:val="0"/>
          <w:numId w:val="13"/>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领取答疑、澄清和修改文件时间：20</w:t>
      </w:r>
      <w:r>
        <w:rPr>
          <w:rFonts w:hint="eastAsia" w:cs="Times New Roman"/>
          <w:highlight w:val="none"/>
          <w:lang w:val="en-US" w:eastAsia="zh-CN"/>
        </w:rPr>
        <w:t>26</w:t>
      </w:r>
      <w:r>
        <w:rPr>
          <w:rFonts w:hint="eastAsia" w:ascii="宋体" w:hAnsi="Courier New" w:eastAsia="宋体" w:cs="Times New Roman"/>
          <w:color w:val="000000" w:themeColor="text1"/>
          <w:highlight w:val="none"/>
          <w:lang w:val="en-US" w:eastAsia="zh-CN"/>
          <w14:textFill>
            <w14:solidFill>
              <w14:schemeClr w14:val="tx1"/>
            </w14:solidFill>
          </w14:textFill>
        </w:rPr>
        <w:t>年</w:t>
      </w:r>
      <w:r>
        <w:rPr>
          <w:rFonts w:hint="eastAsia" w:cs="Times New Roman"/>
          <w:color w:val="000000" w:themeColor="text1"/>
          <w:highlight w:val="none"/>
          <w:lang w:val="en-US" w:eastAsia="zh-CN"/>
          <w14:textFill>
            <w14:solidFill>
              <w14:schemeClr w14:val="tx1"/>
            </w14:solidFill>
          </w14:textFill>
        </w:rPr>
        <w:t>11</w:t>
      </w:r>
      <w:r>
        <w:rPr>
          <w:rFonts w:hint="eastAsia" w:ascii="宋体" w:hAnsi="Courier New" w:eastAsia="宋体" w:cs="Times New Roman"/>
          <w:color w:val="000000" w:themeColor="text1"/>
          <w:highlight w:val="none"/>
          <w:lang w:val="en-US" w:eastAsia="zh-CN"/>
          <w14:textFill>
            <w14:solidFill>
              <w14:schemeClr w14:val="tx1"/>
            </w14:solidFill>
          </w14:textFill>
        </w:rPr>
        <w:t>月</w:t>
      </w:r>
      <w:r>
        <w:rPr>
          <w:rFonts w:hint="eastAsia" w:cs="Times New Roman"/>
          <w:color w:val="000000" w:themeColor="text1"/>
          <w:highlight w:val="none"/>
          <w:lang w:val="en-US" w:eastAsia="zh-CN"/>
          <w14:textFill>
            <w14:solidFill>
              <w14:schemeClr w14:val="tx1"/>
            </w14:solidFill>
          </w14:textFill>
        </w:rPr>
        <w:t>12</w:t>
      </w:r>
      <w:r>
        <w:rPr>
          <w:rFonts w:hint="eastAsia" w:ascii="宋体" w:hAnsi="Courier New" w:eastAsia="宋体" w:cs="Times New Roman"/>
          <w:color w:val="000000" w:themeColor="text1"/>
          <w:highlight w:val="none"/>
          <w:lang w:val="en-US" w:eastAsia="zh-CN"/>
          <w14:textFill>
            <w14:solidFill>
              <w14:schemeClr w14:val="tx1"/>
            </w14:solidFill>
          </w14:textFill>
        </w:rPr>
        <w:t>日前</w:t>
      </w:r>
      <w:r>
        <w:rPr>
          <w:rFonts w:hint="eastAsia" w:ascii="宋体" w:hAnsi="Courier New" w:eastAsia="宋体" w:cs="Times New Roman"/>
          <w:highlight w:val="none"/>
          <w:lang w:val="en-US" w:eastAsia="zh-CN"/>
        </w:rPr>
        <w:t>：</w:t>
      </w:r>
    </w:p>
    <w:p w14:paraId="59AC1516">
      <w:pPr>
        <w:pStyle w:val="76"/>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jc w:val="both"/>
        <w:textAlignment w:val="auto"/>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答疑、澄清和修改文件方式：招标人将以电子邮件的方式将招标文件的答疑澄清文件发送至答疑文件提交时登记的电子邮箱。</w:t>
      </w:r>
    </w:p>
    <w:p w14:paraId="7AB51490">
      <w:pPr>
        <w:pStyle w:val="76"/>
        <w:numPr>
          <w:ilvl w:val="0"/>
          <w:numId w:val="13"/>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报名方式</w:t>
      </w:r>
      <w:r>
        <w:rPr>
          <w:rFonts w:hint="eastAsia" w:cs="Times New Roman"/>
          <w:highlight w:val="none"/>
          <w:lang w:val="en-US" w:eastAsia="zh-CN"/>
        </w:rPr>
        <w:t>：中国重汽E采通</w:t>
      </w:r>
    </w:p>
    <w:p w14:paraId="6DC2B408">
      <w:pPr>
        <w:pStyle w:val="76"/>
        <w:numPr>
          <w:ilvl w:val="0"/>
          <w:numId w:val="13"/>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应标截止时间</w:t>
      </w:r>
      <w:r>
        <w:rPr>
          <w:rFonts w:hint="eastAsia" w:cs="Times New Roman"/>
          <w:highlight w:val="none"/>
          <w:lang w:val="en-US" w:eastAsia="zh-CN"/>
        </w:rPr>
        <w:t>202</w:t>
      </w:r>
      <w:r>
        <w:rPr>
          <w:rFonts w:hint="eastAsia" w:cs="Times New Roman"/>
          <w:color w:val="000000" w:themeColor="text1"/>
          <w:highlight w:val="none"/>
          <w:lang w:val="en-US" w:eastAsia="zh-CN"/>
          <w14:textFill>
            <w14:solidFill>
              <w14:schemeClr w14:val="tx1"/>
            </w14:solidFill>
          </w14:textFill>
        </w:rPr>
        <w:t>6年11月12日</w:t>
      </w:r>
    </w:p>
    <w:p w14:paraId="0C785EC5">
      <w:pPr>
        <w:pStyle w:val="72"/>
        <w:rPr>
          <w:rFonts w:hint="eastAsia" w:ascii="宋体" w:hAnsi="Courier New" w:eastAsia="宋体" w:cs="Times New Roman"/>
          <w:highlight w:val="none"/>
          <w:lang w:val="en-US" w:eastAsia="zh-CN"/>
        </w:rPr>
      </w:pPr>
      <w:r>
        <w:rPr>
          <w:rFonts w:hint="eastAsia" w:hAnsi="Courier New" w:cs="Times New Roman"/>
          <w:highlight w:val="none"/>
        </w:rPr>
        <w:t>投标文件</w:t>
      </w:r>
      <w:r>
        <w:rPr>
          <w:rFonts w:hint="eastAsia" w:cs="Times New Roman"/>
          <w:highlight w:val="none"/>
          <w:lang w:val="en-US" w:eastAsia="zh-CN"/>
        </w:rPr>
        <w:t>编制</w:t>
      </w:r>
    </w:p>
    <w:p w14:paraId="59493963">
      <w:pPr>
        <w:pStyle w:val="73"/>
        <w:keepNext w:val="0"/>
        <w:keepLines w:val="0"/>
        <w:pageBreakBefore w:val="0"/>
        <w:widowControl w:val="0"/>
        <w:numPr>
          <w:ilvl w:val="0"/>
          <w:numId w:val="14"/>
        </w:numPr>
        <w:kinsoku/>
        <w:wordWrap/>
        <w:overflowPunct/>
        <w:topLinePunct w:val="0"/>
        <w:autoSpaceDE/>
        <w:autoSpaceDN/>
        <w:bidi w:val="0"/>
        <w:adjustRightInd/>
        <w:snapToGrid/>
        <w:ind w:left="0" w:leftChars="0" w:firstLine="0" w:firstLineChars="0"/>
        <w:textAlignment w:val="auto"/>
        <w:rPr>
          <w:b w:val="0"/>
        </w:rPr>
      </w:pPr>
      <w:r>
        <w:rPr>
          <w:rFonts w:hint="eastAsia"/>
          <w:b w:val="0"/>
          <w:lang w:val="en-US" w:eastAsia="zh-CN"/>
        </w:rPr>
        <w:t>投标文件的组成</w:t>
      </w:r>
    </w:p>
    <w:p w14:paraId="5EA04826">
      <w:pPr>
        <w:pStyle w:val="73"/>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Courier New" w:eastAsia="宋体" w:cs="Times New Roman"/>
          <w:b w:val="0"/>
          <w:bCs/>
          <w:highlight w:val="none"/>
          <w:lang w:val="en-US" w:eastAsia="zh-CN"/>
        </w:rPr>
      </w:pPr>
      <w:r>
        <w:rPr>
          <w:rFonts w:hint="eastAsia" w:ascii="宋体" w:hAnsi="Courier New" w:eastAsia="宋体" w:cs="Times New Roman"/>
          <w:b w:val="0"/>
          <w:bCs/>
          <w:highlight w:val="none"/>
          <w:lang w:val="en-US" w:eastAsia="zh-CN"/>
        </w:rPr>
        <w:t>投标人编写的投标文件由《投标文件（资质标）》、《投标文件（商务标）》《投标文件（</w:t>
      </w:r>
      <w:r>
        <w:rPr>
          <w:rFonts w:hint="eastAsia" w:cs="Times New Roman"/>
          <w:b w:val="0"/>
          <w:bCs/>
          <w:highlight w:val="none"/>
          <w:lang w:val="en-US" w:eastAsia="zh-CN"/>
        </w:rPr>
        <w:t>技术</w:t>
      </w:r>
      <w:r>
        <w:rPr>
          <w:rFonts w:hint="eastAsia" w:ascii="宋体" w:hAnsi="Courier New" w:eastAsia="宋体" w:cs="Times New Roman"/>
          <w:b w:val="0"/>
          <w:bCs/>
          <w:highlight w:val="none"/>
          <w:lang w:val="en-US" w:eastAsia="zh-CN"/>
        </w:rPr>
        <w:t>标）》（开标一览表）文件组成，</w:t>
      </w:r>
      <w:r>
        <w:rPr>
          <w:rFonts w:hint="eastAsia" w:ascii="宋体" w:hAnsi="Courier New" w:eastAsia="宋体" w:cs="Times New Roman"/>
          <w:b w:val="0"/>
          <w:bCs/>
          <w:color w:val="000000" w:themeColor="text1"/>
          <w:highlight w:val="none"/>
          <w:lang w:val="en-US" w:eastAsia="zh-CN"/>
          <w14:textFill>
            <w14:solidFill>
              <w14:schemeClr w14:val="tx1"/>
            </w14:solidFill>
          </w14:textFill>
        </w:rPr>
        <w:t>共计</w:t>
      </w:r>
      <w:r>
        <w:rPr>
          <w:rFonts w:hint="eastAsia" w:cs="Times New Roman"/>
          <w:b w:val="0"/>
          <w:bCs/>
          <w:color w:val="000000" w:themeColor="text1"/>
          <w:highlight w:val="none"/>
          <w:u w:val="single"/>
          <w:lang w:val="en-US" w:eastAsia="zh-CN"/>
          <w14:textFill>
            <w14:solidFill>
              <w14:schemeClr w14:val="tx1"/>
            </w14:solidFill>
          </w14:textFill>
        </w:rPr>
        <w:t>4</w:t>
      </w:r>
      <w:r>
        <w:rPr>
          <w:rFonts w:hint="eastAsia" w:ascii="宋体" w:hAnsi="Courier New" w:eastAsia="宋体" w:cs="Times New Roman"/>
          <w:b w:val="0"/>
          <w:bCs/>
          <w:color w:val="000000" w:themeColor="text1"/>
          <w:highlight w:val="none"/>
          <w:lang w:val="en-US" w:eastAsia="zh-CN"/>
          <w14:textFill>
            <w14:solidFill>
              <w14:schemeClr w14:val="tx1"/>
            </w14:solidFill>
          </w14:textFill>
        </w:rPr>
        <w:t>个文件。</w:t>
      </w:r>
    </w:p>
    <w:p w14:paraId="2DD7BA97">
      <w:pPr>
        <w:pStyle w:val="74"/>
        <w:numPr>
          <w:ilvl w:val="0"/>
          <w:numId w:val="15"/>
        </w:numPr>
        <w:ind w:left="425" w:leftChars="0" w:hanging="425" w:firstLineChars="0"/>
        <w:rPr>
          <w:b w:val="0"/>
          <w:bCs/>
          <w:highlight w:val="none"/>
        </w:rPr>
      </w:pPr>
      <w:r>
        <w:rPr>
          <w:rFonts w:hint="eastAsia"/>
          <w:b w:val="0"/>
          <w:bCs/>
          <w:highlight w:val="none"/>
        </w:rPr>
        <w:t>资质文件：</w:t>
      </w:r>
    </w:p>
    <w:p w14:paraId="13BAC003">
      <w:pPr>
        <w:pStyle w:val="75"/>
        <w:numPr>
          <w:ilvl w:val="0"/>
          <w:numId w:val="16"/>
        </w:numPr>
        <w:ind w:left="425" w:leftChars="0" w:hanging="425" w:firstLineChars="0"/>
        <w:rPr>
          <w:b w:val="0"/>
          <w:bCs/>
          <w:highlight w:val="none"/>
        </w:rPr>
      </w:pPr>
      <w:r>
        <w:rPr>
          <w:rFonts w:hint="eastAsia"/>
          <w:b w:val="0"/>
          <w:bCs/>
          <w:highlight w:val="none"/>
        </w:rPr>
        <w:t>法定代表人身份证明；</w:t>
      </w:r>
    </w:p>
    <w:p w14:paraId="4DBDF119">
      <w:pPr>
        <w:pStyle w:val="75"/>
        <w:numPr>
          <w:ilvl w:val="0"/>
          <w:numId w:val="16"/>
        </w:numPr>
        <w:ind w:left="425" w:leftChars="0" w:hanging="425" w:firstLineChars="0"/>
        <w:rPr>
          <w:b w:val="0"/>
          <w:bCs/>
          <w:highlight w:val="none"/>
        </w:rPr>
      </w:pPr>
      <w:r>
        <w:rPr>
          <w:rFonts w:hint="eastAsia"/>
          <w:b w:val="0"/>
          <w:bCs/>
          <w:highlight w:val="none"/>
        </w:rPr>
        <w:t>法定代表人授权委托书（授权人需带身份证原件）；</w:t>
      </w:r>
    </w:p>
    <w:p w14:paraId="73FE5F95">
      <w:pPr>
        <w:pStyle w:val="75"/>
        <w:numPr>
          <w:ilvl w:val="0"/>
          <w:numId w:val="16"/>
        </w:numPr>
        <w:ind w:left="425" w:leftChars="0" w:hanging="425" w:firstLineChars="0"/>
        <w:rPr>
          <w:b w:val="0"/>
          <w:bCs/>
          <w:highlight w:val="none"/>
        </w:rPr>
      </w:pPr>
      <w:r>
        <w:rPr>
          <w:rFonts w:hint="eastAsia"/>
          <w:b w:val="0"/>
          <w:bCs/>
          <w:highlight w:val="none"/>
        </w:rPr>
        <w:t>营业执照副本原件</w:t>
      </w:r>
      <w:r>
        <w:rPr>
          <w:rFonts w:hint="eastAsia"/>
          <w:b w:val="0"/>
          <w:bCs/>
          <w:highlight w:val="none"/>
          <w:lang w:val="en-US" w:eastAsia="zh-CN"/>
        </w:rPr>
        <w:t>或复印件并加盖公章</w:t>
      </w:r>
      <w:r>
        <w:rPr>
          <w:rFonts w:hint="eastAsia"/>
          <w:b w:val="0"/>
          <w:bCs/>
          <w:highlight w:val="none"/>
        </w:rPr>
        <w:t>；</w:t>
      </w:r>
    </w:p>
    <w:p w14:paraId="440F9E5B">
      <w:pPr>
        <w:pStyle w:val="75"/>
        <w:keepNext w:val="0"/>
        <w:keepLines w:val="0"/>
        <w:pageBreakBefore w:val="0"/>
        <w:widowControl w:val="0"/>
        <w:numPr>
          <w:ilvl w:val="0"/>
          <w:numId w:val="16"/>
        </w:numPr>
        <w:kinsoku/>
        <w:wordWrap/>
        <w:overflowPunct/>
        <w:topLinePunct w:val="0"/>
        <w:autoSpaceDE/>
        <w:autoSpaceDN/>
        <w:bidi w:val="0"/>
        <w:adjustRightInd/>
        <w:snapToGrid/>
        <w:ind w:left="0" w:leftChars="0" w:firstLine="0" w:firstLineChars="0"/>
        <w:textAlignment w:val="auto"/>
        <w:rPr>
          <w:b w:val="0"/>
          <w:bCs/>
          <w:highlight w:val="none"/>
        </w:rPr>
      </w:pPr>
      <w:r>
        <w:rPr>
          <w:rFonts w:hint="eastAsia"/>
          <w:b w:val="0"/>
          <w:bCs/>
          <w:highlight w:val="none"/>
        </w:rPr>
        <w:t>投标人应具有相应生产证明，若</w:t>
      </w:r>
      <w:r>
        <w:rPr>
          <w:rFonts w:hint="eastAsia"/>
          <w:b w:val="0"/>
          <w:bCs/>
          <w:highlight w:val="none"/>
          <w:lang w:val="en-US" w:eastAsia="zh-CN"/>
        </w:rPr>
        <w:t>非原厂商</w:t>
      </w:r>
      <w:r>
        <w:rPr>
          <w:rFonts w:hint="eastAsia"/>
          <w:b w:val="0"/>
          <w:bCs/>
          <w:highlight w:val="none"/>
        </w:rPr>
        <w:t>需提供</w:t>
      </w:r>
      <w:r>
        <w:rPr>
          <w:rFonts w:hint="eastAsia"/>
          <w:b w:val="0"/>
          <w:bCs/>
          <w:highlight w:val="none"/>
          <w:lang w:val="en-US" w:eastAsia="zh-CN"/>
        </w:rPr>
        <w:t>原厂商</w:t>
      </w:r>
      <w:r>
        <w:rPr>
          <w:rFonts w:hint="eastAsia"/>
          <w:b w:val="0"/>
          <w:bCs/>
          <w:highlight w:val="none"/>
        </w:rPr>
        <w:t>授权书（原件或加盖投标单位公章的彩色打印件）；</w:t>
      </w:r>
    </w:p>
    <w:p w14:paraId="6A7B69C9">
      <w:pPr>
        <w:pStyle w:val="75"/>
        <w:keepNext w:val="0"/>
        <w:keepLines w:val="0"/>
        <w:pageBreakBefore w:val="0"/>
        <w:widowControl w:val="0"/>
        <w:numPr>
          <w:ilvl w:val="0"/>
          <w:numId w:val="16"/>
        </w:numPr>
        <w:kinsoku/>
        <w:wordWrap/>
        <w:overflowPunct/>
        <w:topLinePunct w:val="0"/>
        <w:autoSpaceDE/>
        <w:autoSpaceDN/>
        <w:bidi w:val="0"/>
        <w:adjustRightInd/>
        <w:snapToGrid/>
        <w:ind w:left="0" w:leftChars="0" w:firstLine="0" w:firstLineChars="0"/>
        <w:textAlignment w:val="auto"/>
        <w:rPr>
          <w:b w:val="0"/>
          <w:bCs/>
          <w:highlight w:val="none"/>
        </w:rPr>
      </w:pPr>
      <w:r>
        <w:rPr>
          <w:rFonts w:hint="eastAsia"/>
          <w:b w:val="0"/>
          <w:bCs/>
          <w:highlight w:val="none"/>
        </w:rPr>
        <w:t>证明投标人满足投标资料表中列出的业绩要求的文件</w:t>
      </w:r>
      <w:r>
        <w:rPr>
          <w:rFonts w:hint="eastAsia"/>
          <w:b w:val="0"/>
          <w:bCs/>
          <w:highlight w:val="none"/>
          <w:lang w:eastAsia="zh-CN"/>
        </w:rPr>
        <w:t>；</w:t>
      </w:r>
    </w:p>
    <w:p w14:paraId="2E43C7FD">
      <w:pPr>
        <w:pStyle w:val="75"/>
        <w:keepNext w:val="0"/>
        <w:keepLines w:val="0"/>
        <w:pageBreakBefore w:val="0"/>
        <w:widowControl w:val="0"/>
        <w:numPr>
          <w:ilvl w:val="0"/>
          <w:numId w:val="16"/>
        </w:numPr>
        <w:kinsoku/>
        <w:wordWrap/>
        <w:overflowPunct/>
        <w:topLinePunct w:val="0"/>
        <w:autoSpaceDE/>
        <w:autoSpaceDN/>
        <w:bidi w:val="0"/>
        <w:adjustRightInd/>
        <w:snapToGrid/>
        <w:ind w:left="0" w:leftChars="0" w:firstLine="0" w:firstLineChars="0"/>
        <w:textAlignment w:val="auto"/>
        <w:rPr>
          <w:b w:val="0"/>
          <w:bCs/>
          <w:highlight w:val="none"/>
        </w:rPr>
      </w:pPr>
      <w:r>
        <w:rPr>
          <w:rFonts w:hint="eastAsia" w:hAnsi="Courier New"/>
          <w:b w:val="0"/>
          <w:bCs/>
          <w:highlight w:val="none"/>
        </w:rPr>
        <w:t>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w:t>
      </w:r>
    </w:p>
    <w:p w14:paraId="7CB7B902">
      <w:pPr>
        <w:pStyle w:val="75"/>
        <w:numPr>
          <w:ilvl w:val="0"/>
          <w:numId w:val="16"/>
        </w:numPr>
        <w:ind w:left="425" w:leftChars="0" w:hanging="425" w:firstLineChars="0"/>
        <w:rPr>
          <w:rFonts w:hint="eastAsia" w:hAnsi="Courier New"/>
          <w:b w:val="0"/>
          <w:bCs/>
          <w:highlight w:val="none"/>
        </w:rPr>
      </w:pPr>
      <w:r>
        <w:rPr>
          <w:rFonts w:hint="eastAsia" w:hAnsi="Courier New"/>
          <w:b w:val="0"/>
          <w:bCs/>
          <w:highlight w:val="none"/>
        </w:rPr>
        <w:t>企业最近半年完税证明、信用证明材料（征信报告）；</w:t>
      </w:r>
    </w:p>
    <w:p w14:paraId="2F1917FF">
      <w:pPr>
        <w:pStyle w:val="75"/>
        <w:numPr>
          <w:ilvl w:val="0"/>
          <w:numId w:val="16"/>
        </w:numPr>
        <w:ind w:left="425" w:leftChars="0" w:hanging="425" w:firstLineChars="0"/>
        <w:rPr>
          <w:rFonts w:hint="eastAsia" w:hAnsi="Courier New"/>
          <w:b w:val="0"/>
          <w:bCs/>
          <w:highlight w:val="none"/>
        </w:rPr>
      </w:pPr>
      <w:r>
        <w:rPr>
          <w:rFonts w:hint="eastAsia" w:hAnsi="Courier New"/>
          <w:b w:val="0"/>
          <w:bCs/>
          <w:highlight w:val="none"/>
        </w:rPr>
        <w:t>年度纳税信用评价信息（可从电子税务局查询截图，需加盖公章）；</w:t>
      </w:r>
    </w:p>
    <w:p w14:paraId="66CC3FFB">
      <w:pPr>
        <w:pStyle w:val="75"/>
        <w:numPr>
          <w:ilvl w:val="0"/>
          <w:numId w:val="16"/>
        </w:numPr>
        <w:ind w:left="425" w:leftChars="0" w:hanging="425" w:firstLineChars="0"/>
        <w:rPr>
          <w:rFonts w:hint="eastAsia" w:hAnsi="Courier New"/>
          <w:b w:val="0"/>
          <w:bCs/>
          <w:highlight w:val="none"/>
        </w:rPr>
      </w:pPr>
      <w:r>
        <w:rPr>
          <w:rFonts w:hint="eastAsia" w:hAnsi="Courier New"/>
          <w:b w:val="0"/>
          <w:bCs/>
          <w:highlight w:val="none"/>
        </w:rPr>
        <w:t>企业对外担保说明（写明贵单位对外有无对外担保和质押业务，需加盖公章）。</w:t>
      </w:r>
    </w:p>
    <w:p w14:paraId="49857420">
      <w:pPr>
        <w:pStyle w:val="75"/>
        <w:numPr>
          <w:ilvl w:val="0"/>
          <w:numId w:val="16"/>
        </w:numPr>
        <w:ind w:left="425" w:leftChars="0" w:hanging="425" w:firstLineChars="0"/>
        <w:rPr>
          <w:b w:val="0"/>
          <w:bCs/>
          <w:highlight w:val="none"/>
        </w:rPr>
      </w:pPr>
      <w:r>
        <w:rPr>
          <w:rFonts w:hint="eastAsia"/>
          <w:b w:val="0"/>
          <w:bCs/>
          <w:highlight w:val="none"/>
        </w:rPr>
        <w:t>信用中国截图或国家企业信用信息公示系统截图；</w:t>
      </w:r>
    </w:p>
    <w:p w14:paraId="5FCC1A88">
      <w:pPr>
        <w:pStyle w:val="75"/>
        <w:numPr>
          <w:ilvl w:val="0"/>
          <w:numId w:val="16"/>
        </w:numPr>
        <w:ind w:left="425" w:leftChars="0" w:hanging="425" w:firstLineChars="0"/>
        <w:rPr>
          <w:b w:val="0"/>
          <w:bCs/>
          <w:highlight w:val="none"/>
        </w:rPr>
      </w:pPr>
      <w:r>
        <w:rPr>
          <w:rFonts w:hint="eastAsia"/>
          <w:b w:val="0"/>
          <w:bCs/>
          <w:highlight w:val="none"/>
        </w:rPr>
        <w:t>招标文件中要求的其它资格证明文件。</w:t>
      </w:r>
    </w:p>
    <w:p w14:paraId="0FCAA68A">
      <w:pPr>
        <w:pStyle w:val="75"/>
        <w:numPr>
          <w:ilvl w:val="0"/>
          <w:numId w:val="16"/>
        </w:numPr>
        <w:ind w:left="425" w:leftChars="0" w:hanging="425" w:firstLineChars="0"/>
        <w:rPr>
          <w:b w:val="0"/>
          <w:bCs/>
          <w:highlight w:val="none"/>
        </w:rPr>
      </w:pPr>
      <w:r>
        <w:rPr>
          <w:rFonts w:hint="eastAsia"/>
          <w:b w:val="0"/>
          <w:bCs/>
          <w:highlight w:val="none"/>
        </w:rPr>
        <w:t>对于投标人资质审核不通过的，招标人有权拒绝其投标。</w:t>
      </w:r>
    </w:p>
    <w:p w14:paraId="47175D6D">
      <w:pPr>
        <w:pStyle w:val="74"/>
        <w:numPr>
          <w:ilvl w:val="0"/>
          <w:numId w:val="15"/>
        </w:numPr>
        <w:ind w:left="425" w:leftChars="0" w:hanging="425" w:firstLineChars="0"/>
        <w:rPr>
          <w:rFonts w:hint="eastAsia" w:cs="Times New Roman"/>
          <w:b w:val="0"/>
          <w:bCs/>
          <w:color w:val="000000" w:themeColor="text1"/>
          <w:highlight w:val="none"/>
          <w14:textFill>
            <w14:solidFill>
              <w14:schemeClr w14:val="tx1"/>
            </w14:solidFill>
          </w14:textFill>
        </w:rPr>
      </w:pPr>
      <w:r>
        <w:rPr>
          <w:rFonts w:hint="eastAsia" w:cs="Times New Roman"/>
          <w:b w:val="0"/>
          <w:bCs/>
          <w:color w:val="000000" w:themeColor="text1"/>
          <w:highlight w:val="none"/>
          <w14:textFill>
            <w14:solidFill>
              <w14:schemeClr w14:val="tx1"/>
            </w14:solidFill>
          </w14:textFill>
        </w:rPr>
        <w:t>商务标：</w:t>
      </w:r>
    </w:p>
    <w:p w14:paraId="1FEC8CF2">
      <w:pPr>
        <w:pStyle w:val="75"/>
        <w:keepNext w:val="0"/>
        <w:keepLines w:val="0"/>
        <w:pageBreakBefore w:val="0"/>
        <w:widowControl w:val="0"/>
        <w:numPr>
          <w:ilvl w:val="0"/>
          <w:numId w:val="17"/>
        </w:numPr>
        <w:kinsoku/>
        <w:wordWrap/>
        <w:overflowPunct/>
        <w:topLinePunct w:val="0"/>
        <w:autoSpaceDE/>
        <w:autoSpaceDN/>
        <w:bidi w:val="0"/>
        <w:adjustRightInd/>
        <w:snapToGrid/>
        <w:ind w:left="425" w:leftChars="0" w:hanging="425" w:firstLineChars="0"/>
        <w:textAlignment w:val="auto"/>
        <w:rPr>
          <w:b w:val="0"/>
          <w:bCs/>
          <w:highlight w:val="none"/>
        </w:rPr>
      </w:pPr>
      <w:r>
        <w:rPr>
          <w:rFonts w:hint="eastAsia"/>
          <w:b w:val="0"/>
          <w:bCs/>
          <w:highlight w:val="none"/>
          <w:lang w:val="en-US" w:eastAsia="zh-CN"/>
        </w:rPr>
        <w:t>开标一览表</w:t>
      </w:r>
    </w:p>
    <w:p w14:paraId="0DFA5CBE">
      <w:pPr>
        <w:pStyle w:val="75"/>
        <w:numPr>
          <w:ilvl w:val="0"/>
          <w:numId w:val="17"/>
        </w:numPr>
        <w:ind w:left="425" w:leftChars="0" w:hanging="425" w:firstLineChars="0"/>
        <w:rPr>
          <w:b w:val="0"/>
          <w:bCs/>
          <w:highlight w:val="none"/>
        </w:rPr>
      </w:pPr>
      <w:r>
        <w:rPr>
          <w:rFonts w:hint="eastAsia"/>
          <w:b w:val="0"/>
          <w:bCs/>
          <w:highlight w:val="none"/>
        </w:rPr>
        <w:t>投标函（格式见附件）;</w:t>
      </w:r>
    </w:p>
    <w:p w14:paraId="5C36F232">
      <w:pPr>
        <w:pStyle w:val="75"/>
        <w:numPr>
          <w:ilvl w:val="0"/>
          <w:numId w:val="17"/>
        </w:numPr>
        <w:ind w:left="425" w:leftChars="0" w:hanging="425" w:firstLineChars="0"/>
        <w:rPr>
          <w:b w:val="0"/>
          <w:bCs/>
          <w:highlight w:val="none"/>
        </w:rPr>
      </w:pPr>
      <w:r>
        <w:rPr>
          <w:rFonts w:hint="eastAsia"/>
          <w:b w:val="0"/>
          <w:bCs/>
          <w:highlight w:val="none"/>
        </w:rPr>
        <w:t>商务条款偏离表；</w:t>
      </w:r>
    </w:p>
    <w:p w14:paraId="0BD75519">
      <w:pPr>
        <w:pStyle w:val="75"/>
        <w:numPr>
          <w:ilvl w:val="0"/>
          <w:numId w:val="17"/>
        </w:numPr>
        <w:ind w:left="425" w:leftChars="0" w:hanging="425" w:firstLineChars="0"/>
        <w:rPr>
          <w:rFonts w:hint="eastAsia" w:ascii="宋体" w:hAnsi="Courier New" w:eastAsia="宋体" w:cs="Times New Roman"/>
          <w:b w:val="0"/>
          <w:bCs/>
          <w:highlight w:val="none"/>
          <w:lang w:val="en-US" w:eastAsia="zh-CN"/>
        </w:rPr>
      </w:pPr>
      <w:r>
        <w:rPr>
          <w:rFonts w:hint="eastAsia"/>
          <w:b w:val="0"/>
          <w:bCs/>
          <w:highlight w:val="none"/>
        </w:rPr>
        <w:t>备配件目录价格及折扣报价表</w:t>
      </w:r>
    </w:p>
    <w:p w14:paraId="70E2A45F">
      <w:pPr>
        <w:pStyle w:val="73"/>
        <w:keepNext w:val="0"/>
        <w:keepLines w:val="0"/>
        <w:pageBreakBefore w:val="0"/>
        <w:widowControl w:val="0"/>
        <w:numPr>
          <w:ilvl w:val="0"/>
          <w:numId w:val="14"/>
        </w:numPr>
        <w:kinsoku/>
        <w:wordWrap/>
        <w:overflowPunct/>
        <w:topLinePunct w:val="0"/>
        <w:autoSpaceDE/>
        <w:autoSpaceDN/>
        <w:bidi w:val="0"/>
        <w:adjustRightInd/>
        <w:snapToGrid/>
        <w:ind w:left="0" w:leftChars="0" w:firstLine="0" w:firstLineChars="0"/>
        <w:textAlignment w:val="auto"/>
        <w:rPr>
          <w:rFonts w:hint="eastAsia" w:cs="Times New Roman"/>
          <w:b w:val="0"/>
          <w:highlight w:val="none"/>
          <w:lang w:val="en-US" w:eastAsia="zh-CN"/>
        </w:rPr>
      </w:pPr>
      <w:r>
        <w:rPr>
          <w:rFonts w:hint="eastAsia" w:cs="Times New Roman"/>
          <w:b w:val="0"/>
          <w:highlight w:val="none"/>
          <w:lang w:val="en-US" w:eastAsia="zh-CN"/>
        </w:rPr>
        <w:t>投标文件的投递</w:t>
      </w:r>
    </w:p>
    <w:p w14:paraId="776A71A0">
      <w:pPr>
        <w:pStyle w:val="75"/>
        <w:numPr>
          <w:ilvl w:val="0"/>
          <w:numId w:val="18"/>
        </w:numPr>
        <w:ind w:left="425" w:leftChars="0" w:hanging="425" w:firstLineChars="0"/>
        <w:rPr>
          <w:rFonts w:hint="eastAsia" w:ascii="宋体" w:hAnsi="Courier New" w:eastAsia="宋体" w:cs="Times New Roman"/>
          <w:b w:val="0"/>
          <w:bCs/>
          <w:highlight w:val="none"/>
          <w:lang w:val="en-US" w:eastAsia="zh-CN"/>
        </w:rPr>
      </w:pPr>
      <w:r>
        <w:rPr>
          <w:rFonts w:hint="eastAsia" w:ascii="宋体" w:hAnsi="Courier New" w:eastAsia="宋体" w:cs="Times New Roman"/>
          <w:b w:val="0"/>
          <w:bCs/>
          <w:highlight w:val="none"/>
          <w:lang w:val="en-US" w:eastAsia="zh-CN"/>
        </w:rPr>
        <w:t>投标方式：中国重汽官网http://www.cnhtc.com.cn（新闻中心-通知公告）、</w:t>
      </w:r>
      <w:r>
        <w:rPr>
          <w:rFonts w:hint="eastAsia" w:cs="Times New Roman"/>
          <w:b w:val="0"/>
          <w:bCs/>
          <w:highlight w:val="none"/>
          <w:lang w:val="en-US" w:eastAsia="zh-CN"/>
        </w:rPr>
        <w:t>阳光</w:t>
      </w:r>
      <w:r>
        <w:rPr>
          <w:rFonts w:hint="eastAsia" w:ascii="宋体" w:hAnsi="Courier New" w:eastAsia="宋体" w:cs="Times New Roman"/>
          <w:b w:val="0"/>
          <w:bCs/>
          <w:highlight w:val="none"/>
          <w:lang w:val="en-US" w:eastAsia="zh-CN"/>
        </w:rPr>
        <w:t>采购服务平台（www.ygcgfw.com）等公开媒体上发布的招标信息，在“中国重汽E采通”平台报名。按照中国重汽E采通“重汽E采通非生产供应商注册手册（附件10）”进行注册，注册完毕后按照“重汽E采通供应商用户手册”登录系统，进入“供应商应标”，选择对应的项目，点击“应标”后按照第二章招标文件编制组成资格证明文件中的要求准备资料并上传，资质审查通过即为报名成功，公示期间请尽快报名。</w:t>
      </w:r>
    </w:p>
    <w:p w14:paraId="430BD106">
      <w:pPr>
        <w:pStyle w:val="75"/>
        <w:numPr>
          <w:ilvl w:val="0"/>
          <w:numId w:val="18"/>
        </w:numPr>
        <w:ind w:left="425" w:leftChars="0" w:hanging="425" w:firstLineChars="0"/>
        <w:rPr>
          <w:rFonts w:hint="eastAsia" w:ascii="宋体" w:hAnsi="Courier New" w:eastAsia="宋体" w:cs="Times New Roman"/>
          <w:b w:val="0"/>
          <w:bCs/>
          <w:highlight w:val="none"/>
        </w:rPr>
      </w:pPr>
      <w:r>
        <w:rPr>
          <w:rFonts w:hint="eastAsia" w:ascii="宋体" w:hAnsi="Courier New" w:eastAsia="宋体" w:cs="Times New Roman"/>
          <w:b w:val="0"/>
          <w:bCs/>
          <w:highlight w:val="none"/>
          <w:lang w:val="en-US" w:eastAsia="zh-CN"/>
        </w:rPr>
        <w:t>邮寄地址：</w:t>
      </w:r>
      <w:r>
        <w:rPr>
          <w:rFonts w:hint="eastAsia" w:cs="Times New Roman"/>
          <w:b w:val="0"/>
          <w:bCs/>
          <w:highlight w:val="none"/>
          <w:lang w:val="en-US" w:eastAsia="zh-CN"/>
        </w:rPr>
        <w:t>中国重汽集团济宁商用车</w:t>
      </w:r>
    </w:p>
    <w:p w14:paraId="2079F016">
      <w:pPr>
        <w:pStyle w:val="75"/>
        <w:numPr>
          <w:ilvl w:val="0"/>
          <w:numId w:val="18"/>
        </w:numPr>
        <w:ind w:left="425" w:leftChars="0" w:hanging="425" w:firstLineChars="0"/>
        <w:rPr>
          <w:rFonts w:hint="eastAsia" w:ascii="宋体" w:hAnsi="Courier New" w:eastAsia="宋体" w:cs="Times New Roman"/>
          <w:b w:val="0"/>
          <w:bCs/>
          <w:highlight w:val="none"/>
          <w:lang w:val="en-US" w:eastAsia="zh-CN"/>
        </w:rPr>
      </w:pPr>
      <w:r>
        <w:rPr>
          <w:rFonts w:hint="eastAsia" w:ascii="宋体" w:hAnsi="Courier New" w:eastAsia="宋体" w:cs="Times New Roman"/>
          <w:b w:val="0"/>
          <w:bCs/>
          <w:highlight w:val="none"/>
          <w:lang w:val="en-US" w:eastAsia="zh-CN"/>
        </w:rPr>
        <w:t>联系人及联系方式：</w:t>
      </w:r>
      <w:r>
        <w:rPr>
          <w:rFonts w:hint="eastAsia" w:cs="Times New Roman"/>
          <w:b w:val="0"/>
          <w:bCs/>
          <w:highlight w:val="none"/>
          <w:lang w:val="en-US" w:eastAsia="zh-CN"/>
        </w:rPr>
        <w:t>杨胜利 15588724949</w:t>
      </w:r>
    </w:p>
    <w:p w14:paraId="4AAA3F9B">
      <w:pPr>
        <w:pStyle w:val="75"/>
        <w:numPr>
          <w:ilvl w:val="0"/>
          <w:numId w:val="18"/>
        </w:numPr>
        <w:ind w:left="425" w:leftChars="0" w:hanging="425" w:firstLineChars="0"/>
        <w:rPr>
          <w:rFonts w:hint="eastAsia" w:ascii="宋体" w:hAnsi="Courier New" w:eastAsia="宋体" w:cs="Times New Roman"/>
          <w:b w:val="0"/>
          <w:bCs/>
          <w:highlight w:val="none"/>
          <w:lang w:val="en-US" w:eastAsia="zh-CN"/>
        </w:rPr>
      </w:pPr>
      <w:r>
        <w:rPr>
          <w:rFonts w:hint="eastAsia" w:ascii="宋体" w:hAnsi="Courier New" w:eastAsia="宋体" w:cs="Times New Roman"/>
          <w:b w:val="0"/>
          <w:bCs/>
          <w:highlight w:val="none"/>
          <w:lang w:val="en-US" w:eastAsia="zh-CN"/>
        </w:rPr>
        <w:t>投标文件递交截止时间：20</w:t>
      </w:r>
      <w:r>
        <w:rPr>
          <w:rFonts w:hint="eastAsia" w:cs="Times New Roman"/>
          <w:b w:val="0"/>
          <w:bCs/>
          <w:highlight w:val="none"/>
          <w:lang w:val="en-US" w:eastAsia="zh-CN"/>
        </w:rPr>
        <w:t>26</w:t>
      </w:r>
      <w:r>
        <w:rPr>
          <w:rFonts w:hint="eastAsia" w:ascii="宋体" w:hAnsi="Courier New" w:eastAsia="宋体" w:cs="Times New Roman"/>
          <w:b w:val="0"/>
          <w:bCs/>
          <w:highlight w:val="none"/>
          <w:lang w:val="en-US" w:eastAsia="zh-CN"/>
        </w:rPr>
        <w:t>年</w:t>
      </w:r>
      <w:r>
        <w:rPr>
          <w:rFonts w:hint="eastAsia" w:cs="Times New Roman"/>
          <w:b w:val="0"/>
          <w:bCs/>
          <w:highlight w:val="none"/>
          <w:lang w:val="en-US" w:eastAsia="zh-CN"/>
        </w:rPr>
        <w:t>11</w:t>
      </w:r>
      <w:r>
        <w:rPr>
          <w:rFonts w:hint="eastAsia" w:ascii="宋体" w:hAnsi="Courier New" w:eastAsia="宋体" w:cs="Times New Roman"/>
          <w:b w:val="0"/>
          <w:bCs/>
          <w:highlight w:val="none"/>
          <w:lang w:val="en-US" w:eastAsia="zh-CN"/>
        </w:rPr>
        <w:t>月</w:t>
      </w:r>
      <w:r>
        <w:rPr>
          <w:rFonts w:hint="eastAsia" w:cs="Times New Roman"/>
          <w:b w:val="0"/>
          <w:bCs/>
          <w:highlight w:val="none"/>
          <w:lang w:val="en-US" w:eastAsia="zh-CN"/>
        </w:rPr>
        <w:t>17</w:t>
      </w:r>
      <w:r>
        <w:rPr>
          <w:rFonts w:hint="eastAsia" w:ascii="宋体" w:hAnsi="Courier New" w:eastAsia="宋体" w:cs="Times New Roman"/>
          <w:b w:val="0"/>
          <w:bCs/>
          <w:highlight w:val="none"/>
          <w:lang w:val="en-US" w:eastAsia="zh-CN"/>
        </w:rPr>
        <w:t>日</w:t>
      </w:r>
    </w:p>
    <w:p w14:paraId="25974AAC">
      <w:pPr>
        <w:pStyle w:val="72"/>
        <w:rPr>
          <w:rFonts w:hint="eastAsia" w:hAnsi="Courier New" w:cs="Times New Roman"/>
          <w:highlight w:val="none"/>
        </w:rPr>
      </w:pPr>
      <w:bookmarkStart w:id="14" w:name="_Toc47976601"/>
      <w:r>
        <w:rPr>
          <w:rFonts w:hint="eastAsia" w:hAnsi="Courier New" w:cs="Times New Roman"/>
          <w:highlight w:val="none"/>
        </w:rPr>
        <w:t>投标保证金</w:t>
      </w:r>
      <w:r>
        <w:rPr>
          <w:rFonts w:hint="eastAsia" w:hAnsi="Courier New" w:cs="Times New Roman"/>
          <w:highlight w:val="none"/>
          <w:lang w:val="en-US" w:eastAsia="zh-CN"/>
        </w:rPr>
        <w:t>收取</w:t>
      </w:r>
      <w:r>
        <w:rPr>
          <w:rFonts w:hint="eastAsia" w:hAnsi="Courier New" w:cs="Times New Roman"/>
          <w:highlight w:val="none"/>
          <w:lang w:eastAsia="zh-CN"/>
        </w:rPr>
        <w:t>、</w:t>
      </w:r>
      <w:r>
        <w:rPr>
          <w:rFonts w:hint="eastAsia" w:hAnsi="Courier New" w:cs="Times New Roman"/>
          <w:highlight w:val="none"/>
          <w:lang w:val="en-US" w:eastAsia="zh-CN"/>
        </w:rPr>
        <w:t>缴纳</w:t>
      </w:r>
      <w:r>
        <w:rPr>
          <w:rFonts w:hint="eastAsia" w:hAnsi="Courier New" w:cs="Times New Roman"/>
          <w:highlight w:val="none"/>
        </w:rPr>
        <w:t>有效期</w:t>
      </w:r>
      <w:r>
        <w:rPr>
          <w:rFonts w:hint="eastAsia" w:hAnsi="Courier New" w:cs="Times New Roman"/>
          <w:highlight w:val="none"/>
          <w:lang w:val="en-US" w:eastAsia="zh-CN"/>
        </w:rPr>
        <w:t>及罚没</w:t>
      </w:r>
    </w:p>
    <w:p w14:paraId="071E67B8">
      <w:pPr>
        <w:pStyle w:val="72"/>
        <w:numPr>
          <w:ilvl w:val="0"/>
          <w:numId w:val="19"/>
        </w:numPr>
        <w:ind w:leftChars="0"/>
        <w:rPr>
          <w:rFonts w:hint="eastAsia" w:ascii="宋体" w:hAnsi="宋体" w:eastAsia="宋体" w:cs="宋体"/>
          <w:b w:val="0"/>
          <w:bCs w:val="0"/>
          <w:sz w:val="21"/>
          <w:szCs w:val="21"/>
          <w:highlight w:val="none"/>
          <w:u w:val="single"/>
          <w:lang w:val="en-US" w:eastAsia="zh-CN"/>
        </w:rPr>
      </w:pPr>
      <w:r>
        <w:rPr>
          <w:rFonts w:hint="eastAsia" w:ascii="宋体" w:hAnsi="宋体" w:eastAsia="宋体" w:cs="宋体"/>
          <w:b w:val="0"/>
          <w:bCs w:val="0"/>
          <w:sz w:val="21"/>
          <w:szCs w:val="21"/>
          <w:highlight w:val="none"/>
        </w:rPr>
        <w:t>投标保证金的缴纳</w:t>
      </w:r>
    </w:p>
    <w:p w14:paraId="021ADBC0">
      <w:pPr>
        <w:pStyle w:val="72"/>
        <w:numPr>
          <w:ilvl w:val="0"/>
          <w:numId w:val="20"/>
        </w:numPr>
        <w:ind w:left="425" w:leftChars="0" w:hanging="425" w:firstLineChars="0"/>
        <w:rPr>
          <w:rFonts w:hint="eastAsia" w:ascii="宋体" w:hAnsi="宋体" w:eastAsia="宋体" w:cs="宋体"/>
          <w:b w:val="0"/>
          <w:bCs w:val="0"/>
          <w:sz w:val="21"/>
          <w:szCs w:val="21"/>
          <w:highlight w:val="none"/>
          <w:u w:val="single"/>
          <w:lang w:val="en-US" w:eastAsia="zh-CN"/>
        </w:rPr>
      </w:pPr>
      <w:r>
        <w:rPr>
          <w:rFonts w:hint="eastAsia" w:ascii="宋体" w:hAnsi="宋体" w:eastAsia="宋体" w:cs="宋体"/>
          <w:b w:val="0"/>
          <w:bCs w:val="0"/>
          <w:sz w:val="21"/>
          <w:szCs w:val="21"/>
          <w:highlight w:val="none"/>
        </w:rPr>
        <w:t>投标保证金</w:t>
      </w:r>
      <w:r>
        <w:rPr>
          <w:rFonts w:hint="eastAsia" w:ascii="宋体" w:hAnsi="宋体" w:eastAsia="宋体" w:cs="宋体"/>
          <w:b w:val="0"/>
          <w:bCs w:val="0"/>
          <w:sz w:val="21"/>
          <w:szCs w:val="21"/>
          <w:highlight w:val="none"/>
          <w:lang w:val="en-US" w:eastAsia="zh-CN"/>
        </w:rPr>
        <w:t>的缴纳</w:t>
      </w:r>
      <w:r>
        <w:rPr>
          <w:rFonts w:hint="eastAsia" w:ascii="宋体" w:hAnsi="宋体" w:eastAsia="宋体" w:cs="宋体"/>
          <w:b w:val="0"/>
          <w:bCs w:val="0"/>
          <w:sz w:val="21"/>
          <w:szCs w:val="21"/>
          <w:highlight w:val="none"/>
        </w:rPr>
        <w:t>形式：</w:t>
      </w:r>
      <w:r>
        <w:rPr>
          <w:rFonts w:hint="eastAsia" w:ascii="宋体" w:hAnsi="宋体" w:eastAsia="宋体" w:cs="宋体"/>
          <w:b w:val="0"/>
          <w:bCs w:val="0"/>
          <w:sz w:val="21"/>
          <w:szCs w:val="21"/>
          <w:highlight w:val="none"/>
          <w:u w:val="single"/>
          <w:lang w:val="en-US" w:eastAsia="zh-CN"/>
        </w:rPr>
        <w:t>提交银行投标保函或从银行基本账户转账</w:t>
      </w:r>
    </w:p>
    <w:p w14:paraId="04CD311F">
      <w:pPr>
        <w:pStyle w:val="72"/>
        <w:numPr>
          <w:ilvl w:val="0"/>
          <w:numId w:val="20"/>
        </w:numPr>
        <w:ind w:left="425" w:leftChars="0" w:hanging="425" w:firstLineChars="0"/>
        <w:rPr>
          <w:rFonts w:hint="default" w:ascii="宋体" w:hAnsi="宋体" w:eastAsia="宋体" w:cs="宋体"/>
          <w:b w:val="0"/>
          <w:bCs w:val="0"/>
          <w:sz w:val="21"/>
          <w:szCs w:val="21"/>
          <w:highlight w:val="none"/>
          <w:u w:val="single"/>
          <w:lang w:val="en-US" w:eastAsia="zh-CN"/>
        </w:rPr>
      </w:pPr>
      <w:r>
        <w:rPr>
          <w:rFonts w:hint="eastAsia" w:ascii="宋体" w:hAnsi="宋体" w:eastAsia="宋体" w:cs="宋体"/>
          <w:b w:val="0"/>
          <w:bCs w:val="0"/>
          <w:sz w:val="21"/>
          <w:szCs w:val="21"/>
          <w:highlight w:val="none"/>
        </w:rPr>
        <w:t>投标保证金的金额：人民币</w:t>
      </w:r>
      <w:r>
        <w:rPr>
          <w:rFonts w:hint="eastAsia" w:ascii="宋体" w:hAnsi="宋体" w:eastAsia="宋体" w:cs="宋体"/>
          <w:b w:val="0"/>
          <w:bCs w:val="0"/>
          <w:sz w:val="21"/>
          <w:szCs w:val="21"/>
          <w:highlight w:val="none"/>
          <w:u w:val="single"/>
          <w:lang w:val="en-US" w:eastAsia="zh-CN"/>
        </w:rPr>
        <w:t>20000</w:t>
      </w:r>
      <w:r>
        <w:rPr>
          <w:rFonts w:hint="eastAsia" w:ascii="宋体" w:hAnsi="宋体" w:eastAsia="宋体" w:cs="宋体"/>
          <w:b w:val="0"/>
          <w:bCs w:val="0"/>
          <w:sz w:val="21"/>
          <w:szCs w:val="21"/>
          <w:highlight w:val="none"/>
        </w:rPr>
        <w:t>元</w:t>
      </w:r>
    </w:p>
    <w:p w14:paraId="628790D5">
      <w:pPr>
        <w:pStyle w:val="72"/>
        <w:numPr>
          <w:ilvl w:val="0"/>
          <w:numId w:val="20"/>
        </w:numPr>
        <w:ind w:left="425" w:leftChars="0" w:hanging="425" w:firstLineChars="0"/>
        <w:rPr>
          <w:rFonts w:hint="default" w:ascii="宋体" w:hAnsi="宋体" w:eastAsia="宋体" w:cs="宋体"/>
          <w:b w:val="0"/>
          <w:bCs w:val="0"/>
          <w:sz w:val="21"/>
          <w:szCs w:val="21"/>
          <w:highlight w:val="none"/>
          <w:u w:val="single"/>
          <w:lang w:val="en-US" w:eastAsia="zh-CN"/>
        </w:rPr>
      </w:pPr>
      <w:r>
        <w:rPr>
          <w:rFonts w:hint="eastAsia" w:ascii="宋体" w:hAnsi="宋体" w:eastAsia="宋体" w:cs="宋体"/>
          <w:b w:val="0"/>
          <w:bCs w:val="0"/>
          <w:sz w:val="21"/>
          <w:szCs w:val="21"/>
          <w:highlight w:val="none"/>
        </w:rPr>
        <w:t>开户名称：</w:t>
      </w:r>
      <w:r>
        <w:rPr>
          <w:rFonts w:hint="eastAsia" w:ascii="宋体" w:hAnsi="宋体" w:eastAsia="宋体" w:cs="宋体"/>
          <w:b w:val="0"/>
          <w:bCs w:val="0"/>
          <w:sz w:val="21"/>
          <w:szCs w:val="21"/>
          <w:highlight w:val="none"/>
          <w:u w:val="single"/>
          <w:lang w:val="en-US" w:eastAsia="zh-CN"/>
        </w:rPr>
        <w:t>中国重汽集团济宁商用车有限公司</w:t>
      </w:r>
    </w:p>
    <w:p w14:paraId="2F37C98E">
      <w:pPr>
        <w:pStyle w:val="72"/>
        <w:numPr>
          <w:ilvl w:val="0"/>
          <w:numId w:val="0"/>
        </w:numPr>
        <w:ind w:leftChars="0"/>
        <w:rPr>
          <w:rFonts w:hint="eastAsia" w:ascii="宋体" w:hAnsi="宋体" w:eastAsia="宋体" w:cs="宋体"/>
          <w:b w:val="0"/>
          <w:bCs w:val="0"/>
          <w:sz w:val="21"/>
          <w:szCs w:val="21"/>
          <w:highlight w:val="none"/>
          <w:u w:val="single"/>
          <w:lang w:val="en-US" w:eastAsia="zh-CN"/>
        </w:rPr>
      </w:pPr>
      <w:r>
        <w:rPr>
          <w:rFonts w:hint="eastAsia" w:ascii="宋体" w:hAnsi="宋体" w:eastAsia="宋体" w:cs="宋体"/>
          <w:b w:val="0"/>
          <w:bCs w:val="0"/>
          <w:sz w:val="21"/>
          <w:szCs w:val="21"/>
          <w:highlight w:val="none"/>
        </w:rPr>
        <w:t>开户银行：</w:t>
      </w:r>
      <w:r>
        <w:rPr>
          <w:rFonts w:hint="eastAsia" w:ascii="宋体" w:hAnsi="宋体" w:eastAsia="宋体" w:cs="宋体"/>
          <w:b w:val="0"/>
          <w:bCs w:val="0"/>
          <w:sz w:val="21"/>
          <w:szCs w:val="21"/>
          <w:highlight w:val="none"/>
          <w:u w:val="single"/>
          <w:lang w:val="en-US" w:eastAsia="zh-CN"/>
        </w:rPr>
        <w:t>中行济宁分行</w:t>
      </w:r>
    </w:p>
    <w:p w14:paraId="6D33354A">
      <w:pPr>
        <w:pStyle w:val="72"/>
        <w:numPr>
          <w:ilvl w:val="0"/>
          <w:numId w:val="0"/>
        </w:numPr>
        <w:ind w:leftChars="0"/>
        <w:rPr>
          <w:rFonts w:hint="eastAsia" w:ascii="宋体" w:hAnsi="宋体" w:eastAsia="宋体" w:cs="宋体"/>
          <w:b w:val="0"/>
          <w:bCs w:val="0"/>
          <w:sz w:val="21"/>
          <w:szCs w:val="21"/>
          <w:highlight w:val="none"/>
          <w:u w:val="single"/>
          <w:lang w:val="en-US" w:eastAsia="zh-CN"/>
        </w:rPr>
      </w:pPr>
      <w:r>
        <w:rPr>
          <w:rFonts w:hint="eastAsia" w:ascii="宋体" w:hAnsi="宋体" w:eastAsia="宋体" w:cs="宋体"/>
          <w:b w:val="0"/>
          <w:bCs w:val="0"/>
          <w:sz w:val="21"/>
          <w:szCs w:val="21"/>
          <w:highlight w:val="none"/>
        </w:rPr>
        <w:t>银行帐号：</w:t>
      </w:r>
      <w:r>
        <w:rPr>
          <w:rFonts w:hint="eastAsia" w:ascii="宋体" w:hAnsi="宋体" w:eastAsia="宋体" w:cs="宋体"/>
          <w:b w:val="0"/>
          <w:bCs w:val="0"/>
          <w:sz w:val="21"/>
          <w:szCs w:val="21"/>
          <w:highlight w:val="none"/>
          <w:u w:val="single"/>
          <w:lang w:val="en-US" w:eastAsia="zh-CN"/>
        </w:rPr>
        <w:t>231202725157</w:t>
      </w:r>
    </w:p>
    <w:p w14:paraId="1591D62C">
      <w:pPr>
        <w:pStyle w:val="75"/>
        <w:keepNext w:val="0"/>
        <w:keepLines w:val="0"/>
        <w:pageBreakBefore w:val="0"/>
        <w:widowControl w:val="0"/>
        <w:numPr>
          <w:ilvl w:val="0"/>
          <w:numId w:val="21"/>
        </w:numPr>
        <w:kinsoku/>
        <w:wordWrap/>
        <w:overflowPunct/>
        <w:topLinePunct w:val="0"/>
        <w:autoSpaceDE/>
        <w:autoSpaceDN/>
        <w:bidi w:val="0"/>
        <w:adjustRightInd/>
        <w:snapToGrid/>
        <w:ind w:left="10" w:leftChars="0" w:firstLine="0"/>
        <w:textAlignment w:val="auto"/>
        <w:rPr>
          <w:rFonts w:hint="eastAsia" w:cs="Times New Roman"/>
          <w:b w:val="0"/>
          <w:bCs/>
          <w:highlight w:val="none"/>
          <w:lang w:val="en-US" w:eastAsia="zh-CN"/>
        </w:rPr>
      </w:pPr>
      <w:r>
        <w:rPr>
          <w:rFonts w:hint="eastAsia" w:cs="Times New Roman"/>
          <w:b w:val="0"/>
          <w:bCs/>
          <w:highlight w:val="none"/>
          <w:lang w:val="en-US" w:eastAsia="zh-CN"/>
        </w:rPr>
        <w:t>转账附言：公司名称+项目名称+投标保证金。</w:t>
      </w:r>
    </w:p>
    <w:p w14:paraId="5568414C">
      <w:pPr>
        <w:pStyle w:val="72"/>
        <w:numPr>
          <w:ilvl w:val="0"/>
          <w:numId w:val="0"/>
        </w:numPr>
        <w:ind w:left="425" w:leftChars="0" w:hanging="425" w:firstLineChars="0"/>
        <w:rPr>
          <w:rFonts w:hint="eastAsia" w:ascii="宋体" w:hAnsi="宋体" w:eastAsia="宋体" w:cs="宋体"/>
          <w:b w:val="0"/>
          <w:bCs w:val="0"/>
          <w:sz w:val="21"/>
          <w:szCs w:val="21"/>
          <w:highlight w:val="none"/>
        </w:rPr>
      </w:pPr>
      <w:r>
        <w:rPr>
          <w:rFonts w:hint="default" w:ascii="宋体" w:hAnsi="宋体" w:eastAsia="宋体" w:cs="宋体"/>
          <w:b w:val="0"/>
          <w:bCs w:val="0"/>
          <w:kern w:val="2"/>
          <w:sz w:val="21"/>
          <w:szCs w:val="21"/>
          <w:highlight w:val="none"/>
          <w:lang w:val="en-US" w:eastAsia="zh-CN" w:bidi="ar-SA"/>
        </w:rPr>
        <w:t>(</w:t>
      </w:r>
      <w:r>
        <w:rPr>
          <w:rFonts w:hint="eastAsia" w:ascii="宋体" w:hAnsi="宋体" w:eastAsia="宋体" w:cs="宋体"/>
          <w:b w:val="0"/>
          <w:bCs w:val="0"/>
          <w:kern w:val="2"/>
          <w:sz w:val="21"/>
          <w:szCs w:val="21"/>
          <w:highlight w:val="none"/>
          <w:lang w:val="en-US" w:eastAsia="zh-CN" w:bidi="ar-SA"/>
        </w:rPr>
        <w:t>4</w:t>
      </w:r>
      <w:r>
        <w:rPr>
          <w:rFonts w:hint="default" w:ascii="宋体" w:hAnsi="宋体" w:eastAsia="宋体" w:cs="宋体"/>
          <w:b w:val="0"/>
          <w:bCs w:val="0"/>
          <w:kern w:val="2"/>
          <w:sz w:val="21"/>
          <w:szCs w:val="21"/>
          <w:highlight w:val="none"/>
          <w:lang w:val="en-US" w:eastAsia="zh-CN" w:bidi="ar-SA"/>
        </w:rPr>
        <w:t>)</w:t>
      </w:r>
      <w:r>
        <w:rPr>
          <w:rFonts w:hint="eastAsia" w:ascii="宋体" w:hAnsi="宋体" w:eastAsia="宋体" w:cs="宋体"/>
          <w:b w:val="0"/>
          <w:bCs w:val="0"/>
          <w:sz w:val="21"/>
          <w:szCs w:val="21"/>
          <w:highlight w:val="none"/>
        </w:rPr>
        <w:t>保证金缴纳截止时间：202</w:t>
      </w:r>
      <w:r>
        <w:rPr>
          <w:rFonts w:hint="eastAsia" w:ascii="宋体" w:hAnsi="宋体" w:eastAsia="宋体" w:cs="宋体"/>
          <w:b w:val="0"/>
          <w:bCs w:val="0"/>
          <w:sz w:val="21"/>
          <w:szCs w:val="21"/>
          <w:highlight w:val="none"/>
          <w:lang w:val="en-US" w:eastAsia="zh-CN"/>
        </w:rPr>
        <w:t>6</w:t>
      </w:r>
      <w:r>
        <w:rPr>
          <w:rFonts w:hint="eastAsia" w:ascii="宋体" w:hAnsi="宋体" w:eastAsia="宋体" w:cs="宋体"/>
          <w:b w:val="0"/>
          <w:bCs w:val="0"/>
          <w:sz w:val="21"/>
          <w:szCs w:val="21"/>
          <w:highlight w:val="none"/>
        </w:rPr>
        <w:t>年</w:t>
      </w:r>
      <w:r>
        <w:rPr>
          <w:rFonts w:hint="eastAsia" w:ascii="宋体" w:hAnsi="宋体" w:eastAsia="宋体" w:cs="宋体"/>
          <w:b w:val="0"/>
          <w:bCs w:val="0"/>
          <w:sz w:val="21"/>
          <w:szCs w:val="21"/>
          <w:highlight w:val="none"/>
          <w:lang w:val="en-US" w:eastAsia="zh-CN"/>
        </w:rPr>
        <w:t>11</w:t>
      </w:r>
      <w:r>
        <w:rPr>
          <w:rFonts w:hint="eastAsia" w:ascii="宋体" w:hAnsi="宋体" w:eastAsia="宋体" w:cs="宋体"/>
          <w:b w:val="0"/>
          <w:bCs w:val="0"/>
          <w:sz w:val="21"/>
          <w:szCs w:val="21"/>
          <w:highlight w:val="none"/>
        </w:rPr>
        <w:t>月</w:t>
      </w:r>
      <w:r>
        <w:rPr>
          <w:rFonts w:hint="eastAsia" w:ascii="宋体" w:hAnsi="宋体" w:eastAsia="宋体" w:cs="宋体"/>
          <w:b w:val="0"/>
          <w:bCs w:val="0"/>
          <w:sz w:val="21"/>
          <w:szCs w:val="21"/>
          <w:highlight w:val="none"/>
          <w:lang w:eastAsia="zh-CN"/>
        </w:rPr>
        <w:t>12</w:t>
      </w:r>
      <w:r>
        <w:rPr>
          <w:rFonts w:hint="eastAsia" w:ascii="宋体" w:hAnsi="宋体" w:eastAsia="宋体" w:cs="宋体"/>
          <w:b w:val="0"/>
          <w:bCs w:val="0"/>
          <w:sz w:val="21"/>
          <w:szCs w:val="21"/>
          <w:highlight w:val="none"/>
        </w:rPr>
        <w:t>日</w:t>
      </w:r>
      <w:r>
        <w:rPr>
          <w:rFonts w:hint="eastAsia" w:ascii="宋体" w:hAnsi="宋体" w:eastAsia="宋体" w:cs="宋体"/>
          <w:b w:val="0"/>
          <w:bCs w:val="0"/>
          <w:sz w:val="21"/>
          <w:szCs w:val="21"/>
          <w:highlight w:val="none"/>
          <w:lang w:val="en-US" w:eastAsia="zh-CN"/>
        </w:rPr>
        <w:t>17</w:t>
      </w:r>
      <w:r>
        <w:rPr>
          <w:rFonts w:hint="eastAsia" w:ascii="宋体" w:hAnsi="宋体" w:eastAsia="宋体" w:cs="宋体"/>
          <w:b w:val="0"/>
          <w:bCs w:val="0"/>
          <w:sz w:val="21"/>
          <w:szCs w:val="21"/>
          <w:highlight w:val="none"/>
        </w:rPr>
        <w:t>：</w:t>
      </w:r>
      <w:r>
        <w:rPr>
          <w:rFonts w:hint="eastAsia" w:ascii="宋体" w:hAnsi="宋体" w:eastAsia="宋体" w:cs="宋体"/>
          <w:b w:val="0"/>
          <w:bCs w:val="0"/>
          <w:sz w:val="21"/>
          <w:szCs w:val="21"/>
          <w:highlight w:val="none"/>
          <w:lang w:val="en-US" w:eastAsia="zh-CN"/>
        </w:rPr>
        <w:t>00</w:t>
      </w:r>
      <w:r>
        <w:rPr>
          <w:rFonts w:hint="eastAsia" w:ascii="宋体" w:hAnsi="宋体" w:eastAsia="宋体" w:cs="宋体"/>
          <w:b w:val="0"/>
          <w:bCs w:val="0"/>
          <w:sz w:val="21"/>
          <w:szCs w:val="21"/>
          <w:highlight w:val="none"/>
        </w:rPr>
        <w:t>前</w:t>
      </w: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lang w:val="en-US" w:eastAsia="zh-CN"/>
        </w:rPr>
        <w:t>同应标截止时间</w:t>
      </w:r>
      <w:r>
        <w:rPr>
          <w:rFonts w:hint="eastAsia" w:ascii="宋体" w:hAnsi="宋体" w:eastAsia="宋体" w:cs="宋体"/>
          <w:b w:val="0"/>
          <w:bCs w:val="0"/>
          <w:sz w:val="21"/>
          <w:szCs w:val="21"/>
          <w:highlight w:val="none"/>
          <w:lang w:eastAsia="zh-CN"/>
        </w:rPr>
        <w:t>）</w:t>
      </w:r>
    </w:p>
    <w:p w14:paraId="4C2C93DA">
      <w:pPr>
        <w:pStyle w:val="72"/>
        <w:keepNext w:val="0"/>
        <w:keepLines w:val="0"/>
        <w:pageBreakBefore w:val="0"/>
        <w:widowControl w:val="0"/>
        <w:numPr>
          <w:ilvl w:val="0"/>
          <w:numId w:val="19"/>
        </w:numPr>
        <w:kinsoku/>
        <w:wordWrap/>
        <w:overflowPunct/>
        <w:topLinePunct w:val="0"/>
        <w:autoSpaceDE/>
        <w:autoSpaceDN/>
        <w:bidi w:val="0"/>
        <w:adjustRightInd/>
        <w:snapToGrid/>
        <w:ind w:left="0" w:leftChars="0" w:firstLine="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选择</w:t>
      </w:r>
      <w:r>
        <w:rPr>
          <w:rFonts w:hint="eastAsia" w:ascii="宋体" w:hAnsi="宋体" w:eastAsia="宋体" w:cs="宋体"/>
          <w:b w:val="0"/>
          <w:bCs w:val="0"/>
          <w:sz w:val="21"/>
          <w:szCs w:val="21"/>
          <w:highlight w:val="none"/>
        </w:rPr>
        <w:t>提交银行投标保函的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投标人，应在开标时提交投标保函正本，作为《投标文件》的一部分，该投标保函应是不可撤销的“见索即付”保函，保函有效期应满足投标有效期要求，</w:t>
      </w:r>
      <w:r>
        <w:rPr>
          <w:rFonts w:hint="eastAsia" w:ascii="宋体" w:hAnsi="宋体" w:eastAsia="宋体" w:cs="宋体"/>
          <w:b w:val="0"/>
          <w:bCs w:val="0"/>
          <w:sz w:val="21"/>
          <w:szCs w:val="21"/>
          <w:highlight w:val="none"/>
          <w:lang w:val="en-US" w:eastAsia="zh-CN"/>
        </w:rPr>
        <w:t>由招标人</w:t>
      </w:r>
      <w:r>
        <w:rPr>
          <w:rFonts w:hint="eastAsia" w:ascii="宋体" w:hAnsi="宋体" w:eastAsia="宋体" w:cs="宋体"/>
          <w:b w:val="0"/>
          <w:bCs w:val="0"/>
          <w:sz w:val="21"/>
          <w:szCs w:val="21"/>
          <w:highlight w:val="none"/>
        </w:rPr>
        <w:t>留存保函正本</w:t>
      </w:r>
      <w:r>
        <w:rPr>
          <w:rFonts w:hint="eastAsia" w:ascii="宋体" w:hAnsi="宋体" w:eastAsia="宋体" w:cs="宋体"/>
          <w:b w:val="0"/>
          <w:bCs w:val="0"/>
          <w:sz w:val="21"/>
          <w:szCs w:val="21"/>
          <w:highlight w:val="none"/>
          <w:lang w:eastAsia="zh-CN"/>
        </w:rPr>
        <w:t>。</w:t>
      </w:r>
    </w:p>
    <w:p w14:paraId="7486A087">
      <w:pPr>
        <w:pStyle w:val="72"/>
        <w:keepNext w:val="0"/>
        <w:keepLines w:val="0"/>
        <w:pageBreakBefore w:val="0"/>
        <w:widowControl w:val="0"/>
        <w:numPr>
          <w:ilvl w:val="0"/>
          <w:numId w:val="19"/>
        </w:numPr>
        <w:kinsoku/>
        <w:wordWrap/>
        <w:overflowPunct/>
        <w:topLinePunct w:val="0"/>
        <w:autoSpaceDE/>
        <w:autoSpaceDN/>
        <w:bidi w:val="0"/>
        <w:adjustRightInd/>
        <w:snapToGrid/>
        <w:ind w:left="0" w:leftChars="0" w:firstLine="0"/>
        <w:textAlignment w:val="auto"/>
        <w:rPr>
          <w:rFonts w:hint="eastAsia" w:ascii="宋体" w:hAnsi="宋体" w:eastAsia="仿宋_GB2312" w:cs="宋体"/>
          <w:b w:val="0"/>
          <w:bCs w:val="0"/>
          <w:sz w:val="24"/>
          <w:szCs w:val="24"/>
          <w:highlight w:val="none"/>
          <w:lang w:val="en-US" w:eastAsia="zh-CN"/>
        </w:rPr>
      </w:pPr>
      <w:r>
        <w:rPr>
          <w:rFonts w:hint="eastAsia" w:ascii="宋体" w:hAnsi="宋体" w:eastAsia="宋体" w:cs="宋体"/>
          <w:b w:val="0"/>
          <w:bCs w:val="0"/>
          <w:sz w:val="21"/>
          <w:szCs w:val="21"/>
          <w:highlight w:val="none"/>
          <w:lang w:val="en-US" w:eastAsia="zh-CN"/>
        </w:rPr>
        <w:t>选择从银行基本账户转账</w:t>
      </w:r>
      <w:r>
        <w:rPr>
          <w:rFonts w:hint="eastAsia" w:ascii="宋体" w:hAnsi="宋体" w:eastAsia="宋体" w:cs="宋体"/>
          <w:b w:val="0"/>
          <w:bCs w:val="0"/>
          <w:sz w:val="21"/>
          <w:szCs w:val="21"/>
          <w:highlight w:val="none"/>
        </w:rPr>
        <w:t>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w:t>
      </w: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lang w:val="en-US" w:eastAsia="zh-CN"/>
        </w:rPr>
        <w:t>须在规定的时间之前</w:t>
      </w:r>
      <w:r>
        <w:rPr>
          <w:rFonts w:hint="eastAsia" w:ascii="宋体" w:hAnsi="宋体" w:eastAsia="宋体" w:cs="宋体"/>
          <w:b w:val="0"/>
          <w:bCs w:val="0"/>
          <w:sz w:val="21"/>
          <w:szCs w:val="21"/>
          <w:highlight w:val="none"/>
        </w:rPr>
        <w:t>将投标保证金从</w:t>
      </w:r>
      <w:r>
        <w:rPr>
          <w:rFonts w:hint="eastAsia" w:ascii="宋体" w:hAnsi="宋体" w:eastAsia="宋体" w:cs="宋体"/>
          <w:b w:val="0"/>
          <w:bCs w:val="0"/>
          <w:sz w:val="21"/>
          <w:szCs w:val="21"/>
          <w:highlight w:val="none"/>
          <w:lang w:val="en-US" w:eastAsia="zh-CN"/>
        </w:rPr>
        <w:t>其</w:t>
      </w:r>
      <w:r>
        <w:rPr>
          <w:rFonts w:hint="eastAsia" w:ascii="宋体" w:hAnsi="宋体" w:eastAsia="宋体" w:cs="宋体"/>
          <w:b w:val="0"/>
          <w:bCs w:val="0"/>
          <w:sz w:val="21"/>
          <w:szCs w:val="21"/>
          <w:highlight w:val="none"/>
        </w:rPr>
        <w:t>单位基本帐户转出并到账，否则</w:t>
      </w:r>
      <w:r>
        <w:rPr>
          <w:rFonts w:hint="eastAsia" w:ascii="宋体" w:hAnsi="宋体" w:eastAsia="宋体" w:cs="宋体"/>
          <w:b w:val="0"/>
          <w:bCs w:val="0"/>
          <w:sz w:val="21"/>
          <w:szCs w:val="21"/>
          <w:highlight w:val="none"/>
          <w:lang w:val="en-US" w:eastAsia="zh-CN"/>
        </w:rPr>
        <w:t>视为无效投标</w:t>
      </w:r>
      <w:r>
        <w:rPr>
          <w:rFonts w:hint="eastAsia" w:ascii="宋体" w:hAnsi="宋体" w:eastAsia="宋体" w:cs="宋体"/>
          <w:b w:val="0"/>
          <w:bCs w:val="0"/>
          <w:sz w:val="21"/>
          <w:szCs w:val="21"/>
          <w:highlight w:val="none"/>
        </w:rPr>
        <w:t>；未按规定提交保证金的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投标人，其投标文件</w:t>
      </w:r>
      <w:r>
        <w:rPr>
          <w:rFonts w:hint="eastAsia" w:ascii="宋体" w:hAnsi="宋体" w:eastAsia="宋体" w:cs="宋体"/>
          <w:b w:val="0"/>
          <w:bCs w:val="0"/>
          <w:sz w:val="21"/>
          <w:szCs w:val="21"/>
          <w:highlight w:val="none"/>
          <w:lang w:val="en-US" w:eastAsia="zh-CN"/>
        </w:rPr>
        <w:t>视为无效投标</w:t>
      </w:r>
      <w:r>
        <w:rPr>
          <w:rFonts w:hint="eastAsia" w:ascii="宋体" w:hAnsi="宋体" w:eastAsia="宋体" w:cs="宋体"/>
          <w:b w:val="0"/>
          <w:bCs w:val="0"/>
          <w:sz w:val="21"/>
          <w:szCs w:val="21"/>
          <w:highlight w:val="none"/>
        </w:rPr>
        <w:t>。</w:t>
      </w:r>
      <w:r>
        <w:rPr>
          <w:rFonts w:hint="eastAsia" w:ascii="宋体" w:hAnsi="宋体" w:eastAsia="宋体" w:cs="宋体"/>
          <w:b w:val="0"/>
          <w:bCs w:val="0"/>
          <w:sz w:val="21"/>
          <w:szCs w:val="21"/>
          <w:highlight w:val="none"/>
          <w:lang w:val="en-US" w:eastAsia="zh-CN"/>
        </w:rPr>
        <w:t>拟投标人</w:t>
      </w:r>
      <w:r>
        <w:rPr>
          <w:rFonts w:hint="eastAsia" w:ascii="宋体" w:hAnsi="宋体" w:eastAsia="宋体" w:cs="宋体"/>
          <w:b w:val="0"/>
          <w:bCs w:val="0"/>
          <w:sz w:val="21"/>
          <w:szCs w:val="21"/>
          <w:highlight w:val="none"/>
        </w:rPr>
        <w:t>应充分考虑银行信息交换时间，由此带来的保证金不能按时到帐的责任由</w:t>
      </w:r>
      <w:r>
        <w:rPr>
          <w:rFonts w:hint="eastAsia" w:ascii="宋体" w:hAnsi="宋体" w:eastAsia="宋体" w:cs="宋体"/>
          <w:b w:val="0"/>
          <w:bCs w:val="0"/>
          <w:sz w:val="21"/>
          <w:szCs w:val="21"/>
          <w:highlight w:val="none"/>
          <w:lang w:val="en-US" w:eastAsia="zh-CN"/>
        </w:rPr>
        <w:t>拟投标人</w:t>
      </w:r>
      <w:r>
        <w:rPr>
          <w:rFonts w:hint="eastAsia" w:ascii="宋体" w:hAnsi="宋体" w:eastAsia="宋体" w:cs="宋体"/>
          <w:b w:val="0"/>
          <w:bCs w:val="0"/>
          <w:sz w:val="21"/>
          <w:szCs w:val="21"/>
          <w:highlight w:val="none"/>
        </w:rPr>
        <w:t>自行承担。</w:t>
      </w:r>
    </w:p>
    <w:p w14:paraId="5306DE77">
      <w:pPr>
        <w:pStyle w:val="72"/>
        <w:keepNext w:val="0"/>
        <w:keepLines w:val="0"/>
        <w:pageBreakBefore w:val="0"/>
        <w:widowControl w:val="0"/>
        <w:numPr>
          <w:ilvl w:val="0"/>
          <w:numId w:val="19"/>
        </w:numPr>
        <w:kinsoku/>
        <w:wordWrap/>
        <w:overflowPunct/>
        <w:topLinePunct w:val="0"/>
        <w:autoSpaceDE/>
        <w:autoSpaceDN/>
        <w:bidi w:val="0"/>
        <w:adjustRightInd/>
        <w:snapToGrid/>
        <w:ind w:left="0" w:leftChars="0" w:firstLine="0" w:firstLineChars="0"/>
        <w:textAlignment w:val="auto"/>
        <w:rPr>
          <w:rFonts w:hint="eastAsia" w:ascii="宋体" w:hAnsi="宋体" w:eastAsia="仿宋_GB2312" w:cs="宋体"/>
          <w:b w:val="0"/>
          <w:bCs w:val="0"/>
          <w:sz w:val="24"/>
          <w:szCs w:val="24"/>
          <w:highlight w:val="none"/>
          <w:lang w:val="en-US" w:eastAsia="zh-CN"/>
        </w:rPr>
      </w:pPr>
      <w:r>
        <w:rPr>
          <w:rFonts w:hint="eastAsia" w:ascii="宋体" w:hAnsi="宋体" w:eastAsia="宋体" w:cs="宋体"/>
          <w:b w:val="0"/>
          <w:bCs w:val="0"/>
          <w:sz w:val="21"/>
          <w:szCs w:val="21"/>
          <w:highlight w:val="none"/>
        </w:rPr>
        <w:t>对于没有中标的</w:t>
      </w:r>
      <w:r>
        <w:rPr>
          <w:rFonts w:hint="eastAsia" w:ascii="宋体" w:hAnsi="宋体" w:eastAsia="宋体" w:cs="宋体"/>
          <w:b w:val="0"/>
          <w:bCs w:val="0"/>
          <w:sz w:val="21"/>
          <w:szCs w:val="21"/>
          <w:highlight w:val="none"/>
          <w:lang w:eastAsia="zh-CN"/>
        </w:rPr>
        <w:t>投标人</w:t>
      </w:r>
      <w:r>
        <w:rPr>
          <w:rFonts w:hint="eastAsia" w:ascii="宋体" w:hAnsi="宋体" w:eastAsia="宋体" w:cs="宋体"/>
          <w:b w:val="0"/>
          <w:bCs w:val="0"/>
          <w:sz w:val="21"/>
          <w:szCs w:val="21"/>
          <w:highlight w:val="none"/>
        </w:rPr>
        <w:t>，投标保证金将于招标人内部完成中标人评审并确认最终中标人后在</w:t>
      </w:r>
      <w:r>
        <w:rPr>
          <w:rFonts w:hint="eastAsia" w:ascii="宋体" w:hAnsi="宋体" w:eastAsia="宋体" w:cs="宋体"/>
          <w:b w:val="0"/>
          <w:bCs w:val="0"/>
          <w:sz w:val="21"/>
          <w:szCs w:val="21"/>
          <w:highlight w:val="none"/>
          <w:u w:val="single"/>
          <w:lang w:val="en-US" w:eastAsia="zh-CN"/>
        </w:rPr>
        <w:t>10</w:t>
      </w:r>
      <w:r>
        <w:rPr>
          <w:rFonts w:hint="eastAsia" w:ascii="宋体" w:hAnsi="宋体" w:eastAsia="宋体" w:cs="宋体"/>
          <w:b w:val="0"/>
          <w:bCs w:val="0"/>
          <w:sz w:val="21"/>
          <w:szCs w:val="21"/>
          <w:highlight w:val="none"/>
        </w:rPr>
        <w:t>工作日内予以原路返还（无息）；对于中标方，投标保证金将在签订合同后</w:t>
      </w:r>
      <w:r>
        <w:rPr>
          <w:rFonts w:hint="eastAsia" w:ascii="宋体" w:hAnsi="宋体" w:eastAsia="宋体" w:cs="宋体"/>
          <w:b w:val="0"/>
          <w:bCs w:val="0"/>
          <w:sz w:val="21"/>
          <w:szCs w:val="21"/>
          <w:highlight w:val="none"/>
          <w:u w:val="single"/>
          <w:lang w:val="en-US" w:eastAsia="zh-CN"/>
        </w:rPr>
        <w:t>10</w:t>
      </w:r>
      <w:r>
        <w:rPr>
          <w:rFonts w:hint="eastAsia" w:ascii="宋体" w:hAnsi="宋体" w:eastAsia="宋体" w:cs="宋体"/>
          <w:b w:val="0"/>
          <w:bCs w:val="0"/>
          <w:sz w:val="21"/>
          <w:szCs w:val="21"/>
          <w:highlight w:val="none"/>
          <w:lang w:val="en-US" w:eastAsia="zh-CN"/>
        </w:rPr>
        <w:t>个</w:t>
      </w:r>
      <w:r>
        <w:rPr>
          <w:rFonts w:hint="eastAsia" w:ascii="宋体" w:hAnsi="宋体" w:eastAsia="宋体" w:cs="宋体"/>
          <w:b w:val="0"/>
          <w:bCs w:val="0"/>
          <w:sz w:val="21"/>
          <w:szCs w:val="21"/>
          <w:highlight w:val="none"/>
        </w:rPr>
        <w:t>工作日内原路返还（无息）。</w:t>
      </w:r>
    </w:p>
    <w:p w14:paraId="64E08373">
      <w:pPr>
        <w:pStyle w:val="72"/>
        <w:keepNext w:val="0"/>
        <w:keepLines w:val="0"/>
        <w:pageBreakBefore w:val="0"/>
        <w:widowControl w:val="0"/>
        <w:numPr>
          <w:ilvl w:val="0"/>
          <w:numId w:val="19"/>
        </w:numPr>
        <w:kinsoku/>
        <w:wordWrap/>
        <w:overflowPunct/>
        <w:topLinePunct w:val="0"/>
        <w:autoSpaceDE/>
        <w:autoSpaceDN/>
        <w:bidi w:val="0"/>
        <w:adjustRightInd/>
        <w:snapToGrid/>
        <w:ind w:left="0" w:leftChars="0" w:firstLine="0" w:firstLineChars="0"/>
        <w:textAlignment w:val="auto"/>
        <w:rPr>
          <w:rFonts w:hint="eastAsia" w:ascii="宋体" w:hAnsi="宋体" w:eastAsia="仿宋_GB2312" w:cs="宋体"/>
          <w:b w:val="0"/>
          <w:bCs w:val="0"/>
          <w:sz w:val="24"/>
          <w:szCs w:val="24"/>
          <w:highlight w:val="none"/>
          <w:lang w:val="en-US" w:eastAsia="zh-CN"/>
        </w:rPr>
      </w:pPr>
      <w:r>
        <w:rPr>
          <w:rFonts w:hint="eastAsia" w:ascii="宋体" w:hAnsi="宋体" w:eastAsia="宋体" w:cs="宋体"/>
          <w:b w:val="0"/>
          <w:bCs w:val="0"/>
          <w:sz w:val="21"/>
          <w:szCs w:val="21"/>
          <w:highlight w:val="none"/>
        </w:rPr>
        <w:t>发生以下情况时，有权没收保证金：</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①供应商在提交响应文件截止时间后撤回响应文件的；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②供应商在响应文件中提供虚假材料的；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③除因不可抗力或谈判文件、询价通知书认可的情形以外，成交供应商不与采购人签订合同的；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④供应商与采购人、其他供应商或者采购代理机构恶意串通、围标、陪标的；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⑤供应商有违约违规行为或被投诉、举报的，在调查处理期间，保证金暂不退还，待调查处理结束后按有关规定处理。</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⑥截至开标前3天，投标人无正当理由、未以书面形式向招标人递交说明而在投标截止日不来投标的。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⑦自中标通知书发出之日起30日内，中标人无正当理由投标人无正当签订合同的；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⑧</w:t>
      </w:r>
      <w:r>
        <w:rPr>
          <w:rFonts w:hint="eastAsia" w:ascii="宋体" w:hAnsi="宋体" w:eastAsia="宋体" w:cs="宋体"/>
          <w:b w:val="0"/>
          <w:bCs w:val="0"/>
          <w:sz w:val="21"/>
          <w:szCs w:val="21"/>
          <w:highlight w:val="none"/>
          <w:lang w:val="en-US" w:eastAsia="zh-CN"/>
        </w:rPr>
        <w:t>招标人在验证投标人场地后，如投标场地不满足重卡停车条件，招标人有权淘汰投标人；</w:t>
      </w:r>
    </w:p>
    <w:p w14:paraId="1EEDD682">
      <w:pPr>
        <w:pStyle w:val="72"/>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ascii="宋体" w:hAnsi="宋体" w:eastAsia="仿宋_GB2312" w:cs="宋体"/>
          <w:b w:val="0"/>
          <w:bCs w:val="0"/>
          <w:sz w:val="24"/>
          <w:szCs w:val="24"/>
          <w:highlight w:val="none"/>
          <w:lang w:val="en-US" w:eastAsia="zh-CN"/>
        </w:rPr>
      </w:pPr>
      <w:r>
        <w:rPr>
          <w:rFonts w:hint="eastAsia" w:ascii="宋体" w:hAnsi="宋体" w:eastAsia="宋体" w:cs="宋体"/>
          <w:b w:val="0"/>
          <w:bCs w:val="0"/>
          <w:sz w:val="21"/>
          <w:szCs w:val="21"/>
          <w:highlight w:val="none"/>
          <w:lang w:val="en-US" w:eastAsia="zh-CN"/>
        </w:rPr>
        <w:t>⑨</w:t>
      </w:r>
      <w:r>
        <w:rPr>
          <w:rFonts w:hint="eastAsia" w:ascii="宋体" w:hAnsi="宋体" w:eastAsia="宋体" w:cs="宋体"/>
          <w:b w:val="0"/>
          <w:bCs w:val="0"/>
          <w:sz w:val="21"/>
          <w:szCs w:val="21"/>
          <w:highlight w:val="none"/>
        </w:rPr>
        <w:t>采购文件规定的其他情形</w:t>
      </w:r>
      <w:r>
        <w:rPr>
          <w:rFonts w:hint="eastAsia" w:ascii="宋体" w:hAnsi="宋体" w:eastAsia="宋体" w:cs="宋体"/>
          <w:b w:val="0"/>
          <w:bCs w:val="0"/>
          <w:sz w:val="21"/>
          <w:szCs w:val="21"/>
          <w:highlight w:val="none"/>
          <w:lang w:eastAsia="zh-CN"/>
        </w:rPr>
        <w:t>。</w:t>
      </w:r>
    </w:p>
    <w:p w14:paraId="0F9389B8">
      <w:pPr>
        <w:pStyle w:val="72"/>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ascii="宋体" w:hAnsi="宋体" w:eastAsia="仿宋_GB2312" w:cs="宋体"/>
          <w:b w:val="0"/>
          <w:bCs w:val="0"/>
          <w:sz w:val="24"/>
          <w:szCs w:val="24"/>
          <w:highlight w:val="none"/>
          <w:lang w:val="en-US" w:eastAsia="zh-CN"/>
        </w:rPr>
      </w:pPr>
    </w:p>
    <w:bookmarkEnd w:id="14"/>
    <w:p w14:paraId="368B6990">
      <w:pPr>
        <w:pStyle w:val="72"/>
      </w:pPr>
      <w:r>
        <w:rPr>
          <w:rFonts w:hint="eastAsia"/>
          <w:lang w:val="en-US" w:eastAsia="zh-CN"/>
        </w:rPr>
        <w:t>开评标</w:t>
      </w:r>
    </w:p>
    <w:p w14:paraId="009655B5">
      <w:pPr>
        <w:pStyle w:val="72"/>
        <w:keepNext w:val="0"/>
        <w:keepLines w:val="0"/>
        <w:pageBreakBefore w:val="0"/>
        <w:widowControl w:val="0"/>
        <w:numPr>
          <w:ilvl w:val="0"/>
          <w:numId w:val="22"/>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开标时间：2026年11月17</w:t>
      </w:r>
      <w:bookmarkStart w:id="27" w:name="_GoBack"/>
      <w:bookmarkEnd w:id="27"/>
      <w:r>
        <w:rPr>
          <w:rFonts w:hint="eastAsia" w:ascii="宋体" w:hAnsi="宋体" w:eastAsia="宋体" w:cs="宋体"/>
          <w:b w:val="0"/>
          <w:bCs w:val="0"/>
          <w:sz w:val="21"/>
          <w:szCs w:val="21"/>
          <w:highlight w:val="none"/>
          <w:lang w:val="en-US" w:eastAsia="zh-CN"/>
        </w:rPr>
        <w:t>日</w:t>
      </w:r>
    </w:p>
    <w:p w14:paraId="06F7B67A">
      <w:pPr>
        <w:pStyle w:val="72"/>
        <w:keepNext w:val="0"/>
        <w:keepLines w:val="0"/>
        <w:pageBreakBefore w:val="0"/>
        <w:widowControl w:val="0"/>
        <w:numPr>
          <w:ilvl w:val="0"/>
          <w:numId w:val="22"/>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开标地点：中国重汽集团济宁商用车有限公司</w:t>
      </w:r>
    </w:p>
    <w:p w14:paraId="420F0E0C">
      <w:pPr>
        <w:pStyle w:val="72"/>
        <w:keepNext w:val="0"/>
        <w:keepLines w:val="0"/>
        <w:pageBreakBefore w:val="0"/>
        <w:widowControl w:val="0"/>
        <w:numPr>
          <w:ilvl w:val="0"/>
          <w:numId w:val="22"/>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开标方式：</w:t>
      </w:r>
    </w:p>
    <w:p w14:paraId="4DCBC48A">
      <w:pPr>
        <w:keepNext w:val="0"/>
        <w:keepLines w:val="0"/>
        <w:pageBreakBefore w:val="0"/>
        <w:widowControl w:val="0"/>
        <w:numPr>
          <w:ilvl w:val="0"/>
          <w:numId w:val="23"/>
        </w:numPr>
        <w:kinsoku/>
        <w:wordWrap/>
        <w:overflowPunct/>
        <w:topLinePunct w:val="0"/>
        <w:autoSpaceDE/>
        <w:autoSpaceDN/>
        <w:bidi w:val="0"/>
        <w:adjustRightInd/>
        <w:snapToGrid/>
        <w:spacing w:line="360" w:lineRule="auto"/>
        <w:ind w:left="11" w:leftChars="0" w:firstLine="0" w:firstLineChars="0"/>
        <w:textAlignment w:val="auto"/>
        <w:rPr>
          <w:rFonts w:hint="eastAsia" w:ascii="宋体" w:hAnsi="宋体" w:eastAsia="宋体" w:cs="宋体"/>
          <w:color w:val="000000"/>
          <w:sz w:val="21"/>
          <w:szCs w:val="21"/>
          <w:highlight w:val="none"/>
        </w:rPr>
      </w:pPr>
      <w:r>
        <w:rPr>
          <w:rFonts w:hint="eastAsia" w:ascii="宋体" w:hAnsi="Courier New" w:eastAsia="宋体" w:cs="Times New Roman"/>
          <w:b w:val="0"/>
          <w:bCs/>
          <w:kern w:val="2"/>
          <w:sz w:val="21"/>
          <w:highlight w:val="none"/>
          <w:lang w:val="en-US" w:eastAsia="zh-CN" w:bidi="ar-SA"/>
        </w:rPr>
        <w:t>现场招</w:t>
      </w:r>
      <w:r>
        <w:rPr>
          <w:rFonts w:hint="eastAsia" w:ascii="宋体" w:hAnsi="宋体" w:eastAsia="宋体" w:cs="宋体"/>
          <w:b w:val="0"/>
          <w:bCs w:val="0"/>
          <w:sz w:val="21"/>
          <w:szCs w:val="21"/>
          <w:highlight w:val="none"/>
          <w:lang w:val="en-US" w:eastAsia="zh-CN"/>
        </w:rPr>
        <w:t>标：</w:t>
      </w:r>
      <w:r>
        <w:rPr>
          <w:rFonts w:hint="eastAsia" w:ascii="宋体" w:hAnsi="宋体" w:eastAsia="宋体" w:cs="宋体"/>
          <w:color w:val="000000"/>
          <w:sz w:val="21"/>
          <w:szCs w:val="21"/>
          <w:highlight w:val="none"/>
        </w:rPr>
        <w:t>原则上来现场参与开标。如因特殊情况无法现场参与，需在开标前三日，通知招标人，由招标人创建视频链接，并在报名结束后统一通知。</w:t>
      </w:r>
    </w:p>
    <w:p w14:paraId="2C652027">
      <w:pPr>
        <w:pStyle w:val="72"/>
        <w:keepNext w:val="0"/>
        <w:keepLines w:val="0"/>
        <w:pageBreakBefore w:val="0"/>
        <w:widowControl w:val="0"/>
        <w:numPr>
          <w:ilvl w:val="0"/>
          <w:numId w:val="22"/>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评标</w:t>
      </w:r>
    </w:p>
    <w:p w14:paraId="21F7DD1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11" w:leftChars="0"/>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rPr>
        <w:t>本次招标采用综合评标法</w:t>
      </w:r>
      <w:r>
        <w:rPr>
          <w:rFonts w:hint="eastAsia" w:ascii="宋体" w:hAnsi="宋体" w:cs="宋体"/>
          <w:color w:val="000000"/>
          <w:sz w:val="21"/>
          <w:szCs w:val="21"/>
          <w:highlight w:val="none"/>
          <w:lang w:eastAsia="zh-CN"/>
        </w:rPr>
        <w:t>，</w:t>
      </w:r>
      <w:r>
        <w:rPr>
          <w:rFonts w:hint="eastAsia" w:ascii="宋体" w:hAnsi="宋体" w:eastAsia="宋体" w:cs="宋体"/>
          <w:color w:val="000000"/>
          <w:sz w:val="21"/>
          <w:szCs w:val="21"/>
          <w:highlight w:val="none"/>
        </w:rPr>
        <w:t>首先进行技术标评审，由评标专家组对所有投标方的技术标部分综合评定和打分，确定进入商务标评比资格的投标方。然后进行商务标的评标，招标人有权根据项目情况，商务标采取多轮评标模式</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采用</w:t>
      </w:r>
      <w:r>
        <w:rPr>
          <w:rFonts w:hint="eastAsia" w:ascii="宋体" w:hAnsi="宋体" w:cs="宋体"/>
          <w:color w:val="000000"/>
          <w:sz w:val="21"/>
          <w:szCs w:val="21"/>
          <w:highlight w:val="none"/>
          <w:lang w:val="en-US" w:eastAsia="zh-CN"/>
        </w:rPr>
        <w:t>合理最低价</w:t>
      </w:r>
      <w:r>
        <w:rPr>
          <w:rFonts w:hint="eastAsia" w:ascii="宋体" w:hAnsi="宋体" w:eastAsia="宋体" w:cs="宋体"/>
          <w:color w:val="000000"/>
          <w:sz w:val="21"/>
          <w:szCs w:val="21"/>
          <w:highlight w:val="none"/>
        </w:rPr>
        <w:t>确定推荐中标人</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对未中标单位不做任何解释。</w:t>
      </w:r>
      <w:r>
        <w:rPr>
          <w:rFonts w:hint="eastAsia" w:ascii="宋体" w:hAnsi="宋体" w:eastAsia="宋体" w:cs="宋体"/>
          <w:color w:val="000000"/>
          <w:sz w:val="21"/>
          <w:szCs w:val="21"/>
          <w:highlight w:val="none"/>
          <w:lang w:val="en-US" w:eastAsia="zh-CN"/>
        </w:rPr>
        <w:t>注：80分以上入围商务标，其余的淘汰。</w:t>
      </w:r>
    </w:p>
    <w:p w14:paraId="3A76F932">
      <w:pPr>
        <w:pStyle w:val="72"/>
        <w:keepNext w:val="0"/>
        <w:keepLines w:val="0"/>
        <w:pageBreakBefore w:val="0"/>
        <w:widowControl w:val="0"/>
        <w:numPr>
          <w:ilvl w:val="0"/>
          <w:numId w:val="24"/>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技术标评标方法</w:t>
      </w:r>
    </w:p>
    <w:p w14:paraId="1C23D57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11" w:leftChars="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1</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、投标人技术标的最终得分为所有评委打分汇总后的平均值。</w:t>
      </w:r>
    </w:p>
    <w:p w14:paraId="5A9E734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11" w:leftChars="0"/>
        <w:textAlignment w:val="auto"/>
        <w:rPr>
          <w:rFonts w:hint="default"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2</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、技术标根据评分办法进行打分，技术标评标小组推荐至少</w:t>
      </w:r>
      <w:r>
        <w:rPr>
          <w:rFonts w:hint="eastAsia" w:ascii="宋体" w:hAnsi="宋体" w:cs="宋体"/>
          <w:color w:val="000000"/>
          <w:sz w:val="21"/>
          <w:szCs w:val="21"/>
          <w:highlight w:val="none"/>
          <w:lang w:val="en-US" w:eastAsia="zh-CN"/>
        </w:rPr>
        <w:t>5</w:t>
      </w:r>
      <w:r>
        <w:rPr>
          <w:rFonts w:hint="eastAsia" w:ascii="宋体" w:hAnsi="宋体" w:eastAsia="宋体" w:cs="宋体"/>
          <w:color w:val="000000"/>
          <w:sz w:val="21"/>
          <w:szCs w:val="21"/>
          <w:highlight w:val="none"/>
        </w:rPr>
        <w:t>家技术得分</w:t>
      </w:r>
      <w:r>
        <w:rPr>
          <w:rFonts w:hint="eastAsia" w:ascii="宋体" w:hAnsi="宋体" w:eastAsia="宋体" w:cs="宋体"/>
          <w:color w:val="000000"/>
          <w:sz w:val="21"/>
          <w:szCs w:val="21"/>
          <w:highlight w:val="none"/>
          <w:lang w:val="en-US" w:eastAsia="zh-CN"/>
        </w:rPr>
        <w:t>8</w:t>
      </w:r>
      <w:r>
        <w:rPr>
          <w:rFonts w:hint="eastAsia" w:ascii="宋体" w:hAnsi="宋体" w:eastAsia="宋体" w:cs="宋体"/>
          <w:color w:val="000000"/>
          <w:sz w:val="21"/>
          <w:szCs w:val="21"/>
          <w:highlight w:val="none"/>
        </w:rPr>
        <w:t>0分（含）以上的投标人入围。技术入围投标人不足</w:t>
      </w:r>
      <w:r>
        <w:rPr>
          <w:rFonts w:hint="eastAsia" w:ascii="宋体" w:hAnsi="宋体" w:cs="宋体"/>
          <w:color w:val="000000"/>
          <w:sz w:val="21"/>
          <w:szCs w:val="21"/>
          <w:highlight w:val="none"/>
          <w:lang w:val="en-US" w:eastAsia="zh-CN"/>
        </w:rPr>
        <w:t>5</w:t>
      </w:r>
      <w:r>
        <w:rPr>
          <w:rFonts w:hint="eastAsia" w:ascii="宋体" w:hAnsi="宋体" w:eastAsia="宋体" w:cs="宋体"/>
          <w:color w:val="000000"/>
          <w:sz w:val="21"/>
          <w:szCs w:val="21"/>
          <w:highlight w:val="none"/>
        </w:rPr>
        <w:t>家时，本次按废标处理，招标人有权根据招标采购管理流程重新组织招标</w:t>
      </w:r>
    </w:p>
    <w:p w14:paraId="4AAB0C2F">
      <w:pPr>
        <w:pStyle w:val="72"/>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技术标评分标准</w:t>
      </w:r>
    </w:p>
    <w:p w14:paraId="795EFB05">
      <w:pPr>
        <w:pStyle w:val="72"/>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default"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本次招标评分标准分为4部分，总分为100分</w:t>
      </w:r>
    </w:p>
    <w:tbl>
      <w:tblPr>
        <w:tblStyle w:val="37"/>
        <w:tblW w:w="89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72"/>
        <w:gridCol w:w="2220"/>
        <w:gridCol w:w="4560"/>
        <w:gridCol w:w="1224"/>
      </w:tblGrid>
      <w:tr w14:paraId="160AEFC5">
        <w:tblPrEx>
          <w:tblLayout w:type="fixed"/>
        </w:tblPrEx>
        <w:trPr>
          <w:trHeight w:val="288" w:hRule="atLeast"/>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965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50F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评审类别</w:t>
            </w:r>
          </w:p>
        </w:tc>
        <w:tc>
          <w:tcPr>
            <w:tcW w:w="4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C0E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评审标准</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D4F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最高得分</w:t>
            </w:r>
          </w:p>
        </w:tc>
      </w:tr>
      <w:tr w14:paraId="034A1E89">
        <w:tblPrEx>
          <w:tblLayout w:type="fixed"/>
        </w:tblPrEx>
        <w:trPr>
          <w:trHeight w:val="288" w:hRule="atLeast"/>
        </w:trPr>
        <w:tc>
          <w:tcPr>
            <w:tcW w:w="9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E4CF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2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13B5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地面情况（25分）</w:t>
            </w:r>
          </w:p>
        </w:tc>
        <w:tc>
          <w:tcPr>
            <w:tcW w:w="4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D0FB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水泥硬化地面最高25分，硬化结合石子铺设地面最高20分，石子地面最高15分，</w:t>
            </w:r>
            <w:r>
              <w:rPr>
                <w:rFonts w:ascii="宋体" w:hAnsi="宋体" w:eastAsia="宋体" w:cs="宋体"/>
                <w:sz w:val="24"/>
                <w:szCs w:val="24"/>
              </w:rPr>
              <w:t>裸露泥土地面</w:t>
            </w:r>
            <w:r>
              <w:rPr>
                <w:rFonts w:hint="eastAsia" w:ascii="宋体" w:hAnsi="宋体" w:cs="宋体"/>
                <w:sz w:val="24"/>
                <w:szCs w:val="24"/>
                <w:lang w:val="en-US" w:eastAsia="zh-CN"/>
              </w:rPr>
              <w:t>的</w:t>
            </w:r>
            <w:r>
              <w:rPr>
                <w:rFonts w:hint="eastAsia" w:ascii="宋体" w:hAnsi="宋体" w:eastAsia="宋体" w:cs="宋体"/>
                <w:i w:val="0"/>
                <w:iCs w:val="0"/>
                <w:color w:val="000000"/>
                <w:kern w:val="0"/>
                <w:sz w:val="22"/>
                <w:szCs w:val="22"/>
                <w:u w:val="none"/>
                <w:lang w:val="en-US" w:eastAsia="zh-CN" w:bidi="ar"/>
              </w:rPr>
              <w:t>一票否决</w:t>
            </w:r>
          </w:p>
        </w:tc>
        <w:tc>
          <w:tcPr>
            <w:tcW w:w="12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2424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r>
      <w:tr w14:paraId="0AD973E6">
        <w:tblPrEx>
          <w:tblLayout w:type="fixed"/>
        </w:tblPrEx>
        <w:trPr>
          <w:trHeight w:val="288" w:hRule="atLeast"/>
        </w:trPr>
        <w:tc>
          <w:tcPr>
            <w:tcW w:w="9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C63388">
            <w:pPr>
              <w:jc w:val="center"/>
              <w:rPr>
                <w:rFonts w:hint="eastAsia" w:ascii="宋体" w:hAnsi="宋体" w:eastAsia="宋体" w:cs="宋体"/>
                <w:i w:val="0"/>
                <w:iCs w:val="0"/>
                <w:color w:val="000000"/>
                <w:sz w:val="22"/>
                <w:szCs w:val="22"/>
                <w:u w:val="none"/>
              </w:rPr>
            </w:pPr>
          </w:p>
        </w:tc>
        <w:tc>
          <w:tcPr>
            <w:tcW w:w="22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AD394A">
            <w:pPr>
              <w:jc w:val="center"/>
              <w:rPr>
                <w:rFonts w:hint="eastAsia" w:ascii="宋体" w:hAnsi="宋体" w:eastAsia="宋体" w:cs="宋体"/>
                <w:i w:val="0"/>
                <w:iCs w:val="0"/>
                <w:color w:val="000000"/>
                <w:sz w:val="22"/>
                <w:szCs w:val="22"/>
                <w:u w:val="none"/>
              </w:rPr>
            </w:pPr>
          </w:p>
        </w:tc>
        <w:tc>
          <w:tcPr>
            <w:tcW w:w="4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C2CAAA">
            <w:pPr>
              <w:jc w:val="center"/>
              <w:rPr>
                <w:rFonts w:hint="eastAsia" w:ascii="宋体" w:hAnsi="宋体" w:eastAsia="宋体" w:cs="宋体"/>
                <w:i w:val="0"/>
                <w:iCs w:val="0"/>
                <w:color w:val="000000"/>
                <w:sz w:val="22"/>
                <w:szCs w:val="22"/>
                <w:u w:val="none"/>
              </w:rPr>
            </w:pPr>
          </w:p>
        </w:tc>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E258A4">
            <w:pPr>
              <w:jc w:val="center"/>
              <w:rPr>
                <w:rFonts w:hint="eastAsia" w:ascii="宋体" w:hAnsi="宋体" w:eastAsia="宋体" w:cs="宋体"/>
                <w:i w:val="0"/>
                <w:iCs w:val="0"/>
                <w:color w:val="000000"/>
                <w:sz w:val="22"/>
                <w:szCs w:val="22"/>
                <w:u w:val="none"/>
              </w:rPr>
            </w:pPr>
          </w:p>
        </w:tc>
      </w:tr>
      <w:tr w14:paraId="520F1995">
        <w:tblPrEx>
          <w:tblLayout w:type="fixed"/>
        </w:tblPrEx>
        <w:trPr>
          <w:trHeight w:val="288" w:hRule="atLeast"/>
        </w:trPr>
        <w:tc>
          <w:tcPr>
            <w:tcW w:w="9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1A619">
            <w:pPr>
              <w:jc w:val="center"/>
              <w:rPr>
                <w:rFonts w:hint="eastAsia" w:ascii="宋体" w:hAnsi="宋体" w:eastAsia="宋体" w:cs="宋体"/>
                <w:i w:val="0"/>
                <w:iCs w:val="0"/>
                <w:color w:val="000000"/>
                <w:sz w:val="22"/>
                <w:szCs w:val="22"/>
                <w:u w:val="none"/>
              </w:rPr>
            </w:pPr>
          </w:p>
        </w:tc>
        <w:tc>
          <w:tcPr>
            <w:tcW w:w="22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556616">
            <w:pPr>
              <w:jc w:val="center"/>
              <w:rPr>
                <w:rFonts w:hint="eastAsia" w:ascii="宋体" w:hAnsi="宋体" w:eastAsia="宋体" w:cs="宋体"/>
                <w:i w:val="0"/>
                <w:iCs w:val="0"/>
                <w:color w:val="000000"/>
                <w:sz w:val="22"/>
                <w:szCs w:val="22"/>
                <w:u w:val="none"/>
              </w:rPr>
            </w:pPr>
          </w:p>
        </w:tc>
        <w:tc>
          <w:tcPr>
            <w:tcW w:w="4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EA5FA3">
            <w:pPr>
              <w:jc w:val="center"/>
              <w:rPr>
                <w:rFonts w:hint="eastAsia" w:ascii="宋体" w:hAnsi="宋体" w:eastAsia="宋体" w:cs="宋体"/>
                <w:i w:val="0"/>
                <w:iCs w:val="0"/>
                <w:color w:val="000000"/>
                <w:sz w:val="22"/>
                <w:szCs w:val="22"/>
                <w:u w:val="none"/>
              </w:rPr>
            </w:pPr>
          </w:p>
        </w:tc>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1D7045">
            <w:pPr>
              <w:jc w:val="center"/>
              <w:rPr>
                <w:rFonts w:hint="eastAsia" w:ascii="宋体" w:hAnsi="宋体" w:eastAsia="宋体" w:cs="宋体"/>
                <w:i w:val="0"/>
                <w:iCs w:val="0"/>
                <w:color w:val="000000"/>
                <w:sz w:val="22"/>
                <w:szCs w:val="22"/>
                <w:u w:val="none"/>
              </w:rPr>
            </w:pPr>
          </w:p>
        </w:tc>
      </w:tr>
      <w:tr w14:paraId="13E32EFE">
        <w:tblPrEx>
          <w:tblLayout w:type="fixed"/>
        </w:tblPrEx>
        <w:trPr>
          <w:trHeight w:val="288" w:hRule="atLeast"/>
        </w:trPr>
        <w:tc>
          <w:tcPr>
            <w:tcW w:w="9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1A4CF">
            <w:pPr>
              <w:jc w:val="center"/>
              <w:rPr>
                <w:rFonts w:hint="eastAsia" w:ascii="宋体" w:hAnsi="宋体" w:eastAsia="宋体" w:cs="宋体"/>
                <w:i w:val="0"/>
                <w:iCs w:val="0"/>
                <w:color w:val="000000"/>
                <w:sz w:val="22"/>
                <w:szCs w:val="22"/>
                <w:u w:val="none"/>
              </w:rPr>
            </w:pPr>
          </w:p>
        </w:tc>
        <w:tc>
          <w:tcPr>
            <w:tcW w:w="22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B09D22">
            <w:pPr>
              <w:jc w:val="center"/>
              <w:rPr>
                <w:rFonts w:hint="eastAsia" w:ascii="宋体" w:hAnsi="宋体" w:eastAsia="宋体" w:cs="宋体"/>
                <w:i w:val="0"/>
                <w:iCs w:val="0"/>
                <w:color w:val="000000"/>
                <w:sz w:val="22"/>
                <w:szCs w:val="22"/>
                <w:u w:val="none"/>
              </w:rPr>
            </w:pPr>
          </w:p>
        </w:tc>
        <w:tc>
          <w:tcPr>
            <w:tcW w:w="4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CF4BB3">
            <w:pPr>
              <w:jc w:val="center"/>
              <w:rPr>
                <w:rFonts w:hint="eastAsia" w:ascii="宋体" w:hAnsi="宋体" w:eastAsia="宋体" w:cs="宋体"/>
                <w:i w:val="0"/>
                <w:iCs w:val="0"/>
                <w:color w:val="000000"/>
                <w:sz w:val="22"/>
                <w:szCs w:val="22"/>
                <w:u w:val="none"/>
              </w:rPr>
            </w:pPr>
          </w:p>
        </w:tc>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05BF3">
            <w:pPr>
              <w:jc w:val="center"/>
              <w:rPr>
                <w:rFonts w:hint="eastAsia" w:ascii="宋体" w:hAnsi="宋体" w:eastAsia="宋体" w:cs="宋体"/>
                <w:i w:val="0"/>
                <w:iCs w:val="0"/>
                <w:color w:val="000000"/>
                <w:sz w:val="22"/>
                <w:szCs w:val="22"/>
                <w:u w:val="none"/>
              </w:rPr>
            </w:pPr>
          </w:p>
        </w:tc>
      </w:tr>
      <w:tr w14:paraId="371E84DB">
        <w:tblPrEx>
          <w:tblLayout w:type="fixed"/>
        </w:tblPrEx>
        <w:trPr>
          <w:trHeight w:val="620" w:hRule="atLeast"/>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334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CD7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面积情况</w:t>
            </w:r>
          </w:p>
        </w:tc>
        <w:tc>
          <w:tcPr>
            <w:tcW w:w="4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5B6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面积在25000-30000平方米区间最高得分</w:t>
            </w:r>
            <w:r>
              <w:rPr>
                <w:rFonts w:hint="eastAsia" w:ascii="宋体" w:hAnsi="宋体" w:cs="宋体"/>
                <w:i w:val="0"/>
                <w:iCs w:val="0"/>
                <w:color w:val="000000"/>
                <w:kern w:val="0"/>
                <w:sz w:val="22"/>
                <w:szCs w:val="22"/>
                <w:u w:val="none"/>
                <w:lang w:val="en-US" w:eastAsia="zh-CN" w:bidi="ar"/>
              </w:rPr>
              <w:t>3</w:t>
            </w:r>
            <w:r>
              <w:rPr>
                <w:rFonts w:hint="eastAsia" w:ascii="宋体" w:hAnsi="宋体" w:eastAsia="宋体" w:cs="宋体"/>
                <w:i w:val="0"/>
                <w:iCs w:val="0"/>
                <w:color w:val="000000"/>
                <w:kern w:val="0"/>
                <w:sz w:val="22"/>
                <w:szCs w:val="22"/>
                <w:u w:val="none"/>
                <w:lang w:val="en-US" w:eastAsia="zh-CN" w:bidi="ar"/>
              </w:rPr>
              <w:t>5分，面积每</w:t>
            </w:r>
            <w:r>
              <w:rPr>
                <w:rFonts w:hint="eastAsia" w:ascii="宋体" w:hAnsi="宋体" w:cs="宋体"/>
                <w:i w:val="0"/>
                <w:iCs w:val="0"/>
                <w:color w:val="000000"/>
                <w:kern w:val="0"/>
                <w:sz w:val="22"/>
                <w:szCs w:val="22"/>
                <w:u w:val="none"/>
                <w:lang w:val="en-US" w:eastAsia="zh-CN" w:bidi="ar"/>
              </w:rPr>
              <w:t>偏离区间1</w:t>
            </w:r>
            <w:r>
              <w:rPr>
                <w:rFonts w:hint="eastAsia" w:ascii="宋体" w:hAnsi="宋体" w:eastAsia="宋体" w:cs="宋体"/>
                <w:i w:val="0"/>
                <w:iCs w:val="0"/>
                <w:color w:val="000000"/>
                <w:kern w:val="0"/>
                <w:sz w:val="22"/>
                <w:szCs w:val="22"/>
                <w:u w:val="none"/>
                <w:lang w:val="en-US" w:eastAsia="zh-CN" w:bidi="ar"/>
              </w:rPr>
              <w:t>000平减</w:t>
            </w:r>
            <w:r>
              <w:rPr>
                <w:rFonts w:hint="eastAsia" w:ascii="宋体" w:hAnsi="宋体" w:cs="宋体"/>
                <w:i w:val="0"/>
                <w:iCs w:val="0"/>
                <w:color w:val="000000"/>
                <w:kern w:val="0"/>
                <w:sz w:val="22"/>
                <w:szCs w:val="22"/>
                <w:u w:val="none"/>
                <w:lang w:val="en-US" w:eastAsia="zh-CN" w:bidi="ar"/>
              </w:rPr>
              <w:t>5</w:t>
            </w:r>
            <w:r>
              <w:rPr>
                <w:rFonts w:hint="eastAsia" w:ascii="宋体" w:hAnsi="宋体" w:eastAsia="宋体" w:cs="宋体"/>
                <w:i w:val="0"/>
                <w:iCs w:val="0"/>
                <w:color w:val="000000"/>
                <w:kern w:val="0"/>
                <w:sz w:val="22"/>
                <w:szCs w:val="22"/>
                <w:u w:val="none"/>
                <w:lang w:val="en-US" w:eastAsia="zh-CN" w:bidi="ar"/>
              </w:rPr>
              <w:t>分</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B2D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3</w:t>
            </w:r>
            <w:r>
              <w:rPr>
                <w:rFonts w:hint="eastAsia" w:ascii="宋体" w:hAnsi="宋体" w:eastAsia="宋体" w:cs="宋体"/>
                <w:i w:val="0"/>
                <w:iCs w:val="0"/>
                <w:color w:val="000000"/>
                <w:kern w:val="0"/>
                <w:sz w:val="22"/>
                <w:szCs w:val="22"/>
                <w:u w:val="none"/>
                <w:lang w:val="en-US" w:eastAsia="zh-CN" w:bidi="ar"/>
              </w:rPr>
              <w:t>5</w:t>
            </w:r>
          </w:p>
        </w:tc>
      </w:tr>
      <w:tr w14:paraId="17139A2B">
        <w:tblPrEx>
          <w:tblLayout w:type="fixed"/>
        </w:tblPrEx>
        <w:trPr>
          <w:trHeight w:val="576" w:hRule="atLeast"/>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73E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49A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安保及监控服务</w:t>
            </w:r>
          </w:p>
        </w:tc>
        <w:tc>
          <w:tcPr>
            <w:tcW w:w="4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AEF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提供24安保服务及全方位监控最高得分25分，每</w:t>
            </w:r>
            <w:r>
              <w:rPr>
                <w:rFonts w:hint="eastAsia" w:ascii="宋体" w:hAnsi="宋体" w:cs="宋体"/>
                <w:i w:val="0"/>
                <w:iCs w:val="0"/>
                <w:color w:val="000000"/>
                <w:kern w:val="0"/>
                <w:sz w:val="22"/>
                <w:szCs w:val="22"/>
                <w:u w:val="none"/>
                <w:lang w:val="en-US" w:eastAsia="zh-CN" w:bidi="ar"/>
              </w:rPr>
              <w:t>缺</w:t>
            </w:r>
            <w:r>
              <w:rPr>
                <w:rFonts w:hint="eastAsia" w:ascii="宋体" w:hAnsi="宋体" w:eastAsia="宋体" w:cs="宋体"/>
                <w:i w:val="0"/>
                <w:iCs w:val="0"/>
                <w:color w:val="000000"/>
                <w:kern w:val="0"/>
                <w:sz w:val="22"/>
                <w:szCs w:val="22"/>
                <w:u w:val="none"/>
                <w:lang w:val="en-US" w:eastAsia="zh-CN" w:bidi="ar"/>
              </w:rPr>
              <w:t>一项减12.5分，无围墙的一票否决</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6D8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r>
      <w:tr w14:paraId="36682A45">
        <w:tblPrEx>
          <w:tblLayout w:type="fixed"/>
        </w:tblPrEx>
        <w:trPr>
          <w:trHeight w:val="576" w:hRule="atLeast"/>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CD9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C91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距离</w:t>
            </w:r>
          </w:p>
        </w:tc>
        <w:tc>
          <w:tcPr>
            <w:tcW w:w="4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53F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距离济宁商用车实际距离＜</w:t>
            </w:r>
            <w:r>
              <w:rPr>
                <w:rFonts w:hint="eastAsia" w:ascii="宋体" w:hAnsi="宋体" w:cs="宋体"/>
                <w:i w:val="0"/>
                <w:iCs w:val="0"/>
                <w:color w:val="000000"/>
                <w:kern w:val="0"/>
                <w:sz w:val="22"/>
                <w:szCs w:val="22"/>
                <w:u w:val="none"/>
                <w:lang w:val="en-US" w:eastAsia="zh-CN" w:bidi="ar"/>
              </w:rPr>
              <w:t>5</w:t>
            </w:r>
            <w:r>
              <w:rPr>
                <w:rFonts w:hint="eastAsia" w:ascii="宋体" w:hAnsi="宋体" w:eastAsia="宋体" w:cs="宋体"/>
                <w:i w:val="0"/>
                <w:iCs w:val="0"/>
                <w:color w:val="000000"/>
                <w:kern w:val="0"/>
                <w:sz w:val="22"/>
                <w:szCs w:val="22"/>
                <w:u w:val="none"/>
                <w:lang w:val="en-US" w:eastAsia="zh-CN" w:bidi="ar"/>
              </w:rPr>
              <w:t>km的最高得分</w:t>
            </w:r>
            <w:r>
              <w:rPr>
                <w:rFonts w:hint="eastAsia" w:ascii="宋体" w:hAnsi="宋体" w:cs="宋体"/>
                <w:i w:val="0"/>
                <w:iCs w:val="0"/>
                <w:color w:val="000000"/>
                <w:kern w:val="0"/>
                <w:sz w:val="22"/>
                <w:szCs w:val="22"/>
                <w:u w:val="none"/>
                <w:lang w:val="en-US" w:eastAsia="zh-CN" w:bidi="ar"/>
              </w:rPr>
              <w:t>15</w:t>
            </w:r>
            <w:r>
              <w:rPr>
                <w:rFonts w:hint="eastAsia" w:ascii="宋体" w:hAnsi="宋体" w:eastAsia="宋体" w:cs="宋体"/>
                <w:i w:val="0"/>
                <w:iCs w:val="0"/>
                <w:color w:val="000000"/>
                <w:kern w:val="0"/>
                <w:sz w:val="22"/>
                <w:szCs w:val="22"/>
                <w:u w:val="none"/>
                <w:lang w:val="en-US" w:eastAsia="zh-CN" w:bidi="ar"/>
              </w:rPr>
              <w:t>分，每超1km减</w:t>
            </w:r>
            <w:r>
              <w:rPr>
                <w:rFonts w:hint="eastAsia" w:ascii="宋体" w:hAnsi="宋体" w:cs="宋体"/>
                <w:i w:val="0"/>
                <w:iCs w:val="0"/>
                <w:color w:val="000000"/>
                <w:kern w:val="0"/>
                <w:sz w:val="22"/>
                <w:szCs w:val="22"/>
                <w:u w:val="none"/>
                <w:lang w:val="en-US" w:eastAsia="zh-CN" w:bidi="ar"/>
              </w:rPr>
              <w:t>3</w:t>
            </w:r>
            <w:r>
              <w:rPr>
                <w:rFonts w:hint="eastAsia" w:ascii="宋体" w:hAnsi="宋体" w:eastAsia="宋体" w:cs="宋体"/>
                <w:i w:val="0"/>
                <w:iCs w:val="0"/>
                <w:color w:val="000000"/>
                <w:kern w:val="0"/>
                <w:sz w:val="22"/>
                <w:szCs w:val="22"/>
                <w:u w:val="none"/>
                <w:lang w:val="en-US" w:eastAsia="zh-CN" w:bidi="ar"/>
              </w:rPr>
              <w:t>分，超7km一票否决</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945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5</w:t>
            </w:r>
          </w:p>
        </w:tc>
      </w:tr>
    </w:tbl>
    <w:p w14:paraId="19A89CE4">
      <w:pPr>
        <w:pStyle w:val="72"/>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default" w:ascii="宋体" w:hAnsi="宋体" w:eastAsia="宋体" w:cs="宋体"/>
          <w:b/>
          <w:bCs/>
          <w:color w:val="C00000"/>
          <w:sz w:val="21"/>
          <w:szCs w:val="21"/>
          <w:highlight w:val="yellow"/>
          <w:lang w:val="en-US" w:eastAsia="zh-CN"/>
        </w:rPr>
      </w:pPr>
    </w:p>
    <w:p w14:paraId="6136E50F">
      <w:pPr>
        <w:pStyle w:val="72"/>
        <w:keepNext w:val="0"/>
        <w:keepLines w:val="0"/>
        <w:pageBreakBefore w:val="0"/>
        <w:widowControl w:val="0"/>
        <w:numPr>
          <w:ilvl w:val="0"/>
          <w:numId w:val="24"/>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商务标评</w:t>
      </w:r>
      <w:r>
        <w:rPr>
          <w:rFonts w:hint="eastAsia" w:ascii="宋体" w:hAnsi="宋体" w:eastAsia="宋体" w:cs="宋体"/>
          <w:b/>
          <w:bCs/>
          <w:sz w:val="21"/>
          <w:szCs w:val="21"/>
          <w:highlight w:val="none"/>
          <w:lang w:val="en-US" w:eastAsia="zh-CN"/>
        </w:rPr>
        <w:t>标方法</w:t>
      </w:r>
    </w:p>
    <w:p w14:paraId="649C28C4">
      <w:pPr>
        <w:pStyle w:val="75"/>
        <w:keepNext w:val="0"/>
        <w:keepLines w:val="0"/>
        <w:pageBreakBefore w:val="0"/>
        <w:widowControl w:val="0"/>
        <w:numPr>
          <w:ilvl w:val="0"/>
          <w:numId w:val="21"/>
        </w:numPr>
        <w:kinsoku/>
        <w:wordWrap/>
        <w:overflowPunct/>
        <w:topLinePunct w:val="0"/>
        <w:autoSpaceDE/>
        <w:autoSpaceDN/>
        <w:bidi w:val="0"/>
        <w:adjustRightInd/>
        <w:snapToGrid/>
        <w:ind w:left="10" w:leftChars="0" w:firstLine="0"/>
        <w:textAlignment w:val="auto"/>
        <w:rPr>
          <w:rFonts w:hint="eastAsia" w:cs="Times New Roman"/>
          <w:b w:val="0"/>
          <w:bCs/>
          <w:highlight w:val="none"/>
          <w:lang w:val="en-US" w:eastAsia="zh-CN"/>
        </w:rPr>
      </w:pPr>
      <w:r>
        <w:rPr>
          <w:rFonts w:hint="eastAsia" w:cs="Times New Roman"/>
          <w:b w:val="0"/>
          <w:bCs/>
          <w:highlight w:val="none"/>
          <w:lang w:val="en-US" w:eastAsia="zh-CN"/>
        </w:rPr>
        <w:t>评标方法（合理最低价中标）</w:t>
      </w:r>
    </w:p>
    <w:p w14:paraId="2509BD7C">
      <w:pPr>
        <w:pStyle w:val="72"/>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本次招标采用技术标入围后，原则上合理最低价中标。本着公平、公正、公开的原则，选择合理最低价确定中标人，对未中标单位不做任何解释。</w:t>
      </w:r>
    </w:p>
    <w:p w14:paraId="0B2A8F6D">
      <w:pPr>
        <w:pStyle w:val="72"/>
        <w:keepNext w:val="0"/>
        <w:keepLines w:val="0"/>
        <w:pageBreakBefore w:val="0"/>
        <w:widowControl w:val="0"/>
        <w:numPr>
          <w:ilvl w:val="0"/>
          <w:numId w:val="24"/>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评标流程</w:t>
      </w:r>
    </w:p>
    <w:p w14:paraId="08C47440">
      <w:pPr>
        <w:keepNext w:val="0"/>
        <w:keepLines w:val="0"/>
        <w:pageBreakBefore w:val="0"/>
        <w:widowControl w:val="0"/>
        <w:numPr>
          <w:ilvl w:val="0"/>
          <w:numId w:val="25"/>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应标资格审查：在“中国重汽e采通”应标报名时，按照第一部分第四条投标文件编制资格证明文件中的1.1-1.11准备资料，上传完毕后，等待审核；</w:t>
      </w:r>
    </w:p>
    <w:p w14:paraId="3925B8AD">
      <w:pPr>
        <w:keepNext w:val="0"/>
        <w:keepLines w:val="0"/>
        <w:pageBreakBefore w:val="0"/>
        <w:widowControl w:val="0"/>
        <w:numPr>
          <w:ilvl w:val="0"/>
          <w:numId w:val="25"/>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通过应标资格审查的单位进入投标环节，按照“SRM系统供应商用户手册”，在重汽e采通平台投递电子标书（包含资质标、技术标、商务标）；没有通过应标资质审查的单位不能进入投标环节；</w:t>
      </w:r>
    </w:p>
    <w:p w14:paraId="3B34C86F">
      <w:pPr>
        <w:keepNext w:val="0"/>
        <w:keepLines w:val="0"/>
        <w:pageBreakBefore w:val="0"/>
        <w:widowControl w:val="0"/>
        <w:numPr>
          <w:ilvl w:val="0"/>
          <w:numId w:val="25"/>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资质标评审：资质标审核通过的单位，</w:t>
      </w:r>
      <w:r>
        <w:rPr>
          <w:rFonts w:hint="eastAsia" w:ascii="宋体" w:hAnsi="宋体" w:cs="宋体"/>
          <w:b w:val="0"/>
          <w:bCs w:val="0"/>
          <w:kern w:val="2"/>
          <w:sz w:val="21"/>
          <w:szCs w:val="21"/>
          <w:highlight w:val="none"/>
          <w:lang w:val="en-US" w:eastAsia="zh-CN" w:bidi="ar-SA"/>
        </w:rPr>
        <w:t>进入技术标评标环节，评分80分及以上的</w:t>
      </w:r>
      <w:r>
        <w:rPr>
          <w:rFonts w:hint="eastAsia" w:ascii="宋体" w:hAnsi="宋体" w:eastAsia="宋体" w:cs="宋体"/>
          <w:b w:val="0"/>
          <w:bCs w:val="0"/>
          <w:kern w:val="2"/>
          <w:sz w:val="21"/>
          <w:szCs w:val="21"/>
          <w:highlight w:val="none"/>
          <w:lang w:val="en-US" w:eastAsia="zh-CN" w:bidi="ar-SA"/>
        </w:rPr>
        <w:t>可以进入公开唱标环节；</w:t>
      </w:r>
    </w:p>
    <w:p w14:paraId="5672B712">
      <w:pPr>
        <w:keepNext w:val="0"/>
        <w:keepLines w:val="0"/>
        <w:pageBreakBefore w:val="0"/>
        <w:widowControl w:val="0"/>
        <w:numPr>
          <w:ilvl w:val="0"/>
          <w:numId w:val="25"/>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公开唱标：公示资质标入围单位的开标价格及商务条款响应情况；</w:t>
      </w:r>
    </w:p>
    <w:p w14:paraId="7E63C2E8">
      <w:pPr>
        <w:keepNext w:val="0"/>
        <w:keepLines w:val="0"/>
        <w:pageBreakBefore w:val="0"/>
        <w:widowControl w:val="0"/>
        <w:numPr>
          <w:ilvl w:val="0"/>
          <w:numId w:val="25"/>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技术标评审：技术标评标专家组，通过重汽e采通，对各投标人的《投标文件（技术标）》进行综合评审；评审期间产生的技术澄清均由投标人在重汽e采通平台内完成提交；评审合格的单位进入商务标评审环节，评审不合格的单位被淘汰；具体评分详见评分标准；</w:t>
      </w:r>
    </w:p>
    <w:p w14:paraId="17C23BBD">
      <w:pPr>
        <w:keepNext w:val="0"/>
        <w:keepLines w:val="0"/>
        <w:pageBreakBefore w:val="0"/>
        <w:widowControl w:val="0"/>
        <w:numPr>
          <w:ilvl w:val="0"/>
          <w:numId w:val="25"/>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商务标评审：商务条款相应确认→价格澄清→商务标评审；评审期间产生的商务价格澄清均由投标人在重汽e采通平台限时内完成提交；</w:t>
      </w:r>
    </w:p>
    <w:p w14:paraId="148C0E04">
      <w:pPr>
        <w:pStyle w:val="75"/>
        <w:keepNext w:val="0"/>
        <w:keepLines w:val="0"/>
        <w:pageBreakBefore w:val="0"/>
        <w:widowControl w:val="0"/>
        <w:numPr>
          <w:ilvl w:val="0"/>
          <w:numId w:val="21"/>
        </w:numPr>
        <w:kinsoku/>
        <w:wordWrap/>
        <w:overflowPunct/>
        <w:topLinePunct w:val="0"/>
        <w:autoSpaceDE/>
        <w:autoSpaceDN/>
        <w:bidi w:val="0"/>
        <w:adjustRightInd/>
        <w:snapToGrid/>
        <w:ind w:left="10" w:leftChars="0" w:firstLine="0"/>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注意：投标人均需要自带笔记本电脑在重汽e采通进行自主投标和提交澄清函；投标和提交澄清函均有时间限制，超时未提交的按无效处理。</w:t>
      </w:r>
    </w:p>
    <w:p w14:paraId="6970A44F">
      <w:pPr>
        <w:pStyle w:val="72"/>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3.评分标准</w:t>
      </w:r>
    </w:p>
    <w:p w14:paraId="0662E4D4">
      <w:pPr>
        <w:pStyle w:val="72"/>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default"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采用合理最低价中标评标方法</w:t>
      </w:r>
    </w:p>
    <w:p w14:paraId="7C0A112D">
      <w:pPr>
        <w:pStyle w:val="72"/>
      </w:pPr>
      <w:r>
        <w:rPr>
          <w:rFonts w:hint="eastAsia"/>
          <w:lang w:val="en-US" w:eastAsia="zh-CN"/>
        </w:rPr>
        <w:t>定标</w:t>
      </w:r>
    </w:p>
    <w:p w14:paraId="6B705137">
      <w:pPr>
        <w:pStyle w:val="72"/>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rPr>
        <w:t>本项目只产生</w:t>
      </w:r>
      <w:r>
        <w:rPr>
          <w:rFonts w:hint="eastAsia" w:ascii="宋体" w:hAnsi="宋体" w:eastAsia="宋体" w:cs="宋体"/>
          <w:b w:val="0"/>
          <w:bCs w:val="0"/>
          <w:sz w:val="21"/>
          <w:szCs w:val="21"/>
          <w:highlight w:val="none"/>
          <w:lang w:val="en-US" w:eastAsia="zh-CN"/>
        </w:rPr>
        <w:t>1</w:t>
      </w:r>
      <w:r>
        <w:rPr>
          <w:rFonts w:hint="eastAsia" w:ascii="宋体" w:hAnsi="宋体" w:eastAsia="宋体" w:cs="宋体"/>
          <w:b w:val="0"/>
          <w:bCs w:val="0"/>
          <w:sz w:val="21"/>
          <w:szCs w:val="21"/>
          <w:highlight w:val="none"/>
        </w:rPr>
        <w:t>个中标人。中标人签订合同前须进行最终审查。最终审查的对象</w:t>
      </w:r>
      <w:r>
        <w:rPr>
          <w:rFonts w:hint="eastAsia" w:ascii="宋体" w:hAnsi="宋体" w:eastAsia="宋体" w:cs="宋体"/>
          <w:b w:val="0"/>
          <w:bCs w:val="0"/>
          <w:sz w:val="21"/>
          <w:szCs w:val="21"/>
          <w:highlight w:val="none"/>
          <w:lang w:val="en-US" w:eastAsia="zh-CN"/>
        </w:rPr>
        <w:t>是</w:t>
      </w:r>
      <w:r>
        <w:rPr>
          <w:rFonts w:hint="eastAsia" w:ascii="宋体" w:hAnsi="宋体" w:eastAsia="宋体" w:cs="宋体"/>
          <w:b w:val="0"/>
          <w:bCs w:val="0"/>
          <w:sz w:val="21"/>
          <w:szCs w:val="21"/>
          <w:highlight w:val="none"/>
        </w:rPr>
        <w:t>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w:t>
      </w:r>
      <w:r>
        <w:rPr>
          <w:rFonts w:hint="eastAsia" w:ascii="宋体" w:hAnsi="宋体" w:eastAsia="宋体" w:cs="宋体"/>
          <w:b w:val="0"/>
          <w:bCs w:val="0"/>
          <w:sz w:val="21"/>
          <w:szCs w:val="21"/>
          <w:highlight w:val="none"/>
          <w:lang w:val="en-US" w:eastAsia="zh-CN"/>
        </w:rPr>
        <w:t>的</w:t>
      </w:r>
      <w:r>
        <w:rPr>
          <w:rFonts w:hint="eastAsia" w:ascii="宋体" w:hAnsi="宋体" w:eastAsia="宋体" w:cs="宋体"/>
          <w:b w:val="0"/>
          <w:bCs w:val="0"/>
          <w:sz w:val="21"/>
          <w:szCs w:val="21"/>
          <w:highlight w:val="none"/>
        </w:rPr>
        <w:t>，则本次评标作废</w:t>
      </w:r>
      <w:r>
        <w:rPr>
          <w:rFonts w:hint="eastAsia" w:ascii="宋体" w:hAnsi="宋体" w:eastAsia="宋体" w:cs="宋体"/>
          <w:b w:val="0"/>
          <w:bCs w:val="0"/>
          <w:sz w:val="21"/>
          <w:szCs w:val="21"/>
          <w:highlight w:val="none"/>
          <w:lang w:val="en-US" w:eastAsia="zh-CN"/>
        </w:rPr>
        <w:t>或变更意向中标人</w:t>
      </w:r>
      <w:r>
        <w:rPr>
          <w:rFonts w:hint="eastAsia" w:ascii="宋体" w:hAnsi="宋体" w:eastAsia="宋体" w:cs="宋体"/>
          <w:b w:val="0"/>
          <w:bCs w:val="0"/>
          <w:sz w:val="21"/>
          <w:szCs w:val="21"/>
          <w:highlight w:val="none"/>
          <w:lang w:eastAsia="zh-CN"/>
        </w:rPr>
        <w:t>。</w:t>
      </w:r>
    </w:p>
    <w:p w14:paraId="434A2260">
      <w:pPr>
        <w:pStyle w:val="72"/>
      </w:pPr>
      <w:r>
        <w:rPr>
          <w:rFonts w:hint="eastAsia"/>
          <w:lang w:val="en-US" w:eastAsia="zh-CN"/>
        </w:rPr>
        <w:t>废标及终止招标</w:t>
      </w:r>
    </w:p>
    <w:p w14:paraId="2C8EAF4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w:t>
      </w:r>
      <w:r>
        <w:rPr>
          <w:rFonts w:hint="eastAsia" w:ascii="宋体" w:hAnsi="宋体" w:eastAsia="宋体" w:cs="宋体"/>
          <w:color w:val="000000"/>
          <w:sz w:val="21"/>
          <w:szCs w:val="21"/>
          <w:highlight w:val="none"/>
        </w:rPr>
        <w:t>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7F5A6C5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w:t>
      </w:r>
      <w:r>
        <w:rPr>
          <w:rFonts w:hint="eastAsia" w:ascii="宋体" w:hAnsi="宋体" w:eastAsia="宋体" w:cs="宋体"/>
          <w:color w:val="000000"/>
          <w:sz w:val="21"/>
          <w:szCs w:val="21"/>
          <w:highlight w:val="none"/>
        </w:rPr>
        <w:t>投标人提供的有关资格、资质证明文件不合格、不真实或提供虚假投标材料；</w:t>
      </w:r>
    </w:p>
    <w:p w14:paraId="3B8EDBB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(2)</w:t>
      </w:r>
      <w:r>
        <w:rPr>
          <w:rFonts w:hint="eastAsia" w:ascii="宋体" w:hAnsi="宋体" w:eastAsia="宋体" w:cs="宋体"/>
          <w:color w:val="000000"/>
          <w:sz w:val="21"/>
          <w:szCs w:val="21"/>
          <w:highlight w:val="none"/>
        </w:rPr>
        <w:t>投标人在报价有效期内撤回投标；</w:t>
      </w:r>
    </w:p>
    <w:p w14:paraId="4343009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(3)</w:t>
      </w:r>
      <w:r>
        <w:rPr>
          <w:rFonts w:hint="eastAsia" w:ascii="宋体" w:hAnsi="宋体" w:eastAsia="宋体" w:cs="宋体"/>
          <w:color w:val="000000"/>
          <w:sz w:val="21"/>
          <w:szCs w:val="21"/>
          <w:highlight w:val="none"/>
        </w:rPr>
        <w:t>在整个评标过程中，投标人有企图影响评标结果公正性的任何活动；</w:t>
      </w:r>
    </w:p>
    <w:p w14:paraId="29CF10E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(4)</w:t>
      </w:r>
      <w:r>
        <w:rPr>
          <w:rFonts w:hint="eastAsia" w:ascii="宋体" w:hAnsi="宋体" w:eastAsia="宋体" w:cs="宋体"/>
          <w:color w:val="000000"/>
          <w:sz w:val="21"/>
          <w:szCs w:val="21"/>
          <w:highlight w:val="none"/>
        </w:rPr>
        <w:t>投标人以任何方式诋毁其他投标人；</w:t>
      </w:r>
    </w:p>
    <w:p w14:paraId="4A1479F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(5)</w:t>
      </w:r>
      <w:r>
        <w:rPr>
          <w:rFonts w:hint="eastAsia" w:ascii="宋体" w:hAnsi="宋体" w:eastAsia="宋体" w:cs="宋体"/>
          <w:color w:val="000000"/>
          <w:sz w:val="21"/>
          <w:szCs w:val="21"/>
          <w:highlight w:val="none"/>
        </w:rPr>
        <w:t>投标人串通投标；</w:t>
      </w:r>
    </w:p>
    <w:p w14:paraId="57D4CDCD">
      <w:pPr>
        <w:pStyle w:val="15"/>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(6)</w:t>
      </w:r>
      <w:r>
        <w:rPr>
          <w:rFonts w:hint="eastAsia" w:ascii="宋体" w:hAnsi="宋体" w:eastAsia="宋体" w:cs="宋体"/>
          <w:color w:val="000000"/>
          <w:sz w:val="21"/>
          <w:szCs w:val="21"/>
          <w:highlight w:val="none"/>
        </w:rPr>
        <w:t>投标人被举报、检举，并经招标人查实无误的；</w:t>
      </w:r>
    </w:p>
    <w:p w14:paraId="019FF29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(7)</w:t>
      </w:r>
      <w:r>
        <w:rPr>
          <w:rFonts w:hint="eastAsia" w:ascii="宋体" w:hAnsi="宋体" w:eastAsia="宋体" w:cs="宋体"/>
          <w:color w:val="000000"/>
          <w:sz w:val="21"/>
          <w:szCs w:val="21"/>
          <w:highlight w:val="none"/>
        </w:rPr>
        <w:t>以他人名义投标或者以其他方式弄虚作假，骗取中标的；</w:t>
      </w:r>
    </w:p>
    <w:p w14:paraId="7FEF708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(8)</w:t>
      </w:r>
      <w:r>
        <w:rPr>
          <w:rFonts w:hint="eastAsia" w:ascii="宋体" w:hAnsi="宋体" w:eastAsia="宋体" w:cs="宋体"/>
          <w:sz w:val="21"/>
          <w:szCs w:val="21"/>
          <w:highlight w:val="none"/>
        </w:rPr>
        <w:t>投标人负责人为同一人或者存在控股、管理关系的不同单位；</w:t>
      </w:r>
    </w:p>
    <w:p w14:paraId="5DB4D46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(9)</w:t>
      </w:r>
      <w:r>
        <w:rPr>
          <w:rFonts w:hint="eastAsia" w:ascii="宋体" w:hAnsi="宋体" w:eastAsia="宋体" w:cs="宋体"/>
          <w:sz w:val="21"/>
          <w:szCs w:val="21"/>
          <w:highlight w:val="none"/>
        </w:rPr>
        <w:t>有效投标不足</w:t>
      </w:r>
      <w:r>
        <w:rPr>
          <w:rFonts w:hint="eastAsia" w:ascii="宋体" w:hAnsi="宋体" w:cs="宋体"/>
          <w:sz w:val="21"/>
          <w:szCs w:val="21"/>
          <w:highlight w:val="none"/>
          <w:lang w:val="en-US" w:eastAsia="zh-CN"/>
        </w:rPr>
        <w:t>五</w:t>
      </w:r>
      <w:r>
        <w:rPr>
          <w:rFonts w:hint="eastAsia" w:ascii="宋体" w:hAnsi="宋体" w:eastAsia="宋体" w:cs="宋体"/>
          <w:sz w:val="21"/>
          <w:szCs w:val="21"/>
          <w:highlight w:val="none"/>
        </w:rPr>
        <w:t>家；</w:t>
      </w:r>
    </w:p>
    <w:p w14:paraId="06AA862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(10)</w:t>
      </w:r>
      <w:r>
        <w:rPr>
          <w:rFonts w:hint="eastAsia" w:ascii="宋体" w:hAnsi="宋体" w:eastAsia="宋体" w:cs="宋体"/>
          <w:sz w:val="21"/>
          <w:szCs w:val="21"/>
          <w:highlight w:val="none"/>
        </w:rPr>
        <w:t>不同投标人的投标文件异常一致或者投标报价呈规律性差异的；</w:t>
      </w:r>
    </w:p>
    <w:p w14:paraId="1AD76C7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(11)</w:t>
      </w:r>
      <w:r>
        <w:rPr>
          <w:rFonts w:hint="eastAsia" w:ascii="宋体" w:hAnsi="宋体" w:eastAsia="宋体" w:cs="宋体"/>
          <w:sz w:val="21"/>
          <w:szCs w:val="21"/>
          <w:highlight w:val="none"/>
        </w:rPr>
        <w:t>投标人报价均超过</w:t>
      </w:r>
      <w:r>
        <w:rPr>
          <w:rFonts w:hint="eastAsia" w:ascii="宋体" w:hAnsi="宋体" w:cs="宋体"/>
          <w:sz w:val="21"/>
          <w:szCs w:val="21"/>
          <w:highlight w:val="none"/>
          <w:lang w:val="en-US" w:eastAsia="zh-CN"/>
        </w:rPr>
        <w:t>最高限价</w:t>
      </w:r>
      <w:r>
        <w:rPr>
          <w:rFonts w:hint="eastAsia" w:ascii="宋体" w:hAnsi="宋体" w:eastAsia="宋体" w:cs="宋体"/>
          <w:sz w:val="21"/>
          <w:szCs w:val="21"/>
          <w:highlight w:val="none"/>
        </w:rPr>
        <w:t>的；</w:t>
      </w:r>
    </w:p>
    <w:p w14:paraId="0D7AB83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(12)</w:t>
      </w:r>
      <w:r>
        <w:rPr>
          <w:rFonts w:hint="eastAsia" w:ascii="宋体" w:hAnsi="宋体" w:eastAsia="宋体" w:cs="宋体"/>
          <w:color w:val="000000"/>
          <w:sz w:val="21"/>
          <w:szCs w:val="21"/>
          <w:highlight w:val="none"/>
        </w:rPr>
        <w:t>未按要求填报商务报价资料，对招标开展造成较大影响；</w:t>
      </w:r>
    </w:p>
    <w:p w14:paraId="46E4730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(13)</w:t>
      </w:r>
      <w:r>
        <w:rPr>
          <w:rFonts w:hint="eastAsia" w:ascii="宋体" w:hAnsi="宋体" w:eastAsia="宋体" w:cs="宋体"/>
          <w:b w:val="0"/>
          <w:bCs w:val="0"/>
          <w:spacing w:val="0"/>
          <w:sz w:val="21"/>
          <w:szCs w:val="21"/>
          <w:highlight w:val="none"/>
          <w:lang w:val="en-US" w:eastAsia="zh-CN"/>
        </w:rPr>
        <w:t>未按照招标人规定的时间内在中国重汽e采通完成投标的；</w:t>
      </w:r>
    </w:p>
    <w:p w14:paraId="2A852CD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(14)</w:t>
      </w:r>
      <w:r>
        <w:rPr>
          <w:rFonts w:hint="eastAsia" w:ascii="宋体" w:hAnsi="宋体" w:eastAsia="宋体" w:cs="宋体"/>
          <w:color w:val="000000"/>
          <w:sz w:val="21"/>
          <w:szCs w:val="21"/>
          <w:highlight w:val="none"/>
        </w:rPr>
        <w:t>法律、法规规定的其他情况。</w:t>
      </w:r>
    </w:p>
    <w:p w14:paraId="75E706C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eastAsia" w:ascii="宋体" w:hAnsi="宋体" w:cs="宋体"/>
          <w:kern w:val="2"/>
          <w:sz w:val="21"/>
          <w:szCs w:val="21"/>
          <w:lang w:val="en-US" w:eastAsia="zh-CN" w:bidi="ar-SA"/>
        </w:rPr>
        <w:t>2</w:t>
      </w:r>
      <w:r>
        <w:rPr>
          <w:rFonts w:hint="default" w:ascii="宋体" w:hAnsi="宋体" w:eastAsia="宋体" w:cs="宋体"/>
          <w:kern w:val="2"/>
          <w:sz w:val="21"/>
          <w:szCs w:val="21"/>
          <w:lang w:val="en-US" w:eastAsia="zh-CN" w:bidi="ar-SA"/>
        </w:rPr>
        <w:t>.</w:t>
      </w:r>
      <w:r>
        <w:rPr>
          <w:rFonts w:hint="eastAsia" w:ascii="宋体" w:hAnsi="宋体" w:eastAsia="宋体" w:cs="宋体"/>
          <w:sz w:val="21"/>
          <w:szCs w:val="21"/>
          <w:highlight w:val="none"/>
        </w:rPr>
        <w:t>出现下列情形之一，招标人有权否决所有投标人的投标，并终止招标。</w:t>
      </w:r>
    </w:p>
    <w:p w14:paraId="6BC017B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宋体" w:hAnsi="宋体" w:eastAsia="宋体" w:cs="宋体"/>
          <w:b/>
          <w:bCs/>
          <w:color w:val="FF0000"/>
          <w:sz w:val="18"/>
          <w:szCs w:val="18"/>
          <w:highlight w:val="none"/>
          <w:lang w:eastAsia="zh-CN"/>
        </w:rPr>
      </w:pPr>
      <w:r>
        <w:rPr>
          <w:rFonts w:hint="default" w:ascii="宋体" w:hAnsi="宋体" w:eastAsia="宋体" w:cs="宋体"/>
          <w:b w:val="0"/>
          <w:bCs w:val="0"/>
          <w:color w:val="auto"/>
          <w:kern w:val="2"/>
          <w:sz w:val="21"/>
          <w:szCs w:val="21"/>
          <w:highlight w:val="none"/>
          <w:lang w:val="en-US" w:eastAsia="zh-CN" w:bidi="ar-SA"/>
        </w:rPr>
        <w:t>(</w:t>
      </w:r>
      <w:r>
        <w:rPr>
          <w:rFonts w:hint="eastAsia" w:ascii="宋体" w:hAnsi="宋体" w:cs="宋体"/>
          <w:b w:val="0"/>
          <w:bCs w:val="0"/>
          <w:color w:val="auto"/>
          <w:kern w:val="2"/>
          <w:sz w:val="21"/>
          <w:szCs w:val="21"/>
          <w:highlight w:val="none"/>
          <w:lang w:val="en-US" w:eastAsia="zh-CN" w:bidi="ar-SA"/>
        </w:rPr>
        <w:t>1</w:t>
      </w:r>
      <w:r>
        <w:rPr>
          <w:rFonts w:hint="default" w:ascii="宋体" w:hAnsi="宋体" w:eastAsia="宋体" w:cs="宋体"/>
          <w:b w:val="0"/>
          <w:bCs w:val="0"/>
          <w:color w:val="auto"/>
          <w:kern w:val="2"/>
          <w:sz w:val="21"/>
          <w:szCs w:val="21"/>
          <w:highlight w:val="none"/>
          <w:lang w:val="en-US" w:eastAsia="zh-CN" w:bidi="ar-SA"/>
        </w:rPr>
        <w:t>)</w:t>
      </w:r>
      <w:r>
        <w:rPr>
          <w:rFonts w:hint="eastAsia" w:ascii="宋体" w:hAnsi="宋体" w:eastAsia="宋体" w:cs="宋体"/>
          <w:sz w:val="21"/>
          <w:szCs w:val="21"/>
          <w:highlight w:val="none"/>
        </w:rPr>
        <w:t>符合条件的投标人或者对招标文件做实质响应的投标人不足</w:t>
      </w:r>
      <w:r>
        <w:rPr>
          <w:rFonts w:hint="eastAsia" w:ascii="宋体" w:hAnsi="宋体" w:cs="宋体"/>
          <w:sz w:val="21"/>
          <w:szCs w:val="21"/>
          <w:highlight w:val="none"/>
          <w:lang w:val="en-US" w:eastAsia="zh-CN"/>
        </w:rPr>
        <w:t>五</w:t>
      </w:r>
      <w:r>
        <w:rPr>
          <w:rFonts w:hint="eastAsia" w:ascii="宋体" w:hAnsi="宋体" w:eastAsia="宋体" w:cs="宋体"/>
          <w:sz w:val="21"/>
          <w:szCs w:val="21"/>
          <w:highlight w:val="none"/>
        </w:rPr>
        <w:t>家的；</w:t>
      </w:r>
    </w:p>
    <w:p w14:paraId="4633ED6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w:t>
      </w:r>
      <w:r>
        <w:rPr>
          <w:rFonts w:hint="eastAsia" w:ascii="宋体" w:hAnsi="宋体" w:cs="宋体"/>
          <w:kern w:val="2"/>
          <w:sz w:val="21"/>
          <w:szCs w:val="21"/>
          <w:lang w:val="en-US" w:eastAsia="zh-CN" w:bidi="ar-SA"/>
        </w:rPr>
        <w:t>2</w:t>
      </w:r>
      <w:r>
        <w:rPr>
          <w:rFonts w:hint="default" w:ascii="宋体" w:hAnsi="宋体" w:eastAsia="宋体" w:cs="宋体"/>
          <w:kern w:val="2"/>
          <w:sz w:val="21"/>
          <w:szCs w:val="21"/>
          <w:lang w:val="en-US" w:eastAsia="zh-CN" w:bidi="ar-SA"/>
        </w:rPr>
        <w:t>)</w:t>
      </w:r>
      <w:r>
        <w:rPr>
          <w:rFonts w:hint="eastAsia" w:ascii="宋体" w:hAnsi="宋体" w:eastAsia="宋体" w:cs="宋体"/>
          <w:sz w:val="21"/>
          <w:szCs w:val="21"/>
          <w:highlight w:val="none"/>
        </w:rPr>
        <w:t>出现影响采购公正的违法、违规行为的；</w:t>
      </w:r>
    </w:p>
    <w:p w14:paraId="3D9449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ascii="宋体" w:hAnsi="宋体" w:cs="宋体"/>
          <w:bCs/>
          <w:kern w:val="2"/>
          <w:sz w:val="21"/>
          <w:szCs w:val="21"/>
          <w:lang w:val="en-US" w:eastAsia="zh-CN" w:bidi="ar-SA"/>
        </w:rPr>
        <w:t>3</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评标委员会经评审，认为所有投标都不符合招标文件要求的；</w:t>
      </w:r>
    </w:p>
    <w:p w14:paraId="1872B76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ascii="宋体" w:hAnsi="宋体" w:cs="宋体"/>
          <w:bCs/>
          <w:kern w:val="2"/>
          <w:sz w:val="21"/>
          <w:szCs w:val="21"/>
          <w:lang w:val="en-US" w:eastAsia="zh-CN" w:bidi="ar-SA"/>
        </w:rPr>
        <w:t>4</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因重大变故，采购任务取消的</w:t>
      </w:r>
      <w:bookmarkStart w:id="15" w:name="OLE_LINK29"/>
      <w:bookmarkStart w:id="16" w:name="OLE_LINK28"/>
      <w:bookmarkStart w:id="17" w:name="OLE_LINK25"/>
      <w:bookmarkStart w:id="18" w:name="OLE_LINK26"/>
      <w:bookmarkStart w:id="19" w:name="OLE_LINK27"/>
      <w:r>
        <w:rPr>
          <w:rFonts w:hint="eastAsia" w:ascii="宋体" w:hAnsi="宋体" w:eastAsia="宋体" w:cs="宋体"/>
          <w:bCs/>
          <w:sz w:val="21"/>
          <w:szCs w:val="21"/>
          <w:highlight w:val="none"/>
        </w:rPr>
        <w:t>；</w:t>
      </w:r>
      <w:bookmarkEnd w:id="15"/>
      <w:bookmarkEnd w:id="16"/>
      <w:bookmarkEnd w:id="17"/>
      <w:bookmarkEnd w:id="18"/>
      <w:bookmarkEnd w:id="19"/>
    </w:p>
    <w:p w14:paraId="5CD1D199">
      <w:pPr>
        <w:pStyle w:val="15"/>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hAnsi="宋体" w:cs="宋体"/>
          <w:bCs/>
          <w:kern w:val="2"/>
          <w:sz w:val="21"/>
          <w:szCs w:val="21"/>
          <w:lang w:val="en-US" w:eastAsia="zh-CN" w:bidi="ar-SA"/>
        </w:rPr>
        <w:t>5</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招标人认为其他应终止招标的情形。</w:t>
      </w:r>
    </w:p>
    <w:p w14:paraId="24E6827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sz w:val="21"/>
          <w:szCs w:val="21"/>
        </w:rPr>
      </w:pPr>
      <w:r>
        <w:rPr>
          <w:rFonts w:hint="eastAsia" w:ascii="宋体" w:hAnsi="宋体" w:eastAsia="宋体" w:cs="宋体"/>
          <w:kern w:val="2"/>
          <w:sz w:val="21"/>
          <w:szCs w:val="21"/>
          <w:lang w:val="en-US" w:eastAsia="zh-CN" w:bidi="ar-SA"/>
        </w:rPr>
        <w:t>3</w:t>
      </w:r>
      <w:r>
        <w:rPr>
          <w:rFonts w:hint="default" w:ascii="Times New Roman" w:hAnsi="Times New Roman" w:eastAsia="宋体" w:cs="Times New Roman"/>
          <w:kern w:val="2"/>
          <w:sz w:val="21"/>
          <w:szCs w:val="21"/>
          <w:lang w:val="en-US" w:eastAsia="zh-CN" w:bidi="ar-SA"/>
        </w:rPr>
        <w:t>.</w:t>
      </w:r>
      <w:r>
        <w:rPr>
          <w:rFonts w:hint="eastAsia" w:ascii="宋体" w:hAnsi="宋体" w:eastAsia="宋体" w:cs="宋体"/>
          <w:color w:val="000000"/>
          <w:sz w:val="21"/>
          <w:szCs w:val="21"/>
          <w:highlight w:val="none"/>
        </w:rPr>
        <w:t>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3E00D4EE">
      <w:pPr>
        <w:pStyle w:val="72"/>
      </w:pPr>
      <w:r>
        <w:rPr>
          <w:rFonts w:hint="eastAsia"/>
          <w:lang w:val="en-US" w:eastAsia="zh-CN"/>
        </w:rPr>
        <w:t>合同签订</w:t>
      </w:r>
    </w:p>
    <w:p w14:paraId="470297F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1.招标人根据评标工作小组的评标结果确定中标人，在重汽e采通平台公布中标结果，并发送中标通知。</w:t>
      </w:r>
    </w:p>
    <w:p w14:paraId="13B3687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2.中标人应该在中标通知书规定的时间、地点与招标人签订采购合同，否则按照开标后撤回投标处理。</w:t>
      </w:r>
    </w:p>
    <w:p w14:paraId="247515F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3.中标人应当按照合同约定的履约责任，在保证质量的前提下完成中标项目，不得将中标项目转包或分包给他人，否则视为违约，招标人有权解除合同。</w:t>
      </w:r>
    </w:p>
    <w:p w14:paraId="71A3F1F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cs="宋体"/>
          <w:color w:val="000000"/>
          <w:sz w:val="21"/>
          <w:szCs w:val="21"/>
        </w:rPr>
      </w:pPr>
      <w:r>
        <w:rPr>
          <w:rFonts w:hint="eastAsia" w:ascii="宋体" w:hAnsi="宋体" w:cs="宋体"/>
          <w:color w:val="000000"/>
          <w:sz w:val="21"/>
          <w:szCs w:val="21"/>
        </w:rPr>
        <w:t>4.中标人由于履行义务的能力或信用有严重缺陷，招标人有权取消其中标资格，招标人将从中标候选单位中依序重新确定中标人，或重新组织招标；</w:t>
      </w:r>
    </w:p>
    <w:p w14:paraId="4B1A7D9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cs="宋体"/>
          <w:color w:val="000000"/>
          <w:sz w:val="21"/>
          <w:szCs w:val="21"/>
        </w:rPr>
      </w:pPr>
      <w:r>
        <w:rPr>
          <w:rFonts w:hint="eastAsia" w:ascii="宋体" w:hAnsi="宋体" w:cs="宋体"/>
          <w:color w:val="000000"/>
          <w:sz w:val="21"/>
          <w:szCs w:val="21"/>
        </w:rPr>
        <w:t>5.合同以双方最终签署的版本为准。</w:t>
      </w:r>
    </w:p>
    <w:p w14:paraId="610E8BB3">
      <w:pPr>
        <w:pStyle w:val="72"/>
      </w:pPr>
      <w:r>
        <w:rPr>
          <w:rFonts w:hint="eastAsia"/>
          <w:lang w:val="en-US" w:eastAsia="zh-CN"/>
        </w:rPr>
        <w:t>付款</w:t>
      </w:r>
    </w:p>
    <w:p w14:paraId="6B1D0EFD">
      <w:pPr>
        <w:adjustRightInd w:val="0"/>
        <w:snapToGrid w:val="0"/>
        <w:spacing w:line="360" w:lineRule="auto"/>
        <w:ind w:firstLine="420" w:firstLineChars="200"/>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（1）该合同执行总价合同。</w:t>
      </w:r>
    </w:p>
    <w:p w14:paraId="4D1B68AA">
      <w:pPr>
        <w:adjustRightInd w:val="0"/>
        <w:snapToGrid w:val="0"/>
        <w:spacing w:line="360" w:lineRule="auto"/>
        <w:ind w:firstLine="420" w:firstLineChars="200"/>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（2）支付方式：半年期商业汇票（包括银行承兑汇票和商承承兑汇票）。</w:t>
      </w:r>
    </w:p>
    <w:p w14:paraId="4A3CEFB2">
      <w:pPr>
        <w:pStyle w:val="62"/>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（3）支付条款：</w:t>
      </w:r>
      <w:r>
        <w:rPr>
          <w:rFonts w:hint="eastAsia" w:ascii="宋体" w:hAnsi="宋体" w:cs="宋体"/>
          <w:kern w:val="2"/>
          <w:sz w:val="21"/>
          <w:szCs w:val="21"/>
          <w:highlight w:val="none"/>
          <w:lang w:val="en-US" w:eastAsia="zh-CN" w:bidi="ar-SA"/>
        </w:rPr>
        <w:t>按照每半年支付一次的方式，</w:t>
      </w:r>
      <w:r>
        <w:rPr>
          <w:rFonts w:hint="eastAsia" w:ascii="宋体" w:hAnsi="宋体" w:eastAsia="宋体" w:cs="宋体"/>
          <w:kern w:val="2"/>
          <w:sz w:val="21"/>
          <w:szCs w:val="21"/>
          <w:highlight w:val="none"/>
          <w:lang w:val="en-US" w:eastAsia="zh-CN" w:bidi="ar-SA"/>
        </w:rPr>
        <w:t>签订合同后，出赁方向济宁商用车开具合规的增值税专用发票</w:t>
      </w:r>
      <w:r>
        <w:rPr>
          <w:rFonts w:hint="eastAsia" w:ascii="宋体" w:hAnsi="宋体" w:cs="宋体"/>
          <w:kern w:val="2"/>
          <w:sz w:val="21"/>
          <w:szCs w:val="21"/>
          <w:highlight w:val="none"/>
          <w:lang w:val="en-US" w:eastAsia="zh-CN" w:bidi="ar-SA"/>
        </w:rPr>
        <w:t>（半年）</w:t>
      </w:r>
      <w:r>
        <w:rPr>
          <w:rFonts w:hint="eastAsia" w:ascii="宋体" w:hAnsi="宋体" w:eastAsia="宋体" w:cs="宋体"/>
          <w:kern w:val="2"/>
          <w:sz w:val="21"/>
          <w:szCs w:val="21"/>
          <w:highlight w:val="none"/>
          <w:lang w:val="en-US" w:eastAsia="zh-CN" w:bidi="ar-SA"/>
        </w:rPr>
        <w:t>。济宁商用车收到出赁方发票后次月一次性支付</w:t>
      </w:r>
      <w:r>
        <w:rPr>
          <w:rFonts w:hint="eastAsia" w:ascii="宋体" w:hAnsi="宋体" w:cs="宋体"/>
          <w:kern w:val="2"/>
          <w:sz w:val="21"/>
          <w:szCs w:val="21"/>
          <w:highlight w:val="none"/>
          <w:lang w:val="en-US" w:eastAsia="zh-CN" w:bidi="ar-SA"/>
        </w:rPr>
        <w:t>半</w:t>
      </w:r>
      <w:r>
        <w:rPr>
          <w:rFonts w:hint="eastAsia" w:ascii="宋体" w:hAnsi="宋体" w:eastAsia="宋体" w:cs="宋体"/>
          <w:kern w:val="2"/>
          <w:sz w:val="21"/>
          <w:szCs w:val="21"/>
          <w:highlight w:val="none"/>
          <w:lang w:val="en-US" w:eastAsia="zh-CN" w:bidi="ar-SA"/>
        </w:rPr>
        <w:t>年厂房租赁金。</w:t>
      </w:r>
    </w:p>
    <w:p w14:paraId="6E0D7439">
      <w:pPr>
        <w:pStyle w:val="72"/>
        <w:numPr>
          <w:ilvl w:val="0"/>
          <w:numId w:val="0"/>
        </w:numPr>
        <w:ind w:leftChars="0"/>
        <w:rPr>
          <w:rFonts w:hint="eastAsia"/>
          <w:lang w:val="en-US" w:eastAsia="zh-CN"/>
        </w:rPr>
      </w:pPr>
      <w:r>
        <w:rPr>
          <w:rFonts w:hint="eastAsia"/>
          <w:lang w:val="en-US" w:eastAsia="zh-CN"/>
        </w:rPr>
        <w:t>本次招标最终解释权归中国重汽集团</w:t>
      </w:r>
      <w:r>
        <w:rPr>
          <w:rFonts w:hint="eastAsia"/>
          <w:u w:val="single"/>
          <w:lang w:val="en-US" w:eastAsia="zh-CN"/>
        </w:rPr>
        <w:t>济宁商用车</w:t>
      </w:r>
      <w:r>
        <w:rPr>
          <w:rFonts w:hint="eastAsia"/>
          <w:lang w:val="en-US" w:eastAsia="zh-CN"/>
        </w:rPr>
        <w:t>有限公司。</w:t>
      </w:r>
    </w:p>
    <w:p w14:paraId="336061FE">
      <w:pPr>
        <w:pStyle w:val="76"/>
        <w:rPr>
          <w:rFonts w:hint="eastAsia"/>
          <w:lang w:val="en-US" w:eastAsia="zh-CN"/>
        </w:rPr>
      </w:pPr>
    </w:p>
    <w:p w14:paraId="2C7FB59C">
      <w:pPr>
        <w:pStyle w:val="76"/>
        <w:rPr>
          <w:rFonts w:hint="eastAsia"/>
          <w:lang w:val="en-US" w:eastAsia="zh-CN"/>
        </w:rPr>
      </w:pPr>
    </w:p>
    <w:p w14:paraId="1EF701F2">
      <w:pPr>
        <w:pStyle w:val="76"/>
        <w:rPr>
          <w:rFonts w:hint="eastAsia"/>
          <w:lang w:val="en-US" w:eastAsia="zh-CN"/>
        </w:rPr>
      </w:pPr>
    </w:p>
    <w:p w14:paraId="2FC7C367">
      <w:pPr>
        <w:pStyle w:val="76"/>
        <w:rPr>
          <w:rFonts w:hint="eastAsia"/>
          <w:lang w:val="en-US" w:eastAsia="zh-CN"/>
        </w:rPr>
      </w:pPr>
    </w:p>
    <w:p w14:paraId="6AA3C942">
      <w:pPr>
        <w:pStyle w:val="76"/>
        <w:rPr>
          <w:rFonts w:hint="eastAsia"/>
          <w:lang w:val="en-US" w:eastAsia="zh-CN"/>
        </w:rPr>
      </w:pPr>
    </w:p>
    <w:p w14:paraId="764D12F9">
      <w:pPr>
        <w:pStyle w:val="71"/>
        <w:rPr>
          <w:rFonts w:hint="eastAsia"/>
        </w:rPr>
      </w:pPr>
      <w:bookmarkStart w:id="20" w:name="_Toc47976615"/>
      <w:bookmarkStart w:id="21" w:name="_Toc5925"/>
    </w:p>
    <w:p w14:paraId="202266B7">
      <w:pPr>
        <w:pStyle w:val="71"/>
        <w:rPr>
          <w:rFonts w:hint="eastAsia"/>
        </w:rPr>
      </w:pPr>
    </w:p>
    <w:p w14:paraId="6F21B433">
      <w:pPr>
        <w:pStyle w:val="71"/>
        <w:rPr>
          <w:rFonts w:hint="eastAsia"/>
        </w:rPr>
      </w:pPr>
    </w:p>
    <w:p w14:paraId="270663F9">
      <w:pPr>
        <w:pStyle w:val="71"/>
        <w:rPr>
          <w:rFonts w:hint="eastAsia"/>
        </w:rPr>
      </w:pPr>
    </w:p>
    <w:p w14:paraId="4EF4C044">
      <w:pPr>
        <w:pStyle w:val="71"/>
        <w:jc w:val="both"/>
        <w:rPr>
          <w:rFonts w:hint="eastAsia"/>
        </w:rPr>
      </w:pPr>
    </w:p>
    <w:p w14:paraId="3BD41193">
      <w:pPr>
        <w:pStyle w:val="71"/>
        <w:rPr>
          <w:rFonts w:hint="eastAsia"/>
        </w:rPr>
      </w:pPr>
    </w:p>
    <w:p w14:paraId="050BC536">
      <w:pPr>
        <w:pStyle w:val="71"/>
        <w:jc w:val="both"/>
        <w:rPr>
          <w:rFonts w:hint="eastAsia"/>
        </w:rPr>
      </w:pPr>
    </w:p>
    <w:p w14:paraId="52B27D68">
      <w:pPr>
        <w:pStyle w:val="71"/>
        <w:rPr>
          <w:rFonts w:hint="eastAsia"/>
        </w:rPr>
      </w:pPr>
    </w:p>
    <w:p w14:paraId="0EB8BBEB">
      <w:pPr>
        <w:pStyle w:val="71"/>
        <w:rPr>
          <w:rFonts w:hint="default" w:eastAsia="黑体"/>
          <w:lang w:val="en-US" w:eastAsia="zh-CN"/>
        </w:rPr>
      </w:pPr>
      <w:r>
        <w:rPr>
          <w:rFonts w:hint="eastAsia"/>
        </w:rPr>
        <w:t>第</w:t>
      </w:r>
      <w:r>
        <w:rPr>
          <w:rFonts w:hint="eastAsia"/>
          <w:lang w:val="en-US" w:eastAsia="zh-CN"/>
        </w:rPr>
        <w:t>二</w:t>
      </w:r>
      <w:r>
        <w:rPr>
          <w:rFonts w:hint="eastAsia"/>
        </w:rPr>
        <w:t>部分　</w:t>
      </w:r>
      <w:bookmarkEnd w:id="20"/>
      <w:r>
        <w:rPr>
          <w:rFonts w:hint="eastAsia"/>
          <w:lang w:val="en-US" w:eastAsia="zh-CN"/>
        </w:rPr>
        <w:t>投标文件附件</w:t>
      </w:r>
      <w:bookmarkEnd w:id="21"/>
    </w:p>
    <w:p w14:paraId="600DE1DD">
      <w:pPr>
        <w:pStyle w:val="71"/>
        <w:jc w:val="left"/>
        <w:rPr>
          <w:rFonts w:hint="eastAsia" w:ascii="宋体" w:hAnsi="宋体" w:eastAsia="宋体" w:cs="宋体"/>
          <w:sz w:val="32"/>
          <w:szCs w:val="32"/>
          <w:highlight w:val="none"/>
          <w:lang w:eastAsia="zh-CN"/>
        </w:rPr>
      </w:pPr>
      <w:bookmarkStart w:id="22" w:name="_Toc4225"/>
      <w:bookmarkStart w:id="23" w:name="_Toc47976616"/>
      <w:r>
        <w:rPr>
          <w:rFonts w:hint="eastAsia" w:ascii="宋体" w:hAnsi="宋体" w:eastAsia="宋体" w:cs="宋体"/>
          <w:sz w:val="32"/>
          <w:szCs w:val="32"/>
          <w:highlight w:val="none"/>
        </w:rPr>
        <w:t>附件</w:t>
      </w:r>
      <w:bookmarkEnd w:id="22"/>
      <w:bookmarkEnd w:id="23"/>
      <w:r>
        <w:rPr>
          <w:rFonts w:hint="eastAsia" w:ascii="宋体" w:hAnsi="宋体" w:eastAsia="宋体" w:cs="宋体"/>
          <w:sz w:val="32"/>
          <w:szCs w:val="32"/>
          <w:highlight w:val="none"/>
          <w:lang w:val="en-US" w:eastAsia="zh-CN"/>
        </w:rPr>
        <w:t>1</w:t>
      </w:r>
    </w:p>
    <w:p w14:paraId="3D26BC99">
      <w:pPr>
        <w:keepNext/>
        <w:keepLines/>
        <w:jc w:val="center"/>
        <w:outlineLvl w:val="2"/>
        <w:rPr>
          <w:rFonts w:hint="eastAsia" w:ascii="宋体" w:hAnsi="宋体" w:eastAsia="宋体" w:cs="宋体"/>
          <w:b/>
          <w:bCs/>
          <w:color w:val="000000"/>
          <w:sz w:val="32"/>
          <w:szCs w:val="32"/>
        </w:rPr>
      </w:pPr>
      <w:r>
        <w:rPr>
          <w:rFonts w:hint="eastAsia" w:ascii="宋体" w:hAnsi="宋体" w:eastAsia="宋体" w:cs="宋体"/>
          <w:b/>
          <w:bCs/>
          <w:color w:val="000000"/>
          <w:sz w:val="32"/>
          <w:szCs w:val="32"/>
        </w:rPr>
        <w:t>投标函</w:t>
      </w:r>
    </w:p>
    <w:p w14:paraId="0B39DB8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致：中国重汽集团</w:t>
      </w:r>
      <w:r>
        <w:rPr>
          <w:rFonts w:hint="eastAsia" w:ascii="宋体" w:hAnsi="宋体" w:cs="Times New Roman"/>
          <w:color w:val="000000"/>
          <w:sz w:val="24"/>
          <w:szCs w:val="24"/>
          <w:u w:val="single"/>
          <w:lang w:val="en-US" w:eastAsia="zh-CN"/>
        </w:rPr>
        <w:t xml:space="preserve">            </w:t>
      </w:r>
      <w:r>
        <w:rPr>
          <w:rFonts w:hint="eastAsia" w:ascii="宋体" w:hAnsi="宋体" w:eastAsia="宋体" w:cs="Times New Roman"/>
          <w:color w:val="000000"/>
          <w:sz w:val="24"/>
          <w:szCs w:val="24"/>
        </w:rPr>
        <w:t>有限公司：</w:t>
      </w:r>
    </w:p>
    <w:p w14:paraId="7F916B1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根据贵方</w:t>
      </w:r>
      <w:r>
        <w:rPr>
          <w:rFonts w:hint="eastAsia" w:ascii="宋体" w:hAnsi="宋体" w:cs="Times New Roman"/>
          <w:color w:val="000000"/>
          <w:sz w:val="24"/>
          <w:szCs w:val="24"/>
          <w:u w:val="single"/>
          <w:lang w:val="en-US" w:eastAsia="zh-CN"/>
        </w:rPr>
        <w:t xml:space="preserve">                       </w:t>
      </w:r>
      <w:r>
        <w:rPr>
          <w:rFonts w:hint="eastAsia" w:ascii="宋体" w:hAnsi="宋体" w:eastAsia="宋体" w:cs="Times New Roman"/>
          <w:bCs/>
          <w:snapToGrid w:val="0"/>
          <w:color w:val="000000"/>
          <w:kern w:val="0"/>
          <w:sz w:val="24"/>
          <w:szCs w:val="24"/>
        </w:rPr>
        <w:t>招标公告</w:t>
      </w:r>
      <w:r>
        <w:rPr>
          <w:rFonts w:hint="eastAsia" w:ascii="宋体" w:hAnsi="宋体" w:eastAsia="宋体" w:cs="Times New Roman"/>
          <w:color w:val="000000"/>
          <w:sz w:val="24"/>
          <w:szCs w:val="24"/>
        </w:rPr>
        <w:t>，</w:t>
      </w:r>
      <w:r>
        <w:rPr>
          <w:rFonts w:ascii="宋体" w:hAnsi="宋体" w:eastAsia="宋体" w:cs="Times New Roman"/>
          <w:b/>
          <w:color w:val="000000"/>
          <w:sz w:val="24"/>
          <w:szCs w:val="24"/>
          <w:u w:val="single"/>
        </w:rPr>
        <w:t xml:space="preserve">            </w:t>
      </w:r>
      <w:r>
        <w:rPr>
          <w:rFonts w:hint="eastAsia" w:ascii="宋体" w:hAnsi="宋体" w:eastAsia="宋体" w:cs="Times New Roman"/>
          <w:color w:val="000000"/>
          <w:sz w:val="24"/>
          <w:szCs w:val="24"/>
        </w:rPr>
        <w:t>投标公司，</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法人代表人为</w:t>
      </w:r>
      <w:r>
        <w:rPr>
          <w:rFonts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，正式授权</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提交纸质投标文件：资质证明文件、商务文件和技术文件正本</w:t>
      </w:r>
      <w:r>
        <w:rPr>
          <w:rFonts w:hint="eastAsia" w:ascii="宋体" w:hAnsi="宋体" w:cs="Times New Roman"/>
          <w:color w:val="000000"/>
          <w:sz w:val="24"/>
          <w:szCs w:val="24"/>
          <w:u w:val="single"/>
          <w:lang w:val="en-US" w:eastAsia="zh-CN"/>
        </w:rPr>
        <w:t xml:space="preserve">  </w:t>
      </w:r>
      <w:r>
        <w:rPr>
          <w:rFonts w:hint="eastAsia" w:ascii="宋体" w:hAnsi="宋体" w:eastAsia="宋体" w:cs="Times New Roman"/>
          <w:color w:val="000000"/>
          <w:sz w:val="24"/>
          <w:szCs w:val="24"/>
        </w:rPr>
        <w:t>份、副本</w:t>
      </w:r>
      <w:r>
        <w:rPr>
          <w:rFonts w:hint="eastAsia" w:ascii="宋体" w:hAnsi="宋体" w:cs="Times New Roman"/>
          <w:color w:val="000000"/>
          <w:sz w:val="24"/>
          <w:szCs w:val="24"/>
          <w:u w:val="single"/>
          <w:lang w:val="en-US" w:eastAsia="zh-CN"/>
        </w:rPr>
        <w:t xml:space="preserve">  </w:t>
      </w:r>
      <w:r>
        <w:rPr>
          <w:rFonts w:hint="eastAsia" w:ascii="宋体" w:hAnsi="宋体" w:eastAsia="宋体" w:cs="Times New Roman"/>
          <w:color w:val="000000"/>
          <w:sz w:val="24"/>
          <w:szCs w:val="24"/>
        </w:rPr>
        <w:t>份；电子版投标文件一份。</w:t>
      </w:r>
    </w:p>
    <w:p w14:paraId="26D6294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据此函，签字代表宣布同意如下：</w:t>
      </w:r>
    </w:p>
    <w:p w14:paraId="71FBB532">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1</w:t>
      </w:r>
      <w:r>
        <w:rPr>
          <w:rFonts w:hint="eastAsia" w:ascii="宋体" w:hAnsi="宋体" w:eastAsia="宋体" w:cs="Times New Roman"/>
          <w:color w:val="000000"/>
          <w:sz w:val="24"/>
          <w:szCs w:val="24"/>
        </w:rPr>
        <w:t>.投标人已详细审查全部“招标文件”，包括修改文件（如有的话）以及全部参考资料和有关附件，已经了解我方对于招标文件、采购过程、采购结果有依法进行询问、质疑、投诉的权利及相关渠道和要求。</w:t>
      </w:r>
    </w:p>
    <w:p w14:paraId="535DAEDA">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2</w:t>
      </w:r>
      <w:r>
        <w:rPr>
          <w:rFonts w:hint="eastAsia" w:ascii="宋体" w:hAnsi="宋体" w:eastAsia="宋体" w:cs="Times New Roman"/>
          <w:color w:val="000000"/>
          <w:sz w:val="24"/>
          <w:szCs w:val="24"/>
        </w:rPr>
        <w:t>.投标人在投标之前已经与贵方进行了充分的沟通，完全理解并接受招标文件的各项规定和要求，对招标文件的合理性、合法性不再有异议。</w:t>
      </w:r>
    </w:p>
    <w:p w14:paraId="7A6FA392">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3</w:t>
      </w:r>
      <w:r>
        <w:rPr>
          <w:rFonts w:hint="eastAsia" w:ascii="宋体" w:hAnsi="宋体" w:eastAsia="宋体" w:cs="Times New Roman"/>
          <w:color w:val="000000"/>
          <w:sz w:val="24"/>
          <w:szCs w:val="24"/>
        </w:rPr>
        <w:t>.本投标有效期自开标日起</w:t>
      </w:r>
      <w:r>
        <w:rPr>
          <w:rFonts w:ascii="宋体" w:hAnsi="宋体" w:eastAsia="宋体" w:cs="Times New Roman"/>
          <w:bCs/>
          <w:color w:val="000000"/>
          <w:sz w:val="24"/>
          <w:szCs w:val="24"/>
          <w:u w:val="single"/>
        </w:rPr>
        <w:t xml:space="preserve"> </w:t>
      </w:r>
      <w:r>
        <w:rPr>
          <w:rFonts w:hint="eastAsia" w:ascii="宋体" w:hAnsi="宋体" w:cs="Times New Roman"/>
          <w:bCs/>
          <w:color w:val="000000"/>
          <w:sz w:val="24"/>
          <w:szCs w:val="24"/>
          <w:u w:val="single"/>
          <w:lang w:val="en-US" w:eastAsia="zh-CN"/>
        </w:rPr>
        <w:t xml:space="preserve"> </w:t>
      </w:r>
      <w:r>
        <w:rPr>
          <w:rFonts w:hint="eastAsia" w:ascii="宋体" w:hAnsi="宋体" w:eastAsia="宋体" w:cs="Times New Roman"/>
          <w:color w:val="000000"/>
          <w:sz w:val="24"/>
          <w:szCs w:val="24"/>
        </w:rPr>
        <w:t>个日历日。</w:t>
      </w:r>
    </w:p>
    <w:p w14:paraId="459E3F15">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4</w:t>
      </w:r>
      <w:r>
        <w:rPr>
          <w:rFonts w:hint="eastAsia" w:ascii="宋体" w:hAnsi="宋体" w:eastAsia="宋体" w:cs="Times New Roman"/>
          <w:color w:val="000000"/>
          <w:sz w:val="24"/>
          <w:szCs w:val="24"/>
        </w:rPr>
        <w:t>.如中标，本投标文件至本项目合同履行完毕止均保持有效，本投标人将按“招标文件”及政府采购法律、法规的规定履行合同责任和义务。</w:t>
      </w:r>
    </w:p>
    <w:p w14:paraId="77545813">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5</w:t>
      </w:r>
      <w:r>
        <w:rPr>
          <w:rFonts w:hint="eastAsia" w:ascii="宋体" w:hAnsi="宋体" w:eastAsia="宋体" w:cs="Times New Roman"/>
          <w:color w:val="000000"/>
          <w:sz w:val="24"/>
          <w:szCs w:val="24"/>
        </w:rPr>
        <w:t>.投标人同意按照贵方要求提供与投标有关的一切数据或资料。</w:t>
      </w:r>
    </w:p>
    <w:p w14:paraId="4F02BADB">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6</w:t>
      </w:r>
      <w:r>
        <w:rPr>
          <w:rFonts w:hint="eastAsia" w:ascii="宋体" w:hAnsi="宋体" w:eastAsia="宋体" w:cs="Times New Roman"/>
          <w:color w:val="000000"/>
          <w:sz w:val="24"/>
          <w:szCs w:val="24"/>
        </w:rPr>
        <w:t>.与本投标有关的一切正式往来信函请寄：</w:t>
      </w:r>
    </w:p>
    <w:p w14:paraId="3404A7C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地址：</w:t>
      </w:r>
      <w:r>
        <w:rPr>
          <w:rFonts w:ascii="宋体" w:hAnsi="宋体" w:eastAsia="宋体" w:cs="Times New Roman"/>
          <w:color w:val="000000"/>
          <w:sz w:val="24"/>
          <w:szCs w:val="24"/>
        </w:rPr>
        <w:t xml:space="preserve">                             </w:t>
      </w:r>
    </w:p>
    <w:p w14:paraId="24E63A1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邮编：</w:t>
      </w:r>
      <w:r>
        <w:rPr>
          <w:rFonts w:ascii="宋体" w:hAnsi="宋体" w:eastAsia="宋体" w:cs="Times New Roman"/>
          <w:color w:val="000000"/>
          <w:sz w:val="24"/>
          <w:szCs w:val="24"/>
        </w:rPr>
        <w:t xml:space="preserve">        </w:t>
      </w:r>
    </w:p>
    <w:p w14:paraId="40F28EC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电话：</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传真：</w:t>
      </w:r>
      <w:r>
        <w:rPr>
          <w:rFonts w:ascii="宋体" w:hAnsi="宋体" w:eastAsia="宋体" w:cs="Times New Roman"/>
          <w:color w:val="000000"/>
          <w:sz w:val="24"/>
          <w:szCs w:val="24"/>
        </w:rPr>
        <w:t xml:space="preserve">                   </w:t>
      </w:r>
    </w:p>
    <w:p w14:paraId="1D482AFB">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投标人代表姓名：</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职务：</w:t>
      </w:r>
      <w:r>
        <w:rPr>
          <w:rFonts w:ascii="宋体" w:hAnsi="宋体" w:eastAsia="宋体" w:cs="Times New Roman"/>
          <w:color w:val="000000"/>
          <w:sz w:val="24"/>
          <w:szCs w:val="24"/>
        </w:rPr>
        <w:t xml:space="preserve">          </w:t>
      </w:r>
    </w:p>
    <w:p w14:paraId="43152E4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开户银行：</w:t>
      </w:r>
      <w:r>
        <w:rPr>
          <w:rFonts w:ascii="宋体" w:hAnsi="宋体" w:eastAsia="宋体" w:cs="Times New Roman"/>
          <w:color w:val="000000"/>
          <w:sz w:val="24"/>
          <w:szCs w:val="24"/>
        </w:rPr>
        <w:t xml:space="preserve">                   </w:t>
      </w:r>
    </w:p>
    <w:p w14:paraId="2F8C4A40">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银行帐号：</w:t>
      </w:r>
      <w:r>
        <w:rPr>
          <w:rFonts w:ascii="宋体" w:hAnsi="宋体" w:eastAsia="宋体" w:cs="Times New Roman"/>
          <w:color w:val="000000"/>
          <w:sz w:val="24"/>
          <w:szCs w:val="24"/>
        </w:rPr>
        <w:t xml:space="preserve">                   </w:t>
      </w:r>
    </w:p>
    <w:p w14:paraId="04462310">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hint="eastAsia" w:ascii="宋体" w:hAnsi="宋体" w:eastAsia="宋体" w:cs="Times New Roman"/>
          <w:bCs/>
          <w:color w:val="000000"/>
          <w:sz w:val="24"/>
          <w:szCs w:val="24"/>
        </w:rPr>
        <w:t>盖章）</w:t>
      </w:r>
      <w:r>
        <w:rPr>
          <w:rFonts w:ascii="宋体" w:hAnsi="宋体" w:eastAsia="宋体" w:cs="Times New Roman"/>
          <w:color w:val="000000"/>
          <w:sz w:val="24"/>
          <w:szCs w:val="24"/>
        </w:rPr>
        <w:t xml:space="preserve">: </w:t>
      </w:r>
    </w:p>
    <w:p w14:paraId="7045671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授权代表签字</w:t>
      </w:r>
      <w:r>
        <w:rPr>
          <w:rFonts w:hint="eastAsia" w:ascii="宋体" w:hAnsi="宋体" w:eastAsia="宋体" w:cs="Times New Roman"/>
          <w:bCs/>
          <w:color w:val="000000"/>
          <w:sz w:val="24"/>
          <w:szCs w:val="24"/>
        </w:rPr>
        <w:t>：</w:t>
      </w:r>
    </w:p>
    <w:p w14:paraId="284F62A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50D9D845">
      <w:pPr>
        <w:rPr>
          <w:rFonts w:ascii="黑体" w:hAnsi="Calibri" w:eastAsia="黑体" w:cs="Times New Roman"/>
          <w:color w:val="000000"/>
          <w:sz w:val="24"/>
          <w:szCs w:val="24"/>
        </w:rPr>
      </w:pPr>
    </w:p>
    <w:p w14:paraId="32681108">
      <w:pPr>
        <w:jc w:val="both"/>
        <w:rPr>
          <w:rFonts w:ascii="宋体"/>
          <w:b/>
          <w:color w:val="000000"/>
          <w:szCs w:val="24"/>
        </w:rPr>
      </w:pPr>
    </w:p>
    <w:p w14:paraId="57006D89">
      <w:pPr>
        <w:pStyle w:val="72"/>
        <w:numPr>
          <w:ilvl w:val="0"/>
          <w:numId w:val="0"/>
        </w:numPr>
        <w:ind w:leftChars="0"/>
        <w:rPr>
          <w:rFonts w:hint="eastAsia" w:ascii="宋体" w:hAnsi="宋体" w:eastAsia="宋体" w:cs="宋体"/>
          <w:sz w:val="32"/>
          <w:szCs w:val="32"/>
          <w:highlight w:val="none"/>
          <w:lang w:val="en-US" w:eastAsia="zh-CN"/>
        </w:rPr>
      </w:pPr>
      <w:bookmarkStart w:id="24" w:name="_Toc47976618"/>
      <w:bookmarkStart w:id="25" w:name="_Toc29366865"/>
      <w:bookmarkStart w:id="26" w:name="_Toc29366869"/>
      <w:r>
        <w:rPr>
          <w:rFonts w:hint="eastAsia" w:ascii="宋体" w:hAnsi="宋体" w:eastAsia="宋体" w:cs="宋体"/>
          <w:sz w:val="32"/>
          <w:szCs w:val="32"/>
          <w:highlight w:val="none"/>
          <w:lang w:val="en-US" w:eastAsia="zh-CN"/>
        </w:rPr>
        <w:t>附件2</w:t>
      </w:r>
    </w:p>
    <w:bookmarkEnd w:id="24"/>
    <w:p w14:paraId="0179E87D">
      <w:pPr>
        <w:spacing w:line="360" w:lineRule="auto"/>
        <w:jc w:val="center"/>
        <w:rPr>
          <w:rFonts w:hint="eastAsia" w:ascii="宋体" w:hAnsi="宋体" w:eastAsia="宋体" w:cs="宋体"/>
          <w:color w:val="000000"/>
          <w:sz w:val="32"/>
          <w:szCs w:val="32"/>
        </w:rPr>
      </w:pPr>
      <w:r>
        <w:rPr>
          <w:rFonts w:hint="eastAsia" w:ascii="宋体" w:hAnsi="宋体" w:eastAsia="宋体" w:cs="宋体"/>
          <w:b/>
          <w:bCs/>
          <w:color w:val="000000"/>
          <w:sz w:val="32"/>
          <w:szCs w:val="32"/>
        </w:rPr>
        <w:t>法定代表人授权委托书</w:t>
      </w:r>
    </w:p>
    <w:p w14:paraId="19A97CD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本授权委托书声明：我＿＿＿＿＿＿＿（姓名）系＿＿＿＿＿＿＿＿＿＿＿＿＿＿＿＿＿＿＿＿＿＿＿＿（投标人全称）的法定代表人，就</w:t>
      </w:r>
      <w:r>
        <w:rPr>
          <w:rFonts w:ascii="宋体" w:hAnsi="宋体" w:eastAsia="宋体" w:cs="Times New Roman"/>
          <w:b/>
          <w:bCs/>
          <w:color w:val="000000"/>
          <w:sz w:val="24"/>
          <w:szCs w:val="24"/>
          <w:u w:val="single"/>
        </w:rPr>
        <w:t xml:space="preserve"> </w:t>
      </w:r>
      <w:r>
        <w:rPr>
          <w:rFonts w:hint="eastAsia" w:ascii="宋体" w:hAnsi="宋体" w:cs="Times New Roman"/>
          <w:b/>
          <w:bCs/>
          <w:color w:val="000000"/>
          <w:sz w:val="24"/>
          <w:szCs w:val="24"/>
          <w:u w:val="single"/>
          <w:lang w:val="en-US" w:eastAsia="zh-CN"/>
        </w:rPr>
        <w:t xml:space="preserve">                      </w:t>
      </w:r>
      <w:r>
        <w:rPr>
          <w:rFonts w:hint="eastAsia" w:ascii="宋体" w:hAnsi="宋体" w:eastAsia="宋体" w:cs="Times New Roman"/>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74BF2FA9">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全权代表无转委权。特此委托。</w:t>
      </w:r>
    </w:p>
    <w:tbl>
      <w:tblPr>
        <w:tblStyle w:val="37"/>
        <w:tblW w:w="8590"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57313CDB">
        <w:tblPrEx>
          <w:tblLayout w:type="fixed"/>
        </w:tblPrEx>
        <w:trPr>
          <w:trHeight w:val="3407" w:hRule="atLeast"/>
          <w:jc w:val="center"/>
        </w:trPr>
        <w:tc>
          <w:tcPr>
            <w:tcW w:w="8590" w:type="dxa"/>
            <w:tcBorders>
              <w:top w:val="single" w:color="auto" w:sz="4" w:space="0"/>
              <w:bottom w:val="single" w:color="auto" w:sz="4" w:space="0"/>
            </w:tcBorders>
            <w:vAlign w:val="center"/>
          </w:tcPr>
          <w:p w14:paraId="6DC2AEF8">
            <w:pPr>
              <w:adjustRightInd w:val="0"/>
              <w:snapToGrid w:val="0"/>
              <w:spacing w:before="93" w:beforeLines="30" w:line="312" w:lineRule="auto"/>
              <w:jc w:val="center"/>
              <w:rPr>
                <w:rFonts w:ascii="宋体" w:hAnsi="Calibri" w:eastAsia="宋体" w:cs="Times New Roman"/>
                <w:sz w:val="24"/>
                <w:szCs w:val="20"/>
                <w:u w:val="none"/>
              </w:rPr>
            </w:pPr>
            <w:r>
              <w:rPr>
                <w:rFonts w:hint="eastAsia" w:ascii="宋体" w:hAnsi="宋体" w:eastAsia="宋体" w:cs="Times New Roman"/>
                <w:sz w:val="24"/>
                <w:szCs w:val="20"/>
              </w:rPr>
              <w:t>附法人身份证明复印件</w:t>
            </w:r>
            <w:r>
              <w:rPr>
                <w:rFonts w:hint="eastAsia" w:ascii="宋体" w:hAnsi="宋体" w:eastAsia="宋体" w:cs="Times New Roman"/>
                <w:sz w:val="24"/>
                <w:szCs w:val="20"/>
                <w:u w:val="none"/>
                <w:lang w:eastAsia="zh-CN"/>
              </w:rPr>
              <w:t>（</w:t>
            </w:r>
            <w:r>
              <w:rPr>
                <w:rFonts w:hint="eastAsia" w:ascii="宋体" w:hAnsi="宋体" w:eastAsia="宋体" w:cs="Times New Roman"/>
                <w:color w:val="000000" w:themeColor="text1"/>
                <w:sz w:val="24"/>
                <w:szCs w:val="20"/>
                <w:u w:val="none"/>
                <w:lang w:val="en-US" w:eastAsia="zh-CN"/>
                <w14:textFill>
                  <w14:solidFill>
                    <w14:schemeClr w14:val="tx1"/>
                  </w14:solidFill>
                </w14:textFill>
              </w:rPr>
              <w:t>正反面）</w:t>
            </w:r>
          </w:p>
          <w:p w14:paraId="0A0449F6">
            <w:pPr>
              <w:adjustRightInd w:val="0"/>
              <w:snapToGrid w:val="0"/>
              <w:spacing w:before="93" w:beforeLines="30" w:line="312" w:lineRule="auto"/>
              <w:jc w:val="center"/>
              <w:rPr>
                <w:rFonts w:ascii="宋体" w:hAnsi="Calibri" w:eastAsia="宋体" w:cs="Times New Roman"/>
                <w:sz w:val="24"/>
                <w:szCs w:val="20"/>
              </w:rPr>
            </w:pPr>
            <w:r>
              <w:rPr>
                <w:rFonts w:hint="eastAsia" w:ascii="宋体" w:hAnsi="宋体" w:eastAsia="宋体" w:cs="Times New Roman"/>
                <w:sz w:val="24"/>
                <w:szCs w:val="20"/>
              </w:rPr>
              <w:t>附授权代理人身份证明复印件</w:t>
            </w:r>
            <w:r>
              <w:rPr>
                <w:rFonts w:hint="eastAsia" w:ascii="宋体" w:hAnsi="宋体" w:eastAsia="宋体" w:cs="Times New Roman"/>
                <w:sz w:val="24"/>
                <w:szCs w:val="20"/>
                <w:lang w:eastAsia="zh-CN"/>
              </w:rPr>
              <w:t>（</w:t>
            </w:r>
            <w:r>
              <w:rPr>
                <w:rFonts w:hint="eastAsia" w:ascii="宋体" w:hAnsi="宋体" w:eastAsia="宋体" w:cs="Times New Roman"/>
                <w:sz w:val="24"/>
                <w:szCs w:val="20"/>
                <w:lang w:val="en-US" w:eastAsia="zh-CN"/>
              </w:rPr>
              <w:t>正反面</w:t>
            </w:r>
            <w:r>
              <w:rPr>
                <w:rFonts w:hint="eastAsia" w:ascii="宋体" w:hAnsi="宋体" w:eastAsia="宋体" w:cs="Times New Roman"/>
                <w:sz w:val="24"/>
                <w:szCs w:val="20"/>
                <w:lang w:eastAsia="zh-CN"/>
              </w:rPr>
              <w:t>）</w:t>
            </w:r>
          </w:p>
        </w:tc>
      </w:tr>
    </w:tbl>
    <w:p w14:paraId="37BFA8A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全权代表姓名：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性别：</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年龄：</w:t>
      </w:r>
    </w:p>
    <w:p w14:paraId="3B6DD363">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单位：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部门：</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职务：</w:t>
      </w:r>
    </w:p>
    <w:p w14:paraId="0F64A2A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法定代表人签字或盖章</w:t>
      </w:r>
      <w:r>
        <w:rPr>
          <w:rFonts w:ascii="宋体" w:hAnsi="宋体" w:eastAsia="宋体" w:cs="Times New Roman"/>
          <w:color w:val="000000"/>
          <w:sz w:val="24"/>
          <w:szCs w:val="24"/>
        </w:rPr>
        <w:t xml:space="preserve">                          </w:t>
      </w:r>
    </w:p>
    <w:p w14:paraId="100F211A">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被授权人签字</w:t>
      </w:r>
      <w:r>
        <w:rPr>
          <w:rFonts w:ascii="宋体" w:hAnsi="宋体" w:eastAsia="宋体" w:cs="Times New Roman"/>
          <w:color w:val="000000"/>
          <w:sz w:val="24"/>
          <w:szCs w:val="24"/>
        </w:rPr>
        <w:t xml:space="preserve">  </w:t>
      </w:r>
    </w:p>
    <w:p w14:paraId="7B47F76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被授权人电话：</w:t>
      </w:r>
      <w:r>
        <w:rPr>
          <w:rFonts w:ascii="宋体" w:hAnsi="宋体" w:eastAsia="宋体" w:cs="Times New Roman"/>
          <w:color w:val="000000"/>
          <w:sz w:val="24"/>
          <w:szCs w:val="24"/>
        </w:rPr>
        <w:t xml:space="preserve">   </w:t>
      </w:r>
    </w:p>
    <w:p w14:paraId="6B9DBB7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投标人名称（公章）</w:t>
      </w:r>
      <w:r>
        <w:rPr>
          <w:rFonts w:ascii="宋体" w:hAnsi="宋体" w:eastAsia="宋体" w:cs="Times New Roman"/>
          <w:color w:val="000000"/>
          <w:sz w:val="24"/>
          <w:szCs w:val="24"/>
        </w:rPr>
        <w:t xml:space="preserve">                       </w:t>
      </w:r>
    </w:p>
    <w:p w14:paraId="152336F1">
      <w:pPr>
        <w:spacing w:line="460" w:lineRule="exact"/>
        <w:ind w:firstLine="5520" w:firstLineChars="2300"/>
        <w:rPr>
          <w:rFonts w:ascii="宋体" w:hAnsi="Calibri"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2B3FEAEC">
      <w:pPr>
        <w:spacing w:line="360" w:lineRule="auto"/>
        <w:ind w:firstLine="4800" w:firstLineChars="2000"/>
        <w:rPr>
          <w:rFonts w:ascii="宋体" w:hAnsi="宋体" w:cs="宋体"/>
          <w:sz w:val="24"/>
          <w:szCs w:val="21"/>
        </w:rPr>
      </w:pPr>
    </w:p>
    <w:p w14:paraId="42BBE3A2">
      <w:pPr>
        <w:spacing w:line="360" w:lineRule="auto"/>
        <w:ind w:firstLine="4800" w:firstLineChars="2000"/>
        <w:rPr>
          <w:rFonts w:ascii="宋体" w:hAnsi="宋体" w:cs="宋体"/>
          <w:sz w:val="24"/>
          <w:szCs w:val="21"/>
        </w:rPr>
      </w:pPr>
    </w:p>
    <w:p w14:paraId="3D18A567">
      <w:pPr>
        <w:spacing w:line="360" w:lineRule="auto"/>
        <w:ind w:firstLine="4800" w:firstLineChars="2000"/>
        <w:rPr>
          <w:rFonts w:ascii="宋体" w:hAnsi="宋体" w:cs="宋体"/>
          <w:sz w:val="24"/>
          <w:szCs w:val="21"/>
        </w:rPr>
      </w:pPr>
    </w:p>
    <w:p w14:paraId="758E3B4E">
      <w:pPr>
        <w:spacing w:line="360" w:lineRule="auto"/>
        <w:ind w:firstLine="4800" w:firstLineChars="2000"/>
        <w:rPr>
          <w:rFonts w:ascii="宋体" w:hAnsi="宋体" w:cs="宋体"/>
          <w:sz w:val="24"/>
          <w:szCs w:val="21"/>
        </w:rPr>
      </w:pPr>
    </w:p>
    <w:p w14:paraId="69663AF6">
      <w:pPr>
        <w:pStyle w:val="15"/>
      </w:pPr>
    </w:p>
    <w:p w14:paraId="3A5DEF51">
      <w:pPr>
        <w:spacing w:line="360" w:lineRule="auto"/>
        <w:rPr>
          <w:rFonts w:ascii="宋体" w:hAnsi="宋体" w:cs="宋体"/>
          <w:sz w:val="24"/>
          <w:szCs w:val="21"/>
        </w:rPr>
      </w:pPr>
    </w:p>
    <w:bookmarkEnd w:id="25"/>
    <w:bookmarkEnd w:id="26"/>
    <w:p w14:paraId="53E6B306">
      <w:pPr>
        <w:pStyle w:val="72"/>
        <w:numPr>
          <w:ilvl w:val="0"/>
          <w:numId w:val="0"/>
        </w:numPr>
        <w:ind w:leftChars="0"/>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附件3</w:t>
      </w:r>
    </w:p>
    <w:p w14:paraId="769BF465">
      <w:pPr>
        <w:pStyle w:val="72"/>
        <w:numPr>
          <w:ilvl w:val="0"/>
          <w:numId w:val="0"/>
        </w:numPr>
        <w:ind w:leftChars="0"/>
        <w:jc w:val="center"/>
        <w:rPr>
          <w:rFonts w:hint="eastAsia"/>
          <w:lang w:val="en-US" w:eastAsia="zh-CN"/>
        </w:rPr>
      </w:pPr>
      <w:r>
        <w:rPr>
          <w:rFonts w:hint="eastAsia"/>
          <w:lang w:val="en-US" w:eastAsia="zh-CN"/>
        </w:rPr>
        <w:t>开标一览表</w:t>
      </w:r>
    </w:p>
    <w:p w14:paraId="71C63D3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cs="Times New Roman"/>
          <w:color w:val="000000"/>
          <w:sz w:val="24"/>
          <w:szCs w:val="24"/>
          <w:u w:val="single"/>
          <w:lang w:val="en-US" w:eastAsia="zh-CN"/>
        </w:rPr>
        <w:t xml:space="preserve">                          </w:t>
      </w:r>
      <w:r>
        <w:rPr>
          <w:rFonts w:ascii="宋体" w:hAnsi="宋体" w:eastAsia="宋体" w:cs="Times New Roman"/>
          <w:color w:val="000000"/>
          <w:sz w:val="24"/>
          <w:szCs w:val="24"/>
        </w:rPr>
        <w:t xml:space="preserve">                                                        </w:t>
      </w:r>
    </w:p>
    <w:tbl>
      <w:tblPr>
        <w:tblStyle w:val="37"/>
        <w:tblW w:w="9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518"/>
        <w:gridCol w:w="848"/>
        <w:gridCol w:w="2270"/>
        <w:gridCol w:w="1100"/>
        <w:gridCol w:w="1243"/>
        <w:gridCol w:w="705"/>
        <w:gridCol w:w="699"/>
      </w:tblGrid>
      <w:tr w14:paraId="07BA827D">
        <w:tblPrEx>
          <w:tblLayout w:type="fixed"/>
        </w:tblPrEx>
        <w:trPr>
          <w:cantSplit/>
          <w:trHeight w:val="1065" w:hRule="atLeast"/>
          <w:jc w:val="center"/>
        </w:trPr>
        <w:tc>
          <w:tcPr>
            <w:tcW w:w="677" w:type="dxa"/>
            <w:vAlign w:val="center"/>
          </w:tcPr>
          <w:p w14:paraId="1B2BAAFF">
            <w:pPr>
              <w:jc w:val="center"/>
              <w:rPr>
                <w:rFonts w:ascii="Times New Roman" w:hAnsi="Times New Roman" w:eastAsia="宋体" w:cs="Times New Roman"/>
                <w:b/>
                <w:szCs w:val="20"/>
              </w:rPr>
            </w:pPr>
            <w:r>
              <w:rPr>
                <w:rFonts w:hint="eastAsia" w:ascii="Times New Roman" w:hAnsi="Times New Roman" w:eastAsia="宋体" w:cs="Times New Roman"/>
                <w:b/>
                <w:szCs w:val="20"/>
              </w:rPr>
              <w:t>序号</w:t>
            </w:r>
          </w:p>
        </w:tc>
        <w:tc>
          <w:tcPr>
            <w:tcW w:w="1518" w:type="dxa"/>
            <w:vAlign w:val="center"/>
          </w:tcPr>
          <w:p w14:paraId="0CB9085E">
            <w:pPr>
              <w:jc w:val="center"/>
              <w:rPr>
                <w:rFonts w:ascii="Times New Roman" w:hAnsi="Times New Roman" w:eastAsia="宋体" w:cs="Times New Roman"/>
                <w:b/>
                <w:szCs w:val="20"/>
              </w:rPr>
            </w:pPr>
            <w:r>
              <w:rPr>
                <w:rFonts w:hint="eastAsia" w:ascii="Times New Roman" w:hAnsi="Times New Roman" w:eastAsia="宋体" w:cs="Times New Roman"/>
                <w:b/>
                <w:szCs w:val="20"/>
              </w:rPr>
              <w:t>货物名称</w:t>
            </w:r>
          </w:p>
        </w:tc>
        <w:tc>
          <w:tcPr>
            <w:tcW w:w="848" w:type="dxa"/>
            <w:vAlign w:val="center"/>
          </w:tcPr>
          <w:p w14:paraId="7FD1C6AE">
            <w:pPr>
              <w:jc w:val="center"/>
              <w:rPr>
                <w:rFonts w:ascii="Times New Roman" w:hAnsi="Times New Roman" w:eastAsia="宋体" w:cs="Times New Roman"/>
                <w:b/>
                <w:szCs w:val="20"/>
              </w:rPr>
            </w:pPr>
            <w:r>
              <w:rPr>
                <w:rFonts w:hint="eastAsia" w:ascii="Times New Roman" w:hAnsi="Times New Roman" w:eastAsia="宋体" w:cs="Times New Roman"/>
                <w:b/>
                <w:szCs w:val="20"/>
              </w:rPr>
              <w:t>数量</w:t>
            </w:r>
          </w:p>
        </w:tc>
        <w:tc>
          <w:tcPr>
            <w:tcW w:w="2270" w:type="dxa"/>
            <w:vAlign w:val="center"/>
          </w:tcPr>
          <w:p w14:paraId="7E8CB28F">
            <w:pPr>
              <w:jc w:val="center"/>
              <w:rPr>
                <w:rFonts w:ascii="Times New Roman" w:hAnsi="Times New Roman" w:eastAsia="宋体" w:cs="Times New Roman"/>
                <w:b/>
                <w:szCs w:val="20"/>
              </w:rPr>
            </w:pPr>
            <w:r>
              <w:rPr>
                <w:rFonts w:hint="eastAsia" w:ascii="Times New Roman" w:hAnsi="Times New Roman" w:eastAsia="宋体" w:cs="Times New Roman"/>
                <w:b/>
                <w:szCs w:val="20"/>
              </w:rPr>
              <w:t>投标总价</w:t>
            </w:r>
            <w:r>
              <w:rPr>
                <w:rFonts w:hint="eastAsia" w:ascii="等线" w:hAnsi="等线" w:eastAsia="等线" w:cs="Times New Roman"/>
                <w:b/>
                <w:szCs w:val="20"/>
              </w:rPr>
              <w:t>（元）</w:t>
            </w:r>
          </w:p>
        </w:tc>
        <w:tc>
          <w:tcPr>
            <w:tcW w:w="1100" w:type="dxa"/>
            <w:vAlign w:val="center"/>
          </w:tcPr>
          <w:p w14:paraId="43B51BBB">
            <w:pPr>
              <w:jc w:val="center"/>
              <w:rPr>
                <w:rFonts w:hint="eastAsia" w:ascii="Times New Roman" w:hAnsi="Times New Roman" w:eastAsia="宋体" w:cs="Times New Roman"/>
                <w:b/>
                <w:szCs w:val="20"/>
                <w:lang w:val="en-US" w:eastAsia="zh-CN"/>
              </w:rPr>
            </w:pPr>
            <w:r>
              <w:rPr>
                <w:rFonts w:hint="eastAsia" w:cs="Times New Roman"/>
                <w:b/>
                <w:szCs w:val="20"/>
                <w:lang w:val="en-US" w:eastAsia="zh-CN"/>
              </w:rPr>
              <w:t>XX</w:t>
            </w:r>
          </w:p>
        </w:tc>
        <w:tc>
          <w:tcPr>
            <w:tcW w:w="1243" w:type="dxa"/>
            <w:vAlign w:val="center"/>
          </w:tcPr>
          <w:p w14:paraId="5BE19F44">
            <w:pPr>
              <w:jc w:val="center"/>
              <w:rPr>
                <w:rFonts w:ascii="Times New Roman" w:hAnsi="Times New Roman" w:eastAsia="宋体" w:cs="Times New Roman"/>
                <w:b/>
                <w:szCs w:val="20"/>
              </w:rPr>
            </w:pPr>
            <w:r>
              <w:rPr>
                <w:rFonts w:hint="eastAsia" w:cs="Times New Roman"/>
                <w:b/>
                <w:szCs w:val="20"/>
                <w:lang w:val="en-US" w:eastAsia="zh-CN"/>
              </w:rPr>
              <w:t>XX</w:t>
            </w:r>
          </w:p>
        </w:tc>
        <w:tc>
          <w:tcPr>
            <w:tcW w:w="705" w:type="dxa"/>
            <w:vAlign w:val="center"/>
          </w:tcPr>
          <w:p w14:paraId="669E8072">
            <w:pPr>
              <w:jc w:val="center"/>
              <w:rPr>
                <w:rFonts w:ascii="Times New Roman" w:hAnsi="Times New Roman" w:eastAsia="宋体" w:cs="Times New Roman"/>
                <w:b/>
                <w:szCs w:val="20"/>
              </w:rPr>
            </w:pPr>
            <w:r>
              <w:rPr>
                <w:rFonts w:hint="eastAsia" w:cs="Times New Roman"/>
                <w:b/>
                <w:szCs w:val="20"/>
                <w:lang w:val="en-US" w:eastAsia="zh-CN"/>
              </w:rPr>
              <w:t>XX</w:t>
            </w:r>
          </w:p>
        </w:tc>
        <w:tc>
          <w:tcPr>
            <w:tcW w:w="699" w:type="dxa"/>
            <w:vAlign w:val="center"/>
          </w:tcPr>
          <w:p w14:paraId="0DA60CF4">
            <w:pPr>
              <w:jc w:val="center"/>
              <w:rPr>
                <w:rFonts w:hint="default" w:ascii="等线" w:hAnsi="等线" w:eastAsia="等线" w:cs="Times New Roman"/>
                <w:b/>
                <w:szCs w:val="20"/>
                <w:lang w:val="en-US"/>
              </w:rPr>
            </w:pPr>
            <w:r>
              <w:rPr>
                <w:rFonts w:hint="eastAsia" w:cs="Times New Roman"/>
                <w:b/>
                <w:szCs w:val="20"/>
                <w:lang w:val="en-US" w:eastAsia="zh-CN"/>
              </w:rPr>
              <w:t>商务条款是否偏离</w:t>
            </w:r>
          </w:p>
        </w:tc>
      </w:tr>
      <w:tr w14:paraId="035C9BFD">
        <w:tblPrEx>
          <w:tblLayout w:type="fixed"/>
        </w:tblPrEx>
        <w:trPr>
          <w:cantSplit/>
          <w:trHeight w:val="1534" w:hRule="atLeast"/>
          <w:jc w:val="center"/>
        </w:trPr>
        <w:tc>
          <w:tcPr>
            <w:tcW w:w="677" w:type="dxa"/>
            <w:vAlign w:val="center"/>
          </w:tcPr>
          <w:p w14:paraId="6D0E9BE6">
            <w:pPr>
              <w:jc w:val="center"/>
              <w:rPr>
                <w:rFonts w:ascii="Times New Roman" w:hAnsi="Times New Roman" w:eastAsia="宋体" w:cs="Times New Roman"/>
                <w:b/>
                <w:szCs w:val="20"/>
              </w:rPr>
            </w:pPr>
          </w:p>
        </w:tc>
        <w:tc>
          <w:tcPr>
            <w:tcW w:w="1518" w:type="dxa"/>
            <w:vAlign w:val="center"/>
          </w:tcPr>
          <w:p w14:paraId="01DDB5C4">
            <w:pPr>
              <w:jc w:val="center"/>
              <w:rPr>
                <w:rFonts w:hint="eastAsia" w:ascii="Times New Roman" w:hAnsi="Times New Roman" w:eastAsia="宋体" w:cs="Times New Roman"/>
                <w:b/>
                <w:szCs w:val="20"/>
                <w:lang w:eastAsia="zh-CN"/>
              </w:rPr>
            </w:pPr>
          </w:p>
        </w:tc>
        <w:tc>
          <w:tcPr>
            <w:tcW w:w="848" w:type="dxa"/>
            <w:vAlign w:val="center"/>
          </w:tcPr>
          <w:p w14:paraId="5754ED5A">
            <w:pPr>
              <w:jc w:val="center"/>
              <w:rPr>
                <w:rFonts w:hint="eastAsia" w:ascii="Times New Roman" w:hAnsi="Times New Roman" w:eastAsia="宋体" w:cs="Times New Roman"/>
                <w:b/>
                <w:szCs w:val="20"/>
                <w:lang w:val="en-US" w:eastAsia="zh-CN"/>
              </w:rPr>
            </w:pPr>
          </w:p>
        </w:tc>
        <w:tc>
          <w:tcPr>
            <w:tcW w:w="2270" w:type="dxa"/>
            <w:vAlign w:val="center"/>
          </w:tcPr>
          <w:p w14:paraId="63A1C48D">
            <w:pPr>
              <w:jc w:val="left"/>
              <w:rPr>
                <w:rFonts w:hint="eastAsia" w:ascii="等线" w:hAnsi="等线" w:eastAsia="等线" w:cs="Times New Roman"/>
                <w:b/>
                <w:szCs w:val="20"/>
                <w:lang w:val="en-US" w:eastAsia="zh-CN"/>
              </w:rPr>
            </w:pPr>
            <w:r>
              <w:rPr>
                <w:rFonts w:hint="eastAsia" w:ascii="等线" w:hAnsi="等线" w:eastAsia="等线" w:cs="Times New Roman"/>
                <w:b/>
                <w:szCs w:val="20"/>
              </w:rPr>
              <w:t>不含税价</w:t>
            </w:r>
            <w:r>
              <w:rPr>
                <w:rFonts w:hint="eastAsia" w:ascii="等线" w:hAnsi="等线" w:eastAsia="等线" w:cs="Times New Roman"/>
                <w:b/>
                <w:szCs w:val="20"/>
                <w:lang w:eastAsia="zh-CN"/>
              </w:rPr>
              <w:t>：</w:t>
            </w:r>
          </w:p>
          <w:p w14:paraId="6C6D0F49">
            <w:pPr>
              <w:jc w:val="left"/>
              <w:rPr>
                <w:rFonts w:hint="default" w:ascii="等线" w:hAnsi="等线" w:eastAsia="等线" w:cs="Times New Roman"/>
                <w:b/>
                <w:szCs w:val="20"/>
                <w:lang w:val="en-US" w:eastAsia="zh-CN"/>
              </w:rPr>
            </w:pPr>
            <w:r>
              <w:rPr>
                <w:rFonts w:hint="eastAsia" w:ascii="等线" w:hAnsi="等线" w:eastAsia="等线" w:cs="Times New Roman"/>
                <w:b/>
                <w:szCs w:val="20"/>
              </w:rPr>
              <w:t>含税价格：</w:t>
            </w:r>
            <w:r>
              <w:rPr>
                <w:rFonts w:hint="eastAsia" w:ascii="等线" w:hAnsi="等线" w:eastAsia="等线" w:cs="Times New Roman"/>
                <w:b/>
                <w:szCs w:val="20"/>
                <w:u w:val="single"/>
                <w:lang w:val="en-US" w:eastAsia="zh-CN"/>
              </w:rPr>
              <w:t xml:space="preserve">    （大写：    ）</w:t>
            </w:r>
          </w:p>
          <w:p w14:paraId="34B462C2">
            <w:pPr>
              <w:jc w:val="left"/>
              <w:rPr>
                <w:rFonts w:ascii="Times New Roman" w:hAnsi="Times New Roman" w:eastAsia="宋体" w:cs="Times New Roman"/>
                <w:b/>
                <w:szCs w:val="20"/>
              </w:rPr>
            </w:pPr>
            <w:r>
              <w:rPr>
                <w:rFonts w:hint="eastAsia" w:ascii="等线" w:hAnsi="等线" w:eastAsia="等线" w:cs="Times New Roman"/>
                <w:b/>
                <w:szCs w:val="20"/>
              </w:rPr>
              <w:t>税率：</w:t>
            </w:r>
          </w:p>
        </w:tc>
        <w:tc>
          <w:tcPr>
            <w:tcW w:w="1100" w:type="dxa"/>
            <w:vAlign w:val="center"/>
          </w:tcPr>
          <w:p w14:paraId="1E0AF0C2">
            <w:pPr>
              <w:jc w:val="center"/>
              <w:rPr>
                <w:rFonts w:ascii="Times New Roman" w:hAnsi="Times New Roman" w:eastAsia="宋体" w:cs="Times New Roman"/>
                <w:b/>
                <w:szCs w:val="20"/>
              </w:rPr>
            </w:pPr>
          </w:p>
        </w:tc>
        <w:tc>
          <w:tcPr>
            <w:tcW w:w="1243" w:type="dxa"/>
            <w:vAlign w:val="center"/>
          </w:tcPr>
          <w:p w14:paraId="2E7E4711">
            <w:pPr>
              <w:jc w:val="center"/>
              <w:rPr>
                <w:rFonts w:ascii="Times New Roman" w:hAnsi="Times New Roman" w:eastAsia="宋体" w:cs="Times New Roman"/>
                <w:b/>
                <w:szCs w:val="20"/>
              </w:rPr>
            </w:pPr>
          </w:p>
        </w:tc>
        <w:tc>
          <w:tcPr>
            <w:tcW w:w="705" w:type="dxa"/>
            <w:vAlign w:val="center"/>
          </w:tcPr>
          <w:p w14:paraId="2516E961">
            <w:pPr>
              <w:jc w:val="center"/>
              <w:rPr>
                <w:rFonts w:ascii="Times New Roman" w:hAnsi="Times New Roman" w:eastAsia="宋体" w:cs="Times New Roman"/>
                <w:b/>
                <w:szCs w:val="20"/>
              </w:rPr>
            </w:pPr>
          </w:p>
        </w:tc>
        <w:tc>
          <w:tcPr>
            <w:tcW w:w="699" w:type="dxa"/>
            <w:vAlign w:val="center"/>
          </w:tcPr>
          <w:p w14:paraId="14D620AB">
            <w:pPr>
              <w:jc w:val="center"/>
              <w:rPr>
                <w:rFonts w:ascii="Times New Roman" w:hAnsi="Times New Roman" w:eastAsia="宋体" w:cs="Times New Roman"/>
                <w:b/>
                <w:szCs w:val="20"/>
              </w:rPr>
            </w:pPr>
          </w:p>
        </w:tc>
      </w:tr>
    </w:tbl>
    <w:p w14:paraId="2AC98F24">
      <w:pPr>
        <w:rPr>
          <w:rFonts w:ascii="宋体" w:hAnsi="Arial" w:eastAsia="宋体" w:cs="Times New Roman"/>
          <w:sz w:val="24"/>
          <w:szCs w:val="24"/>
        </w:rPr>
      </w:pPr>
    </w:p>
    <w:p w14:paraId="0B093042">
      <w:pPr>
        <w:spacing w:line="400" w:lineRule="exact"/>
        <w:rPr>
          <w:rFonts w:ascii="宋体" w:hAnsi="Calibri" w:eastAsia="宋体" w:cs="Times New Roman"/>
          <w:szCs w:val="21"/>
        </w:rPr>
      </w:pPr>
      <w:r>
        <w:rPr>
          <w:rFonts w:hint="eastAsia" w:ascii="宋体" w:hAnsi="宋体" w:eastAsia="宋体" w:cs="Times New Roman"/>
          <w:b/>
          <w:bCs/>
          <w:szCs w:val="21"/>
        </w:rPr>
        <w:t>注：</w:t>
      </w:r>
    </w:p>
    <w:p w14:paraId="440943D3">
      <w:pPr>
        <w:spacing w:line="520" w:lineRule="exact"/>
        <w:rPr>
          <w:rFonts w:ascii="宋体" w:hAnsi="Calibri" w:eastAsia="宋体" w:cs="Times New Roman"/>
          <w:b/>
          <w:bCs/>
          <w:szCs w:val="21"/>
        </w:rPr>
      </w:pPr>
      <w:r>
        <w:rPr>
          <w:rFonts w:ascii="宋体" w:hAnsi="宋体" w:eastAsia="宋体" w:cs="Times New Roman"/>
          <w:b/>
          <w:bCs/>
          <w:szCs w:val="21"/>
        </w:rPr>
        <w:t>1</w:t>
      </w:r>
      <w:r>
        <w:rPr>
          <w:rFonts w:hint="eastAsia" w:ascii="宋体" w:hAnsi="宋体" w:eastAsia="宋体" w:cs="Times New Roman"/>
          <w:b/>
          <w:bCs/>
          <w:szCs w:val="21"/>
        </w:rPr>
        <w:t>.此表中的报价必须与相应的报价明细表中的报价一致。</w:t>
      </w:r>
    </w:p>
    <w:p w14:paraId="4A5EE63D">
      <w:pPr>
        <w:spacing w:line="300" w:lineRule="auto"/>
        <w:rPr>
          <w:rFonts w:ascii="宋体" w:hAnsi="宋体" w:eastAsia="宋体" w:cs="宋体"/>
          <w:b/>
          <w:szCs w:val="20"/>
        </w:rPr>
      </w:pPr>
      <w:r>
        <w:rPr>
          <w:rFonts w:hint="eastAsia" w:ascii="宋体" w:hAnsi="宋体" w:cs="宋体"/>
          <w:b/>
          <w:szCs w:val="20"/>
          <w:lang w:val="en-US" w:eastAsia="zh-CN"/>
        </w:rPr>
        <w:t>2</w:t>
      </w:r>
      <w:r>
        <w:rPr>
          <w:rFonts w:hint="eastAsia" w:ascii="宋体" w:hAnsi="宋体" w:eastAsia="宋体" w:cs="宋体"/>
          <w:b/>
          <w:szCs w:val="20"/>
        </w:rPr>
        <w:t>.需写明含税价、不含税价格、税率。</w:t>
      </w:r>
    </w:p>
    <w:p w14:paraId="716860CE">
      <w:pPr>
        <w:pStyle w:val="15"/>
        <w:rPr>
          <w:rFonts w:hint="eastAsia" w:hAnsi="宋体" w:eastAsia="宋体" w:cs="Times New Roman"/>
          <w:b/>
          <w:bCs/>
          <w:szCs w:val="21"/>
          <w:highlight w:val="none"/>
        </w:rPr>
      </w:pPr>
      <w:r>
        <w:rPr>
          <w:rFonts w:hint="eastAsia" w:hAnsi="宋体" w:cs="宋体"/>
          <w:b/>
          <w:szCs w:val="20"/>
          <w:highlight w:val="none"/>
          <w:lang w:val="en-US" w:eastAsia="zh-CN"/>
        </w:rPr>
        <w:t>3</w:t>
      </w:r>
      <w:r>
        <w:rPr>
          <w:rFonts w:hint="eastAsia" w:hAnsi="宋体" w:eastAsia="宋体" w:cs="宋体"/>
          <w:b/>
          <w:szCs w:val="20"/>
          <w:highlight w:val="none"/>
        </w:rPr>
        <w:t>.</w:t>
      </w:r>
      <w:r>
        <w:rPr>
          <w:rFonts w:hint="eastAsia" w:hAnsi="宋体" w:eastAsia="宋体" w:cs="Times New Roman"/>
          <w:b/>
          <w:bCs/>
          <w:szCs w:val="21"/>
          <w:highlight w:val="none"/>
        </w:rPr>
        <w:t>投标总价包括</w:t>
      </w:r>
      <w:r>
        <w:rPr>
          <w:rFonts w:hint="eastAsia" w:hAnsi="宋体" w:cs="Times New Roman"/>
          <w:b/>
          <w:bCs/>
          <w:szCs w:val="21"/>
          <w:highlight w:val="none"/>
          <w:u w:val="single"/>
          <w:lang w:val="en-US" w:eastAsia="zh-CN"/>
        </w:rPr>
        <w:t xml:space="preserve">                                             </w:t>
      </w:r>
      <w:r>
        <w:rPr>
          <w:rFonts w:hint="eastAsia" w:hAnsi="宋体" w:cs="Times New Roman"/>
          <w:b/>
          <w:bCs/>
          <w:szCs w:val="21"/>
          <w:highlight w:val="none"/>
          <w:u w:val="none"/>
          <w:lang w:val="en-US" w:eastAsia="zh-CN"/>
        </w:rPr>
        <w:t>全部费用</w:t>
      </w:r>
      <w:r>
        <w:rPr>
          <w:rFonts w:hint="eastAsia" w:hAnsi="宋体" w:eastAsia="宋体" w:cs="Times New Roman"/>
          <w:b/>
          <w:bCs/>
          <w:szCs w:val="21"/>
          <w:highlight w:val="none"/>
        </w:rPr>
        <w:t>。</w:t>
      </w:r>
    </w:p>
    <w:p w14:paraId="7CA9A866">
      <w:pPr>
        <w:pStyle w:val="15"/>
        <w:rPr>
          <w:rFonts w:hint="eastAsia" w:hAnsi="宋体" w:eastAsia="宋体" w:cs="Times New Roman"/>
          <w:b/>
          <w:bCs/>
          <w:szCs w:val="21"/>
          <w:highlight w:val="yellow"/>
        </w:rPr>
      </w:pPr>
    </w:p>
    <w:p w14:paraId="31061A95">
      <w:pPr>
        <w:pStyle w:val="15"/>
        <w:rPr>
          <w:rFonts w:hint="eastAsia" w:hAnsi="宋体" w:eastAsia="宋体" w:cs="Times New Roman"/>
          <w:b/>
          <w:bCs/>
          <w:szCs w:val="21"/>
          <w:highlight w:val="yellow"/>
        </w:rPr>
      </w:pPr>
    </w:p>
    <w:p w14:paraId="5A2F2EC2">
      <w:pPr>
        <w:spacing w:line="660" w:lineRule="exact"/>
        <w:jc w:val="center"/>
        <w:rPr>
          <w:rFonts w:ascii="宋体" w:hAnsi="Calibri" w:eastAsia="宋体" w:cs="Times New Roman"/>
          <w:sz w:val="24"/>
          <w:szCs w:val="20"/>
        </w:rPr>
      </w:pPr>
      <w:r>
        <w:rPr>
          <w:rFonts w:hint="eastAsia" w:ascii="宋体" w:hAnsi="宋体" w:cs="Times New Roman"/>
          <w:sz w:val="24"/>
          <w:szCs w:val="20"/>
          <w:lang w:val="en-US" w:eastAsia="zh-CN"/>
        </w:rPr>
        <w:t xml:space="preserve">                        </w:t>
      </w:r>
      <w:r>
        <w:rPr>
          <w:rFonts w:hint="eastAsia" w:ascii="宋体" w:hAnsi="宋体" w:eastAsia="宋体" w:cs="Times New Roman"/>
          <w:sz w:val="24"/>
          <w:szCs w:val="20"/>
        </w:rPr>
        <w:t>投标人：（盖章）</w:t>
      </w:r>
    </w:p>
    <w:p w14:paraId="3B316BD5">
      <w:pPr>
        <w:spacing w:line="660" w:lineRule="exact"/>
        <w:jc w:val="righ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5E5A5D5F">
      <w:pPr>
        <w:spacing w:line="660" w:lineRule="exact"/>
        <w:jc w:val="center"/>
        <w:rPr>
          <w:rFonts w:ascii="宋体" w:hAnsi="Calibri" w:eastAsia="宋体" w:cs="Times New Roman"/>
          <w:sz w:val="24"/>
          <w:szCs w:val="20"/>
        </w:rPr>
      </w:pPr>
      <w:r>
        <w:rPr>
          <w:rFonts w:hint="eastAsia" w:ascii="宋体" w:hAnsi="宋体" w:cs="Times New Roman"/>
          <w:sz w:val="24"/>
          <w:szCs w:val="20"/>
          <w:lang w:val="en-US" w:eastAsia="zh-CN"/>
        </w:rPr>
        <w:t xml:space="preserve">                                     </w:t>
      </w: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40B2C361">
      <w:pPr>
        <w:pStyle w:val="72"/>
        <w:numPr>
          <w:ilvl w:val="0"/>
          <w:numId w:val="0"/>
        </w:numPr>
        <w:ind w:leftChars="0"/>
      </w:pPr>
      <w:r>
        <w:t xml:space="preserve"> </w:t>
      </w:r>
    </w:p>
    <w:p w14:paraId="36B9F02A">
      <w:pPr>
        <w:pStyle w:val="72"/>
        <w:numPr>
          <w:ilvl w:val="0"/>
          <w:numId w:val="0"/>
        </w:numPr>
        <w:ind w:leftChars="0"/>
      </w:pPr>
    </w:p>
    <w:p w14:paraId="6E7F97B7">
      <w:pPr>
        <w:pStyle w:val="72"/>
        <w:numPr>
          <w:ilvl w:val="0"/>
          <w:numId w:val="0"/>
        </w:numPr>
        <w:ind w:leftChars="0"/>
      </w:pPr>
    </w:p>
    <w:p w14:paraId="23E75332">
      <w:pPr>
        <w:pStyle w:val="76"/>
        <w:rPr>
          <w:rFonts w:hint="default" w:hAnsi="宋体"/>
          <w:sz w:val="24"/>
          <w:lang w:val="en-US"/>
        </w:rPr>
      </w:pPr>
    </w:p>
    <w:sectPr>
      <w:headerReference r:id="rId7" w:type="first"/>
      <w:footerReference r:id="rId8" w:type="first"/>
      <w:pgSz w:w="11906" w:h="16838"/>
      <w:pgMar w:top="1701" w:right="1418" w:bottom="1134" w:left="1418" w:header="851" w:footer="992" w:gutter="0"/>
      <w:pgNumType w:fmt="numberInDash"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00000000" w:usb2="00000000" w:usb3="00000000" w:csb0="80000000" w:csb1="00000000"/>
  </w:font>
  <w:font w:name="Arial">
    <w:altName w:val="Arial"/>
    <w:panose1 w:val="020B0604020202020204"/>
    <w:charset w:val="00"/>
    <w:family w:val="swiss"/>
    <w:pitch w:val="default"/>
    <w:sig w:usb0="E0002AFF" w:usb1="C0007843" w:usb2="00000009" w:usb3="00000000" w:csb0="400001FF" w:csb1="FFFF0000"/>
  </w:font>
  <w:font w:name="黑体">
    <w:altName w:val="黑体"/>
    <w:panose1 w:val="02010609060101010101"/>
    <w:charset w:val="00"/>
    <w:family w:val="auto"/>
    <w:pitch w:val="default"/>
    <w:sig w:usb0="800002BF" w:usb1="38CF7CFA" w:usb2="00000016" w:usb3="00000000" w:csb0="00040001" w:csb1="00000000"/>
  </w:font>
  <w:font w:name="Courier New">
    <w:altName w:val="Courier New"/>
    <w:panose1 w:val="02070309020205020404"/>
    <w:charset w:val="00"/>
    <w:family w:val="modern"/>
    <w:pitch w:val="default"/>
    <w:sig w:usb0="E0002AFF" w:usb1="C0007843" w:usb2="00000009" w:usb3="00000000" w:csb0="400001FF" w:csb1="FFFF0000"/>
  </w:font>
  <w:font w:name="Symbol">
    <w:altName w:val="Symbol"/>
    <w:panose1 w:val="05050102010706020507"/>
    <w:charset w:val="00"/>
    <w:family w:val="roman"/>
    <w:pitch w:val="default"/>
    <w:sig w:usb0="00000000" w:usb1="00000000" w:usb2="00000000" w:usb3="00000000" w:csb0="80000000"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等线 Light">
    <w:panose1 w:val="02010600030101010101"/>
    <w:charset w:val="86"/>
    <w:family w:val="auto"/>
    <w:pitch w:val="default"/>
    <w:sig w:usb0="00000000" w:usb1="00000000"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00000000" w:usb1="00000000" w:usb2="00000016" w:usb3="00000000" w:csb0="00040001" w:csb1="00000000"/>
  </w:font>
  <w:font w:name="Verdana">
    <w:panose1 w:val="020B0604030504040204"/>
    <w:charset w:val="00"/>
    <w:family w:val="swiss"/>
    <w:pitch w:val="default"/>
    <w:sig w:usb0="00000000" w:usb1="00000000" w:usb2="0000001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00000000" w:usb1="00000000" w:usb2="00000029" w:usb3="00000000" w:csb0="200101FF" w:csb1="20280000"/>
  </w:font>
  <w:font w:name="Microsoft YaHei UI">
    <w:panose1 w:val="020B0503020204020204"/>
    <w:charset w:val="86"/>
    <w:family w:val="swiss"/>
    <w:pitch w:val="default"/>
    <w:sig w:usb0="00000000" w:usb1="00000000" w:usb2="00000016" w:usb3="00000000" w:csb0="0004001F" w:csb1="00000000"/>
  </w:font>
  <w:font w:name="楷体_GB2312">
    <w:altName w:val="楷体"/>
    <w:panose1 w:val="00000000000000000000"/>
    <w:charset w:val="86"/>
    <w:family w:val="modern"/>
    <w:pitch w:val="default"/>
    <w:sig w:usb0="00000000" w:usb1="00000000" w:usb2="00000016" w:usb3="00000000" w:csb0="00040001" w:csb1="00000000"/>
  </w:font>
  <w:font w:name="楷体">
    <w:panose1 w:val="02010609060101010101"/>
    <w:charset w:val="86"/>
    <w:family w:val="auto"/>
    <w:pitch w:val="default"/>
    <w:sig w:usb0="00000000" w:usb1="00000000" w:usb2="00000016" w:usb3="00000000" w:csb0="00040001" w:csb1="00000000"/>
  </w:font>
  <w:font w:name="等线">
    <w:panose1 w:val="02010600030101010101"/>
    <w:charset w:val="86"/>
    <w:family w:val="auto"/>
    <w:pitch w:val="default"/>
    <w:sig w:usb0="00000000" w:usb1="00000000"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98291327"/>
    </w:sdtPr>
    <w:sdtContent>
      <w:p w14:paraId="10E4B243">
        <w:pPr>
          <w:pStyle w:val="19"/>
          <w:jc w:val="center"/>
          <w:rPr>
            <w:sz w:val="21"/>
            <w:szCs w:val="20"/>
          </w:rP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- 18 -</w:t>
        </w:r>
        <w:r>
          <w:rPr>
            <w:lang w:val="zh-CN"/>
          </w:rPr>
          <w:fldChar w:fldCharType="end"/>
        </w:r>
        <w:r>
          <w:rPr>
            <w:rFonts w:hint="eastAsia"/>
            <w:lang w:val="zh-CN"/>
          </w:rPr>
          <w:t>页，共</w:t>
        </w:r>
        <w:r>
          <w:rPr>
            <w:rFonts w:hint="eastAsia"/>
            <w:lang w:val="en-US" w:eastAsia="zh-CN"/>
          </w:rPr>
          <w:t>11</w:t>
        </w:r>
        <w:r>
          <w:rPr>
            <w:rFonts w:hint="eastAsia"/>
            <w:lang w:val="zh-CN"/>
          </w:rPr>
          <w:t>页</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51DC9">
    <w:pPr>
      <w:pStyle w:val="19"/>
      <w:framePr w:wrap="around" w:vAnchor="text" w:hAnchor="margin" w:xAlign="center" w:y="1"/>
      <w:rPr>
        <w:rStyle w:val="32"/>
      </w:rPr>
    </w:pPr>
    <w:r>
      <w:fldChar w:fldCharType="begin"/>
    </w:r>
    <w:r>
      <w:rPr>
        <w:rStyle w:val="32"/>
      </w:rPr>
      <w:instrText xml:space="preserve">PAGE  </w:instrText>
    </w:r>
    <w:r>
      <w:fldChar w:fldCharType="end"/>
    </w:r>
  </w:p>
  <w:p w14:paraId="7AD47F75">
    <w:pPr>
      <w:pStyle w:val="1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3BF48">
    <w:pPr>
      <w:pStyle w:val="19"/>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68472429"/>
    </w:sdtPr>
    <w:sdtContent>
      <w:sdt>
        <w:sdtPr>
          <w:id w:val="1728636285"/>
        </w:sdtPr>
        <w:sdtContent>
          <w:p w14:paraId="2F4AD690">
            <w:pPr>
              <w:pStyle w:val="19"/>
              <w:jc w:val="cente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32</w:t>
            </w:r>
            <w:r>
              <w:rPr>
                <w:lang w:val="zh-CN"/>
              </w:rPr>
              <w:fldChar w:fldCharType="end"/>
            </w:r>
            <w:r>
              <w:rPr>
                <w:rFonts w:hint="eastAsia"/>
                <w:lang w:val="zh-CN"/>
              </w:rPr>
              <w:t>页</w:t>
            </w:r>
          </w:p>
        </w:sdtContent>
      </w:sdt>
    </w:sdtContent>
  </w:sdt>
  <w:p w14:paraId="651627BB">
    <w:pPr>
      <w:pStyle w:val="19"/>
      <w:jc w:val="center"/>
    </w:pPr>
  </w:p>
  <w:p w14:paraId="1DFF0D79">
    <w:pPr/>
  </w:p>
  <w:p w14:paraId="5CB49AF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A41F0">
    <w:pPr>
      <w:pStyle w:val="21"/>
      <w:ind w:firstLine="360"/>
      <w:jc w:val="right"/>
    </w:pPr>
    <w:r>
      <w:rPr>
        <w:rFonts w:hint="eastAsia"/>
      </w:rPr>
      <w:t>中国</w:t>
    </w:r>
    <w:r>
      <w:rPr>
        <w:rFonts w:hint="eastAsia"/>
        <w:lang w:val="en-US" w:eastAsia="zh-CN"/>
      </w:rPr>
      <w:t>重汽集团济宁商用车整车仓储</w:t>
    </w:r>
    <w:r>
      <w:rPr>
        <w:rFonts w:hint="eastAsia"/>
      </w:rPr>
      <w:t>项目招标书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0C208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70076E"/>
    <w:multiLevelType w:val="singleLevel"/>
    <w:tmpl w:val="8370076E"/>
    <w:lvl w:ilvl="0" w:tentative="0">
      <w:start w:val="1"/>
      <w:numFmt w:val="chineseCounting"/>
      <w:suff w:val="nothing"/>
      <w:lvlText w:val="（%1）"/>
      <w:lvlJc w:val="left"/>
      <w:pPr>
        <w:ind w:left="0" w:firstLine="420"/>
      </w:pPr>
      <w:rPr>
        <w:rFonts w:hint="eastAsia"/>
      </w:rPr>
    </w:lvl>
  </w:abstractNum>
  <w:abstractNum w:abstractNumId="1">
    <w:nsid w:val="863E6579"/>
    <w:multiLevelType w:val="singleLevel"/>
    <w:tmpl w:val="863E6579"/>
    <w:lvl w:ilvl="0" w:tentative="0">
      <w:start w:val="1"/>
      <w:numFmt w:val="decimal"/>
      <w:lvlText w:val="(%1)"/>
      <w:lvlJc w:val="left"/>
      <w:pPr>
        <w:ind w:left="425" w:hanging="425"/>
      </w:pPr>
      <w:rPr>
        <w:rFonts w:hint="default"/>
        <w:b w:val="0"/>
        <w:bCs w:val="0"/>
        <w:color w:val="auto"/>
      </w:rPr>
    </w:lvl>
  </w:abstractNum>
  <w:abstractNum w:abstractNumId="2">
    <w:nsid w:val="93852671"/>
    <w:multiLevelType w:val="singleLevel"/>
    <w:tmpl w:val="93852671"/>
    <w:lvl w:ilvl="0" w:tentative="0">
      <w:start w:val="1"/>
      <w:numFmt w:val="decimal"/>
      <w:lvlText w:val="%1."/>
      <w:lvlJc w:val="left"/>
      <w:pPr>
        <w:ind w:left="425" w:hanging="425"/>
      </w:pPr>
      <w:rPr>
        <w:rFonts w:hint="default"/>
      </w:rPr>
    </w:lvl>
  </w:abstractNum>
  <w:abstractNum w:abstractNumId="3">
    <w:nsid w:val="9E1BA4F3"/>
    <w:multiLevelType w:val="singleLevel"/>
    <w:tmpl w:val="9E1BA4F3"/>
    <w:lvl w:ilvl="0" w:tentative="0">
      <w:start w:val="1"/>
      <w:numFmt w:val="decimal"/>
      <w:lvlText w:val="%1."/>
      <w:lvlJc w:val="left"/>
      <w:pPr>
        <w:tabs>
          <w:tab w:val="left" w:pos="312"/>
        </w:tabs>
      </w:pPr>
      <w:rPr>
        <w:rFonts w:hint="default" w:ascii="宋体" w:hAnsi="宋体" w:eastAsia="宋体" w:cs="宋体"/>
        <w:sz w:val="21"/>
        <w:szCs w:val="21"/>
      </w:rPr>
    </w:lvl>
  </w:abstractNum>
  <w:abstractNum w:abstractNumId="4">
    <w:nsid w:val="B12C4597"/>
    <w:multiLevelType w:val="singleLevel"/>
    <w:tmpl w:val="B12C4597"/>
    <w:lvl w:ilvl="0" w:tentative="0">
      <w:start w:val="1"/>
      <w:numFmt w:val="decimal"/>
      <w:lvlText w:val="%1."/>
      <w:lvlJc w:val="left"/>
      <w:pPr>
        <w:ind w:left="425" w:hanging="425"/>
      </w:pPr>
      <w:rPr>
        <w:rFonts w:hint="default"/>
      </w:rPr>
    </w:lvl>
  </w:abstractNum>
  <w:abstractNum w:abstractNumId="5">
    <w:nsid w:val="B301A340"/>
    <w:multiLevelType w:val="singleLevel"/>
    <w:tmpl w:val="B301A340"/>
    <w:lvl w:ilvl="0" w:tentative="0">
      <w:start w:val="1"/>
      <w:numFmt w:val="chineseCounting"/>
      <w:suff w:val="nothing"/>
      <w:lvlText w:val="（%1）"/>
      <w:lvlJc w:val="left"/>
      <w:pPr>
        <w:ind w:left="0" w:firstLine="420"/>
      </w:pPr>
      <w:rPr>
        <w:rFonts w:hint="eastAsia"/>
      </w:rPr>
    </w:lvl>
  </w:abstractNum>
  <w:abstractNum w:abstractNumId="6">
    <w:nsid w:val="BD4C6742"/>
    <w:multiLevelType w:val="singleLevel"/>
    <w:tmpl w:val="BD4C6742"/>
    <w:lvl w:ilvl="0" w:tentative="0">
      <w:start w:val="1"/>
      <w:numFmt w:val="decimal"/>
      <w:lvlText w:val="%1."/>
      <w:lvlJc w:val="left"/>
      <w:pPr>
        <w:ind w:left="425" w:hanging="425"/>
      </w:pPr>
      <w:rPr>
        <w:rFonts w:hint="default"/>
      </w:rPr>
    </w:lvl>
  </w:abstractNum>
  <w:abstractNum w:abstractNumId="7">
    <w:nsid w:val="CA70C5AE"/>
    <w:multiLevelType w:val="singleLevel"/>
    <w:tmpl w:val="CA70C5AE"/>
    <w:lvl w:ilvl="0" w:tentative="0">
      <w:start w:val="1"/>
      <w:numFmt w:val="decimal"/>
      <w:lvlText w:val="%1."/>
      <w:lvlJc w:val="left"/>
      <w:pPr>
        <w:ind w:left="425" w:hanging="425"/>
      </w:pPr>
      <w:rPr>
        <w:rFonts w:hint="default"/>
      </w:rPr>
    </w:lvl>
  </w:abstractNum>
  <w:abstractNum w:abstractNumId="8">
    <w:nsid w:val="D9A4530E"/>
    <w:multiLevelType w:val="singleLevel"/>
    <w:tmpl w:val="D9A4530E"/>
    <w:lvl w:ilvl="0" w:tentative="0">
      <w:start w:val="1"/>
      <w:numFmt w:val="decimal"/>
      <w:lvlText w:val="(%1)"/>
      <w:lvlJc w:val="left"/>
      <w:pPr>
        <w:ind w:left="425" w:hanging="425"/>
      </w:pPr>
      <w:rPr>
        <w:rFonts w:hint="default"/>
      </w:rPr>
    </w:lvl>
  </w:abstractNum>
  <w:abstractNum w:abstractNumId="9">
    <w:nsid w:val="DC3F8C8B"/>
    <w:multiLevelType w:val="singleLevel"/>
    <w:tmpl w:val="DC3F8C8B"/>
    <w:lvl w:ilvl="0" w:tentative="0">
      <w:start w:val="1"/>
      <w:numFmt w:val="decimal"/>
      <w:lvlText w:val="%1."/>
      <w:lvlJc w:val="left"/>
      <w:pPr>
        <w:ind w:left="425" w:hanging="425"/>
      </w:pPr>
      <w:rPr>
        <w:rFonts w:hint="default"/>
      </w:rPr>
    </w:lvl>
  </w:abstractNum>
  <w:abstractNum w:abstractNumId="10">
    <w:nsid w:val="E1395A5C"/>
    <w:multiLevelType w:val="singleLevel"/>
    <w:tmpl w:val="E1395A5C"/>
    <w:lvl w:ilvl="0" w:tentative="0">
      <w:start w:val="1"/>
      <w:numFmt w:val="chineseCounting"/>
      <w:suff w:val="nothing"/>
      <w:lvlText w:val="（%1）"/>
      <w:lvlJc w:val="left"/>
      <w:pPr>
        <w:ind w:left="0" w:firstLine="420"/>
      </w:pPr>
      <w:rPr>
        <w:rFonts w:hint="eastAsia"/>
      </w:rPr>
    </w:lvl>
  </w:abstractNum>
  <w:abstractNum w:abstractNumId="11">
    <w:nsid w:val="FE574647"/>
    <w:multiLevelType w:val="multilevel"/>
    <w:tmpl w:val="FE574647"/>
    <w:lvl w:ilvl="0" w:tentative="0">
      <w:start w:val="1"/>
      <w:numFmt w:val="bullet"/>
      <w:lvlText w:val=""/>
      <w:lvlJc w:val="left"/>
      <w:pPr>
        <w:tabs>
          <w:tab w:val="left" w:pos="-840"/>
        </w:tabs>
        <w:ind w:left="430" w:hanging="420"/>
      </w:pPr>
      <w:rPr>
        <w:rFonts w:hint="default" w:ascii="Wingdings" w:hAnsi="Wingdings"/>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abstractNum w:abstractNumId="12">
    <w:nsid w:val="06882CE3"/>
    <w:multiLevelType w:val="multilevel"/>
    <w:tmpl w:val="06882CE3"/>
    <w:lvl w:ilvl="0" w:tentative="0">
      <w:start w:val="1"/>
      <w:numFmt w:val="decimal"/>
      <w:pStyle w:val="75"/>
      <w:suff w:val="nothing"/>
      <w:lvlText w:val="（%1）"/>
      <w:lvlJc w:val="left"/>
      <w:pPr>
        <w:ind w:left="1270" w:hanging="420"/>
      </w:pPr>
      <w:rPr>
        <w:b w:val="0"/>
        <w:bCs w:val="0"/>
        <w:i w:val="0"/>
        <w:iCs w:val="0"/>
        <w:caps w:val="0"/>
        <w:smallCaps w:val="0"/>
        <w:strike w:val="0"/>
        <w:dstrike w:val="0"/>
        <w:outline w:val="0"/>
        <w:shadow w:val="0"/>
        <w:emboss w:val="0"/>
        <w:imprint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13">
    <w:nsid w:val="178D3D0E"/>
    <w:multiLevelType w:val="multilevel"/>
    <w:tmpl w:val="178D3D0E"/>
    <w:lvl w:ilvl="0" w:tentative="0">
      <w:start w:val="1"/>
      <w:numFmt w:val="bullet"/>
      <w:pStyle w:val="91"/>
      <w:lvlText w:val=""/>
      <w:lvlJc w:val="left"/>
      <w:pPr>
        <w:tabs>
          <w:tab w:val="left" w:pos="367"/>
        </w:tabs>
        <w:ind w:left="367" w:hanging="360"/>
      </w:pPr>
      <w:rPr>
        <w:rFonts w:hint="default" w:ascii="Symbol" w:hAnsi="Symbol"/>
      </w:rPr>
    </w:lvl>
    <w:lvl w:ilvl="1" w:tentative="0">
      <w:start w:val="1"/>
      <w:numFmt w:val="bullet"/>
      <w:lvlText w:val="o"/>
      <w:lvlJc w:val="left"/>
      <w:pPr>
        <w:tabs>
          <w:tab w:val="left" w:pos="1087"/>
        </w:tabs>
        <w:ind w:left="1087" w:hanging="360"/>
      </w:pPr>
      <w:rPr>
        <w:rFonts w:hint="default" w:ascii="Courier New" w:hAnsi="Courier New" w:cs="Courier New"/>
      </w:rPr>
    </w:lvl>
    <w:lvl w:ilvl="2" w:tentative="0">
      <w:start w:val="1"/>
      <w:numFmt w:val="bullet"/>
      <w:lvlText w:val=""/>
      <w:lvlJc w:val="left"/>
      <w:pPr>
        <w:tabs>
          <w:tab w:val="left" w:pos="1807"/>
        </w:tabs>
        <w:ind w:left="1807" w:hanging="360"/>
      </w:pPr>
      <w:rPr>
        <w:rFonts w:hint="default" w:ascii="Wingdings" w:hAnsi="Wingdings"/>
      </w:rPr>
    </w:lvl>
    <w:lvl w:ilvl="3" w:tentative="0">
      <w:start w:val="1"/>
      <w:numFmt w:val="bullet"/>
      <w:lvlText w:val=""/>
      <w:lvlJc w:val="left"/>
      <w:pPr>
        <w:tabs>
          <w:tab w:val="left" w:pos="2527"/>
        </w:tabs>
        <w:ind w:left="2527" w:hanging="360"/>
      </w:pPr>
      <w:rPr>
        <w:rFonts w:hint="default" w:ascii="Symbol" w:hAnsi="Symbol"/>
      </w:rPr>
    </w:lvl>
    <w:lvl w:ilvl="4" w:tentative="0">
      <w:start w:val="1"/>
      <w:numFmt w:val="bullet"/>
      <w:lvlText w:val="o"/>
      <w:lvlJc w:val="left"/>
      <w:pPr>
        <w:tabs>
          <w:tab w:val="left" w:pos="3247"/>
        </w:tabs>
        <w:ind w:left="3247" w:hanging="360"/>
      </w:pPr>
      <w:rPr>
        <w:rFonts w:hint="default" w:ascii="Courier New" w:hAnsi="Courier New" w:cs="Courier New"/>
      </w:rPr>
    </w:lvl>
    <w:lvl w:ilvl="5" w:tentative="0">
      <w:start w:val="1"/>
      <w:numFmt w:val="bullet"/>
      <w:lvlText w:val=""/>
      <w:lvlJc w:val="left"/>
      <w:pPr>
        <w:tabs>
          <w:tab w:val="left" w:pos="3967"/>
        </w:tabs>
        <w:ind w:left="3967" w:hanging="360"/>
      </w:pPr>
      <w:rPr>
        <w:rFonts w:hint="default" w:ascii="Wingdings" w:hAnsi="Wingdings"/>
      </w:rPr>
    </w:lvl>
    <w:lvl w:ilvl="6" w:tentative="0">
      <w:start w:val="1"/>
      <w:numFmt w:val="bullet"/>
      <w:lvlText w:val=""/>
      <w:lvlJc w:val="left"/>
      <w:pPr>
        <w:tabs>
          <w:tab w:val="left" w:pos="4687"/>
        </w:tabs>
        <w:ind w:left="4687" w:hanging="360"/>
      </w:pPr>
      <w:rPr>
        <w:rFonts w:hint="default" w:ascii="Symbol" w:hAnsi="Symbol"/>
      </w:rPr>
    </w:lvl>
    <w:lvl w:ilvl="7" w:tentative="0">
      <w:start w:val="1"/>
      <w:numFmt w:val="bullet"/>
      <w:lvlText w:val="o"/>
      <w:lvlJc w:val="left"/>
      <w:pPr>
        <w:tabs>
          <w:tab w:val="left" w:pos="5407"/>
        </w:tabs>
        <w:ind w:left="5407" w:hanging="360"/>
      </w:pPr>
      <w:rPr>
        <w:rFonts w:hint="default" w:ascii="Courier New" w:hAnsi="Courier New" w:cs="Courier New"/>
      </w:rPr>
    </w:lvl>
    <w:lvl w:ilvl="8" w:tentative="0">
      <w:start w:val="1"/>
      <w:numFmt w:val="bullet"/>
      <w:lvlText w:val=""/>
      <w:lvlJc w:val="left"/>
      <w:pPr>
        <w:tabs>
          <w:tab w:val="left" w:pos="6127"/>
        </w:tabs>
        <w:ind w:left="6127" w:hanging="360"/>
      </w:pPr>
      <w:rPr>
        <w:rFonts w:hint="default" w:ascii="Wingdings" w:hAnsi="Wingdings"/>
      </w:rPr>
    </w:lvl>
  </w:abstractNum>
  <w:abstractNum w:abstractNumId="14">
    <w:nsid w:val="1E7B065C"/>
    <w:multiLevelType w:val="multilevel"/>
    <w:tmpl w:val="1E7B065C"/>
    <w:lvl w:ilvl="0" w:tentative="0">
      <w:start w:val="1"/>
      <w:numFmt w:val="decimal"/>
      <w:pStyle w:val="96"/>
      <w:lvlText w:val="%1)"/>
      <w:lvlJc w:val="left"/>
      <w:pPr>
        <w:ind w:left="1695" w:hanging="420"/>
      </w:pPr>
    </w:lvl>
    <w:lvl w:ilvl="1" w:tentative="0">
      <w:start w:val="1"/>
      <w:numFmt w:val="lowerLetter"/>
      <w:lvlText w:val="%2)"/>
      <w:lvlJc w:val="left"/>
      <w:pPr>
        <w:ind w:left="2115" w:hanging="420"/>
      </w:pPr>
    </w:lvl>
    <w:lvl w:ilvl="2" w:tentative="0">
      <w:start w:val="1"/>
      <w:numFmt w:val="lowerRoman"/>
      <w:lvlText w:val="%3."/>
      <w:lvlJc w:val="right"/>
      <w:pPr>
        <w:ind w:left="2535" w:hanging="420"/>
      </w:pPr>
    </w:lvl>
    <w:lvl w:ilvl="3" w:tentative="0">
      <w:start w:val="1"/>
      <w:numFmt w:val="decimal"/>
      <w:lvlText w:val="%4."/>
      <w:lvlJc w:val="left"/>
      <w:pPr>
        <w:ind w:left="2955" w:hanging="420"/>
      </w:pPr>
    </w:lvl>
    <w:lvl w:ilvl="4" w:tentative="0">
      <w:start w:val="1"/>
      <w:numFmt w:val="lowerLetter"/>
      <w:lvlText w:val="%5)"/>
      <w:lvlJc w:val="left"/>
      <w:pPr>
        <w:ind w:left="3375" w:hanging="420"/>
      </w:pPr>
    </w:lvl>
    <w:lvl w:ilvl="5" w:tentative="0">
      <w:start w:val="1"/>
      <w:numFmt w:val="lowerRoman"/>
      <w:lvlText w:val="%6."/>
      <w:lvlJc w:val="right"/>
      <w:pPr>
        <w:ind w:left="3795" w:hanging="420"/>
      </w:pPr>
    </w:lvl>
    <w:lvl w:ilvl="6" w:tentative="0">
      <w:start w:val="1"/>
      <w:numFmt w:val="decimal"/>
      <w:lvlText w:val="%7."/>
      <w:lvlJc w:val="left"/>
      <w:pPr>
        <w:ind w:left="4215" w:hanging="420"/>
      </w:pPr>
    </w:lvl>
    <w:lvl w:ilvl="7" w:tentative="0">
      <w:start w:val="1"/>
      <w:numFmt w:val="lowerLetter"/>
      <w:lvlText w:val="%8)"/>
      <w:lvlJc w:val="left"/>
      <w:pPr>
        <w:ind w:left="4635" w:hanging="420"/>
      </w:pPr>
    </w:lvl>
    <w:lvl w:ilvl="8" w:tentative="0">
      <w:start w:val="1"/>
      <w:numFmt w:val="lowerRoman"/>
      <w:lvlText w:val="%9."/>
      <w:lvlJc w:val="right"/>
      <w:pPr>
        <w:ind w:left="5055" w:hanging="420"/>
      </w:pPr>
    </w:lvl>
  </w:abstractNum>
  <w:abstractNum w:abstractNumId="15">
    <w:nsid w:val="3D2537F8"/>
    <w:multiLevelType w:val="singleLevel"/>
    <w:tmpl w:val="3D2537F8"/>
    <w:lvl w:ilvl="0" w:tentative="0">
      <w:start w:val="1"/>
      <w:numFmt w:val="decimal"/>
      <w:lvlText w:val="%1."/>
      <w:lvlJc w:val="left"/>
      <w:pPr>
        <w:ind w:left="425" w:hanging="425"/>
      </w:pPr>
      <w:rPr>
        <w:rFonts w:hint="default"/>
        <w:color w:val="auto"/>
      </w:rPr>
    </w:lvl>
  </w:abstractNum>
  <w:abstractNum w:abstractNumId="16">
    <w:nsid w:val="4A8DA4C5"/>
    <w:multiLevelType w:val="singleLevel"/>
    <w:tmpl w:val="4A8DA4C5"/>
    <w:lvl w:ilvl="0" w:tentative="0">
      <w:start w:val="1"/>
      <w:numFmt w:val="bullet"/>
      <w:lvlText w:val=""/>
      <w:lvlJc w:val="left"/>
      <w:pPr>
        <w:ind w:left="0" w:leftChars="0" w:firstLine="0" w:firstLineChars="0"/>
      </w:pPr>
      <w:rPr>
        <w:rFonts w:hint="default" w:ascii="Wingdings" w:hAnsi="Wingdings"/>
      </w:rPr>
    </w:lvl>
  </w:abstractNum>
  <w:abstractNum w:abstractNumId="17">
    <w:nsid w:val="4CB32FC8"/>
    <w:multiLevelType w:val="multilevel"/>
    <w:tmpl w:val="4CB32FC8"/>
    <w:lvl w:ilvl="0" w:tentative="0">
      <w:start w:val="1"/>
      <w:numFmt w:val="upperLetter"/>
      <w:pStyle w:val="6"/>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8">
    <w:nsid w:val="520018B0"/>
    <w:multiLevelType w:val="multilevel"/>
    <w:tmpl w:val="520018B0"/>
    <w:lvl w:ilvl="0" w:tentative="0">
      <w:start w:val="1"/>
      <w:numFmt w:val="decimal"/>
      <w:pStyle w:val="74"/>
      <w:lvlText w:val="%1."/>
      <w:lvlJc w:val="left"/>
      <w:pPr>
        <w:ind w:left="1260" w:hanging="420"/>
      </w:pPr>
      <w:rPr>
        <w:b w:val="0"/>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9">
    <w:nsid w:val="560F40FB"/>
    <w:multiLevelType w:val="multilevel"/>
    <w:tmpl w:val="560F40FB"/>
    <w:lvl w:ilvl="0" w:tentative="0">
      <w:start w:val="1"/>
      <w:numFmt w:val="lowerLetter"/>
      <w:pStyle w:val="101"/>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0">
    <w:nsid w:val="56D20133"/>
    <w:multiLevelType w:val="multilevel"/>
    <w:tmpl w:val="56D20133"/>
    <w:lvl w:ilvl="0" w:tentative="0">
      <w:start w:val="1"/>
      <w:numFmt w:val="chineseCountingThousand"/>
      <w:pStyle w:val="73"/>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21">
    <w:nsid w:val="5983D379"/>
    <w:multiLevelType w:val="singleLevel"/>
    <w:tmpl w:val="5983D379"/>
    <w:lvl w:ilvl="0" w:tentative="0">
      <w:start w:val="1"/>
      <w:numFmt w:val="decimal"/>
      <w:lvlText w:val="(%1)"/>
      <w:lvlJc w:val="left"/>
      <w:pPr>
        <w:ind w:left="425" w:hanging="425"/>
      </w:pPr>
      <w:rPr>
        <w:rFonts w:hint="default"/>
      </w:rPr>
    </w:lvl>
  </w:abstractNum>
  <w:abstractNum w:abstractNumId="22">
    <w:nsid w:val="656A6EAE"/>
    <w:multiLevelType w:val="multilevel"/>
    <w:tmpl w:val="656A6EAE"/>
    <w:lvl w:ilvl="0" w:tentative="0">
      <w:start w:val="1"/>
      <w:numFmt w:val="chineseCountingThousand"/>
      <w:pStyle w:val="72"/>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3">
    <w:nsid w:val="7AE44757"/>
    <w:multiLevelType w:val="multilevel"/>
    <w:tmpl w:val="7AE44757"/>
    <w:lvl w:ilvl="0" w:tentative="0">
      <w:start w:val="1"/>
      <w:numFmt w:val="bullet"/>
      <w:lvlText w:val=""/>
      <w:lvlJc w:val="left"/>
      <w:pPr>
        <w:tabs>
          <w:tab w:val="left" w:pos="-840"/>
        </w:tabs>
        <w:ind w:left="430" w:hanging="420"/>
      </w:pPr>
      <w:rPr>
        <w:rFonts w:hint="default" w:ascii="Wingdings" w:hAnsi="Wingdings"/>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num w:numId="1">
    <w:abstractNumId w:val="17"/>
  </w:num>
  <w:num w:numId="2">
    <w:abstractNumId w:val="22"/>
  </w:num>
  <w:num w:numId="3">
    <w:abstractNumId w:val="20"/>
  </w:num>
  <w:num w:numId="4">
    <w:abstractNumId w:val="18"/>
  </w:num>
  <w:num w:numId="5">
    <w:abstractNumId w:val="12"/>
  </w:num>
  <w:num w:numId="6">
    <w:abstractNumId w:val="13"/>
  </w:num>
  <w:num w:numId="7">
    <w:abstractNumId w:val="14"/>
  </w:num>
  <w:num w:numId="8">
    <w:abstractNumId w:val="19"/>
  </w:num>
  <w:num w:numId="9">
    <w:abstractNumId w:val="5"/>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15"/>
  </w:num>
  <w:num w:numId="13">
    <w:abstractNumId w:val="4"/>
  </w:num>
  <w:num w:numId="14">
    <w:abstractNumId w:val="0"/>
  </w:num>
  <w:num w:numId="15">
    <w:abstractNumId w:val="2"/>
  </w:num>
  <w:num w:numId="16">
    <w:abstractNumId w:val="21"/>
  </w:num>
  <w:num w:numId="17">
    <w:abstractNumId w:val="8"/>
  </w:num>
  <w:num w:numId="18">
    <w:abstractNumId w:val="7"/>
  </w:num>
  <w:num w:numId="19">
    <w:abstractNumId w:val="3"/>
  </w:num>
  <w:num w:numId="20">
    <w:abstractNumId w:val="1"/>
  </w:num>
  <w:num w:numId="21">
    <w:abstractNumId w:val="23"/>
  </w:num>
  <w:num w:numId="22">
    <w:abstractNumId w:val="10"/>
  </w:num>
  <w:num w:numId="23">
    <w:abstractNumId w:val="11"/>
  </w:num>
  <w:num w:numId="24">
    <w:abstractNumId w:val="9"/>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
  </w:docVar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98" w:name="Normal"/>
    <w:lsdException w:qFormat="1" w:unhideWhenUsed="0" w:uiPriority="0" w:name="heading 1"/>
    <w:lsdException w:qFormat="1" w:unhideWhenUsed="0" w:uiPriority="0" w:name="heading 2"/>
    <w:lsdException w:qFormat="1" w:unhideWhenUsed="0" w:uiPriority="0" w:name="heading 3"/>
    <w:lsdException w:qFormat="1" w:unhideWhenUsed="0" w:uiPriority="0" w:name="heading 4"/>
    <w:lsdException w:qFormat="1" w:unhideWhenUsed="0" w:uiPriority="0" w:name="heading 5"/>
    <w:lsdException w:qFormat="1" w:uiPriority="0" w:name="heading 6"/>
    <w:lsdException w:qFormat="1" w:uiPriority="0" w:name="heading 7"/>
    <w:lsdException w:qFormat="1" w:uiPriority="0" w:name="heading 8"/>
    <w:lsdException w:qFormat="1" w:uiPriority="0" w:name="heading 9"/>
    <w:lsdException w:unhideWhenUsed="0" w:uiPriority="98" w:name="index 1"/>
    <w:lsdException w:unhideWhenUsed="0" w:uiPriority="98" w:name="index 2"/>
    <w:lsdException w:unhideWhenUsed="0" w:uiPriority="98" w:name="index 3"/>
    <w:lsdException w:unhideWhenUsed="0" w:uiPriority="98" w:name="index 4"/>
    <w:lsdException w:unhideWhenUsed="0" w:uiPriority="98" w:name="index 5"/>
    <w:lsdException w:unhideWhenUsed="0" w:uiPriority="98" w:name="index 6"/>
    <w:lsdException w:unhideWhenUsed="0" w:uiPriority="98" w:name="index 7"/>
    <w:lsdException w:unhideWhenUsed="0" w:uiPriority="98" w:name="index 8"/>
    <w:lsdException w:qFormat="1" w:unhideWhenUsed="0" w:uiPriority="98" w:name="index 9"/>
    <w:lsdException w:qFormat="1" w:unhideWhenUsed="0" w:uiPriority="39" w:semiHidden="0" w:name="toc 1"/>
    <w:lsdException w:qFormat="1" w:unhideWhenUsed="0" w:uiPriority="39" w:semiHidden="0" w:name="toc 2"/>
    <w:lsdException w:qFormat="1" w:unhideWhenUsed="0" w:uiPriority="39" w:name="toc 3"/>
    <w:lsdException w:unhideWhenUsed="0" w:uiPriority="98" w:name="toc 4"/>
    <w:lsdException w:unhideWhenUsed="0" w:uiPriority="98" w:name="toc 5"/>
    <w:lsdException w:unhideWhenUsed="0" w:uiPriority="98" w:name="toc 6"/>
    <w:lsdException w:unhideWhenUsed="0" w:uiPriority="98" w:name="toc 7"/>
    <w:lsdException w:unhideWhenUsed="0" w:uiPriority="98" w:name="toc 8"/>
    <w:lsdException w:unhideWhenUsed="0" w:uiPriority="98" w:name="toc 9"/>
    <w:lsdException w:unhideWhenUsed="0" w:uiPriority="98" w:name="Normal Indent"/>
    <w:lsdException w:unhideWhenUsed="0" w:uiPriority="98" w:name="footnote text"/>
    <w:lsdException w:qFormat="1" w:unhideWhenUsed="0" w:uiPriority="99" w:semiHidden="0" w:name="annotation text"/>
    <w:lsdException w:qFormat="1" w:unhideWhenUsed="0" w:uiPriority="0" w:name="header"/>
    <w:lsdException w:qFormat="1" w:unhideWhenUsed="0" w:uiPriority="0" w:name="footer"/>
    <w:lsdException w:unhideWhenUsed="0" w:uiPriority="98" w:name="index heading"/>
    <w:lsdException w:qFormat="1" w:unhideWhenUsed="0" w:uiPriority="98" w:name="caption"/>
    <w:lsdException w:unhideWhenUsed="0" w:uiPriority="98" w:name="table of figures"/>
    <w:lsdException w:unhideWhenUsed="0" w:uiPriority="98" w:name="envelope address"/>
    <w:lsdException w:unhideWhenUsed="0" w:uiPriority="98" w:name="envelope return"/>
    <w:lsdException w:unhideWhenUsed="0" w:uiPriority="98" w:name="footnote reference"/>
    <w:lsdException w:qFormat="1" w:unhideWhenUsed="0" w:uiPriority="98" w:name="annotation reference"/>
    <w:lsdException w:unhideWhenUsed="0" w:uiPriority="98" w:name="line number"/>
    <w:lsdException w:qFormat="1" w:unhideWhenUsed="0" w:uiPriority="0" w:name="page number"/>
    <w:lsdException w:unhideWhenUsed="0" w:uiPriority="98" w:name="endnote reference"/>
    <w:lsdException w:unhideWhenUsed="0" w:uiPriority="98" w:name="endnote text"/>
    <w:lsdException w:unhideWhenUsed="0" w:uiPriority="98" w:name="table of authorities"/>
    <w:lsdException w:unhideWhenUsed="0" w:uiPriority="98" w:name="macro"/>
    <w:lsdException w:unhideWhenUsed="0" w:uiPriority="98" w:name="toa heading"/>
    <w:lsdException w:qFormat="1" w:unhideWhenUsed="0" w:uiPriority="0" w:semiHidden="0" w:name="List"/>
    <w:lsdException w:unhideWhenUsed="0" w:uiPriority="98" w:name="List Bullet"/>
    <w:lsdException w:unhideWhenUsed="0" w:uiPriority="98" w:name="List Number"/>
    <w:lsdException w:unhideWhenUsed="0" w:uiPriority="98" w:name="List 2"/>
    <w:lsdException w:unhideWhenUsed="0" w:uiPriority="98" w:name="List 3"/>
    <w:lsdException w:unhideWhenUsed="0" w:uiPriority="98" w:name="List 4"/>
    <w:lsdException w:unhideWhenUsed="0" w:uiPriority="98" w:name="List 5"/>
    <w:lsdException w:unhideWhenUsed="0" w:uiPriority="98" w:name="List Bullet 2"/>
    <w:lsdException w:unhideWhenUsed="0" w:uiPriority="98" w:name="List Bullet 3"/>
    <w:lsdException w:unhideWhenUsed="0" w:uiPriority="98" w:name="List Bullet 4"/>
    <w:lsdException w:unhideWhenUsed="0" w:uiPriority="98" w:name="List Bullet 5"/>
    <w:lsdException w:unhideWhenUsed="0" w:uiPriority="98" w:name="List Number 2"/>
    <w:lsdException w:unhideWhenUsed="0" w:uiPriority="98" w:name="List Number 3"/>
    <w:lsdException w:unhideWhenUsed="0" w:uiPriority="98" w:name="List Number 4"/>
    <w:lsdException w:unhideWhenUsed="0" w:uiPriority="98" w:name="List Number 5"/>
    <w:lsdException w:qFormat="1" w:unhideWhenUsed="0" w:uiPriority="0" w:name="Title"/>
    <w:lsdException w:unhideWhenUsed="0" w:uiPriority="98" w:name="Closing"/>
    <w:lsdException w:unhideWhenUsed="0" w:uiPriority="98" w:name="Signature"/>
    <w:lsdException w:qFormat="1" w:uiPriority="1" w:name="Default Paragraph Font"/>
    <w:lsdException w:qFormat="1" w:unhideWhenUsed="0" w:uiPriority="98" w:name="Body Text"/>
    <w:lsdException w:qFormat="1" w:unhideWhenUsed="0" w:uiPriority="0" w:name="Body Text Indent"/>
    <w:lsdException w:unhideWhenUsed="0" w:uiPriority="98" w:name="List Continue"/>
    <w:lsdException w:unhideWhenUsed="0" w:uiPriority="98" w:name="List Continue 2"/>
    <w:lsdException w:unhideWhenUsed="0" w:uiPriority="98" w:name="List Continue 3"/>
    <w:lsdException w:unhideWhenUsed="0" w:uiPriority="98" w:name="List Continue 4"/>
    <w:lsdException w:unhideWhenUsed="0" w:uiPriority="98" w:name="List Continue 5"/>
    <w:lsdException w:qFormat="1" w:unhideWhenUsed="0" w:uiPriority="99" w:name="Message Header"/>
    <w:lsdException w:qFormat="1" w:unhideWhenUsed="0" w:uiPriority="98" w:semiHidden="0" w:name="Subtitle"/>
    <w:lsdException w:unhideWhenUsed="0" w:uiPriority="98" w:name="Salutation"/>
    <w:lsdException w:qFormat="1" w:unhideWhenUsed="0" w:uiPriority="0" w:name="Date"/>
    <w:lsdException w:unhideWhenUsed="0" w:uiPriority="98" w:name="Body Text First Indent"/>
    <w:lsdException w:qFormat="1" w:unhideWhenUsed="0" w:uiPriority="0" w:semiHidden="0" w:name="Body Text First Indent 2"/>
    <w:lsdException w:unhideWhenUsed="0" w:uiPriority="98" w:name="Note Heading"/>
    <w:lsdException w:unhideWhenUsed="0" w:uiPriority="98" w:name="Body Text 2"/>
    <w:lsdException w:unhideWhenUsed="0" w:uiPriority="98" w:name="Body Text 3"/>
    <w:lsdException w:qFormat="1" w:unhideWhenUsed="0" w:uiPriority="0" w:name="Body Text Indent 2"/>
    <w:lsdException w:qFormat="1" w:unhideWhenUsed="0" w:uiPriority="0" w:name="Body Text Indent 3"/>
    <w:lsdException w:unhideWhenUsed="0" w:uiPriority="98" w:name="Block Text"/>
    <w:lsdException w:qFormat="1" w:unhideWhenUsed="0" w:uiPriority="99" w:semiHidden="0" w:name="Hyperlink"/>
    <w:lsdException w:qFormat="1" w:unhideWhenUsed="0" w:uiPriority="98" w:name="FollowedHyperlink"/>
    <w:lsdException w:qFormat="1" w:unhideWhenUsed="0" w:uiPriority="98" w:name="Strong"/>
    <w:lsdException w:qFormat="1" w:unhideWhenUsed="0" w:uiPriority="98" w:name="Emphasis"/>
    <w:lsdException w:qFormat="1" w:unhideWhenUsed="0" w:uiPriority="0" w:name="Document Map"/>
    <w:lsdException w:qFormat="1" w:unhideWhenUsed="0" w:uiPriority="0" w:semiHidden="0" w:name="Plain Text"/>
    <w:lsdException w:qFormat="1" w:unhideWhenUsed="0" w:uiPriority="99" w:name="E-mail Signature"/>
    <w:lsdException w:qFormat="1" w:unhideWhenUsed="0" w:uiPriority="0" w:name="Normal (Web)"/>
    <w:lsdException w:unhideWhenUsed="0" w:uiPriority="98" w:name="HTML Acronym"/>
    <w:lsdException w:unhideWhenUsed="0" w:uiPriority="98" w:name="HTML Address"/>
    <w:lsdException w:unhideWhenUsed="0" w:uiPriority="98" w:name="HTML Cite"/>
    <w:lsdException w:unhideWhenUsed="0" w:uiPriority="98" w:name="HTML Code"/>
    <w:lsdException w:unhideWhenUsed="0" w:uiPriority="98" w:name="HTML Definition"/>
    <w:lsdException w:uiPriority="0" w:name="HTML Keyboard"/>
    <w:lsdException w:unhideWhenUsed="0" w:uiPriority="98" w:name="HTML Preformatted"/>
    <w:lsdException w:unhideWhenUsed="0" w:uiPriority="98" w:name="HTML Sample"/>
    <w:lsdException w:unhideWhenUsed="0" w:uiPriority="98" w:name="HTML Typewriter"/>
    <w:lsdException w:unhideWhenUsed="0" w:uiPriority="98" w:name="HTML Variable"/>
    <w:lsdException w:qFormat="1" w:uiPriority="99" w:name="Normal Table"/>
    <w:lsdException w:qFormat="1" w:unhideWhenUsed="0" w:uiPriority="98"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98"/>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67"/>
    <w:semiHidden/>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69"/>
    <w:semiHidden/>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3"/>
    <w:semiHidden/>
    <w:qFormat/>
    <w:uiPriority w:val="0"/>
    <w:pPr>
      <w:keepNext/>
      <w:keepLines/>
      <w:spacing w:line="416" w:lineRule="auto"/>
      <w:outlineLvl w:val="2"/>
    </w:pPr>
    <w:rPr>
      <w:b/>
      <w:bCs/>
      <w:sz w:val="32"/>
      <w:szCs w:val="32"/>
    </w:rPr>
  </w:style>
  <w:style w:type="paragraph" w:styleId="5">
    <w:name w:val="heading 4"/>
    <w:basedOn w:val="1"/>
    <w:next w:val="1"/>
    <w:link w:val="77"/>
    <w:semiHidden/>
    <w:qFormat/>
    <w:uiPriority w:val="0"/>
    <w:pPr>
      <w:keepNext/>
      <w:keepLines/>
      <w:spacing w:line="360" w:lineRule="auto"/>
      <w:outlineLvl w:val="3"/>
    </w:pPr>
    <w:rPr>
      <w:rFonts w:ascii="Arial" w:hAnsi="Arial"/>
      <w:b/>
      <w:bCs/>
      <w:szCs w:val="28"/>
    </w:rPr>
  </w:style>
  <w:style w:type="paragraph" w:styleId="6">
    <w:name w:val="heading 5"/>
    <w:basedOn w:val="1"/>
    <w:next w:val="1"/>
    <w:link w:val="78"/>
    <w:semiHidden/>
    <w:qFormat/>
    <w:uiPriority w:val="0"/>
    <w:pPr>
      <w:keepNext/>
      <w:numPr>
        <w:ilvl w:val="0"/>
        <w:numId w:val="1"/>
      </w:numPr>
      <w:autoSpaceDE w:val="0"/>
      <w:autoSpaceDN w:val="0"/>
      <w:adjustRightInd w:val="0"/>
      <w:spacing w:line="465" w:lineRule="exact"/>
      <w:jc w:val="left"/>
      <w:outlineLvl w:val="4"/>
    </w:pPr>
    <w:rPr>
      <w:rFonts w:ascii="宋体" w:hAnsi="宋体"/>
      <w:bCs/>
      <w:iCs/>
      <w:color w:val="000000"/>
      <w:kern w:val="0"/>
      <w:sz w:val="28"/>
      <w:szCs w:val="28"/>
    </w:rPr>
  </w:style>
  <w:style w:type="character" w:default="1" w:styleId="30">
    <w:name w:val="Default Paragraph Font"/>
    <w:unhideWhenUsed/>
    <w:qFormat/>
    <w:uiPriority w:val="1"/>
  </w:style>
  <w:style w:type="table" w:default="1" w:styleId="37">
    <w:name w:val="Normal Table"/>
    <w:unhideWhenUsed/>
    <w:qFormat/>
    <w:uiPriority w:val="99"/>
    <w:tblPr>
      <w:tblLayout w:type="fixed"/>
      <w:tblCellMar>
        <w:top w:w="0" w:type="dxa"/>
        <w:left w:w="108" w:type="dxa"/>
        <w:bottom w:w="0" w:type="dxa"/>
        <w:right w:w="108" w:type="dxa"/>
      </w:tblCellMar>
    </w:tblPr>
  </w:style>
  <w:style w:type="paragraph" w:styleId="7">
    <w:name w:val="annotation subject"/>
    <w:basedOn w:val="8"/>
    <w:next w:val="8"/>
    <w:link w:val="53"/>
    <w:semiHidden/>
    <w:qFormat/>
    <w:uiPriority w:val="98"/>
    <w:rPr>
      <w:b/>
      <w:bCs/>
    </w:rPr>
  </w:style>
  <w:style w:type="paragraph" w:styleId="8">
    <w:name w:val="annotation text"/>
    <w:basedOn w:val="1"/>
    <w:link w:val="45"/>
    <w:qFormat/>
    <w:uiPriority w:val="99"/>
    <w:pPr>
      <w:jc w:val="left"/>
    </w:pPr>
  </w:style>
  <w:style w:type="paragraph" w:styleId="9">
    <w:name w:val="E-mail Signature"/>
    <w:basedOn w:val="1"/>
    <w:link w:val="104"/>
    <w:semiHidden/>
    <w:qFormat/>
    <w:uiPriority w:val="99"/>
    <w:pPr>
      <w:spacing w:after="200" w:line="276" w:lineRule="auto"/>
      <w:jc w:val="left"/>
    </w:pPr>
    <w:rPr>
      <w:rFonts w:ascii="Calibri" w:hAnsi="Calibri"/>
      <w:kern w:val="0"/>
      <w:szCs w:val="21"/>
    </w:rPr>
  </w:style>
  <w:style w:type="paragraph" w:styleId="10">
    <w:name w:val="caption"/>
    <w:basedOn w:val="1"/>
    <w:next w:val="1"/>
    <w:semiHidden/>
    <w:qFormat/>
    <w:uiPriority w:val="98"/>
    <w:pPr>
      <w:spacing w:before="152" w:after="160"/>
    </w:pPr>
    <w:rPr>
      <w:rFonts w:ascii="Arial" w:hAnsi="Arial" w:eastAsia="黑体" w:cs="Arial"/>
      <w:sz w:val="20"/>
    </w:rPr>
  </w:style>
  <w:style w:type="paragraph" w:styleId="11">
    <w:name w:val="Document Map"/>
    <w:basedOn w:val="1"/>
    <w:link w:val="93"/>
    <w:semiHidden/>
    <w:qFormat/>
    <w:uiPriority w:val="0"/>
    <w:pPr>
      <w:adjustRightInd w:val="0"/>
      <w:spacing w:line="312" w:lineRule="atLeast"/>
      <w:textAlignment w:val="baseline"/>
    </w:pPr>
    <w:rPr>
      <w:rFonts w:ascii="宋体"/>
      <w:kern w:val="0"/>
      <w:sz w:val="18"/>
      <w:szCs w:val="18"/>
    </w:rPr>
  </w:style>
  <w:style w:type="paragraph" w:styleId="12">
    <w:name w:val="Body Text"/>
    <w:basedOn w:val="1"/>
    <w:link w:val="41"/>
    <w:semiHidden/>
    <w:qFormat/>
    <w:uiPriority w:val="98"/>
    <w:rPr>
      <w:rFonts w:ascii="仿宋_GB2312" w:eastAsia="仿宋_GB2312"/>
      <w:sz w:val="32"/>
    </w:rPr>
  </w:style>
  <w:style w:type="paragraph" w:styleId="13">
    <w:name w:val="Body Text Indent"/>
    <w:basedOn w:val="1"/>
    <w:link w:val="48"/>
    <w:semiHidden/>
    <w:qFormat/>
    <w:uiPriority w:val="0"/>
    <w:pPr>
      <w:spacing w:after="120"/>
      <w:ind w:left="420" w:leftChars="200"/>
    </w:pPr>
    <w:rPr>
      <w:rFonts w:ascii="Calibri" w:hAnsi="Calibri"/>
      <w:szCs w:val="22"/>
    </w:rPr>
  </w:style>
  <w:style w:type="paragraph" w:styleId="14">
    <w:name w:val="toc 3"/>
    <w:basedOn w:val="1"/>
    <w:next w:val="1"/>
    <w:semiHidden/>
    <w:qFormat/>
    <w:uiPriority w:val="39"/>
    <w:pPr>
      <w:adjustRightInd w:val="0"/>
      <w:spacing w:line="312" w:lineRule="atLeast"/>
      <w:ind w:left="840" w:leftChars="400"/>
      <w:textAlignment w:val="baseline"/>
    </w:pPr>
    <w:rPr>
      <w:kern w:val="0"/>
      <w:sz w:val="24"/>
    </w:rPr>
  </w:style>
  <w:style w:type="paragraph" w:styleId="15">
    <w:name w:val="Plain Text"/>
    <w:basedOn w:val="1"/>
    <w:link w:val="50"/>
    <w:qFormat/>
    <w:uiPriority w:val="0"/>
    <w:rPr>
      <w:rFonts w:ascii="宋体" w:hAnsi="Courier New"/>
    </w:rPr>
  </w:style>
  <w:style w:type="paragraph" w:styleId="16">
    <w:name w:val="Date"/>
    <w:basedOn w:val="1"/>
    <w:next w:val="1"/>
    <w:link w:val="87"/>
    <w:semiHidden/>
    <w:qFormat/>
    <w:uiPriority w:val="0"/>
    <w:pPr>
      <w:adjustRightInd w:val="0"/>
      <w:spacing w:line="312" w:lineRule="atLeast"/>
      <w:ind w:left="100" w:leftChars="2500"/>
      <w:textAlignment w:val="baseline"/>
    </w:pPr>
    <w:rPr>
      <w:kern w:val="0"/>
      <w:sz w:val="24"/>
    </w:rPr>
  </w:style>
  <w:style w:type="paragraph" w:styleId="17">
    <w:name w:val="Body Text Indent 2"/>
    <w:basedOn w:val="1"/>
    <w:link w:val="86"/>
    <w:semiHidden/>
    <w:qFormat/>
    <w:uiPriority w:val="0"/>
    <w:pPr>
      <w:adjustRightInd w:val="0"/>
      <w:spacing w:after="120" w:line="480" w:lineRule="auto"/>
      <w:ind w:left="420" w:leftChars="200"/>
      <w:textAlignment w:val="baseline"/>
    </w:pPr>
    <w:rPr>
      <w:kern w:val="0"/>
      <w:sz w:val="24"/>
    </w:rPr>
  </w:style>
  <w:style w:type="paragraph" w:styleId="18">
    <w:name w:val="Balloon Text"/>
    <w:basedOn w:val="1"/>
    <w:link w:val="47"/>
    <w:semiHidden/>
    <w:qFormat/>
    <w:uiPriority w:val="0"/>
    <w:rPr>
      <w:sz w:val="18"/>
      <w:szCs w:val="18"/>
    </w:rPr>
  </w:style>
  <w:style w:type="paragraph" w:styleId="19">
    <w:name w:val="footer"/>
    <w:basedOn w:val="1"/>
    <w:link w:val="42"/>
    <w:semiHidden/>
    <w:qFormat/>
    <w:uiPriority w:val="0"/>
    <w:pPr>
      <w:tabs>
        <w:tab w:val="center" w:pos="4153"/>
        <w:tab w:val="right" w:pos="8306"/>
      </w:tabs>
      <w:snapToGrid w:val="0"/>
      <w:jc w:val="left"/>
    </w:pPr>
    <w:rPr>
      <w:sz w:val="18"/>
      <w:szCs w:val="18"/>
    </w:rPr>
  </w:style>
  <w:style w:type="paragraph" w:styleId="20">
    <w:name w:val="Body Text First Indent 2"/>
    <w:basedOn w:val="13"/>
    <w:qFormat/>
    <w:uiPriority w:val="0"/>
    <w:pPr>
      <w:spacing w:line="276" w:lineRule="auto"/>
      <w:ind w:left="200" w:firstLine="200" w:firstLineChars="200"/>
      <w:jc w:val="left"/>
    </w:pPr>
  </w:style>
  <w:style w:type="paragraph" w:styleId="21">
    <w:name w:val="header"/>
    <w:basedOn w:val="1"/>
    <w:link w:val="52"/>
    <w:semiHidden/>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23">
    <w:name w:val="List"/>
    <w:basedOn w:val="1"/>
    <w:qFormat/>
    <w:uiPriority w:val="0"/>
    <w:pPr>
      <w:ind w:left="200" w:hanging="200" w:hangingChars="200"/>
    </w:pPr>
    <w:rPr>
      <w:szCs w:val="21"/>
    </w:rPr>
  </w:style>
  <w:style w:type="paragraph" w:styleId="24">
    <w:name w:val="Body Text Indent 3"/>
    <w:basedOn w:val="1"/>
    <w:link w:val="83"/>
    <w:semiHidden/>
    <w:qFormat/>
    <w:uiPriority w:val="0"/>
    <w:pPr>
      <w:spacing w:line="360" w:lineRule="auto"/>
      <w:ind w:left="1347" w:leftChars="413" w:hanging="480" w:hangingChars="200"/>
    </w:pPr>
    <w:rPr>
      <w:rFonts w:ascii="宋体" w:hAnsi="宋体"/>
      <w:color w:val="FF0000"/>
      <w:sz w:val="24"/>
      <w:szCs w:val="24"/>
    </w:rPr>
  </w:style>
  <w:style w:type="paragraph" w:styleId="25">
    <w:name w:val="index 9"/>
    <w:basedOn w:val="1"/>
    <w:next w:val="1"/>
    <w:semiHidden/>
    <w:qFormat/>
    <w:uiPriority w:val="98"/>
    <w:pPr>
      <w:ind w:left="1600" w:leftChars="1600"/>
    </w:pPr>
  </w:style>
  <w:style w:type="paragraph" w:styleId="26">
    <w:name w:val="toc 2"/>
    <w:basedOn w:val="1"/>
    <w:next w:val="1"/>
    <w:qFormat/>
    <w:uiPriority w:val="39"/>
    <w:pPr>
      <w:ind w:left="420" w:leftChars="200"/>
    </w:pPr>
  </w:style>
  <w:style w:type="paragraph" w:styleId="27">
    <w:name w:val="Message Header"/>
    <w:basedOn w:val="1"/>
    <w:link w:val="108"/>
    <w:semiHidden/>
    <w:qFormat/>
    <w:uiPriority w:val="99"/>
    <w:pPr>
      <w:pBdr>
        <w:top w:val="single" w:color="auto" w:sz="6" w:space="1"/>
        <w:left w:val="single" w:color="auto" w:sz="6" w:space="1"/>
        <w:bottom w:val="single" w:color="auto" w:sz="6" w:space="1"/>
        <w:right w:val="single" w:color="auto" w:sz="6" w:space="1"/>
      </w:pBdr>
      <w:shd w:val="pct20" w:color="auto" w:fill="auto"/>
      <w:spacing w:after="200" w:line="276" w:lineRule="auto"/>
      <w:ind w:left="1080" w:leftChars="500" w:hanging="1080" w:hangingChars="500"/>
      <w:jc w:val="left"/>
    </w:pPr>
    <w:rPr>
      <w:rFonts w:ascii="Cambria" w:hAnsi="Cambria" w:cs="Cambria"/>
      <w:kern w:val="0"/>
      <w:sz w:val="24"/>
      <w:szCs w:val="24"/>
    </w:rPr>
  </w:style>
  <w:style w:type="paragraph" w:styleId="28">
    <w:name w:val="Normal (Web)"/>
    <w:basedOn w:val="1"/>
    <w:semiHidden/>
    <w:qFormat/>
    <w:uiPriority w:val="0"/>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paragraph" w:styleId="29">
    <w:name w:val="Title"/>
    <w:basedOn w:val="1"/>
    <w:next w:val="1"/>
    <w:link w:val="70"/>
    <w:semiHidden/>
    <w:qFormat/>
    <w:uiPriority w:val="0"/>
    <w:pPr>
      <w:spacing w:before="240" w:after="60"/>
      <w:jc w:val="center"/>
      <w:outlineLvl w:val="0"/>
    </w:pPr>
    <w:rPr>
      <w:rFonts w:eastAsia="黑体" w:asciiTheme="majorHAnsi" w:hAnsiTheme="majorHAnsi" w:cstheme="majorBidi"/>
      <w:b/>
      <w:bCs/>
      <w:sz w:val="36"/>
      <w:szCs w:val="32"/>
    </w:rPr>
  </w:style>
  <w:style w:type="character" w:styleId="31">
    <w:name w:val="Strong"/>
    <w:semiHidden/>
    <w:qFormat/>
    <w:uiPriority w:val="98"/>
    <w:rPr>
      <w:b/>
    </w:rPr>
  </w:style>
  <w:style w:type="character" w:styleId="32">
    <w:name w:val="page number"/>
    <w:basedOn w:val="30"/>
    <w:semiHidden/>
    <w:qFormat/>
    <w:uiPriority w:val="0"/>
  </w:style>
  <w:style w:type="character" w:styleId="33">
    <w:name w:val="FollowedHyperlink"/>
    <w:semiHidden/>
    <w:qFormat/>
    <w:uiPriority w:val="98"/>
    <w:rPr>
      <w:color w:val="800080"/>
      <w:u w:val="single"/>
    </w:rPr>
  </w:style>
  <w:style w:type="character" w:styleId="34">
    <w:name w:val="Emphasis"/>
    <w:semiHidden/>
    <w:qFormat/>
    <w:uiPriority w:val="98"/>
    <w:rPr>
      <w:i/>
      <w:iCs/>
    </w:rPr>
  </w:style>
  <w:style w:type="character" w:styleId="35">
    <w:name w:val="Hyperlink"/>
    <w:qFormat/>
    <w:uiPriority w:val="99"/>
    <w:rPr>
      <w:rFonts w:cs="Times New Roman"/>
      <w:color w:val="1F4F88"/>
      <w:u w:val="none"/>
    </w:rPr>
  </w:style>
  <w:style w:type="character" w:styleId="36">
    <w:name w:val="annotation reference"/>
    <w:semiHidden/>
    <w:qFormat/>
    <w:uiPriority w:val="98"/>
    <w:rPr>
      <w:sz w:val="21"/>
      <w:szCs w:val="21"/>
    </w:rPr>
  </w:style>
  <w:style w:type="table" w:styleId="38">
    <w:name w:val="Table Grid"/>
    <w:basedOn w:val="3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39">
    <w:name w:val="Char Char3"/>
    <w:semiHidden/>
    <w:qFormat/>
    <w:uiPriority w:val="98"/>
    <w:rPr>
      <w:rFonts w:ascii="宋体" w:hAnsi="Courier New" w:eastAsia="宋体"/>
      <w:kern w:val="2"/>
      <w:sz w:val="21"/>
      <w:lang w:val="en-US" w:eastAsia="zh-CN" w:bidi="ar-SA"/>
    </w:rPr>
  </w:style>
  <w:style w:type="character" w:customStyle="1" w:styleId="40">
    <w:name w:val="纯文本 Char"/>
    <w:semiHidden/>
    <w:qFormat/>
    <w:uiPriority w:val="98"/>
    <w:rPr>
      <w:rFonts w:ascii="宋体" w:hAnsi="Courier New" w:eastAsia="宋体"/>
      <w:kern w:val="2"/>
      <w:sz w:val="21"/>
      <w:lang w:val="en-US" w:eastAsia="zh-CN" w:bidi="ar-SA"/>
    </w:rPr>
  </w:style>
  <w:style w:type="character" w:customStyle="1" w:styleId="41">
    <w:name w:val="正文文本 字符"/>
    <w:link w:val="12"/>
    <w:semiHidden/>
    <w:qFormat/>
    <w:uiPriority w:val="98"/>
    <w:rPr>
      <w:rFonts w:ascii="仿宋_GB2312" w:eastAsia="仿宋_GB2312"/>
      <w:kern w:val="2"/>
      <w:sz w:val="32"/>
    </w:rPr>
  </w:style>
  <w:style w:type="character" w:customStyle="1" w:styleId="42">
    <w:name w:val="页脚 字符"/>
    <w:link w:val="19"/>
    <w:semiHidden/>
    <w:qFormat/>
    <w:uiPriority w:val="0"/>
    <w:rPr>
      <w:kern w:val="2"/>
      <w:sz w:val="18"/>
      <w:szCs w:val="18"/>
    </w:rPr>
  </w:style>
  <w:style w:type="character" w:customStyle="1" w:styleId="43">
    <w:name w:val="标题 3 字符"/>
    <w:link w:val="4"/>
    <w:semiHidden/>
    <w:qFormat/>
    <w:uiPriority w:val="0"/>
    <w:rPr>
      <w:b/>
      <w:bCs/>
      <w:kern w:val="2"/>
      <w:sz w:val="32"/>
      <w:szCs w:val="32"/>
    </w:rPr>
  </w:style>
  <w:style w:type="character" w:customStyle="1" w:styleId="44">
    <w:name w:val="正文文本 Char"/>
    <w:semiHidden/>
    <w:qFormat/>
    <w:uiPriority w:val="98"/>
    <w:rPr>
      <w:rFonts w:ascii="仿宋_GB2312" w:eastAsia="仿宋_GB2312"/>
      <w:kern w:val="2"/>
      <w:sz w:val="32"/>
    </w:rPr>
  </w:style>
  <w:style w:type="character" w:customStyle="1" w:styleId="45">
    <w:name w:val="批注文字 字符"/>
    <w:link w:val="8"/>
    <w:qFormat/>
    <w:uiPriority w:val="99"/>
    <w:rPr>
      <w:kern w:val="2"/>
      <w:sz w:val="21"/>
    </w:rPr>
  </w:style>
  <w:style w:type="character" w:customStyle="1" w:styleId="46">
    <w:name w:val="apple-converted-space"/>
    <w:basedOn w:val="30"/>
    <w:semiHidden/>
    <w:qFormat/>
    <w:uiPriority w:val="98"/>
  </w:style>
  <w:style w:type="character" w:customStyle="1" w:styleId="47">
    <w:name w:val="批注框文本 字符"/>
    <w:link w:val="18"/>
    <w:semiHidden/>
    <w:qFormat/>
    <w:uiPriority w:val="98"/>
    <w:rPr>
      <w:kern w:val="2"/>
      <w:sz w:val="18"/>
      <w:szCs w:val="18"/>
    </w:rPr>
  </w:style>
  <w:style w:type="character" w:customStyle="1" w:styleId="48">
    <w:name w:val="正文文本缩进 字符"/>
    <w:link w:val="13"/>
    <w:semiHidden/>
    <w:qFormat/>
    <w:uiPriority w:val="0"/>
    <w:rPr>
      <w:rFonts w:ascii="Calibri" w:hAnsi="Calibri"/>
      <w:kern w:val="2"/>
      <w:sz w:val="21"/>
      <w:szCs w:val="22"/>
    </w:rPr>
  </w:style>
  <w:style w:type="character" w:customStyle="1" w:styleId="49">
    <w:name w:val="Char Char5"/>
    <w:semiHidden/>
    <w:qFormat/>
    <w:uiPriority w:val="98"/>
    <w:rPr>
      <w:rFonts w:ascii="宋体" w:hAnsi="Courier New" w:eastAsia="宋体"/>
      <w:kern w:val="2"/>
      <w:sz w:val="21"/>
      <w:lang w:val="en-US" w:eastAsia="zh-CN" w:bidi="ar-SA"/>
    </w:rPr>
  </w:style>
  <w:style w:type="character" w:customStyle="1" w:styleId="50">
    <w:name w:val="纯文本 字符1"/>
    <w:link w:val="15"/>
    <w:semiHidden/>
    <w:qFormat/>
    <w:uiPriority w:val="0"/>
    <w:rPr>
      <w:rFonts w:ascii="宋体" w:hAnsi="Courier New"/>
      <w:kern w:val="2"/>
      <w:sz w:val="21"/>
    </w:rPr>
  </w:style>
  <w:style w:type="character" w:customStyle="1" w:styleId="51">
    <w:name w:val="纯文本 字符"/>
    <w:semiHidden/>
    <w:qFormat/>
    <w:uiPriority w:val="98"/>
    <w:rPr>
      <w:rFonts w:ascii="宋体" w:hAnsi="Courier New" w:eastAsia="宋体"/>
    </w:rPr>
  </w:style>
  <w:style w:type="character" w:customStyle="1" w:styleId="52">
    <w:name w:val="页眉 字符"/>
    <w:link w:val="21"/>
    <w:semiHidden/>
    <w:qFormat/>
    <w:uiPriority w:val="0"/>
    <w:rPr>
      <w:kern w:val="2"/>
      <w:sz w:val="18"/>
      <w:szCs w:val="18"/>
    </w:rPr>
  </w:style>
  <w:style w:type="character" w:customStyle="1" w:styleId="53">
    <w:name w:val="批注主题 字符"/>
    <w:link w:val="7"/>
    <w:semiHidden/>
    <w:qFormat/>
    <w:uiPriority w:val="98"/>
    <w:rPr>
      <w:b/>
      <w:bCs/>
      <w:kern w:val="2"/>
      <w:sz w:val="21"/>
    </w:rPr>
  </w:style>
  <w:style w:type="character" w:customStyle="1" w:styleId="54">
    <w:name w:val="Char Char2"/>
    <w:semiHidden/>
    <w:qFormat/>
    <w:uiPriority w:val="98"/>
    <w:rPr>
      <w:rFonts w:ascii="宋体" w:hAnsi="Courier New" w:cs="宋体"/>
      <w:kern w:val="2"/>
      <w:sz w:val="21"/>
      <w:szCs w:val="21"/>
    </w:rPr>
  </w:style>
  <w:style w:type="character" w:customStyle="1" w:styleId="55">
    <w:name w:val="HTML Markup"/>
    <w:semiHidden/>
    <w:qFormat/>
    <w:uiPriority w:val="98"/>
    <w:rPr>
      <w:vanish/>
      <w:color w:val="FF0000"/>
    </w:rPr>
  </w:style>
  <w:style w:type="character" w:customStyle="1" w:styleId="56">
    <w:name w:val="纯文本 Char3"/>
    <w:semiHidden/>
    <w:qFormat/>
    <w:uiPriority w:val="98"/>
    <w:rPr>
      <w:rFonts w:ascii="宋体" w:hAnsi="Courier New" w:eastAsia="宋体"/>
      <w:kern w:val="2"/>
      <w:sz w:val="21"/>
      <w:lang w:val="en-US" w:eastAsia="zh-CN" w:bidi="ar-SA"/>
    </w:rPr>
  </w:style>
  <w:style w:type="character" w:customStyle="1" w:styleId="57">
    <w:name w:val="正文文本缩进 Char"/>
    <w:link w:val="58"/>
    <w:semiHidden/>
    <w:qFormat/>
    <w:uiPriority w:val="98"/>
    <w:rPr>
      <w:kern w:val="2"/>
      <w:sz w:val="21"/>
    </w:rPr>
  </w:style>
  <w:style w:type="paragraph" w:customStyle="1" w:styleId="58">
    <w:name w:val="正文文本缩进1"/>
    <w:basedOn w:val="1"/>
    <w:link w:val="57"/>
    <w:semiHidden/>
    <w:qFormat/>
    <w:uiPriority w:val="98"/>
    <w:pPr>
      <w:spacing w:after="120"/>
      <w:ind w:left="420" w:leftChars="200"/>
    </w:pPr>
  </w:style>
  <w:style w:type="paragraph" w:customStyle="1" w:styleId="59">
    <w:name w:val="1"/>
    <w:basedOn w:val="1"/>
    <w:semiHidden/>
    <w:qFormat/>
    <w:uiPriority w:val="98"/>
    <w:pPr>
      <w:widowControl/>
      <w:spacing w:before="100" w:beforeAutospacing="1" w:after="100" w:afterAutospacing="1"/>
      <w:jc w:val="left"/>
    </w:pPr>
    <w:rPr>
      <w:rFonts w:hint="eastAsia" w:ascii="宋体" w:hAnsi="宋体"/>
      <w:kern w:val="0"/>
      <w:sz w:val="24"/>
      <w:szCs w:val="24"/>
    </w:rPr>
  </w:style>
  <w:style w:type="paragraph" w:customStyle="1" w:styleId="60">
    <w:name w:val="2"/>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customStyle="1" w:styleId="61">
    <w:name w:val="Char Char Char Char Char Char1 Char"/>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customStyle="1" w:styleId="62">
    <w:name w:val="List Paragraph"/>
    <w:basedOn w:val="1"/>
    <w:semiHidden/>
    <w:qFormat/>
    <w:uiPriority w:val="98"/>
    <w:pPr>
      <w:ind w:firstLine="420" w:firstLineChars="200"/>
    </w:pPr>
    <w:rPr>
      <w:rFonts w:ascii="Calibri" w:hAnsi="Calibri"/>
      <w:szCs w:val="22"/>
    </w:rPr>
  </w:style>
  <w:style w:type="paragraph" w:customStyle="1" w:styleId="63">
    <w:name w:val="列出段落1"/>
    <w:basedOn w:val="1"/>
    <w:semiHidden/>
    <w:qFormat/>
    <w:uiPriority w:val="98"/>
    <w:pPr>
      <w:ind w:firstLine="420" w:firstLineChars="200"/>
    </w:pPr>
    <w:rPr>
      <w:rFonts w:ascii="Calibri" w:hAnsi="Calibri"/>
      <w:szCs w:val="22"/>
    </w:rPr>
  </w:style>
  <w:style w:type="paragraph" w:customStyle="1" w:styleId="64">
    <w:name w:val="二级列表 Char"/>
    <w:basedOn w:val="1"/>
    <w:semiHidden/>
    <w:qFormat/>
    <w:uiPriority w:val="98"/>
    <w:rPr>
      <w:rFonts w:ascii="Calibri" w:hAnsi="Calibri"/>
    </w:rPr>
  </w:style>
  <w:style w:type="paragraph" w:customStyle="1" w:styleId="65">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66">
    <w:name w:val="style61"/>
    <w:semiHidden/>
    <w:qFormat/>
    <w:uiPriority w:val="98"/>
  </w:style>
  <w:style w:type="character" w:customStyle="1" w:styleId="67">
    <w:name w:val="标题 1 字符"/>
    <w:basedOn w:val="30"/>
    <w:link w:val="2"/>
    <w:semiHidden/>
    <w:qFormat/>
    <w:uiPriority w:val="0"/>
    <w:rPr>
      <w:b/>
      <w:bCs/>
      <w:kern w:val="44"/>
      <w:sz w:val="44"/>
      <w:szCs w:val="44"/>
    </w:rPr>
  </w:style>
  <w:style w:type="paragraph" w:customStyle="1" w:styleId="68">
    <w:name w:val="TOC 标题1"/>
    <w:basedOn w:val="2"/>
    <w:next w:val="1"/>
    <w:semiHidden/>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69">
    <w:name w:val="标题 2 字符"/>
    <w:basedOn w:val="30"/>
    <w:link w:val="3"/>
    <w:semiHidden/>
    <w:qFormat/>
    <w:uiPriority w:val="0"/>
    <w:rPr>
      <w:rFonts w:asciiTheme="majorHAnsi" w:hAnsiTheme="majorHAnsi" w:eastAsiaTheme="majorEastAsia" w:cstheme="majorBidi"/>
      <w:b/>
      <w:bCs/>
      <w:kern w:val="2"/>
      <w:sz w:val="32"/>
      <w:szCs w:val="32"/>
    </w:rPr>
  </w:style>
  <w:style w:type="character" w:customStyle="1" w:styleId="70">
    <w:name w:val="标题 字符"/>
    <w:basedOn w:val="30"/>
    <w:link w:val="29"/>
    <w:semiHidden/>
    <w:qFormat/>
    <w:uiPriority w:val="0"/>
    <w:rPr>
      <w:rFonts w:eastAsia="黑体" w:asciiTheme="majorHAnsi" w:hAnsiTheme="majorHAnsi" w:cstheme="majorBidi"/>
      <w:b/>
      <w:bCs/>
      <w:kern w:val="2"/>
      <w:sz w:val="36"/>
      <w:szCs w:val="32"/>
    </w:rPr>
  </w:style>
  <w:style w:type="paragraph" w:customStyle="1" w:styleId="71">
    <w:name w:val="章节"/>
    <w:basedOn w:val="15"/>
    <w:qFormat/>
    <w:uiPriority w:val="0"/>
    <w:pPr>
      <w:spacing w:line="360" w:lineRule="auto"/>
      <w:jc w:val="center"/>
      <w:outlineLvl w:val="0"/>
    </w:pPr>
    <w:rPr>
      <w:rFonts w:ascii="黑体" w:eastAsia="黑体"/>
      <w:b/>
      <w:bCs/>
      <w:sz w:val="36"/>
      <w:szCs w:val="36"/>
    </w:rPr>
  </w:style>
  <w:style w:type="paragraph" w:customStyle="1" w:styleId="72">
    <w:name w:val="一级标题"/>
    <w:basedOn w:val="15"/>
    <w:qFormat/>
    <w:uiPriority w:val="1"/>
    <w:pPr>
      <w:numPr>
        <w:ilvl w:val="0"/>
        <w:numId w:val="2"/>
      </w:numPr>
      <w:spacing w:line="360" w:lineRule="auto"/>
      <w:ind w:left="420"/>
      <w:outlineLvl w:val="1"/>
    </w:pPr>
    <w:rPr>
      <w:rFonts w:ascii="黑体" w:eastAsia="黑体"/>
      <w:b/>
      <w:bCs/>
      <w:sz w:val="28"/>
    </w:rPr>
  </w:style>
  <w:style w:type="paragraph" w:customStyle="1" w:styleId="73">
    <w:name w:val="（二）级标题"/>
    <w:basedOn w:val="15"/>
    <w:qFormat/>
    <w:uiPriority w:val="2"/>
    <w:pPr>
      <w:numPr>
        <w:ilvl w:val="0"/>
        <w:numId w:val="3"/>
      </w:numPr>
      <w:spacing w:line="360" w:lineRule="auto"/>
      <w:outlineLvl w:val="2"/>
    </w:pPr>
    <w:rPr>
      <w:b/>
    </w:rPr>
  </w:style>
  <w:style w:type="paragraph" w:customStyle="1" w:styleId="74">
    <w:name w:val="3级标题"/>
    <w:basedOn w:val="15"/>
    <w:link w:val="102"/>
    <w:qFormat/>
    <w:uiPriority w:val="3"/>
    <w:pPr>
      <w:numPr>
        <w:ilvl w:val="0"/>
        <w:numId w:val="4"/>
      </w:numPr>
      <w:spacing w:line="360" w:lineRule="auto"/>
      <w:outlineLvl w:val="3"/>
    </w:pPr>
    <w:rPr>
      <w:b/>
    </w:rPr>
  </w:style>
  <w:style w:type="paragraph" w:customStyle="1" w:styleId="75">
    <w:name w:val="（4）级标题"/>
    <w:basedOn w:val="15"/>
    <w:qFormat/>
    <w:uiPriority w:val="8"/>
    <w:pPr>
      <w:numPr>
        <w:ilvl w:val="0"/>
        <w:numId w:val="5"/>
      </w:numPr>
      <w:spacing w:line="360" w:lineRule="auto"/>
      <w:outlineLvl w:val="4"/>
    </w:pPr>
  </w:style>
  <w:style w:type="paragraph" w:customStyle="1" w:styleId="76">
    <w:name w:val="标书正文"/>
    <w:basedOn w:val="15"/>
    <w:link w:val="97"/>
    <w:qFormat/>
    <w:uiPriority w:val="9"/>
    <w:pPr>
      <w:spacing w:line="360" w:lineRule="auto"/>
      <w:jc w:val="left"/>
    </w:pPr>
  </w:style>
  <w:style w:type="character" w:customStyle="1" w:styleId="77">
    <w:name w:val="标题 4 字符"/>
    <w:basedOn w:val="30"/>
    <w:link w:val="5"/>
    <w:semiHidden/>
    <w:qFormat/>
    <w:uiPriority w:val="0"/>
    <w:rPr>
      <w:rFonts w:ascii="Arial" w:hAnsi="Arial"/>
      <w:b/>
      <w:bCs/>
      <w:kern w:val="2"/>
      <w:sz w:val="21"/>
      <w:szCs w:val="28"/>
    </w:rPr>
  </w:style>
  <w:style w:type="character" w:customStyle="1" w:styleId="78">
    <w:name w:val="标题 5 字符"/>
    <w:basedOn w:val="30"/>
    <w:link w:val="6"/>
    <w:semiHidden/>
    <w:qFormat/>
    <w:uiPriority w:val="0"/>
    <w:rPr>
      <w:rFonts w:ascii="宋体" w:hAnsi="宋体"/>
      <w:bCs/>
      <w:iCs/>
      <w:color w:val="000000"/>
      <w:sz w:val="28"/>
      <w:szCs w:val="28"/>
    </w:rPr>
  </w:style>
  <w:style w:type="paragraph" w:customStyle="1" w:styleId="79">
    <w:name w:val="3"/>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80">
    <w:name w:val="case31"/>
    <w:qFormat/>
    <w:uiPriority w:val="0"/>
    <w:rPr>
      <w:rFonts w:hint="default" w:ascii="ˎ̥" w:hAnsi="ˎ̥"/>
      <w:sz w:val="21"/>
      <w:szCs w:val="21"/>
    </w:rPr>
  </w:style>
  <w:style w:type="character" w:customStyle="1" w:styleId="81">
    <w:name w:val="标题 2 Char"/>
    <w:qFormat/>
    <w:uiPriority w:val="0"/>
    <w:rPr>
      <w:rFonts w:ascii="宋体" w:hAnsi="宋体"/>
      <w:bCs/>
      <w:sz w:val="24"/>
      <w:szCs w:val="32"/>
    </w:rPr>
  </w:style>
  <w:style w:type="character" w:customStyle="1" w:styleId="82">
    <w:name w:val="标题 Char"/>
    <w:qFormat/>
    <w:uiPriority w:val="0"/>
    <w:rPr>
      <w:rFonts w:ascii="宋体" w:hAnsi="宋体" w:cs="Times New Roman"/>
      <w:b/>
      <w:bCs/>
      <w:sz w:val="24"/>
      <w:szCs w:val="32"/>
    </w:rPr>
  </w:style>
  <w:style w:type="character" w:customStyle="1" w:styleId="83">
    <w:name w:val="正文文本缩进 3 字符"/>
    <w:basedOn w:val="30"/>
    <w:link w:val="24"/>
    <w:semiHidden/>
    <w:qFormat/>
    <w:uiPriority w:val="0"/>
    <w:rPr>
      <w:rFonts w:ascii="宋体" w:hAnsi="宋体"/>
      <w:color w:val="FF0000"/>
      <w:kern w:val="2"/>
      <w:sz w:val="24"/>
      <w:szCs w:val="24"/>
    </w:rPr>
  </w:style>
  <w:style w:type="paragraph" w:customStyle="1" w:styleId="84">
    <w:name w:val="_Style 4"/>
    <w:basedOn w:val="2"/>
    <w:next w:val="1"/>
    <w:semiHidden/>
    <w:qFormat/>
    <w:uiPriority w:val="39"/>
    <w:pPr>
      <w:keepLines w:val="0"/>
      <w:widowControl/>
      <w:tabs>
        <w:tab w:val="left" w:pos="2400"/>
      </w:tabs>
      <w:spacing w:before="480" w:after="0" w:line="276" w:lineRule="auto"/>
      <w:ind w:left="2400" w:right="206" w:rightChars="98" w:hanging="720"/>
      <w:jc w:val="left"/>
      <w:outlineLvl w:val="9"/>
    </w:pPr>
    <w:rPr>
      <w:rFonts w:ascii="Cambria" w:hAnsi="Cambria"/>
      <w:color w:val="365F91"/>
      <w:kern w:val="0"/>
      <w:sz w:val="28"/>
      <w:szCs w:val="28"/>
    </w:rPr>
  </w:style>
  <w:style w:type="paragraph" w:customStyle="1" w:styleId="85">
    <w:name w:val="Char Char Char Char Char Char Char"/>
    <w:basedOn w:val="1"/>
    <w:qFormat/>
    <w:uiPriority w:val="0"/>
    <w:pPr>
      <w:widowControl/>
      <w:snapToGrid w:val="0"/>
      <w:spacing w:after="160" w:line="360" w:lineRule="auto"/>
      <w:jc w:val="left"/>
    </w:pPr>
    <w:rPr>
      <w:kern w:val="0"/>
      <w:sz w:val="24"/>
      <w:szCs w:val="24"/>
      <w:lang w:eastAsia="en-US"/>
    </w:rPr>
  </w:style>
  <w:style w:type="character" w:customStyle="1" w:styleId="86">
    <w:name w:val="正文文本缩进 2 字符"/>
    <w:basedOn w:val="30"/>
    <w:link w:val="17"/>
    <w:semiHidden/>
    <w:qFormat/>
    <w:uiPriority w:val="0"/>
    <w:rPr>
      <w:sz w:val="24"/>
    </w:rPr>
  </w:style>
  <w:style w:type="character" w:customStyle="1" w:styleId="87">
    <w:name w:val="日期 字符"/>
    <w:basedOn w:val="30"/>
    <w:link w:val="16"/>
    <w:semiHidden/>
    <w:qFormat/>
    <w:uiPriority w:val="0"/>
    <w:rPr>
      <w:sz w:val="24"/>
    </w:rPr>
  </w:style>
  <w:style w:type="paragraph" w:customStyle="1" w:styleId="88">
    <w:name w:val="Char1 Char Char Char Char Char Char"/>
    <w:basedOn w:val="1"/>
    <w:qFormat/>
    <w:uiPriority w:val="0"/>
    <w:rPr>
      <w:rFonts w:ascii="Tahoma" w:hAnsi="Tahoma"/>
      <w:sz w:val="24"/>
    </w:rPr>
  </w:style>
  <w:style w:type="paragraph" w:customStyle="1" w:styleId="89">
    <w:name w:val="样式1"/>
    <w:basedOn w:val="1"/>
    <w:qFormat/>
    <w:uiPriority w:val="0"/>
    <w:pPr>
      <w:adjustRightInd w:val="0"/>
      <w:spacing w:line="420" w:lineRule="auto"/>
      <w:jc w:val="center"/>
      <w:textAlignment w:val="baseline"/>
    </w:pPr>
    <w:rPr>
      <w:rFonts w:ascii="宋体"/>
      <w:kern w:val="0"/>
      <w:sz w:val="24"/>
    </w:rPr>
  </w:style>
  <w:style w:type="paragraph" w:customStyle="1" w:styleId="90">
    <w:name w:val="case3"/>
    <w:basedOn w:val="1"/>
    <w:qFormat/>
    <w:uiPriority w:val="0"/>
    <w:pPr>
      <w:widowControl/>
      <w:spacing w:before="100" w:beforeAutospacing="1" w:after="100" w:afterAutospacing="1" w:line="390" w:lineRule="atLeast"/>
      <w:jc w:val="left"/>
    </w:pPr>
    <w:rPr>
      <w:rFonts w:ascii="ˎ̥" w:hAnsi="ˎ̥" w:cs="宋体"/>
      <w:color w:val="000000"/>
      <w:kern w:val="0"/>
      <w:szCs w:val="21"/>
    </w:rPr>
  </w:style>
  <w:style w:type="paragraph" w:customStyle="1" w:styleId="91">
    <w:name w:val="general normal"/>
    <w:basedOn w:val="1"/>
    <w:qFormat/>
    <w:uiPriority w:val="0"/>
    <w:pPr>
      <w:widowControl/>
      <w:numPr>
        <w:ilvl w:val="0"/>
        <w:numId w:val="6"/>
      </w:numPr>
      <w:spacing w:before="120" w:after="120" w:line="360" w:lineRule="auto"/>
    </w:pPr>
    <w:rPr>
      <w:rFonts w:ascii="Arial" w:hAnsi="Arial"/>
      <w:kern w:val="0"/>
      <w:sz w:val="24"/>
      <w:szCs w:val="24"/>
    </w:rPr>
  </w:style>
  <w:style w:type="character" w:customStyle="1" w:styleId="92">
    <w:name w:val="文档结构图 字符"/>
    <w:basedOn w:val="30"/>
    <w:semiHidden/>
    <w:qFormat/>
    <w:uiPriority w:val="98"/>
    <w:rPr>
      <w:rFonts w:ascii="Microsoft YaHei UI" w:eastAsia="Microsoft YaHei UI"/>
      <w:kern w:val="2"/>
      <w:sz w:val="18"/>
      <w:szCs w:val="18"/>
    </w:rPr>
  </w:style>
  <w:style w:type="character" w:customStyle="1" w:styleId="93">
    <w:name w:val="文档结构图 字符1"/>
    <w:basedOn w:val="30"/>
    <w:link w:val="11"/>
    <w:semiHidden/>
    <w:qFormat/>
    <w:uiPriority w:val="0"/>
    <w:rPr>
      <w:rFonts w:ascii="宋体"/>
      <w:sz w:val="18"/>
      <w:szCs w:val="18"/>
    </w:rPr>
  </w:style>
  <w:style w:type="paragraph" w:customStyle="1" w:styleId="94">
    <w:name w:val="表格"/>
    <w:basedOn w:val="1"/>
    <w:link w:val="95"/>
    <w:qFormat/>
    <w:uiPriority w:val="10"/>
    <w:rPr>
      <w:rFonts w:ascii="宋体" w:hAnsi="宋体"/>
      <w:szCs w:val="30"/>
    </w:rPr>
  </w:style>
  <w:style w:type="character" w:customStyle="1" w:styleId="95">
    <w:name w:val="表格 字符"/>
    <w:basedOn w:val="30"/>
    <w:link w:val="94"/>
    <w:qFormat/>
    <w:uiPriority w:val="10"/>
    <w:rPr>
      <w:rFonts w:ascii="宋体" w:hAnsi="宋体"/>
      <w:kern w:val="2"/>
      <w:sz w:val="21"/>
      <w:szCs w:val="30"/>
    </w:rPr>
  </w:style>
  <w:style w:type="paragraph" w:customStyle="1" w:styleId="96">
    <w:name w:val="5）级标题"/>
    <w:basedOn w:val="76"/>
    <w:link w:val="98"/>
    <w:qFormat/>
    <w:uiPriority w:val="11"/>
    <w:pPr>
      <w:numPr>
        <w:ilvl w:val="0"/>
        <w:numId w:val="7"/>
      </w:numPr>
      <w:ind w:firstLine="0"/>
    </w:pPr>
  </w:style>
  <w:style w:type="character" w:customStyle="1" w:styleId="97">
    <w:name w:val="标书正文 字符"/>
    <w:basedOn w:val="50"/>
    <w:link w:val="76"/>
    <w:qFormat/>
    <w:uiPriority w:val="9"/>
    <w:rPr>
      <w:rFonts w:ascii="宋体" w:hAnsi="Courier New"/>
      <w:kern w:val="2"/>
      <w:sz w:val="21"/>
    </w:rPr>
  </w:style>
  <w:style w:type="character" w:customStyle="1" w:styleId="98">
    <w:name w:val="5）级标题 字符"/>
    <w:basedOn w:val="97"/>
    <w:link w:val="96"/>
    <w:qFormat/>
    <w:uiPriority w:val="11"/>
    <w:rPr>
      <w:rFonts w:ascii="宋体" w:hAnsi="Courier New"/>
      <w:kern w:val="2"/>
      <w:sz w:val="21"/>
    </w:rPr>
  </w:style>
  <w:style w:type="paragraph" w:customStyle="1" w:styleId="99">
    <w:name w:val="样式 标题 4 + 段前: 5 磅 段后: 5 磅 行距: 单倍行距"/>
    <w:next w:val="25"/>
    <w:qFormat/>
    <w:uiPriority w:val="0"/>
    <w:pPr>
      <w:keepNext/>
      <w:keepLines/>
      <w:widowControl w:val="0"/>
      <w:tabs>
        <w:tab w:val="left" w:pos="780"/>
        <w:tab w:val="left" w:pos="1680"/>
      </w:tabs>
      <w:adjustRightInd w:val="0"/>
      <w:spacing w:before="100" w:after="100" w:line="372" w:lineRule="auto"/>
      <w:ind w:left="400" w:leftChars="200" w:hanging="200" w:hangingChars="200"/>
      <w:outlineLvl w:val="3"/>
    </w:pPr>
    <w:rPr>
      <w:rFonts w:ascii="Arial" w:hAnsi="Arial" w:eastAsia="黑体" w:cs="Times New Roman"/>
      <w:b/>
      <w:sz w:val="28"/>
      <w:lang w:val="en-US" w:eastAsia="zh-CN" w:bidi="ar-SA"/>
    </w:rPr>
  </w:style>
  <w:style w:type="character" w:customStyle="1" w:styleId="100">
    <w:name w:val="Subtle Emphasis"/>
    <w:basedOn w:val="30"/>
    <w:qFormat/>
    <w:uiPriority w:val="19"/>
    <w:rPr>
      <w:rFonts w:eastAsia="宋体"/>
      <w:i/>
      <w:iCs/>
      <w:color w:val="auto"/>
      <w:sz w:val="21"/>
    </w:rPr>
  </w:style>
  <w:style w:type="paragraph" w:customStyle="1" w:styleId="101">
    <w:name w:val="⑥级标题"/>
    <w:basedOn w:val="74"/>
    <w:link w:val="103"/>
    <w:qFormat/>
    <w:uiPriority w:val="12"/>
    <w:pPr>
      <w:numPr>
        <w:numId w:val="8"/>
      </w:numPr>
    </w:pPr>
  </w:style>
  <w:style w:type="character" w:customStyle="1" w:styleId="102">
    <w:name w:val="3级标题 字符"/>
    <w:basedOn w:val="50"/>
    <w:link w:val="74"/>
    <w:qFormat/>
    <w:uiPriority w:val="3"/>
    <w:rPr>
      <w:rFonts w:ascii="宋体" w:hAnsi="Courier New"/>
      <w:b/>
      <w:kern w:val="2"/>
      <w:sz w:val="21"/>
    </w:rPr>
  </w:style>
  <w:style w:type="character" w:customStyle="1" w:styleId="103">
    <w:name w:val="⑥级标题 字符"/>
    <w:basedOn w:val="102"/>
    <w:link w:val="101"/>
    <w:qFormat/>
    <w:uiPriority w:val="12"/>
    <w:rPr>
      <w:rFonts w:ascii="宋体" w:hAnsi="Courier New"/>
      <w:kern w:val="2"/>
      <w:sz w:val="21"/>
    </w:rPr>
  </w:style>
  <w:style w:type="character" w:customStyle="1" w:styleId="104">
    <w:name w:val="电子邮件签名 字符"/>
    <w:link w:val="9"/>
    <w:semiHidden/>
    <w:qFormat/>
    <w:locked/>
    <w:uiPriority w:val="99"/>
    <w:rPr>
      <w:sz w:val="21"/>
      <w:szCs w:val="21"/>
    </w:rPr>
  </w:style>
  <w:style w:type="character" w:customStyle="1" w:styleId="105">
    <w:name w:val="电子邮件签名 字符1"/>
    <w:basedOn w:val="30"/>
    <w:semiHidden/>
    <w:qFormat/>
    <w:uiPriority w:val="98"/>
    <w:rPr>
      <w:rFonts w:ascii="Times New Roman" w:hAnsi="Times New Roman"/>
      <w:kern w:val="2"/>
      <w:sz w:val="21"/>
    </w:rPr>
  </w:style>
  <w:style w:type="character" w:customStyle="1" w:styleId="106">
    <w:name w:val="HR正文 Char"/>
    <w:link w:val="107"/>
    <w:qFormat/>
    <w:uiPriority w:val="0"/>
    <w:rPr>
      <w:kern w:val="2"/>
      <w:sz w:val="24"/>
      <w:szCs w:val="24"/>
    </w:rPr>
  </w:style>
  <w:style w:type="paragraph" w:customStyle="1" w:styleId="107">
    <w:name w:val="HR正文"/>
    <w:basedOn w:val="1"/>
    <w:link w:val="106"/>
    <w:qFormat/>
    <w:uiPriority w:val="0"/>
    <w:pPr>
      <w:spacing w:line="300" w:lineRule="auto"/>
      <w:ind w:firstLine="200" w:firstLineChars="200"/>
    </w:pPr>
    <w:rPr>
      <w:rFonts w:ascii="Calibri" w:hAnsi="Calibri"/>
      <w:sz w:val="24"/>
      <w:szCs w:val="24"/>
    </w:rPr>
  </w:style>
  <w:style w:type="character" w:customStyle="1" w:styleId="108">
    <w:name w:val="信息标题 字符"/>
    <w:link w:val="27"/>
    <w:semiHidden/>
    <w:qFormat/>
    <w:locked/>
    <w:uiPriority w:val="99"/>
    <w:rPr>
      <w:rFonts w:ascii="Cambria" w:hAnsi="Cambria" w:cs="Cambria"/>
      <w:sz w:val="24"/>
      <w:szCs w:val="24"/>
      <w:shd w:val="pct20" w:color="auto" w:fill="auto"/>
    </w:rPr>
  </w:style>
  <w:style w:type="character" w:customStyle="1" w:styleId="109">
    <w:name w:val="信息标题 字符1"/>
    <w:basedOn w:val="30"/>
    <w:semiHidden/>
    <w:qFormat/>
    <w:uiPriority w:val="98"/>
    <w:rPr>
      <w:rFonts w:asciiTheme="majorHAnsi" w:hAnsiTheme="majorHAnsi" w:eastAsiaTheme="majorEastAsia" w:cstheme="majorBidi"/>
      <w:kern w:val="2"/>
      <w:sz w:val="24"/>
      <w:szCs w:val="24"/>
      <w:shd w:val="pct20" w:color="auto" w:fill="auto"/>
    </w:rPr>
  </w:style>
  <w:style w:type="character" w:customStyle="1" w:styleId="110">
    <w:name w:val="页眉 Char1"/>
    <w:semiHidden/>
    <w:qFormat/>
    <w:locked/>
    <w:uiPriority w:val="0"/>
    <w:rPr>
      <w:rFonts w:ascii="Calibri" w:hAnsi="Calibri"/>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14</Pages>
  <Words>6604</Words>
  <Characters>6933</Characters>
  <Lines>127</Lines>
  <Paragraphs>35</Paragraphs>
  <TotalTime>0</TotalTime>
  <ScaleCrop>false</ScaleCrop>
  <LinksUpToDate>false</LinksUpToDate>
  <CharactersWithSpaces>7540</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2020-06-30T08:26:00Z</dcterms:created>
  <dc:creator>微软用户</dc:creator>
  <cp:lastModifiedBy>iPhone</cp:lastModifiedBy>
  <cp:lastPrinted>2020-06-28T10:28:00Z</cp:lastPrinted>
  <dcterms:modified xsi:type="dcterms:W3CDTF">2026-11-06T14:30:52Z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2052-26.10.2</vt:lpwstr>
  </property>
  <property fmtid="{D5CDD505-2E9C-101B-9397-08002B2CF9AE}" pid="3" name="ICV">
    <vt:lpwstr>1F249B5BACC54EE08089F2B64AB0F548_13</vt:lpwstr>
  </property>
  <property fmtid="{D5CDD505-2E9C-101B-9397-08002B2CF9AE}" pid="4" name="KSOTemplateDocerSaveRecord">
    <vt:lpwstr>eyJoZGlkIjoiYzY2YWQyNmNlNGY0MzJmYWI2NjNlMjJhNmU0MGQ0MmMiLCJ1c2VySWQiOiIxOTUwNzM1NzkifQ==</vt:lpwstr>
  </property>
</Properties>
</file>