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szCs w:val="30"/>
        </w:rPr>
      </w:pPr>
    </w:p>
    <w:p>
      <w:pPr>
        <w:jc w:val="center"/>
        <w:rPr>
          <w:rFonts w:hint="eastAsia" w:ascii="宋体" w:hAnsi="宋体"/>
          <w:sz w:val="44"/>
          <w:szCs w:val="48"/>
          <w:lang w:val="en-US" w:eastAsia="zh-CN"/>
        </w:rPr>
      </w:pPr>
      <w:r>
        <w:rPr>
          <w:rFonts w:hint="eastAsia" w:ascii="宋体" w:hAnsi="宋体"/>
          <w:sz w:val="44"/>
          <w:szCs w:val="48"/>
          <w:lang w:val="en-US" w:eastAsia="zh-CN"/>
        </w:rPr>
        <w:t>济宁商用车公司全自动双悬臂测量机搬迁项目</w:t>
      </w:r>
    </w:p>
    <w:p>
      <w:pPr>
        <w:ind w:right="280"/>
        <w:jc w:val="right"/>
        <w:rPr>
          <w:sz w:val="28"/>
          <w:szCs w:val="28"/>
        </w:rPr>
      </w:pPr>
    </w:p>
    <w:p>
      <w:pPr>
        <w:jc w:val="right"/>
        <w:rPr>
          <w:sz w:val="28"/>
          <w:szCs w:val="28"/>
        </w:rPr>
      </w:pPr>
    </w:p>
    <w:p>
      <w:pPr>
        <w:jc w:val="center"/>
        <w:rPr>
          <w:rFonts w:ascii="黑体" w:hAnsi="宋体" w:eastAsia="黑体"/>
          <w:sz w:val="56"/>
          <w:szCs w:val="84"/>
        </w:rPr>
      </w:pPr>
      <w:r>
        <w:rPr>
          <w:rFonts w:hint="eastAsia" w:ascii="黑体" w:hAnsi="宋体" w:eastAsia="黑体"/>
          <w:sz w:val="56"/>
          <w:szCs w:val="84"/>
        </w:rPr>
        <w:t>招</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标</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书</w:t>
      </w:r>
    </w:p>
    <w:p>
      <w:pPr>
        <w:rPr>
          <w:rFonts w:ascii="黑体" w:hAnsi="宋体" w:eastAsia="黑体"/>
          <w:sz w:val="56"/>
          <w:szCs w:val="84"/>
        </w:rPr>
      </w:pPr>
    </w:p>
    <w:p>
      <w:pPr>
        <w:ind w:right="2240" w:firstLine="1280" w:firstLineChars="400"/>
        <w:jc w:val="left"/>
        <w:rPr>
          <w:rFonts w:ascii="华文仿宋" w:hAnsi="华文仿宋" w:eastAsia="华文仿宋"/>
          <w:sz w:val="32"/>
          <w:szCs w:val="28"/>
        </w:rPr>
      </w:pPr>
    </w:p>
    <w:p>
      <w:pPr>
        <w:ind w:right="2240" w:firstLine="1280" w:firstLineChars="400"/>
        <w:jc w:val="left"/>
        <w:rPr>
          <w:rFonts w:ascii="华文仿宋" w:hAnsi="华文仿宋" w:eastAsia="华文仿宋"/>
          <w:sz w:val="32"/>
          <w:szCs w:val="28"/>
        </w:rPr>
      </w:pPr>
    </w:p>
    <w:p>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pPr>
        <w:jc w:val="left"/>
        <w:rPr>
          <w:rFonts w:ascii="华文仿宋" w:hAnsi="华文仿宋" w:eastAsia="华文仿宋"/>
          <w:sz w:val="32"/>
          <w:szCs w:val="28"/>
        </w:rPr>
      </w:pPr>
    </w:p>
    <w:p>
      <w:pPr>
        <w:jc w:val="center"/>
        <w:rPr>
          <w:rFonts w:ascii="宋体" w:hAnsi="宋体"/>
          <w:sz w:val="28"/>
          <w:szCs w:val="28"/>
        </w:rPr>
      </w:pPr>
      <w:r>
        <w:rPr>
          <w:rFonts w:hint="eastAsia" w:ascii="宋体" w:hAnsi="宋体"/>
          <w:sz w:val="28"/>
          <w:szCs w:val="28"/>
        </w:rPr>
        <w:t>招 标 人：中国重型汽车集团</w:t>
      </w:r>
      <w:r>
        <w:rPr>
          <w:rFonts w:hint="eastAsia" w:ascii="宋体" w:hAnsi="宋体"/>
          <w:sz w:val="28"/>
          <w:szCs w:val="28"/>
          <w:lang w:val="en-US" w:eastAsia="zh-CN"/>
        </w:rPr>
        <w:t>济宁商用车公司</w:t>
      </w:r>
    </w:p>
    <w:p>
      <w:pPr>
        <w:jc w:val="center"/>
        <w:rPr>
          <w:rFonts w:ascii="宋体" w:hAnsi="宋体"/>
          <w:sz w:val="28"/>
          <w:szCs w:val="28"/>
          <w:u w:val="single"/>
        </w:rPr>
      </w:pPr>
      <w:r>
        <w:rPr>
          <w:rFonts w:hint="eastAsia" w:ascii="宋体" w:hAnsi="宋体"/>
          <w:sz w:val="28"/>
          <w:szCs w:val="28"/>
          <w:u w:val="single"/>
        </w:rPr>
        <w:t>202</w:t>
      </w:r>
      <w:r>
        <w:rPr>
          <w:rFonts w:hint="eastAsia" w:ascii="宋体" w:hAnsi="宋体"/>
          <w:sz w:val="28"/>
          <w:szCs w:val="28"/>
          <w:u w:val="single"/>
          <w:lang w:val="en-US" w:eastAsia="zh-CN"/>
        </w:rPr>
        <w:t>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pPr>
        <w:spacing w:line="480" w:lineRule="auto"/>
        <w:jc w:val="center"/>
        <w:rPr>
          <w:rFonts w:ascii="宋体" w:hAnsi="宋体"/>
          <w:b/>
          <w:bCs/>
          <w:sz w:val="48"/>
          <w:szCs w:val="48"/>
        </w:rPr>
      </w:pPr>
    </w:p>
    <w:p>
      <w:pPr>
        <w:spacing w:line="480" w:lineRule="auto"/>
        <w:jc w:val="center"/>
        <w:rPr>
          <w:rFonts w:ascii="宋体" w:hAnsi="宋体"/>
          <w:b/>
          <w:bCs/>
          <w:sz w:val="48"/>
          <w:szCs w:val="48"/>
        </w:rPr>
      </w:pPr>
    </w:p>
    <w:p>
      <w:pPr>
        <w:spacing w:line="480" w:lineRule="auto"/>
        <w:jc w:val="center"/>
        <w:rPr>
          <w:rFonts w:ascii="宋体" w:hAnsi="宋体"/>
          <w:b/>
          <w:bCs/>
          <w:sz w:val="48"/>
          <w:szCs w:val="48"/>
        </w:rPr>
      </w:pPr>
      <w:r>
        <w:rPr>
          <w:rFonts w:ascii="宋体" w:hAnsi="宋体"/>
          <w:b/>
          <w:bCs/>
          <w:sz w:val="48"/>
          <w:szCs w:val="48"/>
        </w:rPr>
        <w:t>目   录</w:t>
      </w:r>
    </w:p>
    <w:p>
      <w:pPr>
        <w:tabs>
          <w:tab w:val="left" w:pos="3240"/>
        </w:tabs>
        <w:spacing w:line="480" w:lineRule="auto"/>
        <w:rPr>
          <w:rFonts w:ascii="宋体" w:hAnsi="宋体"/>
          <w:b/>
          <w:bCs/>
          <w:sz w:val="24"/>
        </w:rPr>
      </w:pPr>
      <w:r>
        <w:rPr>
          <w:rFonts w:ascii="宋体" w:hAnsi="宋体"/>
          <w:b/>
          <w:bCs/>
          <w:sz w:val="24"/>
        </w:rPr>
        <w:tab/>
      </w:r>
    </w:p>
    <w:p>
      <w:pPr>
        <w:tabs>
          <w:tab w:val="left" w:pos="3240"/>
        </w:tabs>
        <w:spacing w:line="480" w:lineRule="auto"/>
        <w:rPr>
          <w:rFonts w:ascii="宋体" w:hAnsi="宋体"/>
          <w:b/>
          <w:bCs/>
          <w:sz w:val="24"/>
        </w:rPr>
      </w:pPr>
    </w:p>
    <w:p>
      <w:pPr>
        <w:tabs>
          <w:tab w:val="left" w:pos="3240"/>
        </w:tabs>
        <w:spacing w:line="480" w:lineRule="auto"/>
        <w:rPr>
          <w:rFonts w:ascii="宋体" w:hAnsi="宋体"/>
          <w:b/>
          <w:bCs/>
          <w:sz w:val="24"/>
        </w:rPr>
      </w:pPr>
    </w:p>
    <w:p>
      <w:pPr>
        <w:pStyle w:val="7"/>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2"/>
          <w:rFonts w:hint="eastAsia"/>
        </w:rPr>
        <w:t>第一章</w:t>
      </w:r>
      <w:r>
        <w:rPr>
          <w:rStyle w:val="12"/>
        </w:rPr>
        <w:t xml:space="preserve">  </w:t>
      </w:r>
      <w:r>
        <w:rPr>
          <w:rStyle w:val="12"/>
          <w:rFonts w:hint="eastAsia"/>
        </w:rPr>
        <w:t>招标公告</w:t>
      </w:r>
      <w:r>
        <w:tab/>
      </w:r>
      <w:r>
        <w:fldChar w:fldCharType="end"/>
      </w:r>
      <w:r>
        <w:rPr>
          <w:rFonts w:hint="eastAsia"/>
        </w:rPr>
        <w:t>2（页码）</w:t>
      </w:r>
    </w:p>
    <w:p>
      <w:pPr>
        <w:pStyle w:val="7"/>
      </w:pPr>
    </w:p>
    <w:p>
      <w:pPr>
        <w:pStyle w:val="7"/>
      </w:pPr>
      <w:r>
        <w:fldChar w:fldCharType="begin"/>
      </w:r>
      <w:r>
        <w:instrText xml:space="preserve"> HYPERLINK \l "_Toc357155295" </w:instrText>
      </w:r>
      <w:r>
        <w:fldChar w:fldCharType="separate"/>
      </w:r>
      <w:r>
        <w:rPr>
          <w:rStyle w:val="12"/>
          <w:rFonts w:hint="eastAsia"/>
        </w:rPr>
        <w:t>第二章</w:t>
      </w:r>
      <w:r>
        <w:rPr>
          <w:rStyle w:val="12"/>
        </w:rPr>
        <w:t xml:space="preserve">  </w:t>
      </w:r>
      <w:r>
        <w:rPr>
          <w:rStyle w:val="12"/>
          <w:rFonts w:hint="eastAsia"/>
        </w:rPr>
        <w:t>投标文件编制</w:t>
      </w:r>
      <w:r>
        <w:tab/>
      </w:r>
      <w:r>
        <w:fldChar w:fldCharType="end"/>
      </w:r>
      <w:r>
        <w:rPr>
          <w:rFonts w:hint="eastAsia"/>
        </w:rPr>
        <w:t>10（页码）</w:t>
      </w:r>
    </w:p>
    <w:p>
      <w:pPr>
        <w:pStyle w:val="7"/>
      </w:pPr>
    </w:p>
    <w:p>
      <w:pPr>
        <w:pStyle w:val="7"/>
      </w:pPr>
      <w:r>
        <w:fldChar w:fldCharType="begin"/>
      </w:r>
      <w:r>
        <w:instrText xml:space="preserve"> HYPERLINK \l "_Toc357155295" </w:instrText>
      </w:r>
      <w:r>
        <w:fldChar w:fldCharType="separate"/>
      </w:r>
      <w:r>
        <w:rPr>
          <w:rStyle w:val="12"/>
          <w:rFonts w:hint="eastAsia"/>
        </w:rPr>
        <w:t>第三章</w:t>
      </w:r>
      <w:r>
        <w:rPr>
          <w:rStyle w:val="12"/>
        </w:rPr>
        <w:t xml:space="preserve">  技术协议书</w:t>
      </w:r>
      <w:r>
        <w:tab/>
      </w:r>
      <w:r>
        <w:fldChar w:fldCharType="end"/>
      </w:r>
      <w:r>
        <w:rPr>
          <w:rFonts w:hint="eastAsia"/>
        </w:rPr>
        <w:t>19（页码）</w:t>
      </w:r>
    </w:p>
    <w:p>
      <w:pPr>
        <w:pStyle w:val="7"/>
      </w:pPr>
    </w:p>
    <w:p>
      <w:pPr>
        <w:pStyle w:val="7"/>
      </w:pPr>
      <w:r>
        <w:fldChar w:fldCharType="begin"/>
      </w:r>
      <w:r>
        <w:instrText xml:space="preserve"> HYPERLINK \l "_Toc357155296" </w:instrText>
      </w:r>
      <w:r>
        <w:fldChar w:fldCharType="separate"/>
      </w:r>
      <w:r>
        <w:rPr>
          <w:rFonts w:hint="eastAsia"/>
        </w:rPr>
        <w:t>第四章</w:t>
      </w:r>
      <w:r>
        <w:t xml:space="preserve">  </w:t>
      </w:r>
      <w:r>
        <w:rPr>
          <w:rFonts w:hint="eastAsia"/>
        </w:rPr>
        <w:t>维修合同</w:t>
      </w:r>
      <w:r>
        <w:tab/>
      </w:r>
      <w:r>
        <w:fldChar w:fldCharType="end"/>
      </w:r>
      <w:r>
        <w:rPr>
          <w:rFonts w:hint="eastAsia"/>
        </w:rPr>
        <w:t>21（页码）</w:t>
      </w:r>
    </w:p>
    <w:p>
      <w:pPr>
        <w:pStyle w:val="4"/>
        <w:spacing w:line="360" w:lineRule="auto"/>
        <w:jc w:val="center"/>
      </w:pPr>
      <w:r>
        <w:fldChar w:fldCharType="end"/>
      </w: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pPr>
    </w:p>
    <w:p>
      <w:pPr>
        <w:pStyle w:val="4"/>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4"/>
        <w:spacing w:line="360" w:lineRule="auto"/>
        <w:rPr>
          <w:rFonts w:ascii="黑体" w:eastAsia="黑体"/>
          <w:b/>
          <w:bCs/>
          <w:sz w:val="28"/>
        </w:rPr>
      </w:pPr>
      <w:r>
        <w:rPr>
          <w:rFonts w:hint="eastAsia" w:ascii="黑体" w:eastAsia="黑体"/>
          <w:b/>
          <w:bCs/>
          <w:sz w:val="28"/>
        </w:rPr>
        <w:t>一、项目名称</w:t>
      </w:r>
    </w:p>
    <w:p>
      <w:pPr>
        <w:pStyle w:val="4"/>
        <w:spacing w:line="360" w:lineRule="auto"/>
        <w:ind w:left="420"/>
      </w:pPr>
      <w:r>
        <w:rPr>
          <w:rFonts w:hint="eastAsia"/>
        </w:rPr>
        <w:t>项目名称：</w:t>
      </w:r>
      <w:bookmarkStart w:id="0" w:name="OLE_LINK1"/>
      <w:r>
        <w:rPr>
          <w:rFonts w:hint="eastAsia"/>
        </w:rPr>
        <w:t>济宁商用车公司全自动双悬臂测量机搬迁项目。</w:t>
      </w:r>
    </w:p>
    <w:bookmarkEnd w:id="0"/>
    <w:p>
      <w:pPr>
        <w:pStyle w:val="4"/>
        <w:spacing w:line="360" w:lineRule="auto"/>
        <w:rPr>
          <w:rFonts w:ascii="黑体" w:eastAsia="黑体"/>
          <w:b/>
          <w:bCs/>
          <w:sz w:val="28"/>
        </w:rPr>
      </w:pPr>
      <w:r>
        <w:rPr>
          <w:rFonts w:hint="eastAsia" w:ascii="黑体" w:eastAsia="黑体"/>
          <w:b/>
          <w:bCs/>
          <w:sz w:val="28"/>
        </w:rPr>
        <w:t>二、招标内容</w:t>
      </w:r>
    </w:p>
    <w:p>
      <w:pPr>
        <w:pStyle w:val="4"/>
        <w:spacing w:line="360" w:lineRule="auto"/>
        <w:ind w:firstLine="420" w:firstLineChars="200"/>
      </w:pPr>
      <w:r>
        <w:rPr>
          <w:rFonts w:hint="eastAsia"/>
        </w:rPr>
        <w:t>招标内容：</w:t>
      </w:r>
      <w:r>
        <w:rPr>
          <w:rFonts w:hint="eastAsia" w:ascii="宋体" w:hAnsi="宋体"/>
          <w:sz w:val="21"/>
          <w:szCs w:val="21"/>
          <w:lang w:val="en-US" w:eastAsia="zh-CN"/>
        </w:rPr>
        <w:t>全自动双悬臂测量机搬迁项目</w:t>
      </w:r>
      <w:r>
        <w:rPr>
          <w:rFonts w:hint="eastAsia"/>
        </w:rPr>
        <w:t xml:space="preserve">。                                                                                                                                                                                                                                                                                                                                                                                                                                                                                                                                                                                                                                       </w:t>
      </w:r>
    </w:p>
    <w:p>
      <w:pPr>
        <w:pStyle w:val="4"/>
        <w:spacing w:line="360" w:lineRule="auto"/>
        <w:rPr>
          <w:rFonts w:ascii="黑体" w:eastAsia="黑体"/>
          <w:b/>
          <w:bCs/>
          <w:sz w:val="28"/>
        </w:rPr>
      </w:pPr>
      <w:r>
        <w:rPr>
          <w:rFonts w:hint="eastAsia" w:ascii="黑体" w:eastAsia="黑体"/>
          <w:b/>
          <w:bCs/>
          <w:sz w:val="28"/>
        </w:rPr>
        <w:t>三、招标形式</w:t>
      </w:r>
    </w:p>
    <w:p>
      <w:pPr>
        <w:pStyle w:val="4"/>
        <w:spacing w:line="360" w:lineRule="auto"/>
        <w:ind w:firstLine="420" w:firstLineChars="200"/>
      </w:pPr>
      <w:r>
        <w:rPr>
          <w:rFonts w:hint="eastAsia"/>
        </w:rPr>
        <w:t>招标形式：公开招标。</w:t>
      </w:r>
    </w:p>
    <w:p>
      <w:pPr>
        <w:pStyle w:val="4"/>
        <w:spacing w:line="360" w:lineRule="auto"/>
        <w:rPr>
          <w:rFonts w:ascii="黑体" w:eastAsia="黑体"/>
          <w:b/>
          <w:bCs/>
          <w:sz w:val="28"/>
        </w:rPr>
      </w:pPr>
      <w:r>
        <w:rPr>
          <w:rFonts w:hint="eastAsia" w:ascii="黑体" w:eastAsia="黑体"/>
          <w:b/>
          <w:bCs/>
          <w:sz w:val="28"/>
        </w:rPr>
        <w:t>四、议程安排</w:t>
      </w:r>
    </w:p>
    <w:p>
      <w:pPr>
        <w:pStyle w:val="4"/>
        <w:spacing w:line="360" w:lineRule="auto"/>
        <w:ind w:left="840" w:leftChars="200" w:hanging="420" w:hangingChars="200"/>
        <w:rPr>
          <w:rFonts w:hint="default" w:eastAsia="宋体"/>
          <w:lang w:val="en-US" w:eastAsia="zh-CN"/>
        </w:rPr>
      </w:pPr>
      <w:r>
        <w:rPr>
          <w:rFonts w:hint="eastAsia"/>
        </w:rPr>
        <w:t>1.公告时间：</w:t>
      </w:r>
      <w:r>
        <w:rPr>
          <w:rFonts w:hint="eastAsia"/>
          <w:lang w:val="en-US" w:eastAsia="zh-CN"/>
        </w:rPr>
        <w:t>2025年12月21日</w:t>
      </w:r>
    </w:p>
    <w:p>
      <w:pPr>
        <w:pStyle w:val="4"/>
        <w:spacing w:line="360" w:lineRule="auto"/>
        <w:ind w:left="840" w:leftChars="200" w:hanging="420" w:hangingChars="200"/>
        <w:rPr>
          <w:rFonts w:hint="eastAsia" w:eastAsia="宋体"/>
          <w:lang w:eastAsia="zh-CN"/>
        </w:rPr>
      </w:pPr>
      <w:r>
        <w:rPr>
          <w:rFonts w:hint="eastAsia"/>
        </w:rPr>
        <w:t>2.</w:t>
      </w:r>
      <w:r>
        <w:rPr>
          <w:rFonts w:hint="eastAsia"/>
          <w:lang w:val="en-US" w:eastAsia="zh-CN"/>
        </w:rPr>
        <w:t>技术</w:t>
      </w:r>
      <w:r>
        <w:rPr>
          <w:rFonts w:hint="eastAsia"/>
        </w:rPr>
        <w:t>答疑联系人</w:t>
      </w:r>
      <w:r>
        <w:rPr>
          <w:rFonts w:hint="eastAsia"/>
          <w:lang w:eastAsia="zh-CN"/>
        </w:rPr>
        <w:t>：贾广祺</w:t>
      </w:r>
      <w:r>
        <w:rPr>
          <w:rFonts w:hint="eastAsia"/>
          <w:lang w:val="en-US" w:eastAsia="zh-CN"/>
        </w:rPr>
        <w:t xml:space="preserve"> </w:t>
      </w:r>
      <w:r>
        <w:rPr>
          <w:rFonts w:hint="eastAsia"/>
        </w:rPr>
        <w:t>；答疑方式：书面（或电话）答疑；联系电话</w:t>
      </w:r>
      <w:r>
        <w:rPr>
          <w:rFonts w:hint="eastAsia"/>
          <w:lang w:eastAsia="zh-CN"/>
        </w:rPr>
        <w:t>：18564292537</w:t>
      </w:r>
    </w:p>
    <w:p>
      <w:pPr>
        <w:pStyle w:val="4"/>
        <w:spacing w:line="360" w:lineRule="auto"/>
        <w:ind w:left="840" w:leftChars="200" w:hanging="420" w:hangingChars="200"/>
        <w:rPr>
          <w:rFonts w:hint="default" w:eastAsia="宋体"/>
          <w:lang w:val="en-US" w:eastAsia="zh-CN"/>
        </w:rPr>
      </w:pPr>
      <w:r>
        <w:rPr>
          <w:rFonts w:hint="eastAsia"/>
        </w:rPr>
        <w:t>3.开标时间：</w:t>
      </w:r>
      <w:r>
        <w:rPr>
          <w:rFonts w:hint="eastAsia"/>
          <w:lang w:val="en-US" w:eastAsia="zh-CN"/>
        </w:rPr>
        <w:t>12月11日9:00（暂定，以实际通知为准）</w:t>
      </w:r>
    </w:p>
    <w:p>
      <w:pPr>
        <w:pStyle w:val="4"/>
        <w:spacing w:line="360" w:lineRule="auto"/>
        <w:ind w:left="840" w:leftChars="200" w:hanging="420" w:hangingChars="200"/>
        <w:rPr>
          <w:rFonts w:hint="default" w:eastAsia="宋体"/>
          <w:lang w:val="en-US" w:eastAsia="zh-CN"/>
        </w:rPr>
      </w:pPr>
      <w:r>
        <w:rPr>
          <w:rFonts w:hint="eastAsia"/>
        </w:rPr>
        <w:t>4.开标地点：</w:t>
      </w:r>
      <w:r>
        <w:rPr>
          <w:rFonts w:hint="eastAsia"/>
          <w:lang w:val="en-US" w:eastAsia="zh-CN"/>
        </w:rPr>
        <w:t>线上会议室（暂定，以实际通知为准）</w:t>
      </w:r>
    </w:p>
    <w:p>
      <w:pPr>
        <w:pStyle w:val="4"/>
        <w:spacing w:line="360" w:lineRule="auto"/>
        <w:ind w:left="840" w:leftChars="200" w:hanging="420" w:hangingChars="200"/>
        <w:rPr>
          <w:rFonts w:hint="default" w:eastAsia="宋体"/>
          <w:lang w:val="en-US" w:eastAsia="zh-CN"/>
        </w:rPr>
      </w:pPr>
      <w:r>
        <w:rPr>
          <w:rFonts w:hint="eastAsia"/>
        </w:rPr>
        <w:t>5.报名及投标招标</w:t>
      </w:r>
      <w:r>
        <w:rPr>
          <w:rFonts w:hint="eastAsia"/>
          <w:lang w:val="en-US" w:eastAsia="zh-CN"/>
        </w:rPr>
        <w:t>商务</w:t>
      </w:r>
      <w:r>
        <w:rPr>
          <w:rFonts w:hint="eastAsia"/>
        </w:rPr>
        <w:t>事宜联系人：</w:t>
      </w:r>
      <w:r>
        <w:rPr>
          <w:rFonts w:hint="eastAsia"/>
          <w:lang w:val="en-US" w:eastAsia="zh-CN"/>
        </w:rPr>
        <w:t>杨淑超，17860605820</w:t>
      </w:r>
    </w:p>
    <w:p>
      <w:pPr>
        <w:pStyle w:val="4"/>
        <w:spacing w:line="360" w:lineRule="auto"/>
        <w:rPr>
          <w:rFonts w:ascii="黑体" w:eastAsia="黑体"/>
          <w:b/>
          <w:bCs/>
          <w:sz w:val="28"/>
        </w:rPr>
      </w:pPr>
      <w:r>
        <w:rPr>
          <w:rFonts w:hint="eastAsia" w:ascii="黑体" w:eastAsia="黑体"/>
          <w:b/>
          <w:bCs/>
          <w:sz w:val="28"/>
        </w:rPr>
        <w:t>五、报名</w:t>
      </w:r>
      <w:r>
        <w:rPr>
          <w:rFonts w:hint="eastAsia" w:ascii="黑体" w:eastAsia="黑体"/>
          <w:b/>
          <w:bCs/>
          <w:sz w:val="28"/>
          <w:lang w:val="en-US" w:eastAsia="zh-CN"/>
        </w:rPr>
        <w:t>及投标</w:t>
      </w:r>
      <w:r>
        <w:rPr>
          <w:rFonts w:hint="eastAsia" w:ascii="黑体" w:eastAsia="黑体"/>
          <w:b/>
          <w:bCs/>
          <w:sz w:val="28"/>
        </w:rPr>
        <w:t>方式</w:t>
      </w:r>
    </w:p>
    <w:p>
      <w:pPr>
        <w:pStyle w:val="4"/>
        <w:spacing w:line="360" w:lineRule="auto"/>
        <w:ind w:firstLine="405"/>
      </w:pPr>
      <w:r>
        <w:rPr>
          <w:rFonts w:hint="eastAsia"/>
        </w:rPr>
        <w:t>1.</w:t>
      </w:r>
      <w:r>
        <w:rPr>
          <w:rFonts w:hint="eastAsia"/>
          <w:lang w:val="en-US" w:eastAsia="zh-CN"/>
        </w:rPr>
        <w:t>报名截止</w:t>
      </w:r>
      <w:r>
        <w:rPr>
          <w:rFonts w:hint="eastAsia"/>
        </w:rPr>
        <w:t>时间：</w:t>
      </w:r>
      <w:r>
        <w:rPr>
          <w:rFonts w:hint="eastAsia"/>
          <w:lang w:val="en-US" w:eastAsia="zh-CN"/>
        </w:rPr>
        <w:t>2025年12月5日17：00</w:t>
      </w:r>
      <w:r>
        <w:rPr>
          <w:rFonts w:hint="eastAsia"/>
        </w:rPr>
        <w:t>前。</w:t>
      </w:r>
    </w:p>
    <w:p>
      <w:pPr>
        <w:pStyle w:val="4"/>
        <w:spacing w:line="360" w:lineRule="auto"/>
        <w:ind w:left="0" w:leftChars="0" w:firstLine="420" w:firstLineChars="200"/>
        <w:rPr>
          <w:rFonts w:hint="eastAsia"/>
        </w:rPr>
      </w:pPr>
      <w:r>
        <w:rPr>
          <w:rFonts w:hint="eastAsia"/>
          <w:lang w:val="en-US" w:eastAsia="zh-CN"/>
        </w:rPr>
        <w:t>报名</w:t>
      </w:r>
      <w:r>
        <w:rPr>
          <w:rFonts w:hint="eastAsia"/>
        </w:rPr>
        <w:t>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w:t>
      </w:r>
      <w:r>
        <w:rPr>
          <w:rFonts w:hint="eastAsia"/>
          <w:highlight w:val="yellow"/>
          <w:lang w:val="en-US" w:eastAsia="zh-CN"/>
        </w:rPr>
        <w:t>2</w:t>
      </w:r>
      <w:r>
        <w:rPr>
          <w:rFonts w:hint="eastAsia"/>
          <w:highlight w:val="yellow"/>
        </w:rPr>
        <w:t>投标文件格式组成</w:t>
      </w:r>
      <w:r>
        <w:rPr>
          <w:rFonts w:hint="eastAsia"/>
          <w:highlight w:val="yellow"/>
          <w:lang w:val="en-US" w:eastAsia="zh-CN"/>
        </w:rPr>
        <w:t>中的2.1资质文件</w:t>
      </w:r>
      <w:r>
        <w:rPr>
          <w:rFonts w:hint="eastAsia"/>
        </w:rPr>
        <w:t>准备资料并上传(资质标，要求做好目录），资质审查通过即为报名成功；公示期间请尽快报名。</w:t>
      </w:r>
    </w:p>
    <w:p>
      <w:pPr>
        <w:pStyle w:val="4"/>
        <w:spacing w:line="360" w:lineRule="auto"/>
        <w:ind w:left="0" w:leftChars="0" w:firstLine="420" w:firstLineChars="200"/>
        <w:rPr>
          <w:rFonts w:hint="eastAsia"/>
          <w:lang w:val="en-US" w:eastAsia="zh-CN"/>
        </w:rPr>
      </w:pPr>
      <w:r>
        <w:rPr>
          <w:rFonts w:hint="eastAsia"/>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w:t>
      </w:r>
    </w:p>
    <w:p>
      <w:pPr>
        <w:pStyle w:val="4"/>
        <w:numPr>
          <w:ilvl w:val="0"/>
          <w:numId w:val="1"/>
        </w:numPr>
        <w:spacing w:line="360" w:lineRule="auto"/>
        <w:ind w:left="0" w:leftChars="0" w:firstLine="420" w:firstLineChars="200"/>
        <w:rPr>
          <w:rFonts w:hint="eastAsia"/>
        </w:rPr>
      </w:pPr>
      <w:r>
        <w:rPr>
          <w:rFonts w:hint="eastAsia"/>
          <w:lang w:val="en-US" w:eastAsia="zh-CN"/>
        </w:rPr>
        <w:t>投标截止时间：2025年12月10</w:t>
      </w:r>
      <w:bookmarkStart w:id="4" w:name="_GoBack"/>
      <w:bookmarkEnd w:id="4"/>
      <w:r>
        <w:rPr>
          <w:rFonts w:hint="eastAsia"/>
          <w:lang w:val="en-US" w:eastAsia="zh-CN"/>
        </w:rPr>
        <w:t>日17：00</w:t>
      </w:r>
      <w:r>
        <w:rPr>
          <w:rFonts w:hint="eastAsia"/>
        </w:rPr>
        <w:t>前</w:t>
      </w:r>
    </w:p>
    <w:p>
      <w:pPr>
        <w:pStyle w:val="4"/>
        <w:spacing w:line="360" w:lineRule="auto"/>
        <w:ind w:firstLine="420" w:firstLineChars="200"/>
        <w:rPr>
          <w:rFonts w:hint="default" w:eastAsia="宋体"/>
          <w:lang w:val="en-US" w:eastAsia="zh-CN"/>
        </w:rPr>
      </w:pPr>
      <w:r>
        <w:rPr>
          <w:rFonts w:hint="eastAsia"/>
          <w:lang w:val="en-US" w:eastAsia="zh-CN"/>
        </w:rPr>
        <w:t>报名</w:t>
      </w:r>
      <w:r>
        <w:rPr>
          <w:rFonts w:hint="eastAsia"/>
        </w:rPr>
        <w:t>方式：</w:t>
      </w:r>
      <w:r>
        <w:rPr>
          <w:rFonts w:hint="eastAsia"/>
          <w:lang w:val="en-US" w:eastAsia="zh-CN"/>
        </w:rPr>
        <w:t>应标审核通过后，投标人按照</w:t>
      </w:r>
      <w:r>
        <w:rPr>
          <w:rFonts w:hint="eastAsia"/>
          <w:b/>
          <w:highlight w:val="yellow"/>
        </w:rPr>
        <w:t>2.投标文件格式组成</w:t>
      </w:r>
      <w:r>
        <w:rPr>
          <w:rFonts w:hint="eastAsia"/>
          <w:lang w:val="en-US" w:eastAsia="zh-CN"/>
        </w:rPr>
        <w:t>准备投标材料并上传系统。</w:t>
      </w:r>
    </w:p>
    <w:p>
      <w:pPr>
        <w:pStyle w:val="4"/>
        <w:spacing w:line="360" w:lineRule="auto"/>
        <w:ind w:left="0" w:leftChars="0" w:firstLine="420" w:firstLineChars="200"/>
        <w:rPr>
          <w:rFonts w:hint="eastAsia"/>
        </w:rPr>
      </w:pPr>
      <w:r>
        <w:rPr>
          <w:rFonts w:hint="eastAsia"/>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制版（加盖红章）及电子标书（U盘）、及线上招标的所有的澄清资料送到招标人处，进行备案。</w:t>
      </w:r>
    </w:p>
    <w:p>
      <w:pPr>
        <w:pStyle w:val="4"/>
        <w:spacing w:line="360" w:lineRule="auto"/>
        <w:ind w:left="0" w:leftChars="0" w:firstLine="420" w:firstLineChars="200"/>
        <w:rPr>
          <w:rFonts w:hint="default" w:eastAsia="宋体"/>
          <w:highlight w:val="yellow"/>
          <w:lang w:val="en-US" w:eastAsia="zh-CN"/>
        </w:rPr>
      </w:pPr>
      <w:r>
        <w:rPr>
          <w:rFonts w:hint="eastAsia"/>
          <w:highlight w:val="yellow"/>
          <w:lang w:val="en-US" w:eastAsia="zh-CN"/>
        </w:rPr>
        <w:t>应标和投标材料均为打印电子版后签字盖章版，并扫描上传，不签字盖章视为无效文件，不需要准备纸质文件。</w:t>
      </w:r>
    </w:p>
    <w:p>
      <w:pPr>
        <w:pStyle w:val="4"/>
        <w:spacing w:line="360" w:lineRule="auto"/>
        <w:rPr>
          <w:rFonts w:ascii="黑体" w:eastAsia="黑体"/>
          <w:b/>
          <w:bCs/>
          <w:sz w:val="28"/>
        </w:rPr>
      </w:pPr>
      <w:r>
        <w:rPr>
          <w:rFonts w:hint="eastAsia" w:ascii="黑体" w:eastAsia="黑体"/>
          <w:b/>
          <w:bCs/>
          <w:sz w:val="28"/>
        </w:rPr>
        <w:t>六、投标须知</w:t>
      </w:r>
    </w:p>
    <w:p>
      <w:pPr>
        <w:pStyle w:val="4"/>
        <w:spacing w:line="360" w:lineRule="auto"/>
        <w:ind w:firstLine="422" w:firstLineChars="200"/>
        <w:rPr>
          <w:b/>
        </w:rPr>
      </w:pPr>
      <w:r>
        <w:rPr>
          <w:rFonts w:hint="eastAsia"/>
          <w:b/>
        </w:rPr>
        <w:t>1.合格投标人：</w:t>
      </w:r>
    </w:p>
    <w:p>
      <w:pPr>
        <w:pStyle w:val="4"/>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4"/>
        <w:spacing w:line="360" w:lineRule="auto"/>
        <w:ind w:firstLine="282" w:firstLineChars="134"/>
        <w:rPr>
          <w:b/>
          <w:bCs/>
        </w:rPr>
      </w:pPr>
      <w:r>
        <w:rPr>
          <w:rFonts w:hint="eastAsia" w:hAnsi="宋体"/>
          <w:b/>
          <w:bCs/>
        </w:rPr>
        <w:t>*⑵</w:t>
      </w:r>
      <w:r>
        <w:rPr>
          <w:rFonts w:hint="eastAsia"/>
          <w:b/>
          <w:bCs/>
        </w:rPr>
        <w:t>公司成立三年以上（以营业执照成立日期到开标当日满三年为准）；注册资金不少</w:t>
      </w:r>
      <w:r>
        <w:rPr>
          <w:rFonts w:hint="eastAsia"/>
          <w:b/>
          <w:bCs/>
          <w:color w:val="000000" w:themeColor="text1"/>
          <w14:textFill>
            <w14:solidFill>
              <w14:schemeClr w14:val="tx1"/>
            </w14:solidFill>
          </w14:textFill>
        </w:rPr>
        <w:t>于</w:t>
      </w:r>
      <w:r>
        <w:rPr>
          <w:rFonts w:hint="eastAsia"/>
          <w:b/>
          <w:bCs/>
          <w:color w:val="000000" w:themeColor="text1"/>
          <w:lang w:val="en-US" w:eastAsia="zh-CN"/>
          <w14:textFill>
            <w14:solidFill>
              <w14:schemeClr w14:val="tx1"/>
            </w14:solidFill>
          </w14:textFill>
        </w:rPr>
        <w:t>2</w:t>
      </w:r>
      <w:r>
        <w:rPr>
          <w:b/>
          <w:bCs/>
          <w:color w:val="000000" w:themeColor="text1"/>
          <w14:textFill>
            <w14:solidFill>
              <w14:schemeClr w14:val="tx1"/>
            </w14:solidFill>
          </w14:textFill>
        </w:rPr>
        <w:t>00</w:t>
      </w:r>
      <w:r>
        <w:rPr>
          <w:rFonts w:hint="eastAsia"/>
          <w:b/>
          <w:bCs/>
          <w:color w:val="000000" w:themeColor="text1"/>
          <w14:textFill>
            <w14:solidFill>
              <w14:schemeClr w14:val="tx1"/>
            </w14:solidFill>
          </w14:textFill>
        </w:rPr>
        <w:t>万</w:t>
      </w:r>
      <w:r>
        <w:rPr>
          <w:rFonts w:hint="eastAsia"/>
          <w:b/>
          <w:bCs/>
        </w:rPr>
        <w:t>元</w:t>
      </w:r>
      <w:r>
        <w:rPr>
          <w:rFonts w:hint="eastAsia" w:hAnsi="宋体"/>
          <w:b/>
          <w:bCs/>
          <w:sz w:val="24"/>
        </w:rPr>
        <w:t>；</w:t>
      </w:r>
      <w:r>
        <w:rPr>
          <w:rFonts w:hint="eastAsia"/>
          <w:b/>
          <w:bCs/>
        </w:rPr>
        <w:t>经营范围满足招标项目需求；</w:t>
      </w:r>
    </w:p>
    <w:p>
      <w:pPr>
        <w:pStyle w:val="4"/>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⑶投标人须提供具有统一社会信用代码的新版营业执照副本原件及（或）复印件（加盖公章）；</w:t>
      </w:r>
    </w:p>
    <w:p>
      <w:pPr>
        <w:pStyle w:val="4"/>
        <w:spacing w:line="360" w:lineRule="auto"/>
        <w:ind w:firstLine="420" w:firstLineChars="200"/>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具有良好的商业信誉，在国家企业信用信息公示系统中无与本投标业务相关的行政处罚记录、列入经营异常名录和列入严重违法失信企业名单（黑名单）信息但上述信息已被移除的可参与投标；</w:t>
      </w:r>
    </w:p>
    <w:p>
      <w:pPr>
        <w:pStyle w:val="4"/>
        <w:spacing w:line="360" w:lineRule="auto"/>
        <w:ind w:firstLine="420" w:firstLineChars="200"/>
      </w:pPr>
      <w:r>
        <w:rPr>
          <w:rFonts w:hint="eastAsia" w:hAnsi="宋体"/>
        </w:rPr>
        <w:t>⑸</w:t>
      </w:r>
      <w:r>
        <w:rPr>
          <w:rFonts w:hint="eastAsia"/>
        </w:rPr>
        <w:t>投标人在近三年内在经营活动中无违法记录；</w:t>
      </w:r>
    </w:p>
    <w:p>
      <w:pPr>
        <w:pStyle w:val="4"/>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pPr>
        <w:pStyle w:val="4"/>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spacing w:line="360" w:lineRule="auto"/>
        <w:ind w:firstLine="282" w:firstLineChars="134"/>
        <w:rPr>
          <w:rFonts w:hint="eastAsia" w:ascii="宋体" w:hAnsi="Courier New"/>
          <w:b/>
          <w:bCs/>
        </w:rPr>
      </w:pPr>
      <w:r>
        <w:rPr>
          <w:rFonts w:hint="eastAsia" w:ascii="宋体" w:hAnsi="宋体"/>
          <w:b/>
          <w:bCs/>
        </w:rPr>
        <w:t>*⑻</w:t>
      </w:r>
      <w:r>
        <w:rPr>
          <w:rFonts w:hint="eastAsia" w:ascii="宋体" w:hAnsi="Courier New"/>
          <w:b/>
          <w:bCs/>
        </w:rPr>
        <w:t xml:space="preserve">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投标人须具有履行合同所必须的设备、财务、技术、服务等方面的资质和能力； </w:t>
      </w:r>
    </w:p>
    <w:p>
      <w:pPr>
        <w:spacing w:line="360" w:lineRule="auto"/>
        <w:ind w:firstLine="282" w:firstLineChars="134"/>
        <w:rPr>
          <w:rFonts w:ascii="宋体" w:hAnsi="Courier New"/>
          <w:b/>
          <w:bCs/>
        </w:rPr>
      </w:pPr>
      <w:r>
        <w:rPr>
          <w:rFonts w:hint="eastAsia" w:ascii="宋体" w:hAns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p>
    <w:p>
      <w:pPr>
        <w:pStyle w:val="4"/>
        <w:spacing w:line="360" w:lineRule="auto"/>
        <w:ind w:firstLine="420" w:firstLineChars="200"/>
      </w:pPr>
      <w:r>
        <w:rPr>
          <w:rFonts w:hint="eastAsia" w:hAnsi="宋体"/>
        </w:rPr>
        <w:t>⑽</w:t>
      </w:r>
      <w:r>
        <w:rPr>
          <w:rFonts w:hint="eastAsia"/>
        </w:rPr>
        <w:t>投标人须具有履行合同所必须的设备、财务、技术、服务等方面的资质和能力；</w:t>
      </w:r>
    </w:p>
    <w:p>
      <w:pPr>
        <w:pStyle w:val="4"/>
        <w:spacing w:line="360" w:lineRule="auto"/>
        <w:ind w:firstLine="420" w:firstLineChars="200"/>
      </w:pPr>
      <w:r>
        <w:rPr>
          <w:rFonts w:hint="eastAsia" w:hAnsi="宋体"/>
        </w:rPr>
        <w:t>⑾</w:t>
      </w:r>
      <w:r>
        <w:rPr>
          <w:rFonts w:hint="eastAsia"/>
        </w:rPr>
        <w:t>投标人须具有完全履行招标文件的所有要求的能力；</w:t>
      </w:r>
    </w:p>
    <w:p>
      <w:pPr>
        <w:pStyle w:val="4"/>
        <w:spacing w:line="360" w:lineRule="auto"/>
        <w:ind w:firstLine="420" w:firstLineChars="200"/>
      </w:pPr>
      <w:r>
        <w:rPr>
          <w:rFonts w:hint="eastAsia" w:hAnsi="宋体"/>
        </w:rPr>
        <w:t>⑿</w:t>
      </w:r>
      <w:r>
        <w:rPr>
          <w:rFonts w:hint="eastAsia"/>
        </w:rPr>
        <w:t>投标人须负责提供合理的便于运输的包装物，并承担相关费用；</w:t>
      </w:r>
    </w:p>
    <w:p>
      <w:pPr>
        <w:pStyle w:val="4"/>
        <w:spacing w:line="360" w:lineRule="auto"/>
        <w:ind w:firstLine="420" w:firstLineChars="200"/>
      </w:pPr>
      <w:r>
        <w:rPr>
          <w:rFonts w:hint="eastAsia" w:hAnsi="宋体"/>
        </w:rPr>
        <w:t>⒀</w:t>
      </w:r>
      <w:r>
        <w:rPr>
          <w:rFonts w:hint="eastAsia"/>
        </w:rPr>
        <w:t>投标人须认可招标人的工作指令，包括节、假日能正常开展工作的要求；</w:t>
      </w:r>
    </w:p>
    <w:p>
      <w:pPr>
        <w:pStyle w:val="4"/>
        <w:spacing w:line="360" w:lineRule="auto"/>
        <w:ind w:firstLine="420" w:firstLineChars="200"/>
      </w:pPr>
      <w:r>
        <w:rPr>
          <w:rFonts w:hint="eastAsia" w:hAnsi="宋体"/>
        </w:rPr>
        <w:t>⒁</w:t>
      </w:r>
      <w:r>
        <w:rPr>
          <w:rFonts w:hint="eastAsia"/>
        </w:rPr>
        <w:t>投标人必须是最终投标、签订合同的单位，不得以任何理由将已中标项目以任何形式转包给其他单位；</w:t>
      </w:r>
    </w:p>
    <w:p>
      <w:pPr>
        <w:pStyle w:val="4"/>
        <w:spacing w:line="360" w:lineRule="auto"/>
        <w:ind w:firstLine="420" w:firstLineChars="200"/>
      </w:pPr>
      <w:r>
        <w:rPr>
          <w:rFonts w:hint="eastAsia" w:hAnsi="宋体"/>
        </w:rPr>
        <w:t>⒂</w:t>
      </w:r>
      <w:r>
        <w:rPr>
          <w:rFonts w:hint="eastAsia"/>
        </w:rPr>
        <w:t>本次招标项目不接受联合体投标；</w:t>
      </w:r>
    </w:p>
    <w:p>
      <w:pPr>
        <w:spacing w:line="360" w:lineRule="auto"/>
        <w:ind w:firstLine="422" w:firstLineChars="200"/>
        <w:rPr>
          <w:rFonts w:ascii="宋体" w:hAnsi="宋体"/>
          <w:b/>
          <w:bCs/>
        </w:rPr>
      </w:pPr>
      <w:r>
        <w:rPr>
          <w:rFonts w:hint="eastAsia" w:ascii="宋体" w:hAnsi="宋体"/>
          <w:b/>
          <w:bCs/>
        </w:rPr>
        <w:t>*⒃投标人在向招标人出示《投标保证金缴纳凭证》后方可进行投标</w:t>
      </w:r>
      <w:r>
        <w:rPr>
          <w:rFonts w:hint="eastAsia" w:ascii="宋体" w:hAnsi="宋体"/>
          <w:b/>
          <w:bCs/>
          <w:lang w:eastAsia="zh-CN"/>
        </w:rPr>
        <w:t>，</w:t>
      </w:r>
      <w:r>
        <w:rPr>
          <w:rFonts w:ascii="宋体" w:hAnsi="宋体"/>
          <w:b/>
          <w:bCs/>
        </w:rPr>
        <w:t>投标保证金</w:t>
      </w:r>
      <w:r>
        <w:rPr>
          <w:rFonts w:hint="eastAsia" w:ascii="宋体" w:hAnsi="宋体"/>
          <w:b/>
          <w:bCs/>
        </w:rPr>
        <w:t>需</w:t>
      </w:r>
      <w:r>
        <w:rPr>
          <w:rFonts w:ascii="宋体" w:hAnsi="宋体"/>
          <w:b/>
          <w:bCs/>
        </w:rPr>
        <w:t>从投标人单位账户转出</w:t>
      </w:r>
      <w:r>
        <w:rPr>
          <w:rFonts w:hint="eastAsia" w:ascii="宋体" w:hAnsi="宋体"/>
          <w:b/>
          <w:bCs/>
        </w:rPr>
        <w:t>；</w:t>
      </w:r>
    </w:p>
    <w:p>
      <w:pPr>
        <w:pStyle w:val="4"/>
        <w:spacing w:line="360" w:lineRule="auto"/>
        <w:ind w:firstLine="420" w:firstLineChars="200"/>
        <w:rPr>
          <w:rFonts w:hint="eastAsia" w:hAnsi="宋体"/>
        </w:rPr>
      </w:pPr>
      <w:r>
        <w:rPr>
          <w:rFonts w:hint="eastAsia" w:hAnsi="宋体"/>
        </w:rPr>
        <w:t>⒄如为代理商投标，需获得生产厂家或维修厂家的授权或合作合同。</w:t>
      </w:r>
    </w:p>
    <w:p>
      <w:pPr>
        <w:pStyle w:val="4"/>
        <w:spacing w:line="360" w:lineRule="auto"/>
        <w:ind w:firstLine="420" w:firstLineChars="200"/>
        <w:rPr>
          <w:rFonts w:hint="eastAsia" w:ascii="宋体" w:hAnsi="宋体" w:eastAsia="宋体"/>
          <w:lang w:eastAsia="zh-CN"/>
        </w:rPr>
      </w:pPr>
      <w:r>
        <w:rPr>
          <w:rFonts w:hint="eastAsia" w:hAnsi="宋体"/>
        </w:rPr>
        <w:t>⒅</w:t>
      </w:r>
      <w:r>
        <w:rPr>
          <w:rFonts w:hint="eastAsia" w:ascii="宋体" w:hAnsi="宋体" w:eastAsia="宋体"/>
        </w:rPr>
        <w:t>投标人的直接或间接股东、法定代表人、董事、监事、高管非重汽员工及其亲属</w:t>
      </w:r>
      <w:r>
        <w:rPr>
          <w:rFonts w:hint="eastAsia" w:ascii="宋体" w:hAnsi="宋体" w:eastAsia="宋体"/>
          <w:lang w:eastAsia="zh-CN"/>
        </w:rPr>
        <w:t>。</w:t>
      </w:r>
    </w:p>
    <w:p>
      <w:pPr>
        <w:pStyle w:val="4"/>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*⒆企业最近半年完税证明、信用证明材料（中国人民银行信用代码证+征信报告）；</w:t>
      </w:r>
    </w:p>
    <w:p>
      <w:pPr>
        <w:pStyle w:val="4"/>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*⒇年度纳税信用评价信息（可从电子税务局查询截图，需加盖公章）；</w:t>
      </w:r>
    </w:p>
    <w:p>
      <w:pPr>
        <w:pStyle w:val="4"/>
        <w:spacing w:line="360" w:lineRule="auto"/>
        <w:ind w:firstLine="422" w:firstLineChars="200"/>
        <w:rPr>
          <w:rFonts w:hint="default"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*（21）企业对外担保说明（写明贵单位对外有无对外担保和质押业务，需加盖公章）。</w:t>
      </w:r>
    </w:p>
    <w:p>
      <w:pPr>
        <w:pStyle w:val="4"/>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pPr>
        <w:pStyle w:val="4"/>
        <w:spacing w:line="360" w:lineRule="auto"/>
        <w:ind w:firstLine="422" w:firstLineChars="200"/>
        <w:rPr>
          <w:b/>
        </w:rPr>
      </w:pPr>
      <w:r>
        <w:rPr>
          <w:rFonts w:hint="eastAsia"/>
          <w:b/>
        </w:rPr>
        <w:t>2.投标文件格式组成</w:t>
      </w:r>
    </w:p>
    <w:p>
      <w:pPr>
        <w:pStyle w:val="4"/>
        <w:spacing w:line="360" w:lineRule="auto"/>
        <w:ind w:firstLine="422" w:firstLineChars="200"/>
        <w:rPr>
          <w:b/>
        </w:rPr>
      </w:pPr>
      <w:r>
        <w:rPr>
          <w:rFonts w:hint="eastAsia"/>
          <w:b/>
        </w:rPr>
        <w:t>2.1资质文件：</w:t>
      </w:r>
    </w:p>
    <w:p>
      <w:pPr>
        <w:pStyle w:val="4"/>
        <w:spacing w:line="360" w:lineRule="auto"/>
        <w:ind w:firstLine="422" w:firstLineChars="200"/>
        <w:rPr>
          <w:b/>
        </w:rPr>
      </w:pPr>
      <w:r>
        <w:rPr>
          <w:rFonts w:hint="eastAsia"/>
          <w:b/>
        </w:rPr>
        <w:t>2.1.1</w:t>
      </w:r>
      <w:r>
        <w:rPr>
          <w:rFonts w:hint="eastAsia"/>
          <w:b/>
        </w:rPr>
        <w:tab/>
      </w:r>
      <w:r>
        <w:rPr>
          <w:rFonts w:hint="eastAsia"/>
          <w:b/>
        </w:rPr>
        <w:t>法定代表人身份证明；</w:t>
      </w:r>
    </w:p>
    <w:p>
      <w:pPr>
        <w:pStyle w:val="4"/>
        <w:spacing w:line="360" w:lineRule="auto"/>
        <w:ind w:firstLine="422" w:firstLineChars="200"/>
        <w:rPr>
          <w:b/>
        </w:rPr>
      </w:pPr>
      <w:r>
        <w:rPr>
          <w:rFonts w:hint="eastAsia"/>
          <w:b/>
        </w:rPr>
        <w:t>2.1.2</w:t>
      </w:r>
      <w:r>
        <w:rPr>
          <w:rFonts w:hint="eastAsia"/>
          <w:b/>
        </w:rPr>
        <w:tab/>
      </w:r>
      <w:r>
        <w:rPr>
          <w:rFonts w:hint="eastAsia"/>
          <w:b/>
        </w:rPr>
        <w:t>法人授权委托书及身份证复印件；</w:t>
      </w:r>
    </w:p>
    <w:p>
      <w:pPr>
        <w:pStyle w:val="4"/>
        <w:spacing w:line="360" w:lineRule="auto"/>
        <w:ind w:firstLine="422" w:firstLineChars="200"/>
        <w:rPr>
          <w:b/>
        </w:rPr>
      </w:pPr>
      <w:r>
        <w:rPr>
          <w:rFonts w:hint="eastAsia"/>
          <w:b/>
        </w:rPr>
        <w:t>2.1.3</w:t>
      </w:r>
      <w:r>
        <w:rPr>
          <w:rFonts w:hint="eastAsia"/>
          <w:b/>
        </w:rPr>
        <w:tab/>
      </w:r>
      <w:r>
        <w:rPr>
          <w:rFonts w:hint="eastAsia"/>
          <w:b/>
        </w:rPr>
        <w:t>营业执照副本复印件；</w:t>
      </w:r>
    </w:p>
    <w:p>
      <w:pPr>
        <w:pStyle w:val="4"/>
        <w:spacing w:line="360" w:lineRule="auto"/>
        <w:ind w:firstLine="422" w:firstLineChars="200"/>
        <w:rPr>
          <w:b/>
        </w:rPr>
      </w:pPr>
      <w:r>
        <w:rPr>
          <w:rFonts w:hint="eastAsia"/>
          <w:b/>
        </w:rPr>
        <w:t>2.1.</w:t>
      </w:r>
      <w:r>
        <w:rPr>
          <w:b/>
        </w:rPr>
        <w:t>4</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pPr>
        <w:pStyle w:val="4"/>
        <w:spacing w:line="360" w:lineRule="auto"/>
        <w:ind w:firstLine="422" w:firstLineChars="200"/>
        <w:rPr>
          <w:rFonts w:hint="eastAsia"/>
          <w:b/>
        </w:rPr>
      </w:pPr>
      <w:r>
        <w:rPr>
          <w:rFonts w:hint="eastAsia"/>
          <w:b/>
        </w:rPr>
        <w:t>2.1.</w:t>
      </w:r>
      <w:r>
        <w:rPr>
          <w:b/>
        </w:rPr>
        <w:t>5</w:t>
      </w:r>
      <w:r>
        <w:rPr>
          <w:rFonts w:hint="eastAsia"/>
          <w:b/>
        </w:rPr>
        <w:tab/>
      </w:r>
      <w:r>
        <w:rPr>
          <w:rFonts w:hint="eastAsia"/>
          <w:b/>
        </w:rPr>
        <w:t>近三年的公司财务报表；</w:t>
      </w:r>
    </w:p>
    <w:p>
      <w:pPr>
        <w:pStyle w:val="4"/>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b/>
          <w:lang w:val="en-US" w:eastAsia="zh-CN"/>
        </w:rPr>
        <w:t xml:space="preserve">2.1.6   </w:t>
      </w: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pPr>
        <w:pStyle w:val="4"/>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2.1.7   年度纳税信用评价信息（可从电子税务局查询截图，需加盖公章）；</w:t>
      </w:r>
    </w:p>
    <w:p>
      <w:pPr>
        <w:pStyle w:val="4"/>
        <w:spacing w:line="360" w:lineRule="auto"/>
        <w:ind w:firstLine="422" w:firstLineChars="200"/>
        <w:rPr>
          <w:rFonts w:hint="default" w:eastAsia="宋体"/>
          <w:b/>
          <w:lang w:val="en-US" w:eastAsia="zh-CN"/>
        </w:rPr>
      </w:pPr>
      <w:r>
        <w:rPr>
          <w:rFonts w:hint="eastAsia" w:ascii="宋体" w:hAnsi="宋体" w:eastAsia="宋体" w:cs="Times New Roman"/>
          <w:b/>
          <w:bCs/>
          <w:kern w:val="2"/>
          <w:sz w:val="21"/>
          <w:szCs w:val="20"/>
          <w:lang w:val="en-US" w:eastAsia="zh-CN" w:bidi="ar-SA"/>
        </w:rPr>
        <w:t>2.1.8   企业对外担保说明（写明贵单位对外有无对外担保和质押业务，需加盖公章）。</w:t>
      </w:r>
    </w:p>
    <w:p>
      <w:pPr>
        <w:pStyle w:val="4"/>
        <w:spacing w:line="360" w:lineRule="auto"/>
        <w:ind w:firstLine="422" w:firstLineChars="200"/>
        <w:rPr>
          <w:rFonts w:hint="eastAsia"/>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pPr>
        <w:pStyle w:val="4"/>
        <w:spacing w:line="360" w:lineRule="auto"/>
        <w:ind w:firstLine="422" w:firstLineChars="200"/>
        <w:rPr>
          <w:rFonts w:hint="eastAsia" w:eastAsia="宋体"/>
          <w:b/>
          <w:lang w:val="en-US" w:eastAsia="zh-CN"/>
        </w:rPr>
      </w:pPr>
      <w:r>
        <w:rPr>
          <w:rFonts w:hint="eastAsia"/>
          <w:b/>
          <w:lang w:val="en-US" w:eastAsia="zh-CN"/>
        </w:rPr>
        <w:t xml:space="preserve">2.1.10  </w:t>
      </w:r>
      <w:r>
        <w:rPr>
          <w:rFonts w:hint="eastAsia" w:ascii="宋体" w:hAnsi="宋体"/>
          <w:b/>
          <w:bCs/>
        </w:rPr>
        <w:t>《投标保证金缴纳凭证》</w:t>
      </w:r>
      <w:r>
        <w:rPr>
          <w:rFonts w:hint="eastAsia" w:hAnsi="宋体"/>
          <w:b/>
          <w:bCs/>
          <w:lang w:eastAsia="zh-CN"/>
        </w:rPr>
        <w:t>（</w:t>
      </w:r>
      <w:r>
        <w:rPr>
          <w:rFonts w:hint="eastAsia" w:hAnsi="宋体"/>
          <w:b/>
          <w:bCs/>
          <w:lang w:val="en-US" w:eastAsia="zh-CN"/>
        </w:rPr>
        <w:t>投标截止日之前缴纳即可，应标报名阶段可不缴纳</w:t>
      </w:r>
      <w:r>
        <w:rPr>
          <w:rFonts w:hint="eastAsia" w:hAnsi="宋体"/>
          <w:b/>
          <w:bCs/>
          <w:lang w:eastAsia="zh-CN"/>
        </w:rPr>
        <w:t>）</w:t>
      </w:r>
    </w:p>
    <w:p>
      <w:pPr>
        <w:pStyle w:val="4"/>
        <w:spacing w:line="360" w:lineRule="auto"/>
        <w:ind w:firstLine="422" w:firstLineChars="200"/>
        <w:rPr>
          <w:b/>
        </w:rPr>
      </w:pPr>
      <w:r>
        <w:rPr>
          <w:rFonts w:hint="eastAsia"/>
          <w:b/>
        </w:rPr>
        <w:t>2.2 技术标：</w:t>
      </w:r>
    </w:p>
    <w:p>
      <w:pPr>
        <w:pStyle w:val="4"/>
        <w:spacing w:line="360" w:lineRule="auto"/>
        <w:ind w:firstLine="422" w:firstLineChars="200"/>
        <w:rPr>
          <w:b/>
        </w:rPr>
      </w:pPr>
      <w:r>
        <w:rPr>
          <w:rFonts w:hint="eastAsia"/>
          <w:b/>
        </w:rPr>
        <w:t>2.2.1</w:t>
      </w:r>
      <w:r>
        <w:rPr>
          <w:rFonts w:hint="eastAsia"/>
          <w:b/>
        </w:rPr>
        <w:tab/>
      </w:r>
      <w:r>
        <w:rPr>
          <w:rFonts w:hint="eastAsia"/>
          <w:b/>
        </w:rPr>
        <w:t>技术规格偏离表；</w:t>
      </w:r>
    </w:p>
    <w:p>
      <w:pPr>
        <w:pStyle w:val="4"/>
        <w:spacing w:line="360" w:lineRule="auto"/>
        <w:ind w:firstLine="422" w:firstLineChars="200"/>
        <w:rPr>
          <w:b/>
        </w:rPr>
      </w:pPr>
      <w:r>
        <w:rPr>
          <w:rFonts w:hint="eastAsia"/>
          <w:b/>
        </w:rPr>
        <w:t>2.2.2</w:t>
      </w:r>
      <w:r>
        <w:rPr>
          <w:rFonts w:hint="eastAsia"/>
          <w:b/>
        </w:rPr>
        <w:tab/>
      </w:r>
      <w:r>
        <w:rPr>
          <w:rFonts w:hint="eastAsia"/>
          <w:b/>
        </w:rPr>
        <w:t>维修方案；</w:t>
      </w:r>
    </w:p>
    <w:p>
      <w:pPr>
        <w:pStyle w:val="4"/>
        <w:spacing w:line="360" w:lineRule="auto"/>
        <w:ind w:firstLine="422" w:firstLineChars="200"/>
        <w:rPr>
          <w:b/>
        </w:rPr>
      </w:pPr>
      <w:r>
        <w:rPr>
          <w:rFonts w:hint="eastAsia"/>
          <w:b/>
        </w:rPr>
        <w:t>2.2.3</w:t>
      </w:r>
      <w:r>
        <w:rPr>
          <w:rFonts w:hint="eastAsia"/>
          <w:b/>
        </w:rPr>
        <w:tab/>
      </w:r>
      <w:r>
        <w:rPr>
          <w:rFonts w:hint="eastAsia"/>
          <w:b/>
        </w:rPr>
        <w:t>维修用的货物清单及组成说明、设备型号（规格）、品牌、产地、数量；</w:t>
      </w:r>
    </w:p>
    <w:p>
      <w:pPr>
        <w:pStyle w:val="4"/>
        <w:spacing w:line="360" w:lineRule="auto"/>
        <w:ind w:firstLine="422" w:firstLineChars="200"/>
        <w:rPr>
          <w:b/>
        </w:rPr>
      </w:pPr>
      <w:r>
        <w:rPr>
          <w:rFonts w:hint="eastAsia"/>
          <w:b/>
        </w:rPr>
        <w:t>2.2.4   详细的交货能力；</w:t>
      </w:r>
    </w:p>
    <w:p>
      <w:pPr>
        <w:pStyle w:val="4"/>
        <w:spacing w:line="360" w:lineRule="auto"/>
        <w:ind w:firstLine="422" w:firstLineChars="200"/>
        <w:rPr>
          <w:b/>
        </w:rPr>
      </w:pPr>
      <w:r>
        <w:rPr>
          <w:rFonts w:hint="eastAsia"/>
          <w:b/>
        </w:rPr>
        <w:t>2.2.5  专用工具及备件清单（如果有）；</w:t>
      </w:r>
    </w:p>
    <w:p>
      <w:pPr>
        <w:pStyle w:val="4"/>
        <w:spacing w:line="360" w:lineRule="auto"/>
        <w:ind w:firstLine="422" w:firstLineChars="200"/>
        <w:rPr>
          <w:b/>
        </w:rPr>
      </w:pPr>
      <w:r>
        <w:rPr>
          <w:rFonts w:hint="eastAsia"/>
          <w:b/>
        </w:rPr>
        <w:t>2.2.6  设备安装、验收计划、现场服务（如果有）；</w:t>
      </w:r>
    </w:p>
    <w:p>
      <w:pPr>
        <w:pStyle w:val="4"/>
        <w:spacing w:line="360" w:lineRule="auto"/>
        <w:ind w:firstLine="422" w:firstLineChars="200"/>
        <w:rPr>
          <w:b/>
        </w:rPr>
      </w:pPr>
      <w:r>
        <w:rPr>
          <w:rFonts w:hint="eastAsia"/>
          <w:b/>
        </w:rPr>
        <w:t>2.2.7  产品质量保修和售后服务内容及措施；</w:t>
      </w:r>
    </w:p>
    <w:p>
      <w:pPr>
        <w:pStyle w:val="4"/>
        <w:spacing w:line="360" w:lineRule="auto"/>
        <w:ind w:firstLine="422" w:firstLineChars="200"/>
        <w:rPr>
          <w:b/>
        </w:rPr>
      </w:pPr>
      <w:r>
        <w:rPr>
          <w:rFonts w:hint="eastAsia"/>
          <w:b/>
        </w:rPr>
        <w:t>2.2.8  技术服务支持内容及保证措施；</w:t>
      </w:r>
    </w:p>
    <w:p>
      <w:pPr>
        <w:pStyle w:val="4"/>
        <w:spacing w:line="360" w:lineRule="auto"/>
        <w:ind w:firstLine="422" w:firstLineChars="200"/>
        <w:rPr>
          <w:rFonts w:hint="eastAsia"/>
          <w:b/>
        </w:rPr>
      </w:pPr>
      <w:r>
        <w:rPr>
          <w:rFonts w:hint="eastAsia"/>
          <w:b/>
        </w:rPr>
        <w:t>2.2.9  维修案例。</w:t>
      </w:r>
    </w:p>
    <w:p>
      <w:pPr>
        <w:pStyle w:val="4"/>
        <w:spacing w:line="360" w:lineRule="auto"/>
        <w:ind w:firstLine="422" w:firstLineChars="200"/>
        <w:rPr>
          <w:rFonts w:hint="default" w:eastAsia="宋体"/>
          <w:b/>
          <w:lang w:val="en-US" w:eastAsia="zh-CN"/>
        </w:rPr>
      </w:pPr>
      <w:r>
        <w:rPr>
          <w:rFonts w:hint="eastAsia"/>
          <w:b/>
          <w:lang w:val="en-US" w:eastAsia="zh-CN"/>
        </w:rPr>
        <w:t>2.2.10 技术评标过程中需实际展示本单位维修所用的各类设备、人员及工具情况（可展示维修现场视频）</w:t>
      </w:r>
    </w:p>
    <w:p>
      <w:pPr>
        <w:pStyle w:val="4"/>
        <w:spacing w:line="360" w:lineRule="auto"/>
        <w:ind w:firstLine="422" w:firstLineChars="200"/>
        <w:rPr>
          <w:b/>
        </w:rPr>
      </w:pPr>
      <w:r>
        <w:rPr>
          <w:rFonts w:hint="eastAsia"/>
          <w:b/>
        </w:rPr>
        <w:t>2.3 商务标：</w:t>
      </w:r>
    </w:p>
    <w:p>
      <w:pPr>
        <w:pStyle w:val="4"/>
        <w:spacing w:line="360" w:lineRule="auto"/>
        <w:ind w:firstLine="422" w:firstLineChars="200"/>
        <w:rPr>
          <w:b/>
        </w:rPr>
      </w:pPr>
      <w:r>
        <w:rPr>
          <w:rFonts w:hint="eastAsia"/>
          <w:b/>
        </w:rPr>
        <w:t>2.3.1</w:t>
      </w:r>
      <w:r>
        <w:rPr>
          <w:rFonts w:hint="eastAsia"/>
          <w:b/>
        </w:rPr>
        <w:tab/>
      </w:r>
      <w:r>
        <w:rPr>
          <w:rFonts w:hint="eastAsia"/>
          <w:b/>
        </w:rPr>
        <w:t>投标函；</w:t>
      </w:r>
    </w:p>
    <w:p>
      <w:pPr>
        <w:pStyle w:val="4"/>
        <w:spacing w:line="360" w:lineRule="auto"/>
        <w:ind w:firstLine="422" w:firstLineChars="200"/>
        <w:rPr>
          <w:b/>
        </w:rPr>
      </w:pPr>
      <w:r>
        <w:rPr>
          <w:rFonts w:hint="eastAsia"/>
          <w:b/>
        </w:rPr>
        <w:t>2.3.2</w:t>
      </w:r>
      <w:r>
        <w:rPr>
          <w:rFonts w:hint="eastAsia"/>
          <w:b/>
        </w:rPr>
        <w:tab/>
      </w:r>
      <w:r>
        <w:rPr>
          <w:rFonts w:hint="eastAsia"/>
          <w:b/>
        </w:rPr>
        <w:t>开标一览表；</w:t>
      </w:r>
    </w:p>
    <w:p>
      <w:pPr>
        <w:pStyle w:val="4"/>
        <w:spacing w:line="360" w:lineRule="auto"/>
        <w:ind w:firstLine="422" w:firstLineChars="200"/>
        <w:rPr>
          <w:b/>
        </w:rPr>
      </w:pPr>
      <w:r>
        <w:rPr>
          <w:rFonts w:hint="eastAsia"/>
          <w:b/>
        </w:rPr>
        <w:t>2.3.3</w:t>
      </w:r>
      <w:r>
        <w:rPr>
          <w:rFonts w:hint="eastAsia"/>
          <w:b/>
        </w:rPr>
        <w:tab/>
      </w:r>
      <w:r>
        <w:rPr>
          <w:rFonts w:hint="eastAsia"/>
          <w:b/>
        </w:rPr>
        <w:t>投标货物分项报价表；</w:t>
      </w:r>
    </w:p>
    <w:p>
      <w:pPr>
        <w:pStyle w:val="4"/>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pPr>
        <w:pStyle w:val="4"/>
        <w:spacing w:line="360" w:lineRule="auto"/>
        <w:ind w:firstLine="422" w:firstLineChars="200"/>
        <w:rPr>
          <w:b/>
        </w:rPr>
      </w:pPr>
      <w:r>
        <w:rPr>
          <w:rFonts w:hint="eastAsia"/>
          <w:b/>
        </w:rPr>
        <w:t>3.报价：</w:t>
      </w:r>
    </w:p>
    <w:p>
      <w:pPr>
        <w:pStyle w:val="4"/>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pPr>
        <w:pStyle w:val="4"/>
        <w:spacing w:line="360" w:lineRule="auto"/>
        <w:ind w:firstLine="420" w:firstLineChars="200"/>
      </w:pPr>
      <w:r>
        <w:rPr>
          <w:rFonts w:hint="eastAsia"/>
        </w:rPr>
        <w:t>详见本招标书之“第二章 投标文件编制”之“三、投标文件格式要求”之“格式3”。</w:t>
      </w:r>
    </w:p>
    <w:p>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lang w:val="en-US" w:eastAsia="zh-CN"/>
        </w:rPr>
        <w:t>报价应包含不含税金额、税率及价税合计金额。</w:t>
      </w:r>
    </w:p>
    <w:p>
      <w:pPr>
        <w:spacing w:line="360" w:lineRule="auto"/>
        <w:ind w:firstLine="420" w:firstLineChars="200"/>
        <w:rPr>
          <w:rFonts w:hint="eastAsia" w:ascii="宋体" w:hAnsi="Courier New"/>
          <w:lang w:val="en-US" w:eastAsia="zh-CN"/>
        </w:rPr>
      </w:pPr>
      <w:r>
        <w:rPr>
          <w:rFonts w:hint="eastAsia" w:ascii="Calibri" w:hAnsi="宋体"/>
        </w:rPr>
        <w:t>⑶付款结算方式：半年期商业汇票（包括银行承兑汇票和商业承兑汇票），银行转账，财司转账。不可出现“或”二者选一、三者选一等情形。对于 5 万元以上的合同，付款方式原则上为半年期商业汇票（包括银行承兑汇票和商业承兑汇票）</w:t>
      </w:r>
      <w:r>
        <w:rPr>
          <w:rFonts w:hint="eastAsia" w:ascii="Calibri" w:hAnsi="Calibri"/>
        </w:rPr>
        <w:t>。</w:t>
      </w:r>
      <w:r>
        <w:rPr>
          <w:rFonts w:hint="eastAsia"/>
        </w:rPr>
        <w:t xml:space="preserve"> </w:t>
      </w:r>
      <w:r>
        <w:rPr>
          <w:rFonts w:hint="eastAsia"/>
        </w:rPr>
        <w:br w:type="textWrapping"/>
      </w:r>
      <w:r>
        <w:rPr>
          <w:rFonts w:hint="eastAsia"/>
          <w:lang w:val="en-US" w:eastAsia="zh-CN"/>
        </w:rPr>
        <w:t xml:space="preserve">    </w:t>
      </w:r>
      <w:r>
        <w:rPr>
          <w:rFonts w:hint="eastAsia" w:ascii="宋体" w:hAnsi="宋体"/>
        </w:rPr>
        <w:t>⑷</w:t>
      </w:r>
      <w:r>
        <w:rPr>
          <w:rFonts w:hint="eastAsia" w:ascii="宋体" w:hAnsi="宋体"/>
          <w:lang w:val="en-US" w:eastAsia="zh-CN"/>
        </w:rPr>
        <w:t>所有报价须包含损坏备件修复成本及往来运输成本</w:t>
      </w:r>
      <w:r>
        <w:rPr>
          <w:rFonts w:hint="eastAsia" w:ascii="宋体" w:hAnsi="Courier New"/>
          <w:lang w:val="en-US" w:eastAsia="zh-CN"/>
        </w:rPr>
        <w:t>。</w:t>
      </w:r>
    </w:p>
    <w:p>
      <w:pPr>
        <w:pStyle w:val="2"/>
        <w:ind w:firstLine="420" w:firstLineChars="200"/>
        <w:rPr>
          <w:rFonts w:hint="eastAsia" w:ascii="Calibri" w:hAnsi="宋体" w:eastAsia="宋体" w:cs="Times New Roman"/>
          <w:kern w:val="2"/>
          <w:sz w:val="21"/>
          <w:szCs w:val="20"/>
          <w:lang w:val="en-US" w:eastAsia="zh-CN" w:bidi="ar-SA"/>
        </w:rPr>
      </w:pPr>
      <w:r>
        <w:rPr>
          <w:rFonts w:hint="eastAsia" w:ascii="Calibri" w:hAnsi="宋体" w:eastAsia="宋体" w:cs="Times New Roman"/>
          <w:kern w:val="2"/>
          <w:sz w:val="21"/>
          <w:szCs w:val="20"/>
          <w:lang w:val="en-US" w:eastAsia="zh-CN" w:bidi="ar-SA"/>
        </w:rPr>
        <w:t>⑸招标过程中投标厂家只需要报总价，分项报价在总价基础上同比例下浮。</w:t>
      </w:r>
    </w:p>
    <w:p>
      <w:pPr>
        <w:pStyle w:val="3"/>
        <w:ind w:firstLine="420" w:firstLineChars="200"/>
        <w:rPr>
          <w:ins w:id="0" w:author="JonMMx 2000" w:date="2021-03-16T09:55:00Z"/>
          <w:rFonts w:hint="default" w:ascii="Calibri" w:hAnsi="宋体" w:eastAsia="宋体" w:cs="Times New Roman"/>
          <w:color w:val="auto"/>
          <w:kern w:val="2"/>
          <w:sz w:val="21"/>
          <w:szCs w:val="20"/>
          <w:lang w:val="en-US" w:eastAsia="zh-CN" w:bidi="ar-SA"/>
        </w:rPr>
      </w:pPr>
      <w:r>
        <w:rPr>
          <w:rFonts w:hint="eastAsia" w:ascii="Calibri" w:hAnsi="宋体" w:eastAsia="宋体" w:cs="Times New Roman"/>
          <w:color w:val="auto"/>
          <w:kern w:val="2"/>
          <w:sz w:val="21"/>
          <w:szCs w:val="20"/>
          <w:lang w:val="en-US" w:eastAsia="zh-CN" w:bidi="ar-SA"/>
        </w:rPr>
        <w:t>⑹投标厂家可选择本项目的一个包或多个包进行投标报价，但选择的包内所有报价必须完整，不能出现漏项缺项。</w:t>
      </w:r>
    </w:p>
    <w:p>
      <w:pPr>
        <w:pStyle w:val="4"/>
        <w:spacing w:line="360" w:lineRule="auto"/>
        <w:ind w:firstLine="422" w:firstLineChars="200"/>
        <w:rPr>
          <w:b/>
        </w:rPr>
      </w:pPr>
      <w:r>
        <w:rPr>
          <w:rFonts w:hint="eastAsia"/>
          <w:b/>
        </w:rPr>
        <w:t>4、付款方式：半年期</w:t>
      </w:r>
      <w:r>
        <w:rPr>
          <w:rFonts w:hint="eastAsia"/>
          <w:b/>
          <w:lang w:val="en-US" w:eastAsia="zh-CN"/>
        </w:rPr>
        <w:t>商业</w:t>
      </w:r>
      <w:r>
        <w:rPr>
          <w:rFonts w:hint="eastAsia"/>
          <w:b/>
        </w:rPr>
        <w:t>承兑汇票</w:t>
      </w:r>
    </w:p>
    <w:p>
      <w:pPr>
        <w:spacing w:line="360" w:lineRule="auto"/>
        <w:ind w:left="-105" w:leftChars="-50" w:right="-105" w:rightChars="-50" w:firstLine="500" w:firstLineChars="250"/>
        <w:rPr>
          <w:rFonts w:hint="eastAsia" w:ascii="宋体" w:hAnsi="宋体" w:cs="宋体"/>
          <w:sz w:val="20"/>
        </w:rPr>
      </w:pPr>
      <w:bookmarkStart w:id="1" w:name="_Hlk87966546"/>
      <w:r>
        <w:rPr>
          <w:rFonts w:hint="eastAsia" w:ascii="宋体" w:hAnsi="宋体" w:cs="宋体"/>
          <w:sz w:val="20"/>
        </w:rPr>
        <w:t>由招标方各使用单位根据本次招标单价与中标方签订合同，工程结束、验收合格后，甲方出具书面验收单，30日内承揽方提交下列单据，经委托方审核无误后，招标方可根据每次项目实际情况，可选择90日内付给承揽方合同总价的100%货款或90%货款，剩余货款作为质保金，一年后支付给中标方。</w:t>
      </w:r>
    </w:p>
    <w:p>
      <w:pPr>
        <w:spacing w:line="360" w:lineRule="auto"/>
        <w:ind w:left="-105" w:leftChars="-50" w:right="-105" w:rightChars="-50" w:firstLine="400" w:firstLineChars="200"/>
        <w:rPr>
          <w:rFonts w:ascii="宋体" w:hAnsi="宋体" w:cs="宋体"/>
          <w:sz w:val="20"/>
        </w:rPr>
      </w:pPr>
      <w:r>
        <w:rPr>
          <w:rFonts w:hint="eastAsia" w:ascii="宋体" w:hAnsi="宋体" w:cs="宋体"/>
          <w:sz w:val="20"/>
        </w:rPr>
        <w:t>A 金额为该套合同设备价格100%的增值税专用发票；</w:t>
      </w:r>
    </w:p>
    <w:p>
      <w:pPr>
        <w:spacing w:line="360" w:lineRule="auto"/>
        <w:ind w:left="-105" w:leftChars="-50" w:right="-105" w:rightChars="-50" w:firstLine="400" w:firstLineChars="200"/>
        <w:rPr>
          <w:rFonts w:hint="eastAsia" w:ascii="宋体" w:hAnsi="宋体" w:cs="宋体"/>
          <w:sz w:val="20"/>
        </w:rPr>
      </w:pPr>
      <w:r>
        <w:rPr>
          <w:rFonts w:hint="eastAsia" w:ascii="宋体" w:hAnsi="宋体" w:cs="宋体"/>
          <w:sz w:val="20"/>
        </w:rPr>
        <w:t>B 该套合同设备维修最终验收报告的原件。</w:t>
      </w:r>
      <w:bookmarkEnd w:id="1"/>
    </w:p>
    <w:p>
      <w:pPr>
        <w:spacing w:line="360" w:lineRule="auto"/>
        <w:ind w:firstLine="400" w:firstLineChars="200"/>
      </w:pPr>
      <w:r>
        <w:rPr>
          <w:rFonts w:hint="eastAsia" w:ascii="宋体" w:hAnsi="宋体" w:cs="宋体"/>
          <w:sz w:val="20"/>
          <w:highlight w:val="none"/>
        </w:rPr>
        <w:t>本</w:t>
      </w:r>
      <w:r>
        <w:rPr>
          <w:rFonts w:hint="eastAsia" w:ascii="宋体" w:hAnsi="宋体" w:cs="宋体"/>
          <w:sz w:val="20"/>
          <w:highlight w:val="none"/>
          <w:lang w:val="en-US" w:eastAsia="zh-CN"/>
        </w:rPr>
        <w:t>项目可</w:t>
      </w:r>
      <w:r>
        <w:rPr>
          <w:rFonts w:ascii="宋体" w:hAnsi="宋体" w:eastAsia="宋体" w:cs="宋体"/>
          <w:sz w:val="20"/>
          <w:szCs w:val="20"/>
        </w:rPr>
        <w:t>按照合同约定收取一定比例保证金，具体以合同约定为准</w:t>
      </w:r>
      <w:r>
        <w:rPr>
          <w:rFonts w:hint="eastAsia" w:ascii="宋体" w:hAnsi="宋体" w:cs="宋体"/>
          <w:sz w:val="20"/>
          <w:highlight w:val="none"/>
        </w:rPr>
        <w:t>，质量保证金在合同期内不计利息，待合同履行完毕，所维修的设备质保期内运行稳定无故障，乙方向甲方提交相应金额的收据及设备使用单位的使用情况说明，经甲方依照财务制度审核无误后</w:t>
      </w:r>
      <w:r>
        <w:rPr>
          <w:rFonts w:hint="eastAsia" w:ascii="宋体" w:hAnsi="宋体" w:cs="宋体"/>
          <w:sz w:val="20"/>
          <w:highlight w:val="none"/>
          <w:u w:val="single"/>
        </w:rPr>
        <w:t xml:space="preserve"> </w:t>
      </w:r>
      <w:r>
        <w:rPr>
          <w:rFonts w:ascii="宋体" w:hAnsi="宋体" w:cs="宋体"/>
          <w:sz w:val="20"/>
          <w:highlight w:val="none"/>
          <w:u w:val="single"/>
        </w:rPr>
        <w:t xml:space="preserve">30 </w:t>
      </w:r>
      <w:r>
        <w:rPr>
          <w:rFonts w:hint="eastAsia" w:ascii="宋体" w:hAnsi="宋体" w:cs="宋体"/>
          <w:sz w:val="20"/>
          <w:highlight w:val="none"/>
        </w:rPr>
        <w:t>日内支付；如有质量问题，质量保证金予以扣除。</w:t>
      </w:r>
    </w:p>
    <w:p>
      <w:pPr>
        <w:pStyle w:val="4"/>
        <w:spacing w:line="360" w:lineRule="auto"/>
        <w:ind w:firstLine="422" w:firstLineChars="200"/>
        <w:rPr>
          <w:b/>
        </w:rPr>
      </w:pPr>
      <w:r>
        <w:rPr>
          <w:rFonts w:hint="eastAsia"/>
          <w:b/>
        </w:rPr>
        <w:t>5.技术规范及服务</w:t>
      </w:r>
    </w:p>
    <w:p>
      <w:pPr>
        <w:pStyle w:val="4"/>
        <w:spacing w:line="360" w:lineRule="auto"/>
        <w:ind w:firstLine="420" w:firstLineChars="200"/>
      </w:pPr>
      <w:r>
        <w:rPr>
          <w:rFonts w:hint="eastAsia"/>
        </w:rPr>
        <w:t>⑴投标人应与招标人指派的答疑人员充分沟通，理解认可并接受相关技术规范及服务要求；</w:t>
      </w:r>
    </w:p>
    <w:p>
      <w:pPr>
        <w:pStyle w:val="4"/>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pPr>
        <w:pStyle w:val="4"/>
        <w:spacing w:line="360" w:lineRule="auto"/>
        <w:ind w:firstLine="422" w:firstLineChars="200"/>
        <w:rPr>
          <w:b/>
        </w:rPr>
      </w:pPr>
      <w:r>
        <w:rPr>
          <w:rFonts w:hint="eastAsia"/>
          <w:b/>
        </w:rPr>
        <w:t>6.其他</w:t>
      </w:r>
    </w:p>
    <w:p>
      <w:pPr>
        <w:spacing w:line="360" w:lineRule="auto"/>
        <w:ind w:firstLine="420" w:firstLineChars="200"/>
        <w:rPr>
          <w:rFonts w:ascii="宋体" w:hAnsi="Courier New" w:eastAsia="宋体" w:cs="Times New Roman"/>
          <w:szCs w:val="20"/>
        </w:rPr>
      </w:pPr>
      <w:r>
        <w:rPr>
          <w:rFonts w:hint="eastAsia" w:ascii="宋体" w:hAnsi="Courier New" w:eastAsia="宋体" w:cs="Times New Roman"/>
          <w:szCs w:val="20"/>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pPr>
        <w:pStyle w:val="4"/>
        <w:spacing w:line="360" w:lineRule="auto"/>
        <w:ind w:firstLine="420" w:firstLineChars="200"/>
      </w:pPr>
      <w:r>
        <w:rPr>
          <w:rFonts w:hint="eastAsia"/>
        </w:rPr>
        <w:t>其余未尽事宜，均按合同约定。</w:t>
      </w:r>
    </w:p>
    <w:p>
      <w:pPr>
        <w:pStyle w:val="4"/>
        <w:spacing w:line="360" w:lineRule="auto"/>
        <w:ind w:firstLine="422" w:firstLineChars="200"/>
        <w:rPr>
          <w:b/>
        </w:rPr>
      </w:pPr>
      <w:r>
        <w:rPr>
          <w:rFonts w:hint="eastAsia"/>
          <w:b/>
        </w:rPr>
        <w:t>7.要求招标人或相关合同签订单位提供的配合，在标书文件中说明。</w:t>
      </w:r>
    </w:p>
    <w:p>
      <w:pPr>
        <w:pStyle w:val="4"/>
        <w:spacing w:line="360" w:lineRule="auto"/>
        <w:rPr>
          <w:rFonts w:ascii="黑体" w:eastAsia="黑体"/>
          <w:b/>
          <w:bCs/>
          <w:sz w:val="28"/>
        </w:rPr>
      </w:pPr>
      <w:r>
        <w:rPr>
          <w:rFonts w:hint="eastAsia" w:ascii="黑体" w:eastAsia="黑体"/>
          <w:b/>
          <w:bCs/>
          <w:sz w:val="28"/>
        </w:rPr>
        <w:t>七、投标、开标、评标</w:t>
      </w:r>
    </w:p>
    <w:p>
      <w:pPr>
        <w:spacing w:line="360" w:lineRule="auto"/>
        <w:ind w:firstLine="420" w:firstLineChars="200"/>
        <w:rPr>
          <w:rFonts w:ascii="宋体" w:hAnsi="Courier New"/>
        </w:rPr>
      </w:pPr>
      <w:r>
        <w:rPr>
          <w:rFonts w:hint="eastAsia" w:ascii="宋体" w:hAnsi="Courier New"/>
        </w:rPr>
        <w:t>1.投标保证金：</w:t>
      </w:r>
    </w:p>
    <w:p>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5</w:t>
      </w:r>
      <w:r>
        <w:rPr>
          <w:rFonts w:ascii="宋体" w:hAnsi="Courier New"/>
          <w:u w:val="single"/>
        </w:rPr>
        <w:t>000</w:t>
      </w:r>
      <w:r>
        <w:rPr>
          <w:rFonts w:hint="eastAsia" w:ascii="宋体" w:hAnsi="Courier New"/>
          <w:u w:val="single"/>
        </w:rPr>
        <w:t>元</w:t>
      </w:r>
      <w:r>
        <w:rPr>
          <w:rFonts w:hint="eastAsia" w:ascii="宋体" w:hAnsi="Courier New"/>
        </w:rPr>
        <w:t>（人民币），作为投标人本次投标的保证金。</w:t>
      </w:r>
    </w:p>
    <w:p>
      <w:pPr>
        <w:spacing w:line="360" w:lineRule="auto"/>
        <w:ind w:firstLine="420" w:firstLineChars="200"/>
        <w:rPr>
          <w:rFonts w:hint="eastAsia"/>
          <w:szCs w:val="22"/>
          <w:highlight w:val="none"/>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szCs w:val="22"/>
          <w:highlight w:val="none"/>
          <w:lang w:val="en-US" w:eastAsia="zh-CN"/>
        </w:rPr>
        <w:t>全自动双悬臂测量机搬迁+投标单位</w:t>
      </w:r>
      <w:r>
        <w:rPr>
          <w:rFonts w:hint="eastAsia"/>
          <w:szCs w:val="22"/>
          <w:highlight w:val="none"/>
        </w:rPr>
        <w:t>”</w:t>
      </w:r>
    </w:p>
    <w:p>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接收单位：中国重型汽车集团有限公司；</w:t>
      </w:r>
    </w:p>
    <w:p>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9"/>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bottom"/>
          </w:tcPr>
          <w:p>
            <w:pPr>
              <w:keepNext w:val="0"/>
              <w:keepLines w:val="0"/>
              <w:widowControl/>
              <w:suppressLineNumbers w:val="0"/>
              <w:jc w:val="left"/>
              <w:textAlignment w:val="bottom"/>
              <w:rPr>
                <w:rFonts w:ascii="宋体" w:hAnsi="Courier New"/>
              </w:rPr>
            </w:pPr>
            <w:r>
              <w:rPr>
                <w:rFonts w:hint="default" w:ascii="Arial" w:hAnsi="Arial" w:eastAsia="宋体" w:cs="Arial"/>
                <w:i w:val="0"/>
                <w:iCs w:val="0"/>
                <w:color w:val="000000"/>
                <w:kern w:val="0"/>
                <w:sz w:val="20"/>
                <w:szCs w:val="20"/>
                <w:u w:val="none"/>
                <w:lang w:val="en-US" w:eastAsia="zh-CN" w:bidi="ar"/>
              </w:rPr>
              <w:t>账号：2312 0272 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bottom"/>
          </w:tcPr>
          <w:p>
            <w:pPr>
              <w:keepNext w:val="0"/>
              <w:keepLines w:val="0"/>
              <w:widowControl/>
              <w:suppressLineNumbers w:val="0"/>
              <w:jc w:val="left"/>
              <w:textAlignment w:val="bottom"/>
              <w:rPr>
                <w:rFonts w:ascii="宋体" w:hAnsi="Courier New"/>
              </w:rPr>
            </w:pPr>
            <w:r>
              <w:rPr>
                <w:rFonts w:hint="default" w:ascii="Arial" w:hAnsi="Arial" w:eastAsia="宋体" w:cs="Arial"/>
                <w:i w:val="0"/>
                <w:iCs w:val="0"/>
                <w:color w:val="000000"/>
                <w:kern w:val="0"/>
                <w:sz w:val="20"/>
                <w:szCs w:val="20"/>
                <w:u w:val="none"/>
                <w:lang w:val="en-US" w:eastAsia="zh-CN" w:bidi="ar"/>
              </w:rPr>
              <w:t>开户行名称：中国银行股份有限公司济宁分行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bottom"/>
          </w:tcPr>
          <w:p>
            <w:pPr>
              <w:keepNext w:val="0"/>
              <w:keepLines w:val="0"/>
              <w:widowControl/>
              <w:suppressLineNumbers w:val="0"/>
              <w:jc w:val="left"/>
              <w:textAlignment w:val="bottom"/>
              <w:rPr>
                <w:rFonts w:ascii="宋体" w:hAnsi="Courier New"/>
              </w:rPr>
            </w:pPr>
            <w:r>
              <w:rPr>
                <w:rFonts w:hint="default" w:ascii="Arial" w:hAnsi="Arial" w:eastAsia="宋体" w:cs="Arial"/>
                <w:i w:val="0"/>
                <w:iCs w:val="0"/>
                <w:color w:val="000000"/>
                <w:kern w:val="0"/>
                <w:sz w:val="20"/>
                <w:szCs w:val="20"/>
                <w:u w:val="none"/>
                <w:lang w:val="en-US" w:eastAsia="zh-CN" w:bidi="ar"/>
              </w:rPr>
              <w:t>开户行行号：104461000020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bottom"/>
          </w:tcPr>
          <w:p>
            <w:pPr>
              <w:keepNext w:val="0"/>
              <w:keepLines w:val="0"/>
              <w:widowControl/>
              <w:suppressLineNumbers w:val="0"/>
              <w:jc w:val="left"/>
              <w:textAlignment w:val="bottom"/>
              <w:rPr>
                <w:rFonts w:ascii="宋体" w:hAnsi="Courier New"/>
              </w:rPr>
            </w:pPr>
            <w:r>
              <w:rPr>
                <w:rFonts w:hint="default" w:ascii="Arial" w:hAnsi="Arial" w:eastAsia="宋体" w:cs="Arial"/>
                <w:i w:val="0"/>
                <w:iCs w:val="0"/>
                <w:color w:val="000000"/>
                <w:kern w:val="0"/>
                <w:sz w:val="20"/>
                <w:szCs w:val="20"/>
                <w:u w:val="none"/>
                <w:lang w:val="en-US" w:eastAsia="zh-CN" w:bidi="ar"/>
              </w:rPr>
              <w:t>账户名称：中国重汽集团济宁商用车有限公司</w:t>
            </w:r>
          </w:p>
        </w:tc>
      </w:tr>
    </w:tbl>
    <w:p>
      <w:pPr>
        <w:spacing w:line="360" w:lineRule="auto"/>
        <w:ind w:firstLine="420" w:firstLineChars="200"/>
        <w:rPr>
          <w:rFonts w:hint="default" w:ascii="宋体" w:hAnsi="Courier New" w:eastAsia="宋体"/>
          <w:lang w:val="en-US" w:eastAsia="zh-CN"/>
        </w:rPr>
      </w:pPr>
      <w:r>
        <w:rPr>
          <w:rFonts w:hint="eastAsia" w:ascii="宋体" w:hAnsi="Courier New"/>
        </w:rPr>
        <w:t>⑸保证金截止时间：</w:t>
      </w:r>
      <w:r>
        <w:rPr>
          <w:rFonts w:hint="eastAsia" w:ascii="宋体" w:hAnsi="Courier New"/>
          <w:lang w:val="en-US" w:eastAsia="zh-CN"/>
        </w:rPr>
        <w:t>同投标截止时间</w:t>
      </w:r>
    </w:p>
    <w:p>
      <w:pPr>
        <w:spacing w:line="360" w:lineRule="auto"/>
        <w:ind w:firstLine="420" w:firstLineChars="200"/>
        <w:rPr>
          <w:rFonts w:ascii="宋体" w:hAnsi="Courier New"/>
        </w:rPr>
      </w:pPr>
      <w:r>
        <w:rPr>
          <w:rFonts w:hint="eastAsia" w:ascii="宋体" w:hAnsi="Courier New"/>
        </w:rPr>
        <w:t>⑹说明：</w:t>
      </w:r>
    </w:p>
    <w:p>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pPr>
        <w:spacing w:line="360" w:lineRule="auto"/>
        <w:ind w:firstLine="420" w:firstLineChars="200"/>
        <w:rPr>
          <w:rFonts w:ascii="宋体" w:hAnsi="Courier New"/>
        </w:rPr>
      </w:pPr>
      <w:r>
        <w:rPr>
          <w:rFonts w:hint="eastAsia" w:ascii="宋体" w:hAnsi="Courier New"/>
        </w:rPr>
        <w:t>(c)发生以下情况时，项目实施单位有权没收保证金：</w:t>
      </w:r>
    </w:p>
    <w:p>
      <w:pPr>
        <w:spacing w:line="360" w:lineRule="auto"/>
        <w:ind w:left="1260" w:leftChars="400" w:hanging="420" w:hangingChars="200"/>
        <w:rPr>
          <w:rFonts w:ascii="宋体" w:hAnsi="Courier New"/>
        </w:rPr>
      </w:pPr>
      <w:r>
        <w:rPr>
          <w:rFonts w:hint="eastAsia" w:ascii="宋体" w:hAnsi="Courier New"/>
        </w:rPr>
        <w:t>a）截至开标前3天，投标人无正当理由且未以书面形式递交说明而在投标截止日不来投标的；</w:t>
      </w:r>
    </w:p>
    <w:p>
      <w:pPr>
        <w:spacing w:line="360" w:lineRule="auto"/>
        <w:ind w:left="420" w:leftChars="200" w:firstLine="420" w:firstLineChars="200"/>
        <w:rPr>
          <w:rFonts w:ascii="宋体" w:hAnsi="Courier New"/>
        </w:rPr>
      </w:pPr>
      <w:r>
        <w:rPr>
          <w:rFonts w:hint="eastAsia" w:ascii="宋体" w:hAnsi="Courier New"/>
        </w:rPr>
        <w:t>b）投标人递送投标文件后，无正当理由放弃投标的；</w:t>
      </w:r>
    </w:p>
    <w:p>
      <w:pPr>
        <w:spacing w:line="360" w:lineRule="auto"/>
        <w:ind w:left="420" w:leftChars="200" w:firstLine="420" w:firstLineChars="200"/>
        <w:rPr>
          <w:rFonts w:ascii="宋体" w:hAnsi="Courier New"/>
        </w:rPr>
      </w:pPr>
      <w:r>
        <w:rPr>
          <w:rFonts w:hint="eastAsia" w:ascii="宋体" w:hAnsi="Courier New"/>
        </w:rPr>
        <w:t>c）自中标通知书发出之日起30日内，中标人无正当理由不签订合同的；</w:t>
      </w:r>
    </w:p>
    <w:p>
      <w:pPr>
        <w:spacing w:line="360" w:lineRule="auto"/>
        <w:ind w:left="420" w:leftChars="200" w:firstLine="420" w:firstLineChars="200"/>
        <w:rPr>
          <w:rFonts w:ascii="宋体" w:hAnsi="Courier New"/>
        </w:rPr>
      </w:pPr>
      <w:r>
        <w:rPr>
          <w:rFonts w:hint="eastAsia" w:ascii="宋体" w:hAnsi="Courier New"/>
        </w:rPr>
        <w:t>d）投标人在投标过程中被查实有串标、围标、陪标等违规违纪行为的；</w:t>
      </w:r>
    </w:p>
    <w:p>
      <w:pPr>
        <w:spacing w:line="360" w:lineRule="auto"/>
        <w:ind w:left="1050" w:leftChars="400" w:hanging="210" w:hangingChars="100"/>
        <w:rPr>
          <w:rFonts w:ascii="宋体" w:hAnsi="Courier New"/>
        </w:rPr>
      </w:pPr>
      <w:r>
        <w:rPr>
          <w:rFonts w:hint="eastAsia" w:ascii="宋体" w:hAnsi="Courier New"/>
        </w:rPr>
        <w:t>e）投标人有违约违规行为或被投诉、举报的，在调查处理期间，保证金暂不退还，待调查处理结束后按有关规定处理。</w:t>
      </w:r>
    </w:p>
    <w:p>
      <w:pPr>
        <w:spacing w:line="360" w:lineRule="auto"/>
        <w:ind w:firstLine="420" w:firstLineChars="200"/>
        <w:rPr>
          <w:rFonts w:ascii="宋体" w:hAnsi="Courier New"/>
        </w:rPr>
      </w:pPr>
      <w:r>
        <w:rPr>
          <w:rFonts w:hint="eastAsia" w:ascii="宋体" w:hAnsi="Courier New"/>
        </w:rPr>
        <w:t>2.开标</w:t>
      </w:r>
    </w:p>
    <w:p>
      <w:pPr>
        <w:pStyle w:val="4"/>
        <w:spacing w:line="360" w:lineRule="auto"/>
        <w:ind w:firstLine="420" w:firstLineChars="200"/>
      </w:pPr>
      <w:r>
        <w:rPr>
          <w:rFonts w:hint="eastAsia"/>
        </w:rPr>
        <w:t>（1）本次招标的开标、评标由招标人依法组织实施，本次招标采用技术标和商务标分级开标的模式。</w:t>
      </w:r>
    </w:p>
    <w:p>
      <w:pPr>
        <w:pStyle w:val="4"/>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pPr>
        <w:pStyle w:val="4"/>
        <w:spacing w:line="360" w:lineRule="auto"/>
        <w:ind w:firstLine="420" w:firstLineChars="200"/>
      </w:pPr>
      <w:r>
        <w:rPr>
          <w:rFonts w:hint="eastAsia"/>
        </w:rPr>
        <w:t>（3）开标程序</w:t>
      </w:r>
    </w:p>
    <w:p>
      <w:pPr>
        <w:pStyle w:val="4"/>
        <w:spacing w:line="360" w:lineRule="auto"/>
        <w:ind w:firstLine="420" w:firstLineChars="200"/>
      </w:pPr>
      <w:r>
        <w:rPr>
          <w:rFonts w:hint="eastAsia"/>
        </w:rPr>
        <w:t>（a）宣布开标会议开始。</w:t>
      </w:r>
    </w:p>
    <w:p>
      <w:pPr>
        <w:pStyle w:val="4"/>
        <w:spacing w:line="360" w:lineRule="auto"/>
        <w:ind w:firstLine="420" w:firstLineChars="200"/>
      </w:pPr>
      <w:r>
        <w:rPr>
          <w:rFonts w:hint="eastAsia"/>
        </w:rPr>
        <w:t>（b）介绍与会人员。</w:t>
      </w:r>
    </w:p>
    <w:p>
      <w:pPr>
        <w:pStyle w:val="4"/>
        <w:spacing w:line="360" w:lineRule="auto"/>
        <w:ind w:firstLine="420" w:firstLineChars="200"/>
      </w:pPr>
      <w:r>
        <w:rPr>
          <w:rFonts w:hint="eastAsia"/>
        </w:rPr>
        <w:t>（c）核验投标人资格证件。</w:t>
      </w:r>
    </w:p>
    <w:p>
      <w:pPr>
        <w:pStyle w:val="4"/>
        <w:spacing w:line="360" w:lineRule="auto"/>
        <w:ind w:firstLine="420" w:firstLineChars="200"/>
      </w:pPr>
      <w:r>
        <w:rPr>
          <w:rFonts w:hint="eastAsia"/>
        </w:rPr>
        <w:t>（d）投标人或投标人推选的代表对投标文件密封情况进行检查（投标人未参加开标会议的，视同认可投标文件密封完好）。</w:t>
      </w:r>
    </w:p>
    <w:p>
      <w:pPr>
        <w:pStyle w:val="4"/>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pPr>
        <w:pStyle w:val="4"/>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pPr>
        <w:spacing w:line="360" w:lineRule="auto"/>
        <w:ind w:firstLine="420" w:firstLineChars="200"/>
        <w:rPr>
          <w:rFonts w:hint="eastAsia"/>
        </w:rPr>
      </w:pPr>
      <w:r>
        <w:rPr>
          <w:rFonts w:hint="eastAsia"/>
        </w:rPr>
        <w:t>（g）技术标评分不带入商务标，按照评标合理最低价选择中标厂家。</w:t>
      </w:r>
    </w:p>
    <w:p>
      <w:pPr>
        <w:spacing w:line="360" w:lineRule="auto"/>
        <w:ind w:firstLine="420" w:firstLineChars="200"/>
        <w:rPr>
          <w:rFonts w:hint="eastAsia"/>
        </w:rPr>
      </w:pPr>
      <w:r>
        <w:rPr>
          <w:rFonts w:hint="eastAsia"/>
        </w:rPr>
        <w:t>（h）招标人有权根据项目情况，采取多级评标模式，最终确定投标人排序。</w:t>
      </w:r>
    </w:p>
    <w:p>
      <w:pPr>
        <w:spacing w:line="360" w:lineRule="auto"/>
        <w:ind w:firstLine="420" w:firstLineChars="200"/>
        <w:rPr>
          <w:rFonts w:hint="eastAsia"/>
        </w:rPr>
      </w:pPr>
      <w:r>
        <w:rPr>
          <w:rFonts w:hint="eastAsia"/>
        </w:rPr>
        <w:t>（i）投标前请各投标方按照招标文件要求对项目方案进行充分准备，投标单位已默认认可上述开标、评标过程，无异议。招标人无义务对未入围投标方及未中标方做任何解释。</w:t>
      </w:r>
    </w:p>
    <w:p>
      <w:pPr>
        <w:spacing w:line="360" w:lineRule="auto"/>
        <w:ind w:firstLine="420" w:firstLineChars="200"/>
        <w:rPr>
          <w:rFonts w:ascii="宋体" w:hAnsi="Courier New"/>
        </w:rPr>
      </w:pPr>
      <w:r>
        <w:rPr>
          <w:rFonts w:hint="eastAsia"/>
        </w:rPr>
        <w:t>(4)所有报价货币单位均为价货币单位均为：元（人民币，不含税）,税率（</w:t>
      </w:r>
      <w:r>
        <w:rPr>
          <w:rFonts w:hint="eastAsia"/>
          <w:lang w:val="en-US" w:eastAsia="zh-CN"/>
        </w:rPr>
        <w:t>13</w:t>
      </w:r>
      <w:r>
        <w:rPr>
          <w:rFonts w:hint="eastAsia"/>
        </w:rPr>
        <w:t>%），元（人民币，含税）。所有项目单价</w:t>
      </w:r>
      <w:r>
        <w:rPr>
          <w:rFonts w:hint="eastAsia"/>
          <w:lang w:val="en-US" w:eastAsia="zh-CN"/>
        </w:rPr>
        <w:t>报价不得高于项目基价</w:t>
      </w:r>
      <w:r>
        <w:rPr>
          <w:rFonts w:hint="eastAsia"/>
        </w:rPr>
        <w:t>。项目限价43.257961万元。</w:t>
      </w:r>
      <w:r>
        <w:rPr>
          <w:rFonts w:hint="eastAsia" w:ascii="宋体" w:hAnsi="Courier New"/>
        </w:rPr>
        <w:t>3.评标</w:t>
      </w:r>
    </w:p>
    <w:p>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采用合理最低价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本项目采用多级评标模式，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pPr>
        <w:spacing w:line="360" w:lineRule="auto"/>
        <w:ind w:firstLine="422" w:firstLineChars="200"/>
      </w:pPr>
      <w:r>
        <w:rPr>
          <w:rFonts w:hint="eastAsia" w:ascii="宋体" w:hAnsi="Courier New" w:eastAsia="宋体" w:cs="Times New Roman"/>
          <w:b/>
          <w:szCs w:val="20"/>
        </w:rPr>
        <w:t>本次评标只产生一名中标人</w:t>
      </w:r>
      <w:r>
        <w:rPr>
          <w:rFonts w:hint="eastAsia" w:ascii="宋体" w:hAnsi="Courier New" w:eastAsia="宋体" w:cs="Times New Roman"/>
          <w:b/>
          <w:szCs w:val="20"/>
          <w:lang w:eastAsia="zh-CN"/>
        </w:rPr>
        <w:t>，</w:t>
      </w:r>
      <w:r>
        <w:rPr>
          <w:rFonts w:hint="eastAsia" w:ascii="宋体" w:hAnsi="Courier New" w:eastAsia="宋体" w:cs="Times New Roman"/>
          <w:b/>
          <w:szCs w:val="20"/>
          <w:lang w:val="en-US" w:eastAsia="zh-CN"/>
        </w:rPr>
        <w:t>项目合理最低价者中标</w:t>
      </w:r>
      <w:r>
        <w:rPr>
          <w:rFonts w:hint="eastAsia" w:ascii="宋体" w:hAnsi="Courier New" w:eastAsia="宋体" w:cs="Times New Roman"/>
          <w:b/>
          <w:szCs w:val="20"/>
        </w:rPr>
        <w:t>。</w:t>
      </w:r>
      <w:r>
        <w:rPr>
          <w:rFonts w:hint="eastAsia" w:ascii="宋体" w:hAnsi="Courier New"/>
          <w:b/>
        </w:rPr>
        <w:br w:type="page"/>
      </w:r>
    </w:p>
    <w:p>
      <w:pPr>
        <w:pStyle w:val="4"/>
        <w:numPr>
          <w:ilvl w:val="0"/>
          <w:numId w:val="2"/>
        </w:numPr>
        <w:spacing w:line="360" w:lineRule="auto"/>
        <w:ind w:firstLine="420" w:firstLineChars="200"/>
        <w:rPr>
          <w:rFonts w:hAnsi="宋体"/>
          <w:szCs w:val="21"/>
        </w:rPr>
      </w:pPr>
      <w:r>
        <w:rPr>
          <w:rFonts w:hint="eastAsia" w:hAnsi="宋体"/>
          <w:szCs w:val="21"/>
        </w:rPr>
        <w:t>评分标准</w:t>
      </w:r>
      <w:r>
        <w:rPr>
          <w:rFonts w:hint="eastAsia" w:hAnsi="宋体"/>
          <w:szCs w:val="21"/>
          <w:lang w:eastAsia="zh-CN"/>
        </w:rPr>
        <w:t>、</w:t>
      </w:r>
    </w:p>
    <w:tbl>
      <w:tblPr>
        <w:tblStyle w:val="9"/>
        <w:tblpPr w:leftFromText="180" w:rightFromText="180" w:vertAnchor="text" w:horzAnchor="page" w:tblpX="1622" w:tblpY="898"/>
        <w:tblOverlap w:val="never"/>
        <w:tblW w:w="4875" w:type="pct"/>
        <w:tblInd w:w="0" w:type="dxa"/>
        <w:tblLayout w:type="fixed"/>
        <w:tblCellMar>
          <w:top w:w="0" w:type="dxa"/>
          <w:left w:w="0" w:type="dxa"/>
          <w:bottom w:w="0" w:type="dxa"/>
          <w:right w:w="0" w:type="dxa"/>
        </w:tblCellMar>
      </w:tblPr>
      <w:tblGrid>
        <w:gridCol w:w="611"/>
        <w:gridCol w:w="495"/>
        <w:gridCol w:w="479"/>
        <w:gridCol w:w="674"/>
        <w:gridCol w:w="6608"/>
      </w:tblGrid>
      <w:tr>
        <w:tblPrEx>
          <w:tblCellMar>
            <w:top w:w="0" w:type="dxa"/>
            <w:left w:w="0" w:type="dxa"/>
            <w:bottom w:w="0" w:type="dxa"/>
            <w:right w:w="0" w:type="dxa"/>
          </w:tblCellMar>
        </w:tblPrEx>
        <w:trPr>
          <w:cantSplit/>
          <w:trHeight w:val="79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kern w:val="0"/>
                <w:szCs w:val="21"/>
              </w:rPr>
            </w:pPr>
            <w:r>
              <w:rPr>
                <w:rFonts w:hint="eastAsia" w:ascii="宋体" w:cs="宋体"/>
                <w:kern w:val="0"/>
                <w:szCs w:val="21"/>
              </w:rPr>
              <w:t>评标</w:t>
            </w:r>
          </w:p>
          <w:p>
            <w:pPr>
              <w:widowControl/>
              <w:jc w:val="center"/>
              <w:textAlignment w:val="center"/>
              <w:rPr>
                <w:rFonts w:ascii="宋体" w:cs="宋体"/>
                <w:szCs w:val="21"/>
              </w:rPr>
            </w:pPr>
            <w:r>
              <w:rPr>
                <w:rFonts w:hint="eastAsia" w:ascii="宋体" w:cs="宋体"/>
                <w:kern w:val="0"/>
                <w:szCs w:val="21"/>
              </w:rPr>
              <w:t>因素</w:t>
            </w:r>
          </w:p>
        </w:tc>
        <w:tc>
          <w:tcPr>
            <w:tcW w:w="279"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总分</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评价内容</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kern w:val="0"/>
                <w:szCs w:val="21"/>
              </w:rPr>
            </w:pPr>
            <w:r>
              <w:rPr>
                <w:rFonts w:hint="eastAsia" w:ascii="宋体" w:cs="宋体"/>
                <w:kern w:val="0"/>
                <w:szCs w:val="21"/>
              </w:rPr>
              <w:t>最高</w:t>
            </w:r>
          </w:p>
          <w:p>
            <w:pPr>
              <w:widowControl/>
              <w:jc w:val="center"/>
              <w:textAlignment w:val="center"/>
              <w:rPr>
                <w:rFonts w:ascii="宋体" w:cs="宋体"/>
                <w:szCs w:val="21"/>
              </w:rPr>
            </w:pPr>
            <w:r>
              <w:rPr>
                <w:rFonts w:hint="eastAsia" w:ascii="宋体" w:cs="宋体"/>
                <w:kern w:val="0"/>
                <w:szCs w:val="21"/>
              </w:rPr>
              <w:t>得分</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szCs w:val="21"/>
              </w:rPr>
            </w:pPr>
            <w:r>
              <w:rPr>
                <w:rFonts w:hint="eastAsia" w:ascii="宋体" w:cs="宋体"/>
                <w:kern w:val="0"/>
                <w:szCs w:val="21"/>
              </w:rPr>
              <w:t>评分标准</w:t>
            </w:r>
          </w:p>
        </w:tc>
      </w:tr>
      <w:tr>
        <w:tblPrEx>
          <w:tblCellMar>
            <w:top w:w="0" w:type="dxa"/>
            <w:left w:w="0" w:type="dxa"/>
            <w:bottom w:w="0" w:type="dxa"/>
            <w:right w:w="0" w:type="dxa"/>
          </w:tblCellMar>
        </w:tblPrEx>
        <w:trPr>
          <w:cantSplit/>
          <w:trHeight w:val="2531" w:hRule="atLeast"/>
        </w:trPr>
        <w:tc>
          <w:tcPr>
            <w:tcW w:w="344"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kern w:val="0"/>
                <w:szCs w:val="21"/>
                <w:highlight w:val="none"/>
              </w:rPr>
            </w:pPr>
            <w:r>
              <w:rPr>
                <w:rFonts w:hint="eastAsia" w:ascii="宋体" w:cs="宋体"/>
                <w:kern w:val="0"/>
                <w:szCs w:val="21"/>
                <w:highlight w:val="none"/>
              </w:rPr>
              <w:t>技术标</w:t>
            </w:r>
          </w:p>
        </w:tc>
        <w:tc>
          <w:tcPr>
            <w:tcW w:w="279"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pPr>
              <w:jc w:val="center"/>
              <w:rPr>
                <w:rFonts w:ascii="宋体" w:cs="宋体"/>
                <w:szCs w:val="21"/>
                <w:highlight w:val="none"/>
              </w:rPr>
            </w:pPr>
            <w:r>
              <w:rPr>
                <w:rFonts w:hint="eastAsia" w:ascii="宋体" w:cs="宋体"/>
                <w:szCs w:val="21"/>
                <w:highlight w:val="none"/>
                <w:lang w:val="en-US" w:eastAsia="zh-CN"/>
              </w:rPr>
              <w:t>10</w:t>
            </w:r>
            <w:r>
              <w:rPr>
                <w:rFonts w:hint="eastAsia" w:ascii="宋体" w:cs="宋体"/>
                <w:szCs w:val="21"/>
                <w:highlight w:val="none"/>
              </w:rPr>
              <w:t>0</w:t>
            </w: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shd w:val="clear" w:color="auto" w:fill="FFFFFF"/>
              <w:spacing w:line="300" w:lineRule="exact"/>
              <w:jc w:val="center"/>
              <w:rPr>
                <w:rFonts w:ascii="宋体" w:hAnsi="宋体" w:eastAsia="宋体" w:cs="宋体"/>
                <w:szCs w:val="20"/>
                <w:highlight w:val="none"/>
              </w:rPr>
            </w:pPr>
            <w:r>
              <w:rPr>
                <w:rFonts w:hint="eastAsia" w:ascii="宋体" w:hAnsi="宋体" w:eastAsia="宋体" w:cs="宋体"/>
                <w:szCs w:val="20"/>
                <w:highlight w:val="none"/>
              </w:rPr>
              <w:t>综合技术性能</w:t>
            </w:r>
          </w:p>
          <w:p>
            <w:pPr>
              <w:widowControl/>
              <w:shd w:val="clear" w:color="auto" w:fill="FFFFFF"/>
              <w:spacing w:line="300" w:lineRule="exact"/>
              <w:jc w:val="center"/>
              <w:rPr>
                <w:rFonts w:ascii="宋体" w:hAnsi="宋体" w:eastAsia="宋体" w:cs="宋体"/>
                <w:szCs w:val="20"/>
                <w:highlight w:val="none"/>
              </w:rPr>
            </w:pPr>
            <w:r>
              <w:rPr>
                <w:rFonts w:hint="eastAsia" w:ascii="宋体" w:hAnsi="宋体" w:eastAsia="宋体" w:cs="宋体"/>
                <w:szCs w:val="20"/>
                <w:highlight w:val="none"/>
              </w:rPr>
              <w:t>参数</w:t>
            </w:r>
          </w:p>
          <w:p>
            <w:pPr>
              <w:widowControl/>
              <w:jc w:val="center"/>
              <w:textAlignment w:val="center"/>
              <w:rPr>
                <w:rFonts w:ascii="宋体" w:cs="宋体"/>
                <w:szCs w:val="21"/>
                <w:highlight w:val="none"/>
              </w:rPr>
            </w:pP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jc w:val="center"/>
              <w:rPr>
                <w:rFonts w:hint="default" w:ascii="宋体" w:eastAsia="宋体" w:cs="宋体"/>
                <w:szCs w:val="21"/>
                <w:highlight w:val="none"/>
                <w:lang w:val="en-US" w:eastAsia="zh-CN"/>
              </w:rPr>
            </w:pPr>
            <w:r>
              <w:rPr>
                <w:rFonts w:hint="eastAsia" w:ascii="宋体" w:cs="宋体"/>
                <w:szCs w:val="21"/>
                <w:lang w:val="en-US" w:eastAsia="zh-CN"/>
              </w:rPr>
              <w:t>40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numPr>
                <w:ilvl w:val="0"/>
                <w:numId w:val="3"/>
              </w:numPr>
              <w:shd w:val="clear" w:color="auto" w:fill="FFFFFF"/>
              <w:spacing w:line="300" w:lineRule="exact"/>
              <w:jc w:val="left"/>
              <w:rPr>
                <w:rFonts w:ascii="宋体" w:hAnsi="宋体" w:cs="宋体"/>
              </w:rPr>
            </w:pPr>
            <w:r>
              <w:rPr>
                <w:rFonts w:hint="eastAsia" w:ascii="宋体" w:hAnsi="宋体" w:cs="宋体"/>
              </w:rPr>
              <w:t>投标人对项目中各类模块编写维修技术方案及组织措施具体，技术先进，并列出较多具备相关资质与经验的施工人员及维修设备，酌情得</w:t>
            </w:r>
            <w:r>
              <w:rPr>
                <w:rFonts w:hint="eastAsia" w:ascii="宋体" w:hAnsi="宋体" w:cs="宋体"/>
                <w:lang w:val="en-US" w:eastAsia="zh-CN"/>
              </w:rPr>
              <w:t>25</w:t>
            </w:r>
            <w:r>
              <w:rPr>
                <w:rFonts w:hint="eastAsia" w:ascii="宋体" w:hAnsi="宋体" w:cs="宋体"/>
              </w:rPr>
              <w:t>-</w:t>
            </w:r>
            <w:r>
              <w:rPr>
                <w:rFonts w:hint="eastAsia" w:ascii="宋体" w:hAnsi="宋体" w:cs="宋体"/>
                <w:lang w:val="en-US" w:eastAsia="zh-CN"/>
              </w:rPr>
              <w:t>40</w:t>
            </w:r>
            <w:r>
              <w:rPr>
                <w:rFonts w:hint="eastAsia" w:ascii="宋体" w:hAnsi="宋体" w:cs="宋体"/>
              </w:rPr>
              <w:t>分；</w:t>
            </w:r>
          </w:p>
          <w:p>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w:t>
            </w:r>
            <w:r>
              <w:rPr>
                <w:rFonts w:hint="eastAsia" w:ascii="宋体" w:hAnsi="宋体" w:cs="宋体"/>
                <w:lang w:val="en-US" w:eastAsia="zh-CN"/>
              </w:rPr>
              <w:t>10</w:t>
            </w:r>
            <w:r>
              <w:rPr>
                <w:rFonts w:hint="eastAsia" w:ascii="宋体" w:hAnsi="宋体" w:cs="宋体"/>
              </w:rPr>
              <w:t>-</w:t>
            </w:r>
            <w:r>
              <w:rPr>
                <w:rFonts w:hint="eastAsia" w:ascii="宋体" w:hAnsi="宋体" w:cs="宋体"/>
                <w:lang w:val="en-US" w:eastAsia="zh-CN"/>
              </w:rPr>
              <w:t>24</w:t>
            </w:r>
            <w:r>
              <w:rPr>
                <w:rFonts w:hint="eastAsia" w:ascii="宋体" w:hAnsi="宋体" w:cs="宋体"/>
              </w:rPr>
              <w:t>分；</w:t>
            </w:r>
          </w:p>
          <w:p>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pPr>
              <w:widowControl/>
              <w:jc w:val="left"/>
              <w:textAlignment w:val="center"/>
              <w:rPr>
                <w:rFonts w:ascii="宋体" w:cs="宋体"/>
                <w:szCs w:val="21"/>
                <w:highlight w:val="none"/>
              </w:rPr>
            </w:pPr>
            <w:r>
              <w:rPr>
                <w:rFonts w:hint="eastAsia" w:ascii="宋体" w:hAnsi="宋体" w:cs="宋体"/>
              </w:rPr>
              <w:t>注：资质文件需有相关资质证明，原件或复印件</w:t>
            </w:r>
          </w:p>
        </w:tc>
      </w:tr>
      <w:tr>
        <w:tblPrEx>
          <w:tblCellMar>
            <w:top w:w="0" w:type="dxa"/>
            <w:left w:w="0" w:type="dxa"/>
            <w:bottom w:w="0" w:type="dxa"/>
            <w:right w:w="0" w:type="dxa"/>
          </w:tblCellMar>
        </w:tblPrEx>
        <w:trPr>
          <w:cantSplit/>
          <w:trHeight w:val="1332"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pP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hint="eastAsia" w:ascii="宋体" w:cs="宋体"/>
                <w:szCs w:val="21"/>
                <w:highlight w:val="none"/>
              </w:rPr>
            </w:pPr>
            <w:r>
              <w:rPr>
                <w:rFonts w:hint="eastAsia" w:ascii="宋体" w:cs="宋体"/>
                <w:kern w:val="0"/>
                <w:szCs w:val="21"/>
                <w:highlight w:val="none"/>
              </w:rPr>
              <w:t>业绩</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jc w:val="center"/>
              <w:rPr>
                <w:rFonts w:hint="default" w:ascii="宋体" w:eastAsia="宋体" w:cs="宋体"/>
                <w:szCs w:val="21"/>
                <w:highlight w:val="none"/>
                <w:lang w:val="en-US" w:eastAsia="zh-CN"/>
              </w:rPr>
            </w:pPr>
            <w:r>
              <w:rPr>
                <w:rFonts w:hint="eastAsia" w:ascii="宋体" w:cs="宋体"/>
                <w:szCs w:val="21"/>
                <w:highlight w:val="none"/>
                <w:lang w:val="en-US" w:eastAsia="zh-CN"/>
              </w:rPr>
              <w:t>20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textAlignment w:val="center"/>
              <w:rPr>
                <w:rFonts w:hint="eastAsia" w:ascii="宋体" w:cs="宋体"/>
                <w:kern w:val="0"/>
                <w:szCs w:val="21"/>
                <w:highlight w:val="none"/>
              </w:rPr>
            </w:pPr>
            <w:r>
              <w:rPr>
                <w:rFonts w:hint="eastAsia" w:ascii="宋体" w:cs="宋体"/>
                <w:kern w:val="0"/>
                <w:szCs w:val="21"/>
                <w:highlight w:val="none"/>
              </w:rPr>
              <w:t>投标人在20</w:t>
            </w:r>
            <w:r>
              <w:rPr>
                <w:rFonts w:hint="eastAsia" w:ascii="宋体" w:cs="宋体"/>
                <w:kern w:val="0"/>
                <w:szCs w:val="21"/>
                <w:highlight w:val="none"/>
                <w:lang w:val="en-US" w:eastAsia="zh-CN"/>
              </w:rPr>
              <w:t>20</w:t>
            </w:r>
            <w:r>
              <w:rPr>
                <w:rFonts w:hint="eastAsia" w:ascii="宋体" w:cs="宋体"/>
                <w:kern w:val="0"/>
                <w:szCs w:val="21"/>
                <w:highlight w:val="none"/>
              </w:rPr>
              <w:t>年1月1日以来在中国与本标同类规格</w:t>
            </w:r>
            <w:r>
              <w:rPr>
                <w:rFonts w:hint="eastAsia" w:ascii="宋体" w:cs="宋体"/>
                <w:kern w:val="0"/>
                <w:szCs w:val="21"/>
                <w:highlight w:val="none"/>
                <w:lang w:val="en-US" w:eastAsia="zh-CN"/>
              </w:rPr>
              <w:t>服务</w:t>
            </w:r>
            <w:r>
              <w:rPr>
                <w:rFonts w:hint="eastAsia" w:ascii="宋体" w:cs="宋体"/>
                <w:kern w:val="0"/>
                <w:szCs w:val="21"/>
                <w:highlight w:val="none"/>
              </w:rPr>
              <w:t>的业绩，以合同</w:t>
            </w:r>
            <w:r>
              <w:rPr>
                <w:rFonts w:hint="eastAsia" w:ascii="Calibri" w:hAnsi="Calibri"/>
                <w:highlight w:val="none"/>
              </w:rPr>
              <w:t>复印件加盖公章为准（</w:t>
            </w:r>
            <w:r>
              <w:rPr>
                <w:rFonts w:hint="eastAsia" w:ascii="Calibri" w:hAnsi="Calibri"/>
                <w:bCs/>
                <w:highlight w:val="none"/>
              </w:rPr>
              <w:t>须有客户联系方式及联系人以供招标人核实确认）</w:t>
            </w:r>
            <w:r>
              <w:rPr>
                <w:rFonts w:ascii="宋体" w:cs="宋体"/>
                <w:szCs w:val="21"/>
                <w:highlight w:val="none"/>
              </w:rPr>
              <w:t>，</w:t>
            </w:r>
            <w:r>
              <w:rPr>
                <w:rFonts w:ascii="宋体" w:cs="宋体"/>
                <w:color w:val="FF0000"/>
                <w:szCs w:val="21"/>
                <w:highlight w:val="none"/>
              </w:rPr>
              <w:t>每个</w:t>
            </w:r>
            <w:r>
              <w:rPr>
                <w:rFonts w:hint="eastAsia" w:ascii="宋体" w:cs="宋体"/>
                <w:color w:val="FF0000"/>
                <w:szCs w:val="21"/>
                <w:highlight w:val="none"/>
                <w:lang w:val="en-US" w:eastAsia="zh-CN"/>
              </w:rPr>
              <w:t>大于5万元检测涉笔搬迁</w:t>
            </w:r>
            <w:r>
              <w:rPr>
                <w:rFonts w:ascii="宋体" w:cs="宋体"/>
                <w:color w:val="FF0000"/>
                <w:szCs w:val="21"/>
                <w:highlight w:val="none"/>
              </w:rPr>
              <w:t>合同</w:t>
            </w:r>
            <w:r>
              <w:rPr>
                <w:rFonts w:hint="eastAsia" w:ascii="宋体" w:cs="宋体"/>
                <w:color w:val="FF0000"/>
                <w:szCs w:val="21"/>
                <w:highlight w:val="none"/>
                <w:lang w:val="en-US" w:eastAsia="zh-CN"/>
              </w:rPr>
              <w:t>或年度框架合同</w:t>
            </w:r>
            <w:r>
              <w:rPr>
                <w:rFonts w:ascii="宋体" w:cs="宋体"/>
                <w:color w:val="FF0000"/>
                <w:szCs w:val="21"/>
                <w:highlight w:val="none"/>
              </w:rPr>
              <w:t>加</w:t>
            </w:r>
            <w:r>
              <w:rPr>
                <w:rFonts w:hint="eastAsia" w:ascii="宋体" w:cs="宋体"/>
                <w:color w:val="FF0000"/>
                <w:szCs w:val="21"/>
                <w:highlight w:val="none"/>
                <w:lang w:val="en-US" w:eastAsia="zh-CN"/>
              </w:rPr>
              <w:t>4</w:t>
            </w:r>
            <w:r>
              <w:rPr>
                <w:rFonts w:ascii="宋体" w:cs="宋体"/>
                <w:color w:val="FF0000"/>
                <w:szCs w:val="21"/>
                <w:highlight w:val="none"/>
              </w:rPr>
              <w:t>分，满分</w:t>
            </w:r>
            <w:r>
              <w:rPr>
                <w:rFonts w:hint="eastAsia" w:ascii="宋体" w:cs="宋体"/>
                <w:color w:val="FF0000"/>
                <w:szCs w:val="21"/>
                <w:highlight w:val="none"/>
                <w:lang w:val="en-US" w:eastAsia="zh-CN"/>
              </w:rPr>
              <w:t>20</w:t>
            </w:r>
            <w:r>
              <w:rPr>
                <w:rFonts w:ascii="宋体" w:cs="宋体"/>
                <w:color w:val="FF0000"/>
                <w:szCs w:val="21"/>
                <w:highlight w:val="none"/>
              </w:rPr>
              <w:t>分</w:t>
            </w:r>
            <w:r>
              <w:rPr>
                <w:rFonts w:ascii="宋体" w:cs="宋体"/>
                <w:szCs w:val="21"/>
                <w:highlight w:val="none"/>
              </w:rPr>
              <w:t>，</w:t>
            </w:r>
            <w:r>
              <w:rPr>
                <w:rFonts w:hint="eastAsia" w:ascii="宋体" w:cs="宋体"/>
                <w:szCs w:val="21"/>
                <w:highlight w:val="none"/>
                <w:lang w:val="en-US" w:eastAsia="zh-CN"/>
              </w:rPr>
              <w:t>低于5万元的合同视情况加1-3分/项</w:t>
            </w:r>
            <w:r>
              <w:rPr>
                <w:rFonts w:ascii="宋体" w:cs="宋体"/>
                <w:szCs w:val="21"/>
                <w:highlight w:val="none"/>
              </w:rPr>
              <w:t>。</w:t>
            </w:r>
          </w:p>
        </w:tc>
      </w:tr>
      <w:tr>
        <w:tblPrEx>
          <w:tblCellMar>
            <w:top w:w="0" w:type="dxa"/>
            <w:left w:w="0" w:type="dxa"/>
            <w:bottom w:w="0" w:type="dxa"/>
            <w:right w:w="0" w:type="dxa"/>
          </w:tblCellMar>
        </w:tblPrEx>
        <w:trPr>
          <w:cantSplit/>
          <w:trHeight w:val="631" w:hRule="atLeast"/>
        </w:trPr>
        <w:tc>
          <w:tcPr>
            <w:tcW w:w="344" w:type="pct"/>
            <w:vMerge w:val="continue"/>
            <w:tcBorders>
              <w:left w:val="single" w:color="auto" w:sz="4" w:space="0"/>
              <w:right w:val="single" w:color="auto" w:sz="4" w:space="0"/>
            </w:tcBorders>
            <w:noWrap/>
            <w:tcMar>
              <w:top w:w="12" w:type="dxa"/>
              <w:left w:w="12" w:type="dxa"/>
              <w:right w:w="12" w:type="dxa"/>
            </w:tcMar>
            <w:vAlign w:val="center"/>
          </w:tcPr>
          <w:p>
            <w:pPr>
              <w:rPr>
                <w:highlight w:val="none"/>
              </w:rPr>
            </w:pPr>
          </w:p>
        </w:tc>
        <w:tc>
          <w:tcPr>
            <w:tcW w:w="279" w:type="pct"/>
            <w:vMerge w:val="continue"/>
            <w:tcBorders>
              <w:left w:val="single" w:color="auto" w:sz="4" w:space="0"/>
              <w:right w:val="single" w:color="auto" w:sz="4" w:space="0"/>
            </w:tcBorders>
            <w:noWrap/>
            <w:tcMar>
              <w:top w:w="12" w:type="dxa"/>
              <w:left w:w="12" w:type="dxa"/>
              <w:right w:w="12" w:type="dxa"/>
            </w:tcMar>
            <w:vAlign w:val="center"/>
          </w:tcPr>
          <w:p>
            <w:pP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rPr>
            </w:pPr>
            <w:r>
              <w:rPr>
                <w:rFonts w:hint="eastAsia" w:ascii="宋体" w:hAnsi="宋体" w:eastAsia="宋体" w:cs="宋体"/>
              </w:rPr>
              <w:t>现场答疑</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hint="default" w:ascii="宋体" w:hAnsi="宋体" w:eastAsia="宋体" w:cs="宋体"/>
                <w:lang w:val="en-US" w:eastAsia="zh-CN"/>
              </w:rPr>
            </w:pPr>
            <w:r>
              <w:rPr>
                <w:rFonts w:hint="eastAsia" w:ascii="宋体" w:hAnsi="宋体" w:eastAsia="宋体" w:cs="宋体"/>
                <w:lang w:val="en-US" w:eastAsia="zh-CN"/>
              </w:rPr>
              <w:t>20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rPr>
            </w:pPr>
            <w:r>
              <w:rPr>
                <w:rFonts w:hint="eastAsia" w:ascii="宋体" w:hAnsi="宋体" w:eastAsia="宋体" w:cs="宋体"/>
              </w:rPr>
              <w:t>投标人代表对方案、技术优势的讲解，以及就该项目难点回答评标专家现场提问，评价好得</w:t>
            </w:r>
            <w:r>
              <w:rPr>
                <w:rFonts w:hint="eastAsia" w:ascii="宋体" w:hAnsi="宋体" w:eastAsia="宋体" w:cs="宋体"/>
                <w:lang w:val="en-US" w:eastAsia="zh-CN"/>
              </w:rPr>
              <w:t>14</w:t>
            </w:r>
            <w:r>
              <w:rPr>
                <w:rFonts w:hint="eastAsia" w:ascii="宋体" w:hAnsi="宋体" w:eastAsia="宋体" w:cs="宋体"/>
              </w:rPr>
              <w:t>-</w:t>
            </w:r>
            <w:r>
              <w:rPr>
                <w:rFonts w:hint="eastAsia" w:ascii="宋体" w:hAnsi="宋体" w:eastAsia="宋体" w:cs="宋体"/>
                <w:lang w:val="en-US" w:eastAsia="zh-CN"/>
              </w:rPr>
              <w:t>20</w:t>
            </w:r>
            <w:r>
              <w:rPr>
                <w:rFonts w:hint="eastAsia" w:ascii="宋体" w:hAnsi="宋体" w:eastAsia="宋体" w:cs="宋体"/>
              </w:rPr>
              <w:t>分、评价一般得</w:t>
            </w:r>
            <w:r>
              <w:rPr>
                <w:rFonts w:hint="eastAsia" w:ascii="宋体" w:hAnsi="宋体" w:eastAsia="宋体" w:cs="宋体"/>
                <w:lang w:val="en-US" w:eastAsia="zh-CN"/>
              </w:rPr>
              <w:t>6</w:t>
            </w:r>
            <w:r>
              <w:rPr>
                <w:rFonts w:hint="eastAsia" w:ascii="宋体" w:hAnsi="宋体" w:eastAsia="宋体" w:cs="宋体"/>
              </w:rPr>
              <w:t>-</w:t>
            </w:r>
            <w:r>
              <w:rPr>
                <w:rFonts w:hint="eastAsia" w:ascii="宋体" w:hAnsi="宋体" w:eastAsia="宋体" w:cs="宋体"/>
                <w:lang w:val="en-US" w:eastAsia="zh-CN"/>
              </w:rPr>
              <w:t>13</w:t>
            </w:r>
            <w:r>
              <w:rPr>
                <w:rFonts w:hint="eastAsia" w:ascii="宋体" w:hAnsi="宋体" w:eastAsia="宋体" w:cs="宋体"/>
              </w:rPr>
              <w:t>分；</w:t>
            </w:r>
          </w:p>
        </w:tc>
      </w:tr>
      <w:tr>
        <w:tblPrEx>
          <w:tblCellMar>
            <w:top w:w="0" w:type="dxa"/>
            <w:left w:w="0" w:type="dxa"/>
            <w:bottom w:w="0" w:type="dxa"/>
            <w:right w:w="0" w:type="dxa"/>
          </w:tblCellMar>
        </w:tblPrEx>
        <w:trPr>
          <w:cantSplit/>
          <w:trHeight w:val="676" w:hRule="atLeast"/>
        </w:trPr>
        <w:tc>
          <w:tcPr>
            <w:tcW w:w="34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rPr>
                <w:highlight w:val="none"/>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jc w:val="center"/>
              <w:rPr>
                <w:highlight w:val="none"/>
              </w:rPr>
            </w:pPr>
          </w:p>
        </w:tc>
        <w:tc>
          <w:tcPr>
            <w:tcW w:w="479"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lang w:val="en-US" w:eastAsia="zh-CN"/>
              </w:rPr>
            </w:pPr>
            <w:r>
              <w:rPr>
                <w:rFonts w:hint="eastAsia" w:ascii="宋体" w:hAnsi="宋体" w:eastAsia="宋体" w:cs="宋体"/>
              </w:rPr>
              <w:t>售后服务</w:t>
            </w:r>
          </w:p>
        </w:tc>
        <w:tc>
          <w:tcPr>
            <w:tcW w:w="674"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hint="default" w:ascii="宋体" w:hAnsi="宋体" w:eastAsia="宋体" w:cs="宋体"/>
                <w:lang w:val="en-US" w:eastAsia="zh-CN"/>
              </w:rPr>
            </w:pPr>
            <w:r>
              <w:rPr>
                <w:rFonts w:hint="eastAsia" w:ascii="宋体" w:hAnsi="宋体" w:eastAsia="宋体" w:cs="宋体"/>
                <w:lang w:val="en-US" w:eastAsia="zh-CN"/>
              </w:rPr>
              <w:t>10</w:t>
            </w:r>
          </w:p>
        </w:tc>
        <w:tc>
          <w:tcPr>
            <w:tcW w:w="6608" w:type="dxa"/>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lang w:val="en-US" w:eastAsia="zh-CN"/>
              </w:rPr>
            </w:pPr>
            <w:r>
              <w:rPr>
                <w:rFonts w:hint="eastAsia" w:ascii="宋体" w:hAnsi="宋体" w:eastAsia="宋体" w:cs="宋体"/>
              </w:rPr>
              <w:t>售后服务及时周到，有相应的服务承诺和具体的保证措施，对招标方人员的技术培训安排科学、合理、可行，酌情得1-</w:t>
            </w:r>
            <w:r>
              <w:rPr>
                <w:rFonts w:hint="eastAsia" w:ascii="宋体" w:hAnsi="宋体" w:eastAsia="宋体" w:cs="宋体"/>
                <w:lang w:val="en-US" w:eastAsia="zh-CN"/>
              </w:rPr>
              <w:t>10</w:t>
            </w:r>
            <w:r>
              <w:rPr>
                <w:rFonts w:hint="eastAsia" w:ascii="宋体" w:hAnsi="宋体" w:eastAsia="宋体" w:cs="宋体"/>
              </w:rPr>
              <w:t>分；</w:t>
            </w:r>
          </w:p>
        </w:tc>
      </w:tr>
      <w:tr>
        <w:tblPrEx>
          <w:tblCellMar>
            <w:top w:w="0" w:type="dxa"/>
            <w:left w:w="0" w:type="dxa"/>
            <w:bottom w:w="0" w:type="dxa"/>
            <w:right w:w="0" w:type="dxa"/>
          </w:tblCellMar>
        </w:tblPrEx>
        <w:trPr>
          <w:cantSplit/>
          <w:trHeight w:val="904" w:hRule="atLeast"/>
        </w:trPr>
        <w:tc>
          <w:tcPr>
            <w:tcW w:w="344"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rPr>
                <w:highlight w:val="none"/>
              </w:rPr>
            </w:pPr>
          </w:p>
        </w:tc>
        <w:tc>
          <w:tcPr>
            <w:tcW w:w="279" w:type="pct"/>
            <w:vMerge w:val="continue"/>
            <w:tcBorders>
              <w:left w:val="single" w:color="auto" w:sz="4" w:space="0"/>
              <w:bottom w:val="single" w:color="auto" w:sz="4" w:space="0"/>
              <w:right w:val="single" w:color="auto" w:sz="4" w:space="0"/>
            </w:tcBorders>
            <w:noWrap/>
            <w:tcMar>
              <w:top w:w="12" w:type="dxa"/>
              <w:left w:w="12" w:type="dxa"/>
              <w:right w:w="12" w:type="dxa"/>
            </w:tcMar>
            <w:vAlign w:val="center"/>
          </w:tcPr>
          <w:p>
            <w:pPr>
              <w:jc w:val="center"/>
              <w:rPr>
                <w:highlight w:val="none"/>
              </w:rPr>
            </w:pPr>
          </w:p>
        </w:tc>
        <w:tc>
          <w:tcPr>
            <w:tcW w:w="27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rPr>
            </w:pPr>
            <w:r>
              <w:rPr>
                <w:rFonts w:hint="eastAsia" w:ascii="宋体" w:hAnsi="宋体" w:eastAsia="宋体" w:cs="宋体"/>
              </w:rPr>
              <w:t>技术条款响应</w:t>
            </w:r>
          </w:p>
        </w:tc>
        <w:tc>
          <w:tcPr>
            <w:tcW w:w="380"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hint="default" w:ascii="宋体" w:hAnsi="宋体" w:eastAsia="宋体" w:cs="宋体"/>
                <w:lang w:val="en-US" w:eastAsia="zh-CN"/>
              </w:rPr>
            </w:pPr>
            <w:r>
              <w:rPr>
                <w:rFonts w:hint="eastAsia" w:ascii="宋体" w:hAnsi="宋体" w:eastAsia="宋体" w:cs="宋体"/>
                <w:lang w:val="en-US" w:eastAsia="zh-CN"/>
              </w:rPr>
              <w:t>10</w:t>
            </w: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hint="eastAsia" w:ascii="宋体" w:hAnsi="宋体" w:eastAsia="宋体" w:cs="宋体"/>
              </w:rPr>
            </w:pPr>
            <w:r>
              <w:rPr>
                <w:rFonts w:hint="eastAsia" w:ascii="宋体" w:hAnsi="宋体" w:eastAsia="宋体" w:cs="宋体"/>
              </w:rPr>
              <w:t>经过有效性和符合性审核合格的投标人，投标文件中对技术要求无偏离得</w:t>
            </w:r>
            <w:r>
              <w:rPr>
                <w:rFonts w:hint="eastAsia" w:ascii="宋体" w:hAnsi="宋体" w:eastAsia="宋体" w:cs="宋体"/>
                <w:lang w:val="en-US" w:eastAsia="zh-CN"/>
              </w:rPr>
              <w:t>5</w:t>
            </w:r>
            <w:r>
              <w:rPr>
                <w:rFonts w:hint="eastAsia" w:ascii="宋体" w:hAnsi="宋体" w:eastAsia="宋体" w:cs="宋体"/>
              </w:rPr>
              <w:t>分，每一条正偏离得</w:t>
            </w:r>
            <w:r>
              <w:rPr>
                <w:rFonts w:hint="eastAsia" w:ascii="宋体" w:hAnsi="宋体" w:eastAsia="宋体" w:cs="宋体"/>
                <w:lang w:val="en-US" w:eastAsia="zh-CN"/>
              </w:rPr>
              <w:t>2</w:t>
            </w:r>
            <w:r>
              <w:rPr>
                <w:rFonts w:hint="eastAsia" w:ascii="宋体" w:hAnsi="宋体" w:eastAsia="宋体" w:cs="宋体"/>
              </w:rPr>
              <w:t>分，上限</w:t>
            </w:r>
            <w:r>
              <w:rPr>
                <w:rFonts w:hint="eastAsia" w:ascii="宋体" w:hAnsi="宋体" w:eastAsia="宋体" w:cs="宋体"/>
                <w:lang w:val="en-US" w:eastAsia="zh-CN"/>
              </w:rPr>
              <w:t>10</w:t>
            </w:r>
            <w:r>
              <w:rPr>
                <w:rFonts w:hint="eastAsia" w:ascii="宋体" w:hAnsi="宋体" w:eastAsia="宋体" w:cs="宋体"/>
              </w:rPr>
              <w:t>分，每一条负偏离扣</w:t>
            </w:r>
            <w:r>
              <w:rPr>
                <w:rFonts w:hint="eastAsia" w:ascii="宋体" w:hAnsi="宋体" w:eastAsia="宋体" w:cs="宋体"/>
                <w:lang w:val="en-US" w:eastAsia="zh-CN"/>
              </w:rPr>
              <w:t>2</w:t>
            </w:r>
            <w:r>
              <w:rPr>
                <w:rFonts w:hint="eastAsia" w:ascii="宋体" w:hAnsi="宋体" w:eastAsia="宋体" w:cs="宋体"/>
              </w:rPr>
              <w:t>分，最低0分。</w:t>
            </w:r>
          </w:p>
        </w:tc>
      </w:tr>
      <w:tr>
        <w:tblPrEx>
          <w:tblCellMar>
            <w:top w:w="0" w:type="dxa"/>
            <w:left w:w="0" w:type="dxa"/>
            <w:bottom w:w="0" w:type="dxa"/>
            <w:right w:w="0" w:type="dxa"/>
          </w:tblCellMar>
        </w:tblPrEx>
        <w:trPr>
          <w:cantSplit/>
          <w:trHeight w:val="23" w:hRule="atLeast"/>
        </w:trPr>
        <w:tc>
          <w:tcPr>
            <w:tcW w:w="344"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rPr>
                <w:rFonts w:ascii="宋体" w:cs="宋体"/>
                <w:szCs w:val="21"/>
                <w:highlight w:val="yellow"/>
              </w:rPr>
            </w:pPr>
            <w:r>
              <w:rPr>
                <w:rFonts w:hint="eastAsia" w:ascii="宋体" w:hAnsi="宋体" w:cs="宋体"/>
                <w:color w:val="000000"/>
                <w:kern w:val="0"/>
                <w:szCs w:val="21"/>
                <w:lang w:bidi="ar"/>
              </w:rPr>
              <w:t>商务部分</w:t>
            </w:r>
          </w:p>
        </w:tc>
        <w:tc>
          <w:tcPr>
            <w:tcW w:w="929" w:type="pct"/>
            <w:gridSpan w:val="3"/>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center"/>
              <w:textAlignment w:val="center"/>
              <w:rPr>
                <w:rFonts w:ascii="宋体" w:cs="宋体"/>
                <w:szCs w:val="21"/>
                <w:highlight w:val="none"/>
              </w:rPr>
            </w:pPr>
            <w:r>
              <w:rPr>
                <w:rFonts w:hint="eastAsia" w:ascii="宋体" w:cs="宋体"/>
                <w:kern w:val="0"/>
                <w:szCs w:val="21"/>
                <w:highlight w:val="none"/>
              </w:rPr>
              <w:t>投标报价</w:t>
            </w:r>
          </w:p>
          <w:p>
            <w:pPr>
              <w:jc w:val="center"/>
              <w:rPr>
                <w:rFonts w:hint="default" w:ascii="宋体" w:eastAsia="宋体" w:cs="宋体"/>
                <w:szCs w:val="21"/>
                <w:highlight w:val="yellow"/>
                <w:lang w:val="en-US" w:eastAsia="zh-CN"/>
              </w:rPr>
            </w:pPr>
          </w:p>
        </w:tc>
        <w:tc>
          <w:tcPr>
            <w:tcW w:w="3726" w:type="pct"/>
            <w:tcBorders>
              <w:top w:val="single" w:color="auto" w:sz="4" w:space="0"/>
              <w:left w:val="single" w:color="auto" w:sz="4" w:space="0"/>
              <w:bottom w:val="single" w:color="auto" w:sz="4" w:space="0"/>
              <w:right w:val="single" w:color="auto" w:sz="4" w:space="0"/>
            </w:tcBorders>
            <w:noWrap/>
            <w:tcMar>
              <w:top w:w="12" w:type="dxa"/>
              <w:left w:w="12" w:type="dxa"/>
              <w:right w:w="12" w:type="dxa"/>
            </w:tcMar>
            <w:vAlign w:val="center"/>
          </w:tcPr>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1、经初审合格的投标文件其投标报价为有效报价；</w:t>
            </w:r>
          </w:p>
          <w:p>
            <w:pPr>
              <w:widowControl/>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2、按照投标价格高低排名；</w:t>
            </w:r>
          </w:p>
          <w:p>
            <w:pPr>
              <w:widowControl/>
              <w:jc w:val="left"/>
              <w:textAlignment w:val="center"/>
              <w:rPr>
                <w:rFonts w:hint="default" w:ascii="宋体" w:hAnsi="宋体" w:eastAsia="宋体" w:cs="宋体"/>
                <w:color w:val="000000"/>
                <w:kern w:val="0"/>
                <w:szCs w:val="21"/>
                <w:lang w:val="en-US" w:eastAsia="zh-CN" w:bidi="ar"/>
              </w:rPr>
            </w:pPr>
            <w:r>
              <w:rPr>
                <w:rFonts w:ascii="宋体" w:hAnsi="宋体" w:cs="宋体"/>
                <w:color w:val="000000"/>
                <w:kern w:val="0"/>
                <w:szCs w:val="21"/>
                <w:lang w:bidi="ar"/>
              </w:rPr>
              <w:t>3</w:t>
            </w:r>
            <w:r>
              <w:rPr>
                <w:rFonts w:hint="eastAsia" w:ascii="宋体" w:hAnsi="宋体" w:cs="宋体"/>
                <w:color w:val="000000"/>
                <w:kern w:val="0"/>
                <w:szCs w:val="21"/>
                <w:lang w:bidi="ar"/>
              </w:rPr>
              <w:t>、评标价格均以元（RMB）为单位计算，百分率、得分值小数点后保留二位，第三位四舍五入</w:t>
            </w:r>
          </w:p>
          <w:p>
            <w:pPr>
              <w:widowControl/>
              <w:jc w:val="left"/>
              <w:textAlignment w:val="center"/>
              <w:rPr>
                <w:rFonts w:ascii="宋体" w:cs="宋体"/>
                <w:kern w:val="0"/>
                <w:szCs w:val="21"/>
                <w:highlight w:val="yellow"/>
              </w:rPr>
            </w:pPr>
            <w:r>
              <w:rPr>
                <w:rFonts w:ascii="宋体" w:hAnsi="宋体" w:cs="宋体"/>
                <w:color w:val="000000"/>
                <w:kern w:val="0"/>
                <w:szCs w:val="21"/>
                <w:lang w:bidi="ar"/>
              </w:rPr>
              <w:t>4</w:t>
            </w:r>
            <w:r>
              <w:rPr>
                <w:rFonts w:hint="eastAsia" w:ascii="宋体" w:hAnsi="宋体" w:cs="宋体"/>
                <w:color w:val="000000"/>
                <w:kern w:val="0"/>
                <w:szCs w:val="21"/>
                <w:lang w:bidi="ar"/>
              </w:rPr>
              <w:t>、评标委员会二分之一以上人员认为某投标总报价有低于成本价嫌疑的，视为无效报价，不进入下一步评审。</w:t>
            </w:r>
          </w:p>
        </w:tc>
      </w:tr>
      <w:tr>
        <w:tblPrEx>
          <w:tblCellMar>
            <w:top w:w="0" w:type="dxa"/>
            <w:left w:w="0" w:type="dxa"/>
            <w:bottom w:w="0" w:type="dxa"/>
            <w:right w:w="0" w:type="dxa"/>
          </w:tblCellMar>
        </w:tblPrEx>
        <w:trPr>
          <w:cantSplit/>
          <w:trHeight w:val="638" w:hRule="atLeast"/>
        </w:trPr>
        <w:tc>
          <w:tcPr>
            <w:tcW w:w="5000" w:type="pct"/>
            <w:gridSpan w:val="5"/>
            <w:tcBorders>
              <w:top w:val="single" w:color="auto" w:sz="4" w:space="0"/>
              <w:left w:val="single" w:color="000000" w:sz="4" w:space="0"/>
              <w:bottom w:val="single" w:color="000000" w:sz="4" w:space="0"/>
              <w:right w:val="single" w:color="auto" w:sz="4" w:space="0"/>
            </w:tcBorders>
            <w:noWrap/>
            <w:tcMar>
              <w:top w:w="12" w:type="dxa"/>
              <w:left w:w="12" w:type="dxa"/>
              <w:right w:w="12" w:type="dxa"/>
            </w:tcMar>
            <w:vAlign w:val="center"/>
          </w:tcPr>
          <w:p>
            <w:pPr>
              <w:widowControl/>
              <w:jc w:val="left"/>
            </w:pPr>
            <w:r>
              <w:rPr>
                <w:rFonts w:hint="eastAsia"/>
              </w:rPr>
              <w:t>备注：</w:t>
            </w:r>
          </w:p>
          <w:p>
            <w:pPr>
              <w:widowControl/>
              <w:jc w:val="left"/>
              <w:rPr>
                <w:rFonts w:hint="eastAsia"/>
              </w:rPr>
            </w:pPr>
            <w:r>
              <w:rPr>
                <w:rFonts w:hint="eastAsia"/>
              </w:rPr>
              <w:t>1、通过初审者为有效投标。</w:t>
            </w:r>
          </w:p>
          <w:p>
            <w:pPr>
              <w:widowControl/>
              <w:jc w:val="left"/>
            </w:pPr>
            <w:r>
              <w:rPr>
                <w:rFonts w:hint="eastAsia"/>
              </w:rPr>
              <w:t>2、</w:t>
            </w:r>
            <w:r>
              <w:rPr>
                <w:rFonts w:hint="eastAsia"/>
                <w:lang w:val="en-US" w:eastAsia="zh-CN"/>
              </w:rPr>
              <w:t>投标厂家通过技术标后，技术标评分不带入商务标阶段</w:t>
            </w:r>
            <w:r>
              <w:rPr>
                <w:rFonts w:hint="eastAsia"/>
              </w:rPr>
              <w:t>。</w:t>
            </w:r>
          </w:p>
          <w:p>
            <w:pPr>
              <w:widowControl/>
              <w:jc w:val="left"/>
            </w:pPr>
            <w:r>
              <w:rPr>
                <w:rFonts w:hint="eastAsia"/>
              </w:rPr>
              <w:t>3、评委打分不得超过得分界限。</w:t>
            </w:r>
          </w:p>
          <w:p>
            <w:pPr>
              <w:widowControl/>
              <w:jc w:val="left"/>
              <w:rPr>
                <w:rFonts w:hint="eastAsia" w:ascii="Times New Roman" w:hAnsi="Times New Roman" w:eastAsia="宋体" w:cs="Times New Roman"/>
              </w:rPr>
            </w:pPr>
            <w:r>
              <w:rPr>
                <w:rFonts w:hint="eastAsia"/>
              </w:rPr>
              <w:t>4、投标方提交的投标文件和资料必须真实有效。合同签订前，招标方有权组织联合小组（财务、技术、设备、质量等）到中标候选人实地审核，如发现投标文件和资料有弄虚作假，招标方有权</w:t>
            </w:r>
            <w:r>
              <w:rPr>
                <w:rFonts w:hint="eastAsia" w:ascii="Times New Roman" w:hAnsi="Times New Roman" w:eastAsia="宋体" w:cs="Times New Roman"/>
              </w:rPr>
              <w:t>取消其中标候选人资格。</w:t>
            </w:r>
          </w:p>
          <w:p>
            <w:pPr>
              <w:widowControl/>
              <w:jc w:val="left"/>
              <w:rPr>
                <w:rFonts w:hint="eastAsia" w:ascii="Times New Roman" w:hAnsi="Times New Roman" w:eastAsia="宋体" w:cs="Times New Roman"/>
              </w:rPr>
            </w:pPr>
            <w:r>
              <w:rPr>
                <w:rFonts w:hint="eastAsia" w:ascii="Times New Roman" w:hAnsi="Times New Roman" w:eastAsia="宋体" w:cs="Times New Roman"/>
              </w:rPr>
              <w:t>5、交货期为一票否决项，无法满足交货期所有项得0分。</w:t>
            </w:r>
          </w:p>
          <w:p>
            <w:pPr>
              <w:widowControl/>
              <w:jc w:val="left"/>
              <w:textAlignment w:val="center"/>
              <w:rPr>
                <w:rFonts w:ascii="宋体" w:cs="宋体"/>
                <w:kern w:val="0"/>
                <w:szCs w:val="21"/>
                <w:highlight w:val="yellow"/>
              </w:rPr>
            </w:pPr>
            <w:r>
              <w:rPr>
                <w:rFonts w:hint="eastAsia" w:ascii="Times New Roman" w:hAnsi="Times New Roman" w:eastAsia="宋体" w:cs="Times New Roman"/>
                <w:lang w:val="en-US" w:eastAsia="zh-CN"/>
              </w:rPr>
              <w:t>6、本次招标每个包只产生一家中标单位，</w:t>
            </w:r>
            <w:r>
              <w:rPr>
                <w:rFonts w:hint="eastAsia" w:ascii="Times New Roman" w:hAnsi="Times New Roman" w:eastAsia="宋体" w:cs="Times New Roman"/>
                <w:highlight w:val="yellow"/>
                <w:lang w:val="en-US" w:eastAsia="zh-CN"/>
              </w:rPr>
              <w:t>项目合理最低价者中标</w:t>
            </w:r>
            <w:r>
              <w:rPr>
                <w:rFonts w:hint="eastAsia" w:ascii="Times New Roman" w:hAnsi="Times New Roman" w:eastAsia="宋体" w:cs="Times New Roman"/>
                <w:lang w:val="en-US" w:eastAsia="zh-CN"/>
              </w:rPr>
              <w:t>。</w:t>
            </w:r>
          </w:p>
        </w:tc>
      </w:tr>
    </w:tbl>
    <w:p>
      <w:pPr>
        <w:pStyle w:val="4"/>
        <w:numPr>
          <w:ilvl w:val="0"/>
          <w:numId w:val="0"/>
        </w:numPr>
        <w:spacing w:line="360" w:lineRule="auto"/>
        <w:rPr>
          <w:rFonts w:hAnsi="宋体"/>
          <w:szCs w:val="21"/>
        </w:rPr>
      </w:pPr>
    </w:p>
    <w:p>
      <w:pPr>
        <w:pStyle w:val="4"/>
        <w:spacing w:line="360" w:lineRule="auto"/>
        <w:rPr>
          <w:rFonts w:hint="eastAsia" w:ascii="黑体" w:eastAsia="黑体"/>
          <w:b/>
          <w:bCs/>
          <w:sz w:val="28"/>
        </w:rPr>
      </w:pPr>
    </w:p>
    <w:p>
      <w:pPr>
        <w:pStyle w:val="4"/>
        <w:spacing w:line="360" w:lineRule="auto"/>
        <w:rPr>
          <w:rFonts w:ascii="黑体" w:eastAsia="黑体"/>
          <w:b/>
          <w:bCs/>
          <w:sz w:val="28"/>
        </w:rPr>
      </w:pPr>
      <w:r>
        <w:rPr>
          <w:rFonts w:hint="eastAsia" w:ascii="黑体" w:eastAsia="黑体"/>
          <w:b/>
          <w:bCs/>
          <w:sz w:val="28"/>
        </w:rPr>
        <w:t>八、合同签订</w:t>
      </w:r>
    </w:p>
    <w:p>
      <w:pPr>
        <w:pStyle w:val="4"/>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4"/>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pPr>
        <w:pStyle w:val="4"/>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pPr>
        <w:pStyle w:val="4"/>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pPr>
        <w:pStyle w:val="4"/>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pPr>
        <w:pStyle w:val="4"/>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pPr>
        <w:pStyle w:val="4"/>
        <w:spacing w:line="360" w:lineRule="auto"/>
        <w:ind w:firstLine="420" w:firstLineChars="200"/>
        <w:rPr>
          <w:rFonts w:hAnsi="宋体"/>
          <w:szCs w:val="21"/>
        </w:rPr>
      </w:pPr>
      <w:r>
        <w:rPr>
          <w:rFonts w:hint="eastAsia"/>
        </w:rPr>
        <w:t>7.中标人须认可招标人由于招标人上级集团公司政策变化引起的随时终止项目的要求。</w:t>
      </w:r>
    </w:p>
    <w:p>
      <w:pPr>
        <w:pStyle w:val="4"/>
        <w:spacing w:line="360" w:lineRule="auto"/>
        <w:rPr>
          <w:rFonts w:ascii="黑体" w:eastAsia="黑体"/>
          <w:b/>
          <w:bCs/>
          <w:sz w:val="28"/>
        </w:rPr>
      </w:pPr>
      <w:r>
        <w:rPr>
          <w:rFonts w:hint="eastAsia" w:ascii="黑体" w:eastAsia="黑体"/>
          <w:b/>
          <w:bCs/>
          <w:sz w:val="28"/>
        </w:rPr>
        <w:t>九、废标及终止招标</w:t>
      </w:r>
    </w:p>
    <w:p>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pPr>
        <w:spacing w:line="520" w:lineRule="exact"/>
        <w:ind w:right="2" w:firstLine="420" w:firstLineChars="200"/>
        <w:rPr>
          <w:rFonts w:ascii="宋体" w:hAnsi="Courier New"/>
        </w:rPr>
      </w:pPr>
      <w:r>
        <w:rPr>
          <w:rFonts w:hint="eastAsia" w:ascii="宋体" w:hAnsi="Courier New"/>
        </w:rPr>
        <w:t>⑹投标人负责人为同一人或者存在控股、管理关系的不同单位；</w:t>
      </w:r>
    </w:p>
    <w:p>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以他人名义投标或者以其他方式弄虚作假，骗取中标的；</w:t>
      </w:r>
    </w:p>
    <w:p>
      <w:pPr>
        <w:spacing w:line="520" w:lineRule="exact"/>
        <w:ind w:right="2" w:firstLine="420" w:firstLineChars="200"/>
        <w:rPr>
          <w:rFonts w:ascii="宋体" w:hAnsi="Courier New"/>
        </w:rPr>
      </w:pPr>
      <w:bookmarkStart w:id="2" w:name="_Hlk80690793"/>
      <w:r>
        <w:rPr>
          <w:rFonts w:hint="eastAsia" w:ascii="宋体" w:hAnsi="宋体"/>
        </w:rPr>
        <w:t>⑻</w:t>
      </w:r>
      <w:bookmarkEnd w:id="2"/>
      <w:r>
        <w:rPr>
          <w:rFonts w:hint="eastAsia" w:ascii="宋体" w:hAnsi="Courier New"/>
        </w:rPr>
        <w:t>中标人不按规定签订合同；</w:t>
      </w:r>
    </w:p>
    <w:p>
      <w:pPr>
        <w:spacing w:line="520" w:lineRule="exact"/>
        <w:ind w:right="2" w:firstLine="420" w:firstLineChars="200"/>
        <w:rPr>
          <w:rFonts w:ascii="宋体" w:hAnsi="Courier New"/>
        </w:rPr>
      </w:pPr>
      <w:r>
        <w:rPr>
          <w:rFonts w:hint="eastAsia" w:ascii="宋体" w:hAnsi="Courier New"/>
        </w:rPr>
        <w:t>⑼法律、法规规定的其他情况。</w:t>
      </w:r>
    </w:p>
    <w:p>
      <w:pPr>
        <w:spacing w:line="520" w:lineRule="exact"/>
        <w:ind w:right="2" w:firstLine="420" w:firstLineChars="200"/>
        <w:rPr>
          <w:rFonts w:ascii="宋体" w:hAnsi="Courier New"/>
        </w:rPr>
      </w:pPr>
      <w:r>
        <w:rPr>
          <w:rFonts w:hint="eastAsia" w:ascii="宋体" w:hAnsi="Courier New"/>
        </w:rPr>
        <w:t>⑽投标人被举报、检举，并经招标方查实无误的。</w:t>
      </w:r>
    </w:p>
    <w:p>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pPr>
        <w:spacing w:line="520" w:lineRule="exact"/>
        <w:ind w:right="2" w:firstLine="420" w:firstLineChars="200"/>
        <w:rPr>
          <w:rFonts w:ascii="宋体" w:hAnsi="Courier New"/>
        </w:rPr>
      </w:pPr>
      <w:r>
        <w:rPr>
          <w:rFonts w:hint="eastAsia" w:ascii="宋体" w:hAnsi="Courier New"/>
        </w:rPr>
        <w:t>⑴出现影响采购公正的违法、违规行为的。</w:t>
      </w:r>
    </w:p>
    <w:p>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pPr>
        <w:spacing w:line="520" w:lineRule="exact"/>
        <w:ind w:right="2" w:firstLine="420" w:firstLineChars="200"/>
        <w:rPr>
          <w:rFonts w:ascii="宋体" w:hAnsi="Courier New"/>
        </w:rPr>
      </w:pPr>
      <w:r>
        <w:rPr>
          <w:rFonts w:hint="eastAsia" w:ascii="宋体" w:hAnsi="Courier New"/>
        </w:rPr>
        <w:t>⑸招标人认为其他应终止招标的情形。</w:t>
      </w:r>
    </w:p>
    <w:p>
      <w:pPr>
        <w:spacing w:line="520" w:lineRule="exact"/>
        <w:ind w:right="2" w:firstLine="420" w:firstLineChars="200"/>
        <w:rPr>
          <w:rFonts w:hint="eastAsia" w:ascii="宋体" w:hAnsi="Courier New"/>
        </w:rPr>
      </w:pPr>
      <w:r>
        <w:rPr>
          <w:rFonts w:hint="eastAsia" w:ascii="宋体" w:hAnsi="Courier New"/>
        </w:rPr>
        <w:t>⑹有效参与投标的单位不足三家以上的。</w:t>
      </w:r>
    </w:p>
    <w:p>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pPr>
        <w:pStyle w:val="4"/>
        <w:spacing w:line="360" w:lineRule="auto"/>
        <w:rPr>
          <w:rFonts w:ascii="黑体" w:eastAsia="黑体"/>
          <w:b/>
          <w:bCs/>
          <w:sz w:val="28"/>
        </w:rPr>
      </w:pPr>
      <w:r>
        <w:rPr>
          <w:rFonts w:hint="eastAsia" w:ascii="黑体" w:eastAsia="黑体"/>
          <w:b/>
          <w:bCs/>
          <w:sz w:val="28"/>
        </w:rPr>
        <w:t>十、中标人瑕疵滞后发现的处理原则</w:t>
      </w:r>
    </w:p>
    <w:p>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pPr>
        <w:pStyle w:val="4"/>
        <w:spacing w:line="360" w:lineRule="auto"/>
        <w:rPr>
          <w:rFonts w:ascii="黑体" w:eastAsia="黑体"/>
          <w:b/>
          <w:bCs/>
          <w:sz w:val="28"/>
        </w:rPr>
      </w:pPr>
      <w:r>
        <w:rPr>
          <w:rFonts w:hint="eastAsia" w:ascii="黑体" w:eastAsia="黑体"/>
          <w:b/>
          <w:bCs/>
          <w:sz w:val="28"/>
        </w:rPr>
        <w:t>十一、技术要求</w:t>
      </w:r>
    </w:p>
    <w:p>
      <w:pPr>
        <w:pStyle w:val="4"/>
        <w:spacing w:line="360" w:lineRule="auto"/>
        <w:ind w:left="420" w:hanging="420" w:hangingChars="200"/>
      </w:pPr>
      <w:r>
        <w:rPr>
          <w:rFonts w:hint="eastAsia"/>
        </w:rPr>
        <w:t xml:space="preserve">    见本招标文件“第三章 技术协议书”，附后。</w:t>
      </w:r>
    </w:p>
    <w:p>
      <w:pPr>
        <w:pStyle w:val="4"/>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w:t>
      </w:r>
      <w:r>
        <w:rPr>
          <w:rFonts w:hint="eastAsia" w:ascii="黑体" w:eastAsia="黑体"/>
          <w:b/>
          <w:bCs/>
          <w:sz w:val="28"/>
          <w:lang w:val="en-US" w:eastAsia="zh-CN"/>
        </w:rPr>
        <w:t>解释权</w:t>
      </w:r>
    </w:p>
    <w:p>
      <w:pPr>
        <w:pStyle w:val="4"/>
        <w:spacing w:line="360" w:lineRule="auto"/>
        <w:ind w:left="0" w:leftChars="0" w:firstLine="420" w:firstLineChars="200"/>
        <w:rPr>
          <w:rFonts w:hint="eastAsia"/>
        </w:rPr>
      </w:pPr>
      <w:r>
        <w:rPr>
          <w:rFonts w:hint="eastAsia"/>
        </w:rPr>
        <w:t xml:space="preserve"> 1、 本招标文件的最终解释权归招标人，当对一个问题有多种解释时以招标人的书面解释为准。</w:t>
      </w:r>
    </w:p>
    <w:p>
      <w:pPr>
        <w:pStyle w:val="4"/>
        <w:spacing w:line="360" w:lineRule="auto"/>
        <w:ind w:left="0" w:leftChars="0" w:firstLine="420" w:firstLineChars="200"/>
        <w:rPr>
          <w:rFonts w:hint="eastAsia"/>
        </w:rPr>
      </w:pPr>
      <w:r>
        <w:rPr>
          <w:rFonts w:hint="eastAsia"/>
        </w:rPr>
        <w:t>2、招标文件未做须知明示，而又有相关法律、法规规定的，招标人对此所做解释以相关的法律、法规规定为依据。</w:t>
      </w:r>
    </w:p>
    <w:p>
      <w:pPr>
        <w:pStyle w:val="4"/>
        <w:spacing w:line="360" w:lineRule="auto"/>
        <w:ind w:left="0" w:leftChars="0" w:firstLine="420" w:firstLineChars="200"/>
        <w:rPr>
          <w:rFonts w:hint="eastAsia"/>
        </w:rPr>
      </w:pPr>
    </w:p>
    <w:p>
      <w:pPr>
        <w:rPr>
          <w:rFonts w:eastAsia="黑体"/>
          <w:b/>
          <w:bCs/>
          <w:sz w:val="36"/>
          <w:szCs w:val="36"/>
        </w:rPr>
      </w:pPr>
    </w:p>
    <w:p>
      <w:pPr>
        <w:pStyle w:val="2"/>
      </w:pPr>
    </w:p>
    <w:p>
      <w:pPr>
        <w:jc w:val="center"/>
        <w:rPr>
          <w:rFonts w:eastAsia="黑体"/>
          <w:b/>
          <w:bCs/>
          <w:sz w:val="36"/>
          <w:szCs w:val="36"/>
        </w:rPr>
      </w:pPr>
      <w:r>
        <w:rPr>
          <w:rFonts w:hint="eastAsia" w:eastAsia="黑体"/>
          <w:b/>
          <w:bCs/>
          <w:sz w:val="36"/>
          <w:szCs w:val="36"/>
        </w:rPr>
        <w:t>第二章  投标文件编制</w:t>
      </w:r>
    </w:p>
    <w:p>
      <w:pPr>
        <w:pStyle w:val="4"/>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4"/>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4"/>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pPr>
        <w:pStyle w:val="4"/>
        <w:spacing w:line="360" w:lineRule="auto"/>
        <w:rPr>
          <w:rFonts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r>
        <w:rPr>
          <w:rFonts w:hint="eastAsia" w:eastAsia="黑体"/>
          <w:b/>
          <w:bCs/>
          <w:sz w:val="28"/>
        </w:rPr>
        <w:t>格式1</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2济宁商用车公司全自动双悬臂测量机搬迁项目</w:t>
      </w:r>
    </w:p>
    <w:p>
      <w:pPr>
        <w:rPr>
          <w:rFonts w:ascii="宋体" w:hAnsi="宋体"/>
        </w:rPr>
      </w:pPr>
    </w:p>
    <w:p>
      <w:pPr>
        <w:jc w:val="center"/>
        <w:rPr>
          <w:rFonts w:eastAsia="黑体"/>
          <w:b/>
          <w:bCs/>
          <w:sz w:val="28"/>
        </w:rPr>
      </w:pPr>
      <w:r>
        <w:rPr>
          <w:rFonts w:hint="eastAsia" w:eastAsia="黑体"/>
          <w:b/>
          <w:bCs/>
          <w:sz w:val="28"/>
        </w:rPr>
        <w:t>投标书</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pPr>
        <w:rPr>
          <w:rFonts w:ascii="宋体" w:hAnsi="宋体"/>
        </w:rPr>
      </w:pPr>
      <w:r>
        <w:rPr>
          <w:rFonts w:hint="eastAsia" w:ascii="宋体" w:hAnsi="宋体"/>
        </w:rPr>
        <w:t>资质证明文件（X份）</w:t>
      </w:r>
    </w:p>
    <w:p>
      <w:pPr>
        <w:rPr>
          <w:rFonts w:ascii="宋体" w:hAnsi="宋体"/>
        </w:rPr>
      </w:pPr>
      <w:r>
        <w:rPr>
          <w:rFonts w:hint="eastAsia" w:ascii="宋体" w:hAnsi="宋体"/>
        </w:rPr>
        <w:t>据此，签字代表宣布同意如下：</w:t>
      </w:r>
    </w:p>
    <w:p>
      <w:pPr>
        <w:numPr>
          <w:ilvl w:val="0"/>
          <w:numId w:val="4"/>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pPr>
        <w:numPr>
          <w:ilvl w:val="0"/>
          <w:numId w:val="4"/>
        </w:numPr>
        <w:rPr>
          <w:rFonts w:ascii="宋体" w:hAnsi="宋体"/>
        </w:rPr>
      </w:pPr>
      <w:r>
        <w:rPr>
          <w:rFonts w:hint="eastAsia" w:ascii="宋体" w:hAnsi="宋体"/>
        </w:rPr>
        <w:t>投标人将按招标文件的规定履行合同责任和义务。</w:t>
      </w:r>
    </w:p>
    <w:p>
      <w:pPr>
        <w:numPr>
          <w:ilvl w:val="0"/>
          <w:numId w:val="4"/>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4"/>
        </w:numPr>
        <w:rPr>
          <w:rFonts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4"/>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4"/>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4"/>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pStyle w:val="13"/>
      </w:pPr>
    </w:p>
    <w:p>
      <w:pPr>
        <w:pStyle w:val="13"/>
      </w:pPr>
    </w:p>
    <w:p>
      <w:pPr>
        <w:spacing w:line="480" w:lineRule="auto"/>
        <w:ind w:left="795"/>
      </w:pPr>
      <w:r>
        <w:rPr>
          <w:rFonts w:hint="eastAsia"/>
        </w:rPr>
        <w:t>投标人授权代表签字：                 职务：                 日期：</w:t>
      </w:r>
    </w:p>
    <w:p>
      <w:pPr>
        <w:spacing w:line="480" w:lineRule="auto"/>
        <w:ind w:left="795"/>
      </w:pPr>
      <w:r>
        <w:rPr>
          <w:rFonts w:hint="eastAsia"/>
        </w:rPr>
        <w:t>投标人名称（及公章）：</w:t>
      </w:r>
    </w:p>
    <w:p>
      <w:pPr>
        <w:spacing w:line="48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格式2</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szCs w:val="21"/>
        </w:rPr>
      </w:pPr>
      <w:r>
        <w:rPr>
          <w:rFonts w:hint="eastAsia" w:ascii="宋体" w:hAnsi="宋体"/>
          <w:szCs w:val="21"/>
        </w:rPr>
        <w:t>日期：  年   月   日</w:t>
      </w:r>
    </w:p>
    <w:p>
      <w:pPr>
        <w:jc w:val="center"/>
        <w:rPr>
          <w:rFonts w:ascii="黑体" w:eastAsia="黑体"/>
          <w:sz w:val="30"/>
        </w:rPr>
      </w:pPr>
      <w:r>
        <w:rPr>
          <w:rFonts w:hint="eastAsia" w:ascii="黑体" w:eastAsia="黑体"/>
          <w:sz w:val="30"/>
        </w:rPr>
        <w:t>投标文件目录</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ind w:firstLine="480"/>
        <w:rPr>
          <w:rFonts w:ascii="宋体" w:hAnsi="宋体"/>
          <w:sz w:val="24"/>
        </w:rPr>
      </w:pPr>
      <w:r>
        <w:rPr>
          <w:rFonts w:hint="eastAsia" w:ascii="宋体" w:hAnsi="宋体"/>
          <w:sz w:val="24"/>
        </w:rPr>
        <w:t>2．“索引”一栏填写该主要内容对应于投标文件的“条款号/页号”。</w:t>
      </w:r>
    </w:p>
    <w:p>
      <w:pPr>
        <w:ind w:firstLine="480"/>
        <w:rPr>
          <w:rFonts w:ascii="宋体" w:hAnsi="宋体"/>
          <w:sz w:val="24"/>
        </w:rPr>
      </w:pPr>
    </w:p>
    <w:p>
      <w:pPr>
        <w:rPr>
          <w:rFonts w:eastAsia="黑体"/>
          <w:b/>
          <w:bCs/>
          <w:sz w:val="28"/>
        </w:rPr>
      </w:pPr>
      <w:r>
        <w:rPr>
          <w:rFonts w:hint="eastAsia" w:eastAsia="黑体"/>
          <w:b/>
          <w:bCs/>
          <w:sz w:val="28"/>
        </w:rPr>
        <w:br w:type="page"/>
      </w:r>
    </w:p>
    <w:p>
      <w:pPr>
        <w:rPr>
          <w:rFonts w:eastAsia="黑体"/>
          <w:b/>
          <w:bCs/>
          <w:sz w:val="28"/>
        </w:rPr>
      </w:pPr>
      <w:r>
        <w:rPr>
          <w:rFonts w:hint="eastAsia" w:eastAsia="黑体"/>
          <w:b/>
          <w:bCs/>
          <w:sz w:val="28"/>
        </w:rPr>
        <w:t>格式3</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rPr>
      </w:pPr>
    </w:p>
    <w:p>
      <w:pPr>
        <w:rPr>
          <w:rFonts w:ascii="宋体" w:hAnsi="宋体"/>
          <w:szCs w:val="21"/>
        </w:rPr>
      </w:pPr>
      <w:r>
        <w:rPr>
          <w:rFonts w:hint="eastAsia" w:ascii="宋体" w:hAnsi="宋体"/>
          <w:szCs w:val="21"/>
        </w:rPr>
        <w:t>日期：  年   月   日</w:t>
      </w:r>
    </w:p>
    <w:p>
      <w:pPr>
        <w:spacing w:line="400" w:lineRule="exact"/>
        <w:jc w:val="center"/>
        <w:rPr>
          <w:rFonts w:ascii="黑体" w:eastAsia="黑体"/>
          <w:sz w:val="30"/>
        </w:rPr>
      </w:pPr>
      <w:r>
        <w:rPr>
          <w:rFonts w:hint="eastAsia" w:ascii="黑体" w:eastAsia="黑体"/>
          <w:sz w:val="30"/>
        </w:rPr>
        <w:t>开标一览表</w:t>
      </w:r>
    </w:p>
    <w:tbl>
      <w:tblPr>
        <w:tblStyle w:val="9"/>
        <w:tblpPr w:leftFromText="180" w:rightFromText="180" w:vertAnchor="text" w:horzAnchor="page" w:tblpXSpec="center" w:tblpY="611"/>
        <w:tblOverlap w:val="never"/>
        <w:tblW w:w="5346" w:type="pct"/>
        <w:jc w:val="center"/>
        <w:tblLayout w:type="fixed"/>
        <w:tblCellMar>
          <w:top w:w="0" w:type="dxa"/>
          <w:left w:w="108" w:type="dxa"/>
          <w:bottom w:w="0" w:type="dxa"/>
          <w:right w:w="108" w:type="dxa"/>
        </w:tblCellMar>
      </w:tblPr>
      <w:tblGrid>
        <w:gridCol w:w="1864"/>
        <w:gridCol w:w="8065"/>
      </w:tblGrid>
      <w:tr>
        <w:tblPrEx>
          <w:tblCellMar>
            <w:top w:w="0" w:type="dxa"/>
            <w:left w:w="108" w:type="dxa"/>
            <w:bottom w:w="0" w:type="dxa"/>
            <w:right w:w="108" w:type="dxa"/>
          </w:tblCellMar>
        </w:tblPrEx>
        <w:trPr>
          <w:trHeight w:val="520"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pPr>
              <w:rPr>
                <w:rFonts w:ascii="宋体" w:hAnsi="宋体" w:cs="宋体"/>
                <w:color w:val="000000"/>
                <w:sz w:val="24"/>
                <w:szCs w:val="24"/>
              </w:rPr>
            </w:pPr>
          </w:p>
        </w:tc>
      </w:tr>
      <w:tr>
        <w:tblPrEx>
          <w:tblCellMar>
            <w:top w:w="0" w:type="dxa"/>
            <w:left w:w="108" w:type="dxa"/>
            <w:bottom w:w="0" w:type="dxa"/>
            <w:right w:w="108" w:type="dxa"/>
          </w:tblCellMar>
        </w:tblPrEx>
        <w:trPr>
          <w:trHeight w:val="520"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pPr>
              <w:widowControl/>
              <w:textAlignment w:val="center"/>
              <w:rPr>
                <w:rFonts w:ascii="宋体" w:hAnsi="宋体" w:cs="宋体"/>
                <w:color w:val="000000"/>
                <w:sz w:val="24"/>
                <w:szCs w:val="24"/>
              </w:rPr>
            </w:pPr>
            <w:r>
              <w:rPr>
                <w:rFonts w:hint="eastAsia" w:ascii="宋体" w:hAnsi="宋体" w:cs="宋体"/>
                <w:color w:val="000000"/>
                <w:kern w:val="0"/>
                <w:sz w:val="24"/>
                <w:szCs w:val="24"/>
                <w:lang w:val="en-US" w:eastAsia="zh-CN" w:bidi="ar"/>
              </w:rPr>
              <w:t>项目</w:t>
            </w:r>
            <w:r>
              <w:rPr>
                <w:rFonts w:hint="eastAsia" w:ascii="宋体" w:hAnsi="宋体" w:cs="宋体"/>
                <w:color w:val="000000"/>
                <w:kern w:val="0"/>
                <w:sz w:val="24"/>
                <w:szCs w:val="24"/>
                <w:lang w:bidi="ar"/>
              </w:rPr>
              <w:t>报价</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（元，含税），</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val="en-US" w:eastAsia="zh-CN"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bidi="ar"/>
              </w:rPr>
              <w:t xml:space="preserve">   </w:t>
            </w:r>
            <w:r>
              <w:rPr>
                <w:rFonts w:hint="eastAsia" w:ascii="宋体" w:hAnsi="宋体" w:cs="宋体"/>
                <w:color w:val="000000"/>
                <w:kern w:val="0"/>
                <w:sz w:val="24"/>
                <w:szCs w:val="24"/>
                <w:lang w:bidi="ar"/>
              </w:rPr>
              <w:t>（元，</w:t>
            </w:r>
            <w:r>
              <w:rPr>
                <w:rFonts w:hint="eastAsia" w:ascii="宋体" w:hAnsi="宋体" w:cs="宋体"/>
                <w:color w:val="000000"/>
                <w:kern w:val="0"/>
                <w:sz w:val="24"/>
                <w:szCs w:val="24"/>
                <w:lang w:val="en-US" w:eastAsia="zh-CN" w:bidi="ar"/>
              </w:rPr>
              <w:t>不</w:t>
            </w:r>
            <w:r>
              <w:rPr>
                <w:rFonts w:hint="eastAsia" w:ascii="宋体" w:hAnsi="宋体" w:cs="宋体"/>
                <w:color w:val="000000"/>
                <w:kern w:val="0"/>
                <w:sz w:val="24"/>
                <w:szCs w:val="24"/>
                <w:lang w:bidi="ar"/>
              </w:rPr>
              <w:t>含税）税率</w:t>
            </w:r>
            <w:r>
              <w:rPr>
                <w:rFonts w:hint="eastAsia" w:ascii="宋体" w:hAnsi="宋体" w:cs="宋体"/>
                <w:color w:val="000000"/>
                <w:kern w:val="0"/>
                <w:sz w:val="24"/>
                <w:szCs w:val="24"/>
                <w:u w:val="single"/>
                <w:lang w:bidi="ar"/>
              </w:rPr>
              <w:t xml:space="preserve"> </w:t>
            </w:r>
            <w:r>
              <w:rPr>
                <w:rFonts w:ascii="宋体" w:hAnsi="宋体" w:cs="宋体"/>
                <w:color w:val="000000"/>
                <w:kern w:val="0"/>
                <w:sz w:val="24"/>
                <w:szCs w:val="24"/>
                <w:u w:val="single"/>
                <w:lang w:bidi="ar"/>
              </w:rPr>
              <w:t xml:space="preserve">      </w:t>
            </w:r>
            <w:r>
              <w:rPr>
                <w:rFonts w:hint="eastAsia" w:ascii="宋体" w:hAnsi="宋体" w:cs="宋体"/>
                <w:color w:val="000000"/>
                <w:kern w:val="0"/>
                <w:sz w:val="24"/>
                <w:szCs w:val="24"/>
                <w:u w:val="single"/>
                <w:lang w:bidi="ar"/>
              </w:rPr>
              <w:t>%</w:t>
            </w:r>
          </w:p>
        </w:tc>
      </w:tr>
      <w:tr>
        <w:tblPrEx>
          <w:tblCellMar>
            <w:top w:w="0" w:type="dxa"/>
            <w:left w:w="108" w:type="dxa"/>
            <w:bottom w:w="0" w:type="dxa"/>
            <w:right w:w="108" w:type="dxa"/>
          </w:tblCellMar>
        </w:tblPrEx>
        <w:trPr>
          <w:trHeight w:val="920"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响应时间</w:t>
            </w:r>
          </w:p>
        </w:tc>
        <w:tc>
          <w:tcPr>
            <w:tcW w:w="4061" w:type="pct"/>
            <w:tcBorders>
              <w:top w:val="nil"/>
              <w:left w:val="nil"/>
              <w:bottom w:val="single" w:color="000000" w:sz="8" w:space="0"/>
              <w:right w:val="single" w:color="000000" w:sz="8" w:space="0"/>
            </w:tcBorders>
            <w:shd w:val="clear" w:color="auto" w:fill="auto"/>
            <w:noWrap/>
            <w:vAlign w:val="center"/>
          </w:tcPr>
          <w:p>
            <w:pPr>
              <w:widowControl/>
              <w:textAlignment w:val="center"/>
              <w:rPr>
                <w:rFonts w:ascii="宋体" w:hAnsi="宋体" w:cs="宋体"/>
                <w:color w:val="000000"/>
                <w:sz w:val="24"/>
                <w:szCs w:val="24"/>
              </w:rPr>
            </w:pPr>
            <w:r>
              <w:rPr>
                <w:rFonts w:hint="eastAsia" w:ascii="宋体" w:hAnsi="宋体" w:cs="宋体"/>
                <w:color w:val="000000"/>
                <w:kern w:val="0"/>
                <w:sz w:val="24"/>
                <w:szCs w:val="24"/>
                <w:lang w:bidi="ar"/>
              </w:rPr>
              <w:t>一般项目接维修通知后</w:t>
            </w:r>
            <w:r>
              <w:rPr>
                <w:rStyle w:val="14"/>
                <w:rFonts w:hint="default"/>
                <w:lang w:bidi="ar"/>
              </w:rPr>
              <w:t xml:space="preserve">    </w:t>
            </w:r>
            <w:r>
              <w:rPr>
                <w:rStyle w:val="15"/>
                <w:rFonts w:hint="default"/>
                <w:lang w:bidi="ar"/>
              </w:rPr>
              <w:t xml:space="preserve">小时内到达现场进行维修，紧急维修项目在接通知后 </w:t>
            </w:r>
            <w:r>
              <w:rPr>
                <w:rStyle w:val="14"/>
                <w:rFonts w:hint="default"/>
                <w:lang w:bidi="ar"/>
              </w:rPr>
              <w:t xml:space="preserve">     </w:t>
            </w:r>
            <w:r>
              <w:rPr>
                <w:rStyle w:val="15"/>
                <w:rFonts w:hint="default"/>
                <w:lang w:bidi="ar"/>
              </w:rPr>
              <w:t>小时内抵达现场进行维修。(投标人自报最短供货期,可分区域）。</w:t>
            </w:r>
          </w:p>
        </w:tc>
      </w:tr>
      <w:tr>
        <w:tblPrEx>
          <w:tblCellMar>
            <w:top w:w="0" w:type="dxa"/>
            <w:left w:w="108" w:type="dxa"/>
            <w:bottom w:w="0" w:type="dxa"/>
            <w:right w:w="108" w:type="dxa"/>
          </w:tblCellMar>
        </w:tblPrEx>
        <w:trPr>
          <w:trHeight w:val="920"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自最终验收报告签署之日（以签署日期最晚者为准）起</w:t>
            </w:r>
            <w:r>
              <w:rPr>
                <w:rStyle w:val="14"/>
                <w:rFonts w:hint="default"/>
                <w:lang w:bidi="ar"/>
              </w:rPr>
              <w:t xml:space="preserve">    </w:t>
            </w:r>
            <w:r>
              <w:rPr>
                <w:rStyle w:val="15"/>
                <w:rFonts w:hint="default"/>
                <w:lang w:bidi="ar"/>
              </w:rPr>
              <w:t>月。</w:t>
            </w:r>
          </w:p>
        </w:tc>
      </w:tr>
      <w:tr>
        <w:tblPrEx>
          <w:tblCellMar>
            <w:top w:w="0" w:type="dxa"/>
            <w:left w:w="108" w:type="dxa"/>
            <w:bottom w:w="0" w:type="dxa"/>
            <w:right w:w="108" w:type="dxa"/>
          </w:tblCellMar>
        </w:tblPrEx>
        <w:trPr>
          <w:trHeight w:val="960"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对招标文件的响应程度</w:t>
            </w:r>
            <w:r>
              <w:rPr>
                <w:rFonts w:hint="eastAsia" w:ascii="宋体" w:hAnsi="宋体" w:cs="宋体"/>
                <w:color w:val="000000"/>
                <w:kern w:val="0"/>
                <w:sz w:val="24"/>
                <w:szCs w:val="24"/>
                <w:lang w:bidi="ar"/>
              </w:rPr>
              <w:br w:type="textWrapping"/>
            </w: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ascii="宋体" w:hAnsi="宋体" w:cs="宋体"/>
                <w:color w:val="000000"/>
                <w:sz w:val="22"/>
                <w:szCs w:val="22"/>
              </w:rPr>
            </w:pPr>
          </w:p>
        </w:tc>
      </w:tr>
    </w:tbl>
    <w:p>
      <w:pPr>
        <w:pStyle w:val="2"/>
        <w:spacing w:line="460" w:lineRule="exact"/>
        <w:rPr>
          <w:rFonts w:ascii="宋体" w:hAnsi="宋体"/>
          <w:b/>
          <w:bCs/>
        </w:rPr>
      </w:pPr>
    </w:p>
    <w:p>
      <w:pPr>
        <w:pStyle w:val="2"/>
        <w:spacing w:line="460" w:lineRule="exact"/>
        <w:rPr>
          <w:rFonts w:ascii="宋体" w:hAnsi="宋体"/>
        </w:rPr>
      </w:pPr>
      <w:r>
        <w:rPr>
          <w:rFonts w:hint="eastAsia" w:ascii="宋体" w:hAnsi="宋体"/>
          <w:b/>
          <w:bCs/>
        </w:rPr>
        <w:t>注：</w:t>
      </w:r>
    </w:p>
    <w:p>
      <w:pPr>
        <w:spacing w:line="520" w:lineRule="exact"/>
        <w:rPr>
          <w:rFonts w:ascii="宋体" w:hAnsi="宋体"/>
          <w:b/>
          <w:bCs/>
        </w:rPr>
      </w:pPr>
      <w:r>
        <w:rPr>
          <w:rFonts w:hint="eastAsia" w:ascii="宋体" w:hAnsi="宋体"/>
          <w:b/>
          <w:bCs/>
        </w:rPr>
        <w:t>1、此表中的报价必须与相应的报价明细表中的报价一致，分项报价</w:t>
      </w:r>
      <w:r>
        <w:rPr>
          <w:rFonts w:hint="eastAsia" w:ascii="宋体" w:hAnsi="宋体"/>
          <w:b/>
          <w:bCs/>
          <w:lang w:val="en-US" w:eastAsia="zh-CN"/>
        </w:rPr>
        <w:t>在</w:t>
      </w:r>
      <w:r>
        <w:rPr>
          <w:rFonts w:hint="eastAsia" w:ascii="宋体" w:hAnsi="宋体"/>
          <w:b/>
          <w:bCs/>
        </w:rPr>
        <w:t>招标基价</w:t>
      </w:r>
      <w:r>
        <w:rPr>
          <w:rFonts w:hint="eastAsia" w:ascii="宋体" w:hAnsi="宋体"/>
          <w:b/>
          <w:bCs/>
          <w:lang w:val="en-US" w:eastAsia="zh-CN"/>
        </w:rPr>
        <w:t>基础上同比例下浮</w:t>
      </w:r>
      <w:r>
        <w:rPr>
          <w:rFonts w:hint="eastAsia" w:ascii="宋体" w:hAnsi="宋体"/>
          <w:b/>
          <w:bCs/>
        </w:rPr>
        <w:t>。</w:t>
      </w:r>
    </w:p>
    <w:p>
      <w:pPr>
        <w:spacing w:line="360" w:lineRule="auto"/>
        <w:rPr>
          <w:rFonts w:ascii="宋体" w:hAnsi="宋体"/>
          <w:b/>
          <w:bCs/>
        </w:rPr>
      </w:pPr>
      <w:r>
        <w:rPr>
          <w:rFonts w:hint="eastAsia" w:ascii="宋体" w:hAnsi="宋体"/>
          <w:b/>
          <w:bCs/>
        </w:rPr>
        <w:t>2、本表除附在投标文件中外，还应一式贰份单独密封，以便唱标。</w:t>
      </w:r>
    </w:p>
    <w:p>
      <w:pPr>
        <w:spacing w:line="360" w:lineRule="auto"/>
        <w:rPr>
          <w:rFonts w:ascii="宋体" w:hAnsi="宋体"/>
          <w:sz w:val="24"/>
        </w:rPr>
      </w:pPr>
      <w:r>
        <w:rPr>
          <w:rFonts w:hint="eastAsia" w:ascii="宋体" w:hAnsi="宋体"/>
          <w:sz w:val="24"/>
        </w:rPr>
        <w:t>投标人：（盖章）</w:t>
      </w:r>
    </w:p>
    <w:p>
      <w:pPr>
        <w:spacing w:line="360" w:lineRule="auto"/>
        <w:rPr>
          <w:rFonts w:ascii="宋体" w:hAnsi="宋体"/>
          <w:sz w:val="24"/>
        </w:rPr>
      </w:pPr>
      <w:r>
        <w:rPr>
          <w:rFonts w:hint="eastAsia" w:ascii="宋体" w:hAnsi="宋体"/>
          <w:sz w:val="24"/>
        </w:rPr>
        <w:t>法定代表人（授权代表）：（签字）</w:t>
      </w:r>
    </w:p>
    <w:p>
      <w:pPr>
        <w:spacing w:line="360" w:lineRule="auto"/>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pPr>
        <w:jc w:val="left"/>
        <w:rPr>
          <w:rFonts w:hint="eastAsia" w:ascii="宋体" w:hAnsi="宋体"/>
          <w:sz w:val="21"/>
          <w:szCs w:val="21"/>
          <w:lang w:val="en-US" w:eastAsia="zh-CN"/>
        </w:rPr>
      </w:pPr>
      <w:r>
        <w:rPr>
          <w:rFonts w:hint="eastAsia" w:ascii="宋体" w:hAnsi="宋体"/>
        </w:rPr>
        <w:t>项目名称</w:t>
      </w:r>
      <w:r>
        <w:rPr>
          <w:rFonts w:hint="eastAsia" w:ascii="宋体" w:hAnsi="宋体"/>
          <w:sz w:val="21"/>
          <w:szCs w:val="21"/>
        </w:rPr>
        <w:t>：</w:t>
      </w:r>
      <w:r>
        <w:rPr>
          <w:rFonts w:hint="eastAsia" w:ascii="宋体" w:hAnsi="宋体"/>
          <w:sz w:val="21"/>
          <w:szCs w:val="21"/>
          <w:lang w:val="en-US" w:eastAsia="zh-CN"/>
        </w:rPr>
        <w:t>济宁商用车公司全自动双悬臂测量机搬迁项目</w:t>
      </w:r>
    </w:p>
    <w:p>
      <w:pPr>
        <w:rPr>
          <w:rFonts w:ascii="宋体" w:hAnsi="宋体"/>
        </w:rPr>
      </w:pPr>
    </w:p>
    <w:p>
      <w:pPr>
        <w:rPr>
          <w:rFonts w:ascii="宋体" w:hAnsi="宋体"/>
          <w:szCs w:val="21"/>
        </w:rPr>
      </w:pPr>
      <w:r>
        <w:rPr>
          <w:rFonts w:hint="eastAsia" w:ascii="宋体" w:hAnsi="宋体"/>
          <w:szCs w:val="21"/>
        </w:rPr>
        <w:t>日期：  年   月   日</w:t>
      </w:r>
    </w:p>
    <w:p>
      <w:pPr>
        <w:jc w:val="center"/>
        <w:rPr>
          <w:rFonts w:eastAsia="黑体"/>
          <w:b/>
          <w:bCs/>
          <w:sz w:val="28"/>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4"/>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eastAsia="黑体"/>
          <w:b/>
          <w:bCs/>
          <w:sz w:val="28"/>
        </w:rPr>
      </w:pPr>
    </w:p>
    <w:p>
      <w:pPr>
        <w:rPr>
          <w:rFonts w:eastAsia="黑体"/>
          <w:b/>
          <w:bCs/>
          <w:sz w:val="28"/>
        </w:rPr>
      </w:pPr>
      <w:r>
        <w:rPr>
          <w:rFonts w:eastAsia="黑体"/>
          <w:b/>
          <w:bCs/>
          <w:sz w:val="28"/>
        </w:rPr>
        <w:br w:type="page"/>
      </w:r>
      <w:r>
        <w:rPr>
          <w:rFonts w:hint="eastAsia" w:eastAsia="黑体"/>
          <w:b/>
          <w:bCs/>
          <w:sz w:val="28"/>
        </w:rPr>
        <w:t>格式5</w:t>
      </w:r>
      <w:bookmarkStart w:id="3" w:name="_Hlk70069772"/>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ascii="宋体" w:hAnsi="宋体"/>
          <w:sz w:val="24"/>
        </w:rPr>
      </w:pPr>
    </w:p>
    <w:bookmarkEnd w:id="3"/>
    <w:p>
      <w:pPr>
        <w:widowControl/>
        <w:jc w:val="left"/>
        <w:rPr>
          <w:rFonts w:eastAsia="黑体"/>
          <w:b/>
          <w:bCs/>
          <w:sz w:val="28"/>
        </w:rPr>
      </w:pPr>
      <w:r>
        <w:rPr>
          <w:rFonts w:eastAsia="黑体"/>
          <w:b/>
          <w:bCs/>
          <w:sz w:val="28"/>
        </w:rPr>
        <w:br w:type="page"/>
      </w:r>
    </w:p>
    <w:p>
      <w:pPr>
        <w:rPr>
          <w:rFonts w:eastAsia="黑体"/>
          <w:b/>
          <w:bCs/>
          <w:sz w:val="28"/>
        </w:rPr>
      </w:pPr>
      <w:r>
        <w:rPr>
          <w:rFonts w:hint="eastAsia" w:eastAsia="黑体"/>
          <w:b/>
          <w:bCs/>
          <w:sz w:val="28"/>
        </w:rPr>
        <w:t xml:space="preserve">格式6 </w:t>
      </w:r>
    </w:p>
    <w:p>
      <w:pPr>
        <w:jc w:val="left"/>
        <w:rPr>
          <w:rFonts w:hint="eastAsia" w:ascii="宋体" w:hAnsi="宋体"/>
          <w:sz w:val="21"/>
          <w:szCs w:val="21"/>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rPr>
      </w:pPr>
    </w:p>
    <w:p>
      <w:pPr>
        <w:pStyle w:val="4"/>
        <w:spacing w:line="360" w:lineRule="auto"/>
        <w:ind w:left="885" w:leftChars="-6" w:hanging="898" w:hangingChars="428"/>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269" w:type="dxa"/>
            <w:gridSpan w:val="4"/>
            <w:vAlign w:val="center"/>
          </w:tcPr>
          <w:p>
            <w:pPr>
              <w:jc w:val="center"/>
              <w:rPr>
                <w:rFonts w:ascii="宋体" w:hAnsi="宋体"/>
                <w:sz w:val="24"/>
              </w:rPr>
            </w:pPr>
          </w:p>
        </w:tc>
        <w:tc>
          <w:tcPr>
            <w:tcW w:w="1276" w:type="dxa"/>
            <w:gridSpan w:val="3"/>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sz w:val="24"/>
              </w:rPr>
            </w:pPr>
            <w:r>
              <w:rPr>
                <w:rFonts w:hint="eastAsia" w:ascii="宋体" w:hAnsi="宋体"/>
                <w:sz w:val="24"/>
              </w:rPr>
              <w:t>公司在册员工人数</w:t>
            </w:r>
          </w:p>
        </w:tc>
        <w:tc>
          <w:tcPr>
            <w:tcW w:w="1984" w:type="dxa"/>
            <w:gridSpan w:val="4"/>
            <w:vAlign w:val="center"/>
          </w:tcPr>
          <w:p>
            <w:pPr>
              <w:jc w:val="right"/>
              <w:rPr>
                <w:rFonts w:ascii="宋体" w:hAnsi="宋体"/>
                <w:sz w:val="24"/>
              </w:rPr>
            </w:pPr>
            <w:r>
              <w:rPr>
                <w:rFonts w:hint="eastAsia" w:ascii="宋体" w:hAnsi="宋体"/>
                <w:sz w:val="24"/>
              </w:rPr>
              <w:t>人</w:t>
            </w:r>
          </w:p>
        </w:tc>
        <w:tc>
          <w:tcPr>
            <w:tcW w:w="3970" w:type="dxa"/>
            <w:gridSpan w:val="4"/>
            <w:vAlign w:val="center"/>
          </w:tcPr>
          <w:p>
            <w:pPr>
              <w:rPr>
                <w:rFonts w:ascii="宋体" w:hAnsi="宋体"/>
                <w:sz w:val="24"/>
              </w:rPr>
            </w:pPr>
            <w:r>
              <w:rPr>
                <w:rFonts w:hint="eastAsia" w:ascii="宋体" w:hAnsi="宋体"/>
                <w:sz w:val="24"/>
              </w:rPr>
              <w:t>专业从事产品研发、生产的员工人数</w:t>
            </w:r>
          </w:p>
        </w:tc>
        <w:tc>
          <w:tcPr>
            <w:tcW w:w="155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sz w:val="24"/>
              </w:rPr>
            </w:pPr>
            <w:r>
              <w:rPr>
                <w:rFonts w:hint="eastAsia" w:ascii="宋体" w:hAnsi="宋体"/>
                <w:sz w:val="24"/>
              </w:rPr>
              <w:t>企业所通过的体系认证情况</w:t>
            </w:r>
          </w:p>
        </w:tc>
        <w:tc>
          <w:tcPr>
            <w:tcW w:w="6232" w:type="dxa"/>
            <w:gridSpan w:val="7"/>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pPr>
              <w:jc w:val="center"/>
              <w:rPr>
                <w:rFonts w:ascii="宋体" w:hAnsi="宋体"/>
                <w:sz w:val="24"/>
              </w:rPr>
            </w:pPr>
            <w:r>
              <w:rPr>
                <w:rFonts w:hint="eastAsia" w:ascii="宋体" w:hAnsi="宋体"/>
                <w:sz w:val="24"/>
              </w:rPr>
              <w:t>项目起止时间</w:t>
            </w:r>
          </w:p>
        </w:tc>
        <w:tc>
          <w:tcPr>
            <w:tcW w:w="3556" w:type="dxa"/>
            <w:gridSpan w:val="3"/>
            <w:vAlign w:val="center"/>
          </w:tcPr>
          <w:p>
            <w:pPr>
              <w:jc w:val="center"/>
              <w:rPr>
                <w:rFonts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ascii="宋体" w:hAnsi="宋体"/>
                <w:sz w:val="24"/>
              </w:rPr>
            </w:pPr>
            <w:r>
              <w:rPr>
                <w:rFonts w:hint="eastAsia" w:ascii="宋体" w:hAnsi="宋体"/>
                <w:sz w:val="24"/>
              </w:rPr>
              <w:t>设计人员（名）</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生产设备（功能、型号、数量）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szCs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bl>
    <w:p>
      <w:pPr>
        <w:pStyle w:val="4"/>
        <w:spacing w:line="360" w:lineRule="auto"/>
        <w:ind w:firstLine="240" w:firstLineChars="100"/>
        <w:rPr>
          <w:rFonts w:ascii="仿宋_GB2312" w:hAnsi="宋体" w:eastAsia="仿宋_GB2312"/>
          <w:sz w:val="24"/>
        </w:rPr>
      </w:pPr>
    </w:p>
    <w:p>
      <w:pPr>
        <w:pStyle w:val="4"/>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4"/>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pPr>
        <w:pStyle w:val="4"/>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pPr>
        <w:rPr>
          <w:rFonts w:eastAsia="黑体"/>
          <w:b/>
          <w:bCs/>
          <w:sz w:val="28"/>
        </w:rPr>
      </w:pPr>
      <w:r>
        <w:rPr>
          <w:rFonts w:hint="eastAsia" w:eastAsia="黑体"/>
          <w:b/>
          <w:bCs/>
          <w:sz w:val="28"/>
        </w:rPr>
        <w:t>格式7</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rPr>
      </w:pPr>
    </w:p>
    <w:p>
      <w:pPr>
        <w:pStyle w:val="4"/>
        <w:spacing w:line="360" w:lineRule="auto"/>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ind w:right="560" w:firstLine="420" w:firstLineChars="200"/>
        <w:rPr>
          <w:rFonts w:ascii="宋体"/>
          <w:kern w:val="0"/>
          <w:szCs w:val="21"/>
        </w:rPr>
      </w:pPr>
    </w:p>
    <w:p>
      <w:pPr>
        <w:pStyle w:val="4"/>
        <w:spacing w:line="360" w:lineRule="auto"/>
        <w:rPr>
          <w:rFonts w:hAnsi="宋体"/>
          <w:b/>
          <w:sz w:val="24"/>
          <w:szCs w:val="24"/>
        </w:rPr>
      </w:pPr>
    </w:p>
    <w:p>
      <w:pPr>
        <w:pStyle w:val="4"/>
        <w:spacing w:line="360" w:lineRule="auto"/>
        <w:rPr>
          <w:rFonts w:hAnsi="宋体"/>
          <w:b/>
          <w:sz w:val="24"/>
          <w:szCs w:val="24"/>
        </w:rPr>
      </w:pPr>
    </w:p>
    <w:p>
      <w:pPr>
        <w:pStyle w:val="4"/>
        <w:spacing w:line="360" w:lineRule="auto"/>
        <w:rPr>
          <w:rFonts w:hAnsi="宋体"/>
          <w:b/>
          <w:sz w:val="24"/>
          <w:szCs w:val="24"/>
        </w:rPr>
      </w:pPr>
    </w:p>
    <w:p>
      <w:pPr>
        <w:pStyle w:val="4"/>
        <w:spacing w:line="360" w:lineRule="auto"/>
        <w:rPr>
          <w:rFonts w:hAnsi="宋体"/>
          <w:b/>
          <w:sz w:val="24"/>
          <w:szCs w:val="24"/>
        </w:rPr>
      </w:pPr>
    </w:p>
    <w:p>
      <w:pPr>
        <w:pStyle w:val="4"/>
        <w:spacing w:line="360" w:lineRule="auto"/>
        <w:rPr>
          <w:rFonts w:hAnsi="宋体"/>
          <w:b/>
          <w:sz w:val="24"/>
          <w:szCs w:val="24"/>
        </w:rPr>
      </w:pPr>
    </w:p>
    <w:p>
      <w:pPr>
        <w:rPr>
          <w:rFonts w:eastAsia="黑体"/>
          <w:b/>
          <w:bCs/>
          <w:sz w:val="28"/>
        </w:rPr>
      </w:pPr>
      <w:r>
        <w:rPr>
          <w:rFonts w:hint="eastAsia" w:eastAsia="黑体"/>
          <w:b/>
          <w:bCs/>
          <w:sz w:val="28"/>
        </w:rPr>
        <w:t>格式8</w:t>
      </w:r>
    </w:p>
    <w:p>
      <w:pPr>
        <w:jc w:val="left"/>
        <w:rPr>
          <w:rFonts w:hint="eastAsia" w:ascii="宋体" w:hAnsi="宋体"/>
          <w:sz w:val="44"/>
          <w:szCs w:val="48"/>
          <w:lang w:val="en-US" w:eastAsia="zh-CN"/>
        </w:rPr>
      </w:pPr>
      <w:r>
        <w:rPr>
          <w:rFonts w:hint="eastAsia" w:ascii="宋体" w:hAnsi="宋体"/>
        </w:rPr>
        <w:t>项目名称：</w:t>
      </w:r>
      <w:r>
        <w:rPr>
          <w:rFonts w:hint="eastAsia" w:ascii="宋体" w:hAnsi="宋体"/>
          <w:sz w:val="21"/>
          <w:szCs w:val="21"/>
          <w:lang w:val="en-US" w:eastAsia="zh-CN"/>
        </w:rPr>
        <w:t>济宁商用车公司全自动双悬臂测量机搬迁项目</w:t>
      </w:r>
    </w:p>
    <w:p>
      <w:pPr>
        <w:rPr>
          <w:rFonts w:ascii="宋体" w:hAnsi="宋体"/>
        </w:rPr>
      </w:pPr>
    </w:p>
    <w:p>
      <w:pPr>
        <w:pStyle w:val="4"/>
        <w:spacing w:line="360" w:lineRule="auto"/>
        <w:ind w:left="885" w:leftChars="-6" w:hanging="898" w:hangingChars="428"/>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投标保证金退付表</w:t>
      </w:r>
    </w:p>
    <w:tbl>
      <w:tblPr>
        <w:tblStyle w:val="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开户行行号：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pPr>
              <w:pStyle w:val="4"/>
              <w:spacing w:line="360" w:lineRule="auto"/>
            </w:pPr>
            <w:r>
              <w:rPr>
                <w:rFonts w:hint="eastAsia"/>
              </w:rPr>
              <w:t>纳税人识别号：</w:t>
            </w:r>
          </w:p>
        </w:tc>
      </w:tr>
    </w:tbl>
    <w:p>
      <w:pPr>
        <w:pStyle w:val="4"/>
        <w:spacing w:line="360" w:lineRule="auto"/>
        <w:ind w:firstLine="240" w:firstLineChars="100"/>
        <w:rPr>
          <w:rFonts w:ascii="仿宋_GB2312" w:hAnsi="宋体" w:eastAsia="仿宋_GB2312"/>
          <w:color w:val="000000"/>
          <w:sz w:val="24"/>
        </w:rPr>
      </w:pPr>
    </w:p>
    <w:p>
      <w:pPr>
        <w:pStyle w:val="4"/>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pPr>
        <w:pStyle w:val="4"/>
        <w:spacing w:line="360" w:lineRule="auto"/>
        <w:rPr>
          <w:rFonts w:hAnsi="宋体"/>
          <w:b/>
          <w:sz w:val="24"/>
          <w:szCs w:val="24"/>
        </w:rPr>
      </w:pPr>
    </w:p>
    <w:p>
      <w:pPr>
        <w:pStyle w:val="4"/>
        <w:spacing w:line="360" w:lineRule="auto"/>
        <w:jc w:val="center"/>
        <w:rPr>
          <w:rFonts w:ascii="黑体" w:eastAsia="黑体"/>
          <w:b/>
          <w:bCs/>
          <w:sz w:val="36"/>
          <w:szCs w:val="36"/>
        </w:rPr>
      </w:pPr>
    </w:p>
    <w:p>
      <w:pPr>
        <w:rPr>
          <w:rFonts w:eastAsia="黑体"/>
          <w:b/>
          <w:bCs/>
          <w:sz w:val="28"/>
        </w:rPr>
      </w:pPr>
      <w:r>
        <w:rPr>
          <w:rFonts w:hint="eastAsia" w:eastAsia="黑体"/>
          <w:b/>
          <w:bCs/>
          <w:sz w:val="28"/>
        </w:rPr>
        <w:br w:type="page"/>
      </w:r>
    </w:p>
    <w:p>
      <w:pPr>
        <w:rPr>
          <w:rFonts w:eastAsia="黑体"/>
          <w:b/>
          <w:bCs/>
          <w:sz w:val="28"/>
        </w:rPr>
      </w:pPr>
      <w:r>
        <w:rPr>
          <w:rFonts w:hint="eastAsia" w:eastAsia="黑体"/>
          <w:b/>
          <w:bCs/>
          <w:sz w:val="28"/>
        </w:rPr>
        <w:t>格式9</w:t>
      </w:r>
    </w:p>
    <w:p>
      <w:pPr>
        <w:spacing w:line="360" w:lineRule="auto"/>
        <w:jc w:val="center"/>
        <w:rPr>
          <w:rFonts w:ascii="宋体" w:hAnsi="宋体"/>
          <w:b/>
          <w:bCs/>
          <w:sz w:val="24"/>
        </w:rPr>
      </w:pPr>
      <w:r>
        <w:rPr>
          <w:rFonts w:hint="eastAsia" w:ascii="宋体" w:hAnsi="宋体"/>
          <w:b/>
          <w:bCs/>
          <w:sz w:val="24"/>
        </w:rPr>
        <w:t>售后服务保障及承诺</w:t>
      </w:r>
    </w:p>
    <w:p>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pPr>
        <w:spacing w:line="360" w:lineRule="auto"/>
        <w:jc w:val="left"/>
        <w:rPr>
          <w:rFonts w:ascii="宋体" w:hAnsi="宋体"/>
          <w:bCs/>
          <w:sz w:val="24"/>
        </w:rPr>
      </w:pPr>
    </w:p>
    <w:p>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pPr>
        <w:rPr>
          <w:rFonts w:ascii="宋体" w:cs="宋体"/>
          <w:kern w:val="0"/>
          <w:sz w:val="24"/>
        </w:rPr>
      </w:pPr>
      <w:r>
        <w:rPr>
          <w:rFonts w:hint="eastAsia" w:ascii="宋体" w:cs="宋体"/>
          <w:kern w:val="0"/>
          <w:sz w:val="24"/>
        </w:rPr>
        <w:br w:type="page"/>
      </w:r>
    </w:p>
    <w:p>
      <w:pPr>
        <w:rPr>
          <w:rFonts w:eastAsia="黑体"/>
          <w:b/>
          <w:bCs/>
          <w:sz w:val="28"/>
        </w:rPr>
      </w:pPr>
      <w:r>
        <w:rPr>
          <w:rFonts w:hint="eastAsia" w:eastAsia="黑体"/>
          <w:b/>
          <w:bCs/>
          <w:sz w:val="28"/>
        </w:rPr>
        <w:t>格式10</w:t>
      </w:r>
    </w:p>
    <w:p>
      <w:pPr>
        <w:jc w:val="center"/>
        <w:rPr>
          <w:rFonts w:ascii="宋体" w:hAnsi="宋体"/>
          <w:b/>
          <w:bCs/>
          <w:sz w:val="32"/>
        </w:rPr>
      </w:pPr>
      <w:r>
        <w:rPr>
          <w:rFonts w:hint="eastAsia" w:ascii="宋体" w:hAnsi="宋体"/>
          <w:b/>
          <w:bCs/>
          <w:sz w:val="32"/>
        </w:rPr>
        <w:t>服务承诺函</w:t>
      </w:r>
    </w:p>
    <w:p>
      <w:pPr>
        <w:jc w:val="center"/>
        <w:rPr>
          <w:rFonts w:ascii="宋体" w:hAnsi="宋体"/>
          <w:sz w:val="24"/>
        </w:rPr>
      </w:pPr>
      <w:r>
        <w:rPr>
          <w:rFonts w:hint="eastAsia" w:ascii="宋体" w:hAnsi="宋体"/>
          <w:sz w:val="24"/>
        </w:rPr>
        <w:t>（包含但不仅限于以下内容）</w:t>
      </w:r>
    </w:p>
    <w:p>
      <w:pPr>
        <w:ind w:firstLine="3360"/>
        <w:jc w:val="center"/>
        <w:rPr>
          <w:rFonts w:ascii="宋体" w:hAnsi="宋体"/>
          <w:sz w:val="24"/>
        </w:rPr>
      </w:pPr>
      <w:r>
        <w:rPr>
          <w:rFonts w:hint="eastAsia" w:ascii="宋体" w:hAnsi="宋体"/>
          <w:sz w:val="24"/>
        </w:rPr>
        <w:t xml:space="preserve">    </w:t>
      </w:r>
    </w:p>
    <w:p>
      <w:pPr>
        <w:spacing w:line="312" w:lineRule="auto"/>
        <w:rPr>
          <w:rFonts w:ascii="宋体" w:hAnsi="宋体"/>
          <w:b/>
          <w:sz w:val="24"/>
          <w:u w:val="single"/>
        </w:rPr>
      </w:pPr>
      <w:r>
        <w:rPr>
          <w:rFonts w:hint="eastAsia" w:ascii="宋体" w:hAnsi="宋体"/>
          <w:b/>
          <w:sz w:val="24"/>
          <w:u w:val="single"/>
        </w:rPr>
        <w:t>（招标人）：</w:t>
      </w:r>
    </w:p>
    <w:p>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pPr>
        <w:numPr>
          <w:ilvl w:val="0"/>
          <w:numId w:val="5"/>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pPr>
        <w:numPr>
          <w:ilvl w:val="0"/>
          <w:numId w:val="5"/>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pPr>
        <w:numPr>
          <w:ilvl w:val="0"/>
          <w:numId w:val="6"/>
        </w:numPr>
        <w:tabs>
          <w:tab w:val="left" w:pos="780"/>
        </w:tabs>
        <w:spacing w:line="312" w:lineRule="auto"/>
        <w:rPr>
          <w:rFonts w:ascii="宋体" w:hAnsi="宋体"/>
          <w:sz w:val="24"/>
        </w:rPr>
      </w:pPr>
      <w:r>
        <w:rPr>
          <w:rFonts w:hint="eastAsia" w:ascii="宋体" w:hAnsi="宋体"/>
          <w:sz w:val="24"/>
        </w:rPr>
        <w:t>随时满足需方对备品备件的要求。</w:t>
      </w:r>
    </w:p>
    <w:p>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pPr>
              <w:spacing w:line="360" w:lineRule="auto"/>
              <w:jc w:val="center"/>
              <w:rPr>
                <w:rFonts w:ascii="宋体" w:hAnsi="宋体"/>
                <w:sz w:val="24"/>
              </w:rPr>
            </w:pPr>
            <w:r>
              <w:rPr>
                <w:rFonts w:hint="eastAsia" w:ascii="宋体" w:hAnsi="宋体"/>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pPr>
              <w:spacing w:line="360" w:lineRule="auto"/>
              <w:jc w:val="center"/>
              <w:rPr>
                <w:rFonts w:ascii="宋体" w:hAnsi="宋体"/>
                <w:sz w:val="24"/>
              </w:rPr>
            </w:pPr>
          </w:p>
        </w:tc>
        <w:tc>
          <w:tcPr>
            <w:tcW w:w="1410" w:type="dxa"/>
            <w:vMerge w:val="continue"/>
            <w:vAlign w:val="center"/>
          </w:tcPr>
          <w:p>
            <w:pPr>
              <w:spacing w:line="360" w:lineRule="auto"/>
              <w:jc w:val="center"/>
              <w:rPr>
                <w:rFonts w:ascii="宋体" w:hAnsi="宋体"/>
                <w:sz w:val="24"/>
              </w:rPr>
            </w:pPr>
          </w:p>
        </w:tc>
        <w:tc>
          <w:tcPr>
            <w:tcW w:w="1399" w:type="dxa"/>
            <w:vMerge w:val="continue"/>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r>
              <w:rPr>
                <w:rFonts w:hint="eastAsia" w:ascii="宋体" w:hAnsi="宋体"/>
                <w:sz w:val="24"/>
              </w:rPr>
              <w:t>职 称</w:t>
            </w:r>
          </w:p>
        </w:tc>
        <w:tc>
          <w:tcPr>
            <w:tcW w:w="1549" w:type="dxa"/>
            <w:vAlign w:val="center"/>
          </w:tcPr>
          <w:p>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pPr>
              <w:spacing w:line="360" w:lineRule="auto"/>
              <w:jc w:val="center"/>
              <w:rPr>
                <w:rFonts w:ascii="宋体" w:hAnsi="宋体"/>
                <w:sz w:val="24"/>
              </w:rPr>
            </w:pPr>
          </w:p>
        </w:tc>
        <w:tc>
          <w:tcPr>
            <w:tcW w:w="1410" w:type="dxa"/>
            <w:vAlign w:val="center"/>
          </w:tcPr>
          <w:p>
            <w:pPr>
              <w:spacing w:line="360" w:lineRule="auto"/>
              <w:jc w:val="center"/>
              <w:rPr>
                <w:rFonts w:ascii="宋体" w:hAnsi="宋体"/>
                <w:sz w:val="24"/>
              </w:rPr>
            </w:pPr>
          </w:p>
        </w:tc>
        <w:tc>
          <w:tcPr>
            <w:tcW w:w="1399" w:type="dxa"/>
            <w:vAlign w:val="center"/>
          </w:tcPr>
          <w:p>
            <w:pPr>
              <w:spacing w:line="360" w:lineRule="auto"/>
              <w:jc w:val="center"/>
              <w:rPr>
                <w:rFonts w:ascii="宋体" w:hAnsi="宋体"/>
                <w:sz w:val="24"/>
              </w:rPr>
            </w:pPr>
          </w:p>
        </w:tc>
        <w:tc>
          <w:tcPr>
            <w:tcW w:w="1536" w:type="dxa"/>
            <w:vAlign w:val="center"/>
          </w:tcPr>
          <w:p>
            <w:pPr>
              <w:spacing w:line="360" w:lineRule="auto"/>
              <w:jc w:val="center"/>
              <w:rPr>
                <w:rFonts w:ascii="宋体" w:hAnsi="宋体"/>
                <w:sz w:val="24"/>
              </w:rPr>
            </w:pPr>
          </w:p>
        </w:tc>
        <w:tc>
          <w:tcPr>
            <w:tcW w:w="1549" w:type="dxa"/>
            <w:vAlign w:val="center"/>
          </w:tcPr>
          <w:p>
            <w:pPr>
              <w:spacing w:line="360" w:lineRule="auto"/>
              <w:jc w:val="center"/>
              <w:rPr>
                <w:rFonts w:ascii="宋体" w:hAnsi="宋体"/>
                <w:sz w:val="24"/>
              </w:rPr>
            </w:pPr>
          </w:p>
        </w:tc>
        <w:tc>
          <w:tcPr>
            <w:tcW w:w="2469" w:type="dxa"/>
            <w:vAlign w:val="center"/>
          </w:tcPr>
          <w:p>
            <w:pPr>
              <w:spacing w:line="360" w:lineRule="auto"/>
              <w:jc w:val="center"/>
              <w:rPr>
                <w:rFonts w:ascii="宋体" w:hAnsi="宋体"/>
                <w:sz w:val="24"/>
              </w:rPr>
            </w:pPr>
          </w:p>
        </w:tc>
      </w:tr>
    </w:tbl>
    <w:p>
      <w:pPr>
        <w:spacing w:line="360" w:lineRule="auto"/>
        <w:rPr>
          <w:rFonts w:ascii="宋体" w:hAnsi="宋体"/>
          <w:sz w:val="24"/>
        </w:rPr>
      </w:pPr>
      <w:r>
        <w:rPr>
          <w:rFonts w:hint="eastAsia" w:ascii="宋体" w:hAnsi="宋体"/>
          <w:sz w:val="24"/>
        </w:rPr>
        <w:t xml:space="preserve">投标人名称（公章）：         </w:t>
      </w:r>
    </w:p>
    <w:p>
      <w:pPr>
        <w:spacing w:line="360" w:lineRule="auto"/>
        <w:rPr>
          <w:rFonts w:ascii="宋体" w:hAnsi="宋体"/>
          <w:sz w:val="24"/>
        </w:rPr>
      </w:pPr>
      <w:r>
        <w:rPr>
          <w:rFonts w:hint="eastAsia" w:ascii="宋体" w:hAnsi="宋体"/>
          <w:sz w:val="24"/>
        </w:rPr>
        <w:t xml:space="preserve">法定代表人或授权代理人签字：              </w:t>
      </w:r>
    </w:p>
    <w:p>
      <w:pPr>
        <w:spacing w:line="360" w:lineRule="auto"/>
        <w:rPr>
          <w:rFonts w:ascii="宋体" w:hAnsi="宋体"/>
          <w:sz w:val="24"/>
        </w:rPr>
      </w:pPr>
      <w:r>
        <w:rPr>
          <w:rFonts w:hint="eastAsia" w:ascii="宋体" w:hAnsi="宋体"/>
          <w:sz w:val="24"/>
        </w:rPr>
        <w:t xml:space="preserve">日   期：   </w:t>
      </w:r>
    </w:p>
    <w:p>
      <w:pPr>
        <w:rPr>
          <w:rFonts w:ascii="宋体" w:hAnsi="宋体"/>
          <w:sz w:val="24"/>
        </w:rPr>
      </w:pPr>
      <w:r>
        <w:rPr>
          <w:rFonts w:hint="eastAsia" w:ascii="宋体" w:hAnsi="宋体"/>
          <w:sz w:val="24"/>
        </w:rPr>
        <w:br w:type="page"/>
      </w:r>
    </w:p>
    <w:p>
      <w:pPr>
        <w:spacing w:line="360" w:lineRule="auto"/>
        <w:rPr>
          <w:rFonts w:eastAsia="黑体"/>
          <w:b/>
          <w:bCs/>
          <w:sz w:val="28"/>
        </w:rPr>
      </w:pPr>
      <w:r>
        <w:rPr>
          <w:rFonts w:hint="eastAsia" w:eastAsia="黑体"/>
          <w:b/>
          <w:bCs/>
          <w:sz w:val="28"/>
        </w:rPr>
        <w:t>格式12</w:t>
      </w:r>
    </w:p>
    <w:p>
      <w:pPr>
        <w:spacing w:line="360" w:lineRule="auto"/>
        <w:jc w:val="center"/>
        <w:rPr>
          <w:rFonts w:ascii="宋体" w:hAnsi="宋体"/>
          <w:b/>
          <w:bCs/>
          <w:sz w:val="32"/>
        </w:rPr>
      </w:pPr>
      <w:r>
        <w:rPr>
          <w:rFonts w:hint="eastAsia" w:ascii="宋体" w:hAnsi="宋体"/>
          <w:b/>
          <w:bCs/>
          <w:sz w:val="32"/>
        </w:rPr>
        <w:t>质量承诺函</w:t>
      </w:r>
    </w:p>
    <w:p>
      <w:pPr>
        <w:spacing w:line="360" w:lineRule="auto"/>
        <w:ind w:firstLine="5640"/>
        <w:rPr>
          <w:rFonts w:ascii="宋体" w:hAnsi="宋体"/>
          <w:sz w:val="24"/>
        </w:rPr>
      </w:pPr>
      <w:r>
        <w:rPr>
          <w:rFonts w:hint="eastAsia" w:ascii="宋体" w:hAnsi="宋体"/>
          <w:sz w:val="24"/>
        </w:rPr>
        <w:t xml:space="preserve">项目名称：                </w:t>
      </w:r>
    </w:p>
    <w:p>
      <w:pPr>
        <w:spacing w:line="360" w:lineRule="auto"/>
        <w:ind w:firstLine="5640"/>
        <w:rPr>
          <w:rFonts w:ascii="宋体" w:hAnsi="宋体"/>
          <w:sz w:val="24"/>
        </w:rPr>
      </w:pPr>
      <w:r>
        <w:rPr>
          <w:rFonts w:hint="eastAsia" w:ascii="宋体" w:hAnsi="宋体"/>
          <w:sz w:val="24"/>
        </w:rPr>
        <w:t>项目编号：</w:t>
      </w:r>
    </w:p>
    <w:p>
      <w:pPr>
        <w:spacing w:line="360" w:lineRule="auto"/>
        <w:rPr>
          <w:rFonts w:ascii="宋体" w:hAnsi="宋体"/>
          <w:sz w:val="24"/>
        </w:rPr>
      </w:pPr>
      <w:r>
        <w:rPr>
          <w:rFonts w:hint="eastAsia" w:ascii="宋体" w:hAnsi="宋体"/>
          <w:b/>
          <w:sz w:val="24"/>
          <w:u w:val="single"/>
        </w:rPr>
        <w:t>（招标人）：</w:t>
      </w:r>
    </w:p>
    <w:p>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pPr>
        <w:spacing w:line="360" w:lineRule="auto"/>
        <w:ind w:left="480"/>
        <w:rPr>
          <w:rFonts w:ascii="宋体" w:hAnsi="宋体"/>
          <w:sz w:val="24"/>
        </w:rPr>
      </w:pPr>
      <w:r>
        <w:rPr>
          <w:rFonts w:hint="eastAsia" w:ascii="宋体" w:hAnsi="宋体"/>
          <w:sz w:val="24"/>
        </w:rPr>
        <w:t>2．严格检查和控制原材料、元器件、配套件的进厂质量。</w:t>
      </w:r>
    </w:p>
    <w:p>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pPr>
        <w:numPr>
          <w:ilvl w:val="0"/>
          <w:numId w:val="7"/>
        </w:numPr>
        <w:spacing w:line="360" w:lineRule="auto"/>
        <w:rPr>
          <w:rFonts w:ascii="宋体" w:hAnsi="宋体"/>
          <w:sz w:val="24"/>
        </w:rPr>
      </w:pPr>
      <w:r>
        <w:rPr>
          <w:rFonts w:hint="eastAsia" w:ascii="宋体" w:hAnsi="宋体"/>
          <w:sz w:val="24"/>
        </w:rPr>
        <w:t>若中标，本承诺函将成为合同不可分割的部分，与合同具有同等法律效力。</w:t>
      </w:r>
    </w:p>
    <w:p>
      <w:pPr>
        <w:numPr>
          <w:ilvl w:val="0"/>
          <w:numId w:val="7"/>
        </w:numPr>
        <w:spacing w:line="360" w:lineRule="auto"/>
        <w:rPr>
          <w:rFonts w:ascii="宋体" w:hAnsi="宋体"/>
          <w:sz w:val="24"/>
        </w:rPr>
      </w:pPr>
      <w:r>
        <w:rPr>
          <w:rFonts w:hint="eastAsia" w:ascii="宋体" w:hAnsi="宋体"/>
          <w:sz w:val="24"/>
        </w:rPr>
        <w:t>我单位针对本项目提供的其他质量承诺 。</w:t>
      </w:r>
    </w:p>
    <w:p>
      <w:pPr>
        <w:spacing w:line="360" w:lineRule="auto"/>
        <w:ind w:left="480"/>
        <w:rPr>
          <w:rFonts w:ascii="宋体" w:hAnsi="宋体"/>
          <w:sz w:val="24"/>
        </w:rPr>
      </w:pPr>
    </w:p>
    <w:p>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pPr>
        <w:spacing w:line="360" w:lineRule="auto"/>
        <w:ind w:left="480"/>
        <w:rPr>
          <w:rFonts w:ascii="宋体" w:hAnsi="宋体"/>
          <w:sz w:val="24"/>
        </w:rPr>
      </w:pPr>
      <w:r>
        <w:rPr>
          <w:rFonts w:hint="eastAsia" w:ascii="宋体" w:hAnsi="宋体"/>
          <w:sz w:val="24"/>
        </w:rPr>
        <w:t xml:space="preserve">                            法定代表人或授权代理人签字：                日    期：</w:t>
      </w:r>
    </w:p>
    <w:p>
      <w:pPr>
        <w:rPr>
          <w:rFonts w:ascii="宋体" w:hAnsi="宋体"/>
          <w:sz w:val="24"/>
        </w:rPr>
      </w:pPr>
      <w:r>
        <w:rPr>
          <w:rFonts w:hint="eastAsia" w:ascii="宋体" w:hAnsi="宋体"/>
          <w:sz w:val="24"/>
        </w:rPr>
        <w:br w:type="page"/>
      </w:r>
    </w:p>
    <w:p>
      <w:pPr>
        <w:spacing w:line="360" w:lineRule="auto"/>
        <w:ind w:left="480"/>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pPr>
        <w:pStyle w:val="4"/>
        <w:spacing w:line="360" w:lineRule="auto"/>
        <w:rPr>
          <w:rFonts w:ascii="黑体" w:hAnsi="黑体" w:eastAsia="黑体"/>
          <w:b/>
          <w:bCs/>
          <w:sz w:val="28"/>
          <w:szCs w:val="28"/>
        </w:rPr>
      </w:pPr>
      <w:r>
        <w:rPr>
          <w:rFonts w:hint="eastAsia" w:ascii="黑体" w:hAnsi="黑体" w:eastAsia="黑体"/>
          <w:b/>
          <w:bCs/>
          <w:sz w:val="28"/>
          <w:szCs w:val="28"/>
        </w:rPr>
        <w:t>一、项目名称</w:t>
      </w:r>
    </w:p>
    <w:p>
      <w:pPr>
        <w:jc w:val="left"/>
        <w:rPr>
          <w:rFonts w:hint="eastAsia" w:ascii="宋体" w:hAnsi="宋体"/>
          <w:sz w:val="21"/>
          <w:szCs w:val="21"/>
          <w:lang w:val="en-US" w:eastAsia="zh-CN"/>
        </w:rPr>
      </w:pPr>
      <w:r>
        <w:rPr>
          <w:rFonts w:hint="eastAsia" w:ascii="宋体" w:hAnsi="宋体"/>
          <w:sz w:val="21"/>
          <w:szCs w:val="21"/>
          <w:lang w:val="en-US" w:eastAsia="zh-CN"/>
        </w:rPr>
        <w:t>济宁商用车公司全自动双悬臂测量机搬迁项目</w:t>
      </w:r>
    </w:p>
    <w:p>
      <w:pPr>
        <w:pStyle w:val="4"/>
        <w:numPr>
          <w:ilvl w:val="0"/>
          <w:numId w:val="8"/>
        </w:numPr>
        <w:spacing w:line="360" w:lineRule="auto"/>
        <w:rPr>
          <w:rFonts w:ascii="黑体" w:hAnsi="黑体" w:eastAsia="黑体"/>
          <w:b/>
          <w:bCs/>
          <w:sz w:val="28"/>
          <w:szCs w:val="28"/>
        </w:rPr>
      </w:pPr>
      <w:r>
        <w:rPr>
          <w:rFonts w:hint="eastAsia" w:ascii="黑体" w:hAnsi="黑体" w:eastAsia="黑体"/>
          <w:b/>
          <w:bCs/>
          <w:sz w:val="28"/>
          <w:szCs w:val="28"/>
        </w:rPr>
        <w:t>主要技术状态说明</w:t>
      </w:r>
    </w:p>
    <w:p>
      <w:pPr>
        <w:tabs>
          <w:tab w:val="left" w:pos="420"/>
          <w:tab w:val="left" w:pos="1050"/>
        </w:tabs>
        <w:spacing w:line="520" w:lineRule="exact"/>
        <w:ind w:right="2"/>
        <w:rPr>
          <w:rFonts w:ascii="宋体" w:hAnsi="Courier New"/>
          <w:szCs w:val="22"/>
        </w:rPr>
      </w:pPr>
      <w:r>
        <w:rPr>
          <w:rFonts w:hint="eastAsia" w:ascii="宋体" w:hAnsi="Courier New"/>
          <w:szCs w:val="22"/>
        </w:rPr>
        <w:t>详见《附件一：</w:t>
      </w:r>
      <w:r>
        <w:rPr>
          <w:rFonts w:hint="eastAsia" w:ascii="宋体" w:hAnsi="宋体"/>
          <w:lang w:val="en-US" w:eastAsia="zh-CN"/>
        </w:rPr>
        <w:t>2025年中国重型汽车集团有限公司全自动双悬臂测量机搬迁项目维修技术要求及报价模板</w:t>
      </w:r>
      <w:r>
        <w:rPr>
          <w:rFonts w:hint="eastAsia" w:ascii="宋体" w:hAnsi="Courier New"/>
          <w:szCs w:val="22"/>
        </w:rPr>
        <w:t>》</w:t>
      </w:r>
    </w:p>
    <w:p>
      <w:pPr>
        <w:tabs>
          <w:tab w:val="left" w:pos="420"/>
          <w:tab w:val="left" w:pos="1050"/>
        </w:tabs>
        <w:spacing w:line="520" w:lineRule="exact"/>
        <w:ind w:left="425" w:right="2"/>
        <w:rPr>
          <w:rFonts w:ascii="宋体" w:hAnsi="Courier New"/>
          <w:szCs w:val="22"/>
        </w:rPr>
      </w:pPr>
      <w:r>
        <w:rPr>
          <w:rFonts w:hint="eastAsia" w:ascii="Arial" w:hAnsi="Arial" w:cs="Arial"/>
          <w:b/>
          <w:bCs/>
          <w:color w:val="333333"/>
          <w:szCs w:val="21"/>
          <w:shd w:val="clear" w:color="auto" w:fill="FFFFFF"/>
        </w:rPr>
        <w:t>注：</w:t>
      </w:r>
      <w:r>
        <w:rPr>
          <w:rFonts w:ascii="Arial" w:hAnsi="Arial" w:cs="Arial"/>
          <w:b/>
          <w:bCs/>
          <w:color w:val="333333"/>
          <w:szCs w:val="21"/>
          <w:shd w:val="clear" w:color="auto" w:fill="FFFFFF"/>
        </w:rPr>
        <w:t>对以上明细不包含的维修项目，以实际检测结果进行维修定价</w:t>
      </w:r>
      <w:r>
        <w:rPr>
          <w:rFonts w:hint="eastAsia" w:ascii="Arial" w:hAnsi="Arial" w:cs="Arial"/>
          <w:color w:val="333333"/>
          <w:szCs w:val="21"/>
          <w:shd w:val="clear" w:color="auto" w:fill="FFFFFF"/>
        </w:rPr>
        <w:t>。</w:t>
      </w:r>
    </w:p>
    <w:p>
      <w:pPr>
        <w:pStyle w:val="4"/>
        <w:spacing w:line="360" w:lineRule="auto"/>
        <w:rPr>
          <w:rFonts w:ascii="黑体" w:hAnsi="黑体" w:eastAsia="黑体"/>
          <w:b/>
          <w:bCs/>
          <w:sz w:val="28"/>
          <w:szCs w:val="28"/>
        </w:rPr>
      </w:pPr>
      <w:r>
        <w:rPr>
          <w:rFonts w:hint="eastAsia" w:ascii="黑体" w:hAnsi="黑体" w:eastAsia="黑体"/>
          <w:b/>
          <w:bCs/>
          <w:sz w:val="28"/>
          <w:szCs w:val="28"/>
        </w:rPr>
        <w:t>三、质量要求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 质量管理体系要求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需通过质量管理活动不断提高全体员工的质量意识，制定完善的搬迁施工工艺（涵盖拆卸、运输、安装、调试、精度校准等全流程）、检验制度（如工序自检、精度检测验收制度）和考核制度，主动采取质量预防措施，及时发现质量问题并及时纠正。</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 工程质量标准</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工程质量必须符合国家（或行业）计量设备搬迁、机械安装相关规范和标准，确保搬迁后设备精度、性能符合原厂技术指标（如MPE_E、探测误差、几何精度等）。</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3.3 自检要求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承揽方对搬迁的每道工序（拆卸后、运输前、安装中、调试后等）均应进行维修质量自检，形成自检记录并提交委托方确认。</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3.4 材料与备件管理</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对搬迁所用的材料、备件、半成品（如平台地脚锚栓、盖板支架、防护包装材料等）需满足以下要求：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必须选用国内知名厂家或符合原厂要求的产品，符合合同要求和国家有关标准，具有出厂合格证（注明厂名、产品型号、规格、出厂日期和检查编号等）及质量保证书。</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材料型号规格应符合招标要求，如有偏离只能优于招标标准（如设备配色需严格符合 MORA 标准色，环境温控设备需满足温度20℃±4℃、湿度40%~60%等要求）。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承揽方必须将材料的出厂合格证、质量保证书交由委托方认可；涉及进口材料（如 MORA 原厂精密部件）必须提供商品检验单复印件，未经商检不得使用。</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委托方有权对承揽方使用的材料进行查验，发现与技术文件要求不一致的，承揽方承担按合同约定的违约金（经委托方确认性能无差异或更优越者除外）。</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3.5 代用材料与设备更换要求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承揽方使用代用材料（如运输防护的替代包装材料）或更换外购设备（如吊装设备、运输车辆），必须经委托方书面同意，以设计修改通知单为依据执行。</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3.6 停工与合同终止</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如果承揽方因质量问题被委托方责令停工超过两次，委托方有权要求承揽方停工，终止合同，承揽方承担违约责任。</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3.7 故障响应与服务时效</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接到客户关于搬迁后设备故障的通知后，承揽方应立即分析原因并提出处理方法；如需到现场解决，8 小时内响应，24 小时内到达用户现场，48 小时内解决问题。</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3.8 招标有效期</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本次招标有效期自____年____月____日至____年____月____日。</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3.9 精度验收合格率</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搬迁后设备精度验收合格率不低于98%（以原厂精度指标及合同约定的MPE_E、探测误差、几何精度等为验收依据）。</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3.10 质保期要求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搬迁中新增部件（如平台地脚锚栓、盖板支架等）质保期为1 年，自安装调试验收合格之日起计算；设备整体精度质保期不少于6 个月。</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若因产品质量原因导致设备故障，承揽方需免费维修或更换零部件，更换的零部件质保期自维修完成之日起重新计算 1 年。</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3.11 无图纸维修能力</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承揽方需具备在无原厂详细图纸情况下，对测量机机械结构、电气系统进行调试、精度校准的能力，涵盖机械部件清洁润滑、精度调整，电气部件参数设置、故障排查等工作。</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3.12 专业测试平台要求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承揽方必须具有双悬臂测量机专业测试平台，配备激光干涉仪、电子水平仪、量块等检测设备，搬迁后需提供精度检测记录及测试视频。</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3.13 设备部件交接管理</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委托方将设备部件交付承揽方后，承揽方应及时查收，核对并记录设备部件的规格型号、精度状态等信息；运输费用由承揽方承担。</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3.14 外观检查与问题确认</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承揽方收到设备部件后，应先进行外观检查，如发现磕碰、损坏等问题，需立即与委托方联系确认下一步工作，经委托方同意后方可开展搬迁作业。</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3.15 现场服务能力</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承揽方需配备具备设备拆卸、安装、调试、精度检测能力的专业服务人员，可根据委托方要求现场解决技术问题。</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3.16 参数与状态恢复要求</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承揽方在设备安装调试完成后，需将设备的各项参数、软件设置、操作流程恢复到搬迁前的状态。</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3.17 违规操作禁止</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承揽方在进行设备机械拆装、电气接线时，需严格遵循工艺规范，严禁违规操作（如私改线路、违规拆卸精密构件）。</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3.18 故障分析与报告</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搬迁完成后，承揽方需提供详细的故障原因分析及检查诊断报告书（附搬迁前后精度检测对比数据、设备状态照片等）。</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3.19 不可修复部件处理</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对搬迁中发现的无法修复或无修复价值的部件，需征得委托方确认后，完整恢复其送修前状态并寄回委托方，往返运费由承揽方承担。</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3.20 验收与整改责任</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设备搬迁后经验收合格，需以书面或邮件形式确认；验收不合格的，由承揽方免费重新整改，因此产生的费用由承揽方承担。</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3.21 违规考核</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承揽方未按要求保护或恢复设备部件，导致设备状态异常的，每出现一次考核</w:t>
      </w:r>
      <w:r>
        <w:rPr>
          <w:rFonts w:hint="eastAsia" w:ascii="宋体" w:hAnsi="宋体"/>
          <w:kern w:val="0"/>
          <w:szCs w:val="21"/>
          <w:lang w:val="en-US" w:eastAsia="zh-CN"/>
        </w:rPr>
        <w:t>5000</w:t>
      </w:r>
      <w:r>
        <w:rPr>
          <w:rFonts w:hint="eastAsia" w:ascii="宋体" w:hAnsi="宋体"/>
          <w:kern w:val="0"/>
          <w:szCs w:val="21"/>
        </w:rPr>
        <w:t>元违约金（如因包装不当导致部件损坏）。</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3.22 年度验收合格率考核</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年度内搬迁项目的精度验收合格率低于95%，委托方可参照合同额的一定比例考核中标方。</w:t>
      </w:r>
    </w:p>
    <w:p>
      <w:pPr>
        <w:autoSpaceDE w:val="0"/>
        <w:autoSpaceDN w:val="0"/>
        <w:adjustRightInd w:val="0"/>
        <w:spacing w:line="276" w:lineRule="auto"/>
        <w:rPr>
          <w:rFonts w:hint="eastAsia" w:ascii="宋体" w:hAnsi="宋体"/>
          <w:kern w:val="0"/>
          <w:szCs w:val="21"/>
        </w:rPr>
      </w:pPr>
      <w:r>
        <w:rPr>
          <w:rFonts w:hint="eastAsia" w:ascii="宋体" w:hAnsi="宋体"/>
          <w:kern w:val="0"/>
          <w:szCs w:val="21"/>
        </w:rPr>
        <w:t>3.23 培训要求</w:t>
      </w:r>
    </w:p>
    <w:p>
      <w:pPr>
        <w:autoSpaceDE w:val="0"/>
        <w:autoSpaceDN w:val="0"/>
        <w:adjustRightInd w:val="0"/>
        <w:spacing w:line="276" w:lineRule="auto"/>
        <w:rPr>
          <w:rFonts w:hint="eastAsia" w:ascii="宋体" w:hAnsi="宋体"/>
          <w:kern w:val="0"/>
          <w:szCs w:val="21"/>
          <w:lang w:eastAsia="zh-CN"/>
        </w:rPr>
      </w:pPr>
      <w:r>
        <w:rPr>
          <w:rFonts w:hint="eastAsia" w:ascii="宋体" w:hAnsi="宋体"/>
          <w:kern w:val="0"/>
          <w:szCs w:val="21"/>
        </w:rPr>
        <w:t>中标厂家需提供MORA 测量机操作或维护官方培训，中标方负责制定培训计划，差旅费由委托方承担</w:t>
      </w:r>
      <w:r>
        <w:rPr>
          <w:rFonts w:hint="eastAsia" w:ascii="宋体" w:hAnsi="宋体"/>
          <w:kern w:val="0"/>
          <w:szCs w:val="21"/>
          <w:lang w:val="en-US" w:eastAsia="zh-CN"/>
        </w:rPr>
        <w:t>.</w:t>
      </w:r>
    </w:p>
    <w:p>
      <w:pPr>
        <w:spacing w:line="276" w:lineRule="auto"/>
        <w:rPr>
          <w:rFonts w:ascii="黑体" w:hAnsi="黑体" w:eastAsia="黑体"/>
          <w:b/>
          <w:bCs/>
          <w:sz w:val="28"/>
          <w:szCs w:val="28"/>
        </w:rPr>
      </w:pPr>
      <w:r>
        <w:rPr>
          <w:rFonts w:hint="eastAsia" w:ascii="黑体" w:hAnsi="黑体" w:eastAsia="黑体"/>
          <w:b/>
          <w:bCs/>
          <w:sz w:val="28"/>
          <w:szCs w:val="28"/>
        </w:rPr>
        <w:t>四、维修方法及规则</w:t>
      </w:r>
    </w:p>
    <w:p>
      <w:pPr>
        <w:spacing w:line="276" w:lineRule="auto"/>
        <w:rPr>
          <w:rFonts w:ascii="黑体" w:hAnsi="黑体" w:eastAsia="黑体"/>
          <w:b/>
          <w:bCs/>
          <w:sz w:val="28"/>
          <w:szCs w:val="28"/>
        </w:rPr>
      </w:pPr>
      <w:r>
        <w:rPr>
          <w:rFonts w:hint="eastAsia" w:ascii="宋体" w:hAnsi="宋体"/>
          <w:spacing w:val="4"/>
          <w:szCs w:val="21"/>
        </w:rPr>
        <w:t>1</w:t>
      </w:r>
      <w:r>
        <w:rPr>
          <w:rFonts w:hint="eastAsia" w:ascii="宋体" w:hAnsi="宋体"/>
          <w:kern w:val="0"/>
          <w:szCs w:val="21"/>
        </w:rPr>
        <w:t xml:space="preserve"> 基本要求</w:t>
      </w:r>
    </w:p>
    <w:p>
      <w:pPr>
        <w:spacing w:line="276" w:lineRule="auto"/>
        <w:ind w:left="420" w:hanging="420" w:hangingChars="200"/>
        <w:rPr>
          <w:rFonts w:ascii="宋体" w:hAnsi="宋体"/>
          <w:szCs w:val="21"/>
        </w:rPr>
      </w:pPr>
      <w:r>
        <w:rPr>
          <w:rFonts w:hint="eastAsia" w:ascii="宋体" w:hAnsi="宋体"/>
          <w:szCs w:val="21"/>
        </w:rPr>
        <w:t>承揽方在施工现场必须配备足够满足本项目需要的具有一定实践经验的工程技术人员；</w:t>
      </w:r>
    </w:p>
    <w:p>
      <w:pPr>
        <w:autoSpaceDE w:val="0"/>
        <w:autoSpaceDN w:val="0"/>
        <w:adjustRightInd w:val="0"/>
        <w:spacing w:line="276" w:lineRule="auto"/>
        <w:rPr>
          <w:rFonts w:ascii="宋体" w:hAnsi="宋体"/>
          <w:kern w:val="0"/>
          <w:szCs w:val="21"/>
        </w:rPr>
      </w:pPr>
      <w:r>
        <w:rPr>
          <w:rFonts w:ascii="宋体" w:hAnsi="宋体"/>
          <w:kern w:val="0"/>
          <w:szCs w:val="21"/>
        </w:rPr>
        <w:t>2</w:t>
      </w:r>
      <w:r>
        <w:rPr>
          <w:rFonts w:hint="eastAsia" w:ascii="宋体" w:hAnsi="宋体"/>
          <w:kern w:val="0"/>
          <w:szCs w:val="21"/>
        </w:rPr>
        <w:t>.特别提示</w:t>
      </w:r>
    </w:p>
    <w:p>
      <w:pPr>
        <w:spacing w:line="276" w:lineRule="auto"/>
        <w:rPr>
          <w:rFonts w:ascii="宋体" w:hAnsi="宋体"/>
          <w:szCs w:val="21"/>
        </w:rPr>
      </w:pPr>
      <w:r>
        <w:rPr>
          <w:rFonts w:ascii="宋体" w:hAnsi="宋体"/>
          <w:kern w:val="0"/>
          <w:szCs w:val="21"/>
        </w:rPr>
        <w:t xml:space="preserve">2.1 </w:t>
      </w:r>
      <w:r>
        <w:rPr>
          <w:rFonts w:hint="eastAsia" w:ascii="宋体" w:hAnsi="宋体"/>
          <w:kern w:val="0"/>
          <w:szCs w:val="21"/>
        </w:rPr>
        <w:t xml:space="preserve"> </w:t>
      </w:r>
      <w:r>
        <w:rPr>
          <w:rFonts w:hint="eastAsia" w:ascii="宋体" w:hAnsi="宋体"/>
          <w:szCs w:val="21"/>
        </w:rPr>
        <w:t>本技术协议提出的是最低限度的技术要求，并未对一切技术细节作出规定，也未充分引述有关标准和规范条文，承揽方应保证提供符合本技术规范书和现行国家（行业）标准的合格产品。</w:t>
      </w:r>
    </w:p>
    <w:p>
      <w:pPr>
        <w:spacing w:line="276" w:lineRule="auto"/>
        <w:rPr>
          <w:rFonts w:ascii="宋体" w:hAnsi="宋体"/>
          <w:szCs w:val="21"/>
        </w:rPr>
      </w:pPr>
      <w:r>
        <w:rPr>
          <w:rFonts w:ascii="宋体" w:hAnsi="宋体"/>
          <w:szCs w:val="21"/>
        </w:rPr>
        <w:t>2</w:t>
      </w:r>
      <w:r>
        <w:rPr>
          <w:rFonts w:hint="eastAsia" w:ascii="宋体" w:hAnsi="宋体"/>
          <w:szCs w:val="21"/>
        </w:rPr>
        <w:t>.</w:t>
      </w:r>
      <w:r>
        <w:rPr>
          <w:rFonts w:ascii="宋体" w:hAnsi="宋体"/>
          <w:szCs w:val="21"/>
        </w:rPr>
        <w:t>2</w:t>
      </w:r>
      <w:r>
        <w:rPr>
          <w:rFonts w:hint="eastAsia" w:ascii="宋体" w:hAnsi="宋体"/>
          <w:szCs w:val="21"/>
        </w:rPr>
        <w:t xml:space="preserve">  本技术协议所使用的标准如遇与承揽方所执行的标准发生矛盾时，应按较高标准执行。</w:t>
      </w:r>
    </w:p>
    <w:p>
      <w:pPr>
        <w:spacing w:line="276" w:lineRule="auto"/>
        <w:rPr>
          <w:rFonts w:ascii="宋体" w:hAnsi="宋体"/>
          <w:szCs w:val="21"/>
        </w:rPr>
      </w:pPr>
      <w:r>
        <w:rPr>
          <w:rFonts w:ascii="宋体" w:hAnsi="宋体"/>
          <w:szCs w:val="21"/>
        </w:rPr>
        <w:t>2</w:t>
      </w:r>
      <w:r>
        <w:rPr>
          <w:rFonts w:hint="eastAsia" w:ascii="宋体" w:hAnsi="宋体"/>
          <w:szCs w:val="21"/>
        </w:rPr>
        <w:t>.</w:t>
      </w:r>
      <w:r>
        <w:rPr>
          <w:rFonts w:ascii="宋体" w:hAnsi="宋体"/>
          <w:szCs w:val="21"/>
        </w:rPr>
        <w:t>3</w:t>
      </w:r>
      <w:r>
        <w:rPr>
          <w:rFonts w:hint="eastAsia" w:ascii="宋体" w:hAnsi="宋体"/>
          <w:szCs w:val="21"/>
        </w:rPr>
        <w:t xml:space="preserve">  本技术协议作为施工承揽合同的技术附件，经委托、施工双方确认后，与合同正文具有同等的法律效力。</w:t>
      </w:r>
    </w:p>
    <w:p>
      <w:pPr>
        <w:pStyle w:val="4"/>
        <w:spacing w:line="360" w:lineRule="auto"/>
        <w:rPr>
          <w:rFonts w:ascii="黑体" w:hAnsi="黑体" w:eastAsia="黑体"/>
          <w:b/>
          <w:bCs/>
          <w:sz w:val="28"/>
          <w:szCs w:val="28"/>
        </w:rPr>
      </w:pPr>
      <w:r>
        <w:rPr>
          <w:rFonts w:hint="eastAsia" w:ascii="黑体" w:hAnsi="黑体" w:eastAsia="黑体"/>
          <w:b/>
          <w:bCs/>
          <w:sz w:val="28"/>
          <w:szCs w:val="28"/>
        </w:rPr>
        <w:t>五、</w:t>
      </w:r>
      <w:r>
        <w:rPr>
          <w:rFonts w:ascii="黑体" w:hAnsi="黑体" w:eastAsia="黑体"/>
          <w:b/>
          <w:bCs/>
          <w:sz w:val="28"/>
          <w:szCs w:val="28"/>
        </w:rPr>
        <w:t>验收</w:t>
      </w:r>
    </w:p>
    <w:p>
      <w:pPr>
        <w:adjustRightInd w:val="0"/>
        <w:snapToGrid w:val="0"/>
        <w:spacing w:line="276"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pPr>
        <w:adjustRightInd w:val="0"/>
        <w:snapToGrid w:val="0"/>
        <w:spacing w:line="276" w:lineRule="auto"/>
        <w:ind w:firstLine="420" w:firstLineChars="200"/>
        <w:rPr>
          <w:rFonts w:ascii="宋体" w:hAnsi="宋体"/>
          <w:szCs w:val="21"/>
        </w:rPr>
      </w:pPr>
      <w:r>
        <w:rPr>
          <w:rFonts w:hint="eastAsia" w:ascii="宋体" w:hAnsi="宋体"/>
          <w:szCs w:val="21"/>
        </w:rPr>
        <w:t>1．验收</w:t>
      </w:r>
    </w:p>
    <w:p>
      <w:pPr>
        <w:spacing w:line="276" w:lineRule="auto"/>
        <w:ind w:firstLine="436" w:firstLineChars="200"/>
        <w:rPr>
          <w:rFonts w:ascii="宋体" w:hAnsi="宋体"/>
          <w:spacing w:val="4"/>
          <w:szCs w:val="21"/>
        </w:rPr>
      </w:pPr>
      <w:r>
        <w:rPr>
          <w:rFonts w:hint="eastAsia" w:ascii="宋体" w:hAnsi="宋体"/>
          <w:spacing w:val="4"/>
          <w:szCs w:val="21"/>
        </w:rPr>
        <w:t>委托方负责协调各方对维修完毕的驱动模块进行验收。</w:t>
      </w:r>
      <w:r>
        <w:rPr>
          <w:rFonts w:hint="eastAsia" w:ascii="宋体" w:hAnsi="宋体"/>
          <w:szCs w:val="21"/>
        </w:rPr>
        <w:t>验收由相关各方按照合同要求或在安装现场进行。</w:t>
      </w:r>
      <w:r>
        <w:rPr>
          <w:rFonts w:hint="eastAsia" w:ascii="宋体" w:hAnsi="宋体"/>
          <w:spacing w:val="4"/>
          <w:szCs w:val="21"/>
        </w:rPr>
        <w:t>对验收时不符合验收标准的部分，承揽方负责整改，费用承揽方自理。</w:t>
      </w:r>
    </w:p>
    <w:p>
      <w:pPr>
        <w:adjustRightInd w:val="0"/>
        <w:snapToGrid w:val="0"/>
        <w:spacing w:line="276" w:lineRule="auto"/>
        <w:ind w:firstLine="420" w:firstLineChars="200"/>
        <w:rPr>
          <w:rFonts w:ascii="宋体" w:hAnsi="宋体"/>
          <w:szCs w:val="21"/>
        </w:rPr>
      </w:pPr>
      <w:r>
        <w:rPr>
          <w:rFonts w:hint="eastAsia" w:ascii="宋体" w:hAnsi="宋体"/>
          <w:szCs w:val="21"/>
        </w:rPr>
        <w:t>2．验收标准</w:t>
      </w:r>
    </w:p>
    <w:p>
      <w:pPr>
        <w:adjustRightInd w:val="0"/>
        <w:snapToGrid w:val="0"/>
        <w:spacing w:line="276" w:lineRule="auto"/>
        <w:ind w:firstLine="420" w:firstLineChars="200"/>
        <w:rPr>
          <w:rFonts w:ascii="宋体" w:hAnsi="宋体"/>
          <w:szCs w:val="21"/>
        </w:rPr>
      </w:pPr>
      <w:r>
        <w:rPr>
          <w:rFonts w:hint="eastAsia" w:ascii="宋体" w:hAnsi="宋体"/>
          <w:szCs w:val="21"/>
        </w:rPr>
        <w:t>根据维修内容及相关国标规定验收；维修完毕提供符合要求的验收报告</w:t>
      </w:r>
      <w:r>
        <w:rPr>
          <w:rFonts w:hint="eastAsia" w:ascii="宋体" w:hAnsi="宋体"/>
          <w:kern w:val="0"/>
          <w:szCs w:val="21"/>
        </w:rPr>
        <w:t>。</w:t>
      </w:r>
    </w:p>
    <w:p>
      <w:pPr>
        <w:spacing w:line="276" w:lineRule="auto"/>
        <w:ind w:firstLine="420" w:firstLineChars="200"/>
      </w:pPr>
      <w:r>
        <w:rPr>
          <w:rFonts w:hint="eastAsia"/>
        </w:rPr>
        <w:t>模块及仪器通电后无异常噪音、无局部发热现象，可靠、平稳运行</w:t>
      </w:r>
      <w:r>
        <w:t>15</w:t>
      </w:r>
      <w:r>
        <w:rPr>
          <w:rFonts w:hint="eastAsia"/>
        </w:rPr>
        <w:t>日后，完成验收。以甲方模块及仪器维修登记台账和验收单作为验收的依据。</w:t>
      </w:r>
    </w:p>
    <w:p>
      <w:pPr>
        <w:spacing w:line="276" w:lineRule="auto"/>
        <w:ind w:firstLine="420" w:firstLineChars="200"/>
        <w:rPr>
          <w:rFonts w:ascii="宋体" w:hAnsi="宋体"/>
          <w:spacing w:val="4"/>
          <w:szCs w:val="21"/>
        </w:rPr>
      </w:pPr>
      <w:r>
        <w:rPr>
          <w:rFonts w:hint="eastAsia" w:ascii="宋体" w:hAnsi="宋体"/>
          <w:szCs w:val="21"/>
        </w:rPr>
        <w:t>3. 质</w:t>
      </w:r>
      <w:r>
        <w:rPr>
          <w:rFonts w:hint="eastAsia" w:ascii="宋体" w:hAnsi="宋体"/>
          <w:spacing w:val="4"/>
          <w:szCs w:val="21"/>
        </w:rPr>
        <w:t>保期</w:t>
      </w:r>
    </w:p>
    <w:p>
      <w:pPr>
        <w:spacing w:line="276" w:lineRule="auto"/>
        <w:ind w:firstLine="436" w:firstLineChars="200"/>
      </w:pPr>
      <w:r>
        <w:rPr>
          <w:rFonts w:hint="eastAsia" w:ascii="宋体" w:hAnsi="宋体"/>
          <w:spacing w:val="4"/>
          <w:szCs w:val="21"/>
        </w:rPr>
        <w:t>本项目合同签订之日起.承揽方对维修质量负责，质保期</w:t>
      </w:r>
      <w:r>
        <w:rPr>
          <w:rFonts w:ascii="宋体" w:hAnsi="宋体"/>
          <w:spacing w:val="4"/>
          <w:szCs w:val="21"/>
        </w:rPr>
        <w:t>3</w:t>
      </w:r>
      <w:r>
        <w:rPr>
          <w:rFonts w:hint="eastAsia" w:ascii="宋体" w:hAnsi="宋体"/>
          <w:spacing w:val="4"/>
          <w:szCs w:val="21"/>
        </w:rPr>
        <w:t>个月。在质保期内，维修的内容出现的任何质量问题，承揽方在接到委托的通知后2小时内到达现场整改，并按要求期限整改完毕。</w:t>
      </w:r>
    </w:p>
    <w:p>
      <w:pPr>
        <w:pStyle w:val="4"/>
        <w:spacing w:line="360" w:lineRule="auto"/>
      </w:pPr>
      <w:r>
        <w:rPr>
          <w:rFonts w:hint="eastAsia" w:ascii="黑体" w:hAnsi="黑体" w:eastAsia="黑体"/>
          <w:b/>
          <w:bCs/>
          <w:sz w:val="28"/>
          <w:szCs w:val="28"/>
        </w:rPr>
        <w:t>六、其他</w:t>
      </w:r>
    </w:p>
    <w:p>
      <w:pPr>
        <w:pStyle w:val="4"/>
        <w:spacing w:line="360" w:lineRule="auto"/>
        <w:ind w:firstLine="420" w:firstLineChars="200"/>
      </w:pPr>
      <w:r>
        <w:rPr>
          <w:rFonts w:hint="eastAsia"/>
        </w:rPr>
        <w:t>1.投标人承诺对参与该项目所获得的与招标人产品相关的所有信息都予以保密，并承担与此相关的所有法律责任。</w:t>
      </w:r>
    </w:p>
    <w:p>
      <w:pPr>
        <w:pStyle w:val="4"/>
        <w:spacing w:line="360" w:lineRule="auto"/>
        <w:ind w:firstLine="420" w:firstLineChars="200"/>
      </w:pPr>
      <w:r>
        <w:rPr>
          <w:rFonts w:hint="eastAsia"/>
        </w:rPr>
        <w:t>2.其余未尽事宜，投标人应与招标人指派的答疑人员充分沟通，理解认可并接受相关技术规范及服务要求。</w:t>
      </w:r>
    </w:p>
    <w:p>
      <w:pPr>
        <w:pStyle w:val="4"/>
        <w:spacing w:line="360" w:lineRule="auto"/>
        <w:ind w:firstLine="420" w:firstLineChars="200"/>
      </w:pPr>
    </w:p>
    <w:p>
      <w:pPr>
        <w:pStyle w:val="4"/>
        <w:spacing w:line="360" w:lineRule="auto"/>
        <w:ind w:firstLine="420" w:firstLineChars="200"/>
      </w:pPr>
    </w:p>
    <w:p>
      <w:pPr>
        <w:pStyle w:val="4"/>
        <w:spacing w:line="360" w:lineRule="auto"/>
      </w:pPr>
    </w:p>
    <w:p>
      <w:pPr>
        <w:pStyle w:val="4"/>
        <w:spacing w:line="360" w:lineRule="auto"/>
      </w:pPr>
    </w:p>
    <w:p>
      <w:pPr>
        <w:pStyle w:val="4"/>
        <w:spacing w:line="360" w:lineRule="auto"/>
      </w:pPr>
    </w:p>
    <w:p>
      <w:pPr>
        <w:pStyle w:val="4"/>
        <w:tabs>
          <w:tab w:val="left" w:pos="630"/>
          <w:tab w:val="left" w:pos="1050"/>
        </w:tabs>
        <w:spacing w:line="360" w:lineRule="auto"/>
        <w:jc w:val="center"/>
        <w:rPr>
          <w:rFonts w:ascii="黑体" w:eastAsia="黑体"/>
          <w:b/>
          <w:bCs/>
          <w:sz w:val="36"/>
          <w:szCs w:val="36"/>
        </w:rPr>
      </w:pPr>
    </w:p>
    <w:p>
      <w:pPr>
        <w:rPr>
          <w:rFonts w:ascii="黑体" w:eastAsia="黑体"/>
          <w:b/>
          <w:bCs/>
          <w:sz w:val="36"/>
          <w:szCs w:val="36"/>
        </w:rPr>
      </w:pPr>
      <w:r>
        <w:rPr>
          <w:rFonts w:hint="eastAsia" w:ascii="黑体" w:eastAsia="黑体"/>
          <w:b/>
          <w:bCs/>
          <w:sz w:val="36"/>
          <w:szCs w:val="36"/>
        </w:rPr>
        <w:br w:type="page"/>
      </w:r>
    </w:p>
    <w:p>
      <w:pPr>
        <w:pStyle w:val="4"/>
        <w:tabs>
          <w:tab w:val="left" w:pos="630"/>
          <w:tab w:val="left" w:pos="1050"/>
        </w:tabs>
        <w:spacing w:line="360" w:lineRule="auto"/>
        <w:jc w:val="center"/>
        <w:rPr>
          <w:rFonts w:ascii="黑体" w:eastAsia="黑体"/>
          <w:b/>
          <w:bCs/>
          <w:sz w:val="36"/>
          <w:szCs w:val="36"/>
        </w:rPr>
      </w:pPr>
      <w:r>
        <w:rPr>
          <w:rFonts w:hint="eastAsia" w:ascii="黑体" w:eastAsia="黑体"/>
          <w:b/>
          <w:bCs/>
          <w:sz w:val="36"/>
          <w:szCs w:val="36"/>
        </w:rPr>
        <w:t>第四章 维修合同（以实际签订为准）</w:t>
      </w:r>
    </w:p>
    <w:p>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pPr>
        <w:wordWrap w:val="0"/>
        <w:adjustRightInd w:val="0"/>
        <w:snapToGrid w:val="0"/>
        <w:spacing w:line="360" w:lineRule="auto"/>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pPr>
        <w:adjustRightInd w:val="0"/>
        <w:snapToGrid w:val="0"/>
        <w:spacing w:line="360" w:lineRule="auto"/>
        <w:jc w:val="left"/>
        <w:rPr>
          <w:rFonts w:ascii="宋体" w:hAnsi="宋体"/>
          <w:sz w:val="20"/>
        </w:rPr>
      </w:pPr>
    </w:p>
    <w:p>
      <w:pPr>
        <w:adjustRightInd w:val="0"/>
        <w:snapToGrid w:val="0"/>
        <w:spacing w:line="360" w:lineRule="auto"/>
        <w:jc w:val="left"/>
        <w:rPr>
          <w:rFonts w:ascii="宋体" w:hAnsi="宋体"/>
          <w:sz w:val="20"/>
        </w:rPr>
      </w:pPr>
    </w:p>
    <w:p>
      <w:pPr>
        <w:adjustRightInd w:val="0"/>
        <w:snapToGrid w:val="0"/>
        <w:spacing w:line="360" w:lineRule="auto"/>
        <w:jc w:val="left"/>
        <w:rPr>
          <w:rFonts w:ascii="宋体" w:hAnsi="宋体"/>
          <w:sz w:val="20"/>
        </w:rPr>
      </w:pPr>
    </w:p>
    <w:p>
      <w:pPr>
        <w:adjustRightInd w:val="0"/>
        <w:snapToGrid w:val="0"/>
        <w:spacing w:line="360" w:lineRule="auto"/>
        <w:jc w:val="left"/>
        <w:rPr>
          <w:rFonts w:ascii="宋体" w:hAnsi="宋体"/>
          <w:sz w:val="20"/>
        </w:rPr>
      </w:pPr>
    </w:p>
    <w:p>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pPr>
        <w:adjustRightInd w:val="0"/>
        <w:snapToGrid w:val="0"/>
        <w:spacing w:line="360" w:lineRule="auto"/>
        <w:jc w:val="left"/>
        <w:rPr>
          <w:rFonts w:ascii="宋体" w:hAnsi="宋体"/>
          <w:b/>
          <w:sz w:val="28"/>
          <w:szCs w:val="36"/>
        </w:rPr>
      </w:pPr>
    </w:p>
    <w:p>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pPr>
        <w:adjustRightInd w:val="0"/>
        <w:snapToGrid w:val="0"/>
        <w:spacing w:line="360" w:lineRule="auto"/>
        <w:ind w:firstLine="1124" w:firstLineChars="400"/>
        <w:jc w:val="left"/>
        <w:rPr>
          <w:rFonts w:ascii="宋体" w:hAnsi="宋体"/>
          <w:b/>
          <w:sz w:val="28"/>
          <w:szCs w:val="36"/>
        </w:rPr>
      </w:pPr>
    </w:p>
    <w:p>
      <w:pPr>
        <w:spacing w:line="360" w:lineRule="auto"/>
      </w:pPr>
    </w:p>
    <w:p>
      <w:pPr>
        <w:spacing w:line="360" w:lineRule="auto"/>
      </w:pPr>
    </w:p>
    <w:p>
      <w:pPr>
        <w:spacing w:line="360" w:lineRule="auto"/>
        <w:rPr>
          <w:rFonts w:ascii="宋体" w:hAnsi="宋体" w:cs="宋体"/>
          <w:bCs/>
          <w:sz w:val="22"/>
          <w:szCs w:val="22"/>
        </w:rPr>
      </w:pPr>
      <w:r>
        <w:rPr>
          <w:rFonts w:hint="eastAsia" w:ascii="宋体" w:hAnsi="宋体" w:cs="宋体"/>
          <w:bCs/>
          <w:sz w:val="22"/>
          <w:szCs w:val="22"/>
        </w:rPr>
        <w:t>甲方（委托方）：</w:t>
      </w:r>
    </w:p>
    <w:p>
      <w:pPr>
        <w:spacing w:line="360" w:lineRule="auto"/>
        <w:rPr>
          <w:rFonts w:ascii="宋体" w:hAnsi="宋体" w:cs="宋体"/>
          <w:bCs/>
          <w:sz w:val="22"/>
          <w:szCs w:val="22"/>
        </w:rPr>
      </w:pPr>
    </w:p>
    <w:p>
      <w:pPr>
        <w:spacing w:line="360" w:lineRule="auto"/>
        <w:rPr>
          <w:rFonts w:ascii="宋体" w:hAnsi="宋体" w:cs="宋体"/>
          <w:bCs/>
          <w:sz w:val="22"/>
          <w:szCs w:val="22"/>
        </w:rPr>
      </w:pPr>
      <w:r>
        <w:rPr>
          <w:rFonts w:hint="eastAsia" w:ascii="宋体" w:hAnsi="宋体" w:cs="宋体"/>
          <w:bCs/>
          <w:sz w:val="22"/>
          <w:szCs w:val="22"/>
        </w:rPr>
        <w:t>乙方（承揽方）：</w:t>
      </w:r>
    </w:p>
    <w:p>
      <w:pPr>
        <w:spacing w:line="360" w:lineRule="auto"/>
        <w:rPr>
          <w:rFonts w:ascii="宋体" w:hAnsi="宋体" w:cs="宋体"/>
          <w:bCs/>
          <w:sz w:val="22"/>
          <w:szCs w:val="22"/>
        </w:rPr>
      </w:pPr>
    </w:p>
    <w:p>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pPr>
        <w:spacing w:line="360" w:lineRule="auto"/>
        <w:ind w:firstLine="440" w:firstLineChars="200"/>
        <w:rPr>
          <w:rFonts w:ascii="宋体" w:hAnsi="宋体" w:cs="宋体"/>
          <w:sz w:val="22"/>
          <w:szCs w:val="22"/>
        </w:rPr>
      </w:pPr>
    </w:p>
    <w:p>
      <w:pPr>
        <w:spacing w:line="360" w:lineRule="auto"/>
        <w:rPr>
          <w:rFonts w:ascii="宋体" w:hAnsi="宋体" w:cs="宋体"/>
          <w:b/>
          <w:sz w:val="20"/>
        </w:rPr>
      </w:pPr>
      <w:r>
        <w:rPr>
          <w:rFonts w:hint="eastAsia" w:ascii="宋体" w:hAnsi="宋体" w:cs="宋体"/>
          <w:b/>
          <w:sz w:val="20"/>
        </w:rPr>
        <w:t>一、</w:t>
      </w:r>
      <w:r>
        <w:rPr>
          <w:rFonts w:hint="eastAsia" w:ascii="宋体" w:hAnsi="宋体" w:cs="宋体"/>
          <w:b/>
          <w:sz w:val="20"/>
          <w:lang w:val="en-US" w:eastAsia="zh-CN"/>
        </w:rPr>
        <w:t>项目</w:t>
      </w:r>
      <w:r>
        <w:rPr>
          <w:rFonts w:hint="eastAsia" w:ascii="宋体" w:hAnsi="宋体" w:cs="宋体"/>
          <w:b/>
          <w:sz w:val="20"/>
        </w:rPr>
        <w:t>明细、维修费：</w:t>
      </w:r>
    </w:p>
    <w:p>
      <w:pPr>
        <w:spacing w:line="360" w:lineRule="auto"/>
        <w:ind w:firstLine="400" w:firstLineChars="200"/>
        <w:rPr>
          <w:rFonts w:ascii="宋体" w:hAnsi="宋体" w:cs="宋体"/>
          <w:bCs/>
          <w:sz w:val="20"/>
        </w:rPr>
      </w:pPr>
      <w:r>
        <w:rPr>
          <w:rFonts w:hint="eastAsia" w:ascii="宋体" w:hAnsi="宋体" w:cs="宋体"/>
          <w:bCs/>
          <w:sz w:val="20"/>
        </w:rPr>
        <w:t>若发生不在列表中的新增明细，采用价格确认表的方式确定价格，并作为合同附件。</w:t>
      </w:r>
    </w:p>
    <w:p>
      <w:pPr>
        <w:spacing w:line="360" w:lineRule="auto"/>
        <w:rPr>
          <w:rFonts w:ascii="宋体" w:hAnsi="宋体" w:cs="宋体"/>
          <w:b/>
          <w:sz w:val="20"/>
        </w:rPr>
      </w:pPr>
      <w:r>
        <w:rPr>
          <w:rFonts w:hint="eastAsia" w:ascii="宋体" w:hAnsi="宋体" w:cs="宋体"/>
          <w:b/>
          <w:sz w:val="20"/>
        </w:rPr>
        <w:t>二、维修内容</w:t>
      </w:r>
    </w:p>
    <w:p>
      <w:pPr>
        <w:spacing w:line="360" w:lineRule="auto"/>
        <w:ind w:firstLine="400" w:firstLineChars="200"/>
        <w:rPr>
          <w:rFonts w:ascii="宋体" w:hAnsi="宋体" w:cs="宋体"/>
          <w:sz w:val="20"/>
        </w:rPr>
      </w:pPr>
      <w:r>
        <w:rPr>
          <w:rFonts w:hint="eastAsia" w:ascii="宋体" w:hAnsi="宋体" w:cs="宋体"/>
          <w:sz w:val="20"/>
        </w:rPr>
        <w:t>1.1维修方式：按双方签订的技术协议相关内容进行维修。技术协议作为本合同附件。</w:t>
      </w:r>
    </w:p>
    <w:p>
      <w:pPr>
        <w:spacing w:line="360" w:lineRule="auto"/>
        <w:ind w:firstLine="400" w:firstLineChars="200"/>
        <w:rPr>
          <w:rFonts w:ascii="宋体" w:hAnsi="宋体" w:cs="宋体"/>
          <w:sz w:val="20"/>
          <w:u w:val="single"/>
        </w:rPr>
      </w:pPr>
      <w:r>
        <w:rPr>
          <w:rFonts w:hint="eastAsia" w:ascii="宋体" w:hAnsi="宋体" w:cs="宋体"/>
          <w:sz w:val="20"/>
        </w:rPr>
        <w:t>1.2维修地点（选择以下其中之一）：</w:t>
      </w:r>
    </w:p>
    <w:p>
      <w:pPr>
        <w:spacing w:line="360" w:lineRule="auto"/>
        <w:ind w:firstLine="700" w:firstLineChars="350"/>
        <w:rPr>
          <w:rFonts w:ascii="宋体" w:hAnsi="宋体" w:cs="宋体"/>
          <w:sz w:val="20"/>
        </w:rPr>
      </w:pPr>
      <w:r>
        <w:rPr>
          <w:rFonts w:hint="eastAsia" w:ascii="宋体" w:hAnsi="宋体" w:cs="宋体"/>
          <w:sz w:val="20"/>
        </w:rPr>
        <w:t xml:space="preserve">1.2.1在甲方处进行维修   </w:t>
      </w:r>
    </w:p>
    <w:p>
      <w:pPr>
        <w:spacing w:line="360" w:lineRule="auto"/>
        <w:ind w:firstLine="700" w:firstLineChars="350"/>
        <w:rPr>
          <w:rFonts w:ascii="宋体" w:hAnsi="宋体" w:cs="宋体"/>
          <w:sz w:val="20"/>
        </w:rPr>
      </w:pPr>
      <w:r>
        <w:rPr>
          <w:rFonts w:hint="eastAsia" w:ascii="宋体" w:hAnsi="宋体" w:cs="宋体"/>
          <w:sz w:val="20"/>
        </w:rPr>
        <w:t>1.2.2在乙方处进行维修，由乙方负责运输并承担费用。</w:t>
      </w:r>
    </w:p>
    <w:p>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 xml:space="preserve">         </w:t>
      </w:r>
    </w:p>
    <w:p>
      <w:pPr>
        <w:spacing w:line="360" w:lineRule="auto"/>
        <w:ind w:firstLine="400" w:firstLineChars="200"/>
        <w:rPr>
          <w:rFonts w:ascii="宋体" w:hAnsi="宋体" w:cs="宋体"/>
          <w:sz w:val="20"/>
        </w:rPr>
      </w:pPr>
      <w:r>
        <w:rPr>
          <w:rFonts w:hint="eastAsia" w:ascii="宋体" w:hAnsi="宋体" w:cs="宋体"/>
          <w:sz w:val="20"/>
        </w:rPr>
        <w:t>1.4安装调试时间：</w:t>
      </w:r>
      <w:r>
        <w:rPr>
          <w:rFonts w:hint="eastAsia" w:ascii="宋体" w:hAnsi="宋体" w:cs="宋体"/>
          <w:sz w:val="20"/>
          <w:u w:val="single"/>
        </w:rPr>
        <w:t xml:space="preserve">          </w:t>
      </w:r>
    </w:p>
    <w:p>
      <w:pPr>
        <w:spacing w:line="360" w:lineRule="auto"/>
        <w:ind w:firstLine="400" w:firstLineChars="200"/>
        <w:rPr>
          <w:rFonts w:ascii="宋体" w:hAnsi="宋体" w:cs="宋体"/>
          <w:sz w:val="20"/>
        </w:rPr>
      </w:pPr>
      <w:r>
        <w:rPr>
          <w:rFonts w:hint="eastAsia" w:ascii="宋体" w:hAnsi="宋体" w:cs="宋体"/>
          <w:sz w:val="20"/>
        </w:rPr>
        <w:t>1.5安装调试地点：</w:t>
      </w:r>
      <w:r>
        <w:rPr>
          <w:rFonts w:hint="eastAsia" w:ascii="宋体" w:hAnsi="宋体" w:cs="宋体"/>
          <w:sz w:val="20"/>
          <w:u w:val="single"/>
        </w:rPr>
        <w:t xml:space="preserve">         </w:t>
      </w:r>
    </w:p>
    <w:p>
      <w:pPr>
        <w:spacing w:line="360" w:lineRule="auto"/>
        <w:ind w:left="394" w:hanging="394" w:hangingChars="196"/>
        <w:rPr>
          <w:rFonts w:ascii="宋体" w:hAnsi="宋体" w:cs="宋体"/>
          <w:b/>
          <w:sz w:val="20"/>
        </w:rPr>
      </w:pPr>
    </w:p>
    <w:p>
      <w:pPr>
        <w:spacing w:line="360" w:lineRule="auto"/>
        <w:ind w:left="394" w:hanging="394" w:hangingChars="196"/>
        <w:rPr>
          <w:rFonts w:ascii="宋体" w:hAnsi="宋体" w:cs="宋体"/>
          <w:sz w:val="20"/>
        </w:rPr>
      </w:pPr>
      <w:r>
        <w:rPr>
          <w:rFonts w:hint="eastAsia" w:ascii="宋体" w:hAnsi="宋体" w:cs="宋体"/>
          <w:b/>
          <w:sz w:val="20"/>
        </w:rPr>
        <w:t>三、运输要求</w:t>
      </w:r>
      <w:r>
        <w:rPr>
          <w:rFonts w:hint="eastAsia" w:ascii="宋体" w:hAnsi="宋体" w:cs="宋体"/>
          <w:i/>
          <w:iCs/>
          <w:sz w:val="20"/>
        </w:rPr>
        <w:t>（如选择在甲方处维修则可删除此条）</w:t>
      </w:r>
    </w:p>
    <w:p>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四、包装标准、包装物的供应与回收：</w:t>
      </w:r>
      <w:r>
        <w:rPr>
          <w:rFonts w:hint="eastAsia" w:ascii="宋体" w:hAnsi="宋体" w:cs="宋体"/>
          <w:i/>
          <w:iCs/>
          <w:sz w:val="20"/>
        </w:rPr>
        <w:t>（如选择在甲方处维修则可删除此条）</w:t>
      </w:r>
    </w:p>
    <w:p>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pPr>
        <w:spacing w:line="360" w:lineRule="auto"/>
        <w:ind w:firstLine="400" w:firstLineChars="200"/>
        <w:rPr>
          <w:rFonts w:ascii="宋体" w:hAnsi="宋体" w:cs="宋体"/>
          <w:sz w:val="20"/>
        </w:rPr>
      </w:pPr>
      <w:r>
        <w:rPr>
          <w:rFonts w:hint="eastAsia" w:ascii="宋体" w:hAnsi="宋体" w:cs="宋体"/>
          <w:sz w:val="20"/>
        </w:rPr>
        <w:t>2、乙方运输设备的包装物上应做出明显标识(如：乙方名称、货物名称等)以便甲方管理。包装物乙方不回收、不收费。</w:t>
      </w:r>
    </w:p>
    <w:p>
      <w:pPr>
        <w:spacing w:line="360" w:lineRule="auto"/>
        <w:rPr>
          <w:rFonts w:ascii="宋体" w:hAnsi="宋体" w:cs="宋体"/>
          <w:b/>
          <w:sz w:val="20"/>
        </w:rPr>
      </w:pPr>
    </w:p>
    <w:p>
      <w:pPr>
        <w:spacing w:line="360" w:lineRule="auto"/>
        <w:rPr>
          <w:rFonts w:ascii="宋体" w:hAnsi="宋体" w:cs="宋体"/>
          <w:sz w:val="20"/>
        </w:rPr>
      </w:pPr>
      <w:r>
        <w:rPr>
          <w:rFonts w:hint="eastAsia" w:ascii="宋体" w:hAnsi="宋体" w:cs="宋体"/>
          <w:b/>
          <w:sz w:val="20"/>
        </w:rPr>
        <w:t>五、验收标准和方法</w:t>
      </w:r>
      <w:r>
        <w:rPr>
          <w:rFonts w:hint="eastAsia" w:ascii="宋体" w:hAnsi="宋体" w:cs="宋体"/>
          <w:i/>
          <w:iCs/>
          <w:sz w:val="20"/>
        </w:rPr>
        <w:t>（根据实际情况补充、修订）</w:t>
      </w:r>
      <w:r>
        <w:rPr>
          <w:rFonts w:hint="eastAsia" w:ascii="宋体" w:hAnsi="宋体" w:cs="宋体"/>
          <w:b/>
          <w:sz w:val="20"/>
        </w:rPr>
        <w:t>：</w:t>
      </w:r>
    </w:p>
    <w:p>
      <w:pPr>
        <w:spacing w:line="360" w:lineRule="auto"/>
        <w:ind w:firstLine="400" w:firstLineChars="200"/>
        <w:rPr>
          <w:rFonts w:ascii="宋体" w:hAnsi="宋体" w:cs="宋体"/>
          <w:sz w:val="20"/>
        </w:rPr>
      </w:pPr>
      <w:r>
        <w:rPr>
          <w:rFonts w:hint="eastAsia" w:ascii="宋体" w:hAnsi="宋体" w:cs="宋体"/>
          <w:sz w:val="20"/>
        </w:rPr>
        <w:t>按双方签订的技术协议相关内容验收。</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六、结算及付款方式：</w:t>
      </w:r>
    </w:p>
    <w:p>
      <w:pPr>
        <w:spacing w:line="360" w:lineRule="auto"/>
        <w:ind w:firstLine="400" w:firstLineChars="200"/>
        <w:rPr>
          <w:rFonts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1、合同价款结算方法：</w:t>
      </w:r>
    </w:p>
    <w:p>
      <w:pPr>
        <w:spacing w:line="360" w:lineRule="auto"/>
        <w:ind w:firstLine="400" w:firstLineChars="200"/>
        <w:rPr>
          <w:rFonts w:ascii="宋体" w:hAnsi="宋体" w:cs="宋体"/>
          <w:color w:val="000000" w:themeColor="text1"/>
          <w:sz w:val="20"/>
          <w14:textFill>
            <w14:solidFill>
              <w14:schemeClr w14:val="tx1"/>
            </w14:solidFill>
          </w14:textFill>
        </w:rPr>
      </w:pPr>
      <w:r>
        <w:rPr>
          <w:rFonts w:hint="eastAsia" w:ascii="宋体" w:hAnsi="宋体" w:cs="宋体"/>
          <w:sz w:val="20"/>
          <w:highlight w:val="none"/>
        </w:rPr>
        <w:t xml:space="preserve">乙方以维修单据和验收单据实结算，并开具金额为 </w:t>
      </w:r>
      <w:r>
        <w:rPr>
          <w:rFonts w:hint="eastAsia" w:ascii="宋体" w:hAnsi="宋体" w:cs="宋体"/>
          <w:sz w:val="20"/>
          <w:highlight w:val="yellow"/>
          <w:u w:val="single"/>
        </w:rPr>
        <w:t xml:space="preserve">据实结算金额 </w:t>
      </w:r>
      <w:r>
        <w:rPr>
          <w:rFonts w:hint="eastAsia" w:ascii="宋体" w:hAnsi="宋体" w:cs="宋体"/>
          <w:sz w:val="20"/>
          <w:highlight w:val="none"/>
        </w:rPr>
        <w:t>的增值税专用发票（</w:t>
      </w:r>
      <w:r>
        <w:rPr>
          <w:rFonts w:hint="eastAsia" w:ascii="宋体" w:hAnsi="宋体" w:cs="宋体"/>
          <w:sz w:val="20"/>
          <w:highlight w:val="yellow"/>
        </w:rPr>
        <w:t>增值税税率按验收时国家法定税率规定执行</w:t>
      </w:r>
      <w:r>
        <w:rPr>
          <w:rFonts w:hint="eastAsia" w:ascii="宋体" w:hAnsi="宋体" w:cs="宋体"/>
          <w:sz w:val="20"/>
          <w:highlight w:val="none"/>
        </w:rPr>
        <w:t>）。维修费用自发票挂账之日起的</w:t>
      </w:r>
      <w:r>
        <w:rPr>
          <w:rFonts w:hint="eastAsia" w:ascii="宋体" w:hAnsi="宋体" w:cs="宋体"/>
          <w:sz w:val="20"/>
          <w:highlight w:val="yellow"/>
        </w:rPr>
        <w:t>90天</w:t>
      </w:r>
      <w:r>
        <w:rPr>
          <w:rFonts w:hint="eastAsia" w:ascii="宋体" w:hAnsi="宋体" w:cs="宋体"/>
          <w:sz w:val="20"/>
          <w:highlight w:val="none"/>
        </w:rPr>
        <w:t>内滚动结算支付。本合同约定</w:t>
      </w:r>
      <w:r>
        <w:rPr>
          <w:rFonts w:hint="eastAsia" w:ascii="宋体" w:hAnsi="宋体" w:cs="宋体"/>
          <w:sz w:val="20"/>
          <w:highlight w:val="yellow"/>
        </w:rPr>
        <w:t>5</w:t>
      </w:r>
      <w:r>
        <w:rPr>
          <w:rFonts w:ascii="宋体" w:hAnsi="宋体" w:cs="宋体"/>
          <w:sz w:val="20"/>
          <w:highlight w:val="yellow"/>
        </w:rPr>
        <w:t>000</w:t>
      </w:r>
      <w:r>
        <w:rPr>
          <w:rFonts w:hint="eastAsia" w:ascii="宋体" w:hAnsi="宋体" w:cs="宋体"/>
          <w:sz w:val="20"/>
          <w:highlight w:val="yellow"/>
        </w:rPr>
        <w:t>元人民币作为质量保证金</w:t>
      </w:r>
      <w:r>
        <w:rPr>
          <w:rFonts w:hint="eastAsia" w:ascii="宋体" w:hAnsi="宋体" w:cs="宋体"/>
          <w:sz w:val="20"/>
          <w:highlight w:val="none"/>
        </w:rPr>
        <w:t>，质量保证金在合同期内不计利息，待合同履行完毕，所维修的设备质保期内运行稳定无故障，乙方向甲方提交相应金额的收据及设备使用单位的使用情况说明，经甲方依照财务制度审核无误后</w:t>
      </w:r>
      <w:r>
        <w:rPr>
          <w:rFonts w:hint="eastAsia" w:ascii="宋体" w:hAnsi="宋体" w:cs="宋体"/>
          <w:sz w:val="20"/>
          <w:highlight w:val="none"/>
          <w:u w:val="single"/>
        </w:rPr>
        <w:t xml:space="preserve"> </w:t>
      </w:r>
      <w:r>
        <w:rPr>
          <w:rFonts w:ascii="宋体" w:hAnsi="宋体" w:cs="宋体"/>
          <w:sz w:val="20"/>
          <w:highlight w:val="yellow"/>
          <w:u w:val="single"/>
        </w:rPr>
        <w:t xml:space="preserve">30 </w:t>
      </w:r>
      <w:r>
        <w:rPr>
          <w:rFonts w:hint="eastAsia" w:ascii="宋体" w:hAnsi="宋体" w:cs="宋体"/>
          <w:sz w:val="20"/>
          <w:highlight w:val="yellow"/>
        </w:rPr>
        <w:t>日</w:t>
      </w:r>
      <w:r>
        <w:rPr>
          <w:rFonts w:hint="eastAsia" w:ascii="宋体" w:hAnsi="宋体" w:cs="宋体"/>
          <w:sz w:val="20"/>
          <w:highlight w:val="none"/>
        </w:rPr>
        <w:t>内支付；如有质量问题，质量保证金予以扣除。</w:t>
      </w:r>
    </w:p>
    <w:p>
      <w:pPr>
        <w:spacing w:line="360" w:lineRule="auto"/>
        <w:ind w:firstLine="400" w:firstLineChars="200"/>
        <w:rPr>
          <w:rFonts w:hint="eastAsia"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2、价格结算标准：</w:t>
      </w:r>
    </w:p>
    <w:p>
      <w:pPr>
        <w:spacing w:line="360" w:lineRule="auto"/>
        <w:ind w:firstLine="400" w:firstLineChars="200"/>
        <w:rPr>
          <w:rFonts w:ascii="宋体" w:hAnsi="宋体" w:cs="宋体"/>
          <w:color w:val="000000" w:themeColor="text1"/>
          <w:sz w:val="20"/>
          <w14:textFill>
            <w14:solidFill>
              <w14:schemeClr w14:val="tx1"/>
            </w14:solidFill>
          </w14:textFill>
        </w:rPr>
      </w:pPr>
      <w:r>
        <w:rPr>
          <w:rFonts w:hint="eastAsia" w:ascii="宋体" w:hAnsi="宋体" w:cs="宋体"/>
          <w:color w:val="000000" w:themeColor="text1"/>
          <w:sz w:val="20"/>
          <w14:textFill>
            <w14:solidFill>
              <w14:schemeClr w14:val="tx1"/>
            </w14:solidFill>
          </w14:textFill>
        </w:rPr>
        <w:t>3、合同付款方</w:t>
      </w:r>
      <w:r>
        <w:rPr>
          <w:rFonts w:hint="eastAsia" w:ascii="宋体" w:hAnsi="宋体" w:cs="宋体"/>
          <w:color w:val="000000" w:themeColor="text1"/>
          <w:sz w:val="20"/>
          <w:highlight w:val="yellow"/>
          <w14:textFill>
            <w14:solidFill>
              <w14:schemeClr w14:val="tx1"/>
            </w14:solidFill>
          </w14:textFill>
        </w:rPr>
        <w:t>式：</w:t>
      </w:r>
      <w:r>
        <w:rPr>
          <w:rFonts w:hint="eastAsia" w:ascii="宋体" w:hAnsi="宋体" w:cs="宋体"/>
          <w:color w:val="000000" w:themeColor="text1"/>
          <w:sz w:val="20"/>
          <w:highlight w:val="yellow"/>
          <w:u w:val="single"/>
          <w14:textFill>
            <w14:solidFill>
              <w14:schemeClr w14:val="tx1"/>
            </w14:solidFill>
          </w14:textFill>
        </w:rPr>
        <w:t>半年期承兑汇票。</w:t>
      </w:r>
    </w:p>
    <w:p>
      <w:pPr>
        <w:spacing w:line="360" w:lineRule="auto"/>
        <w:ind w:left="-105" w:leftChars="-50" w:right="-105" w:rightChars="-50"/>
        <w:rPr>
          <w:rFonts w:ascii="宋体" w:hAnsi="宋体" w:cs="宋体"/>
          <w:b/>
          <w:sz w:val="20"/>
        </w:rPr>
      </w:pPr>
    </w:p>
    <w:p>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 6个月。</w:t>
      </w:r>
    </w:p>
    <w:p>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pPr>
        <w:spacing w:line="360" w:lineRule="auto"/>
        <w:ind w:left="-105" w:leftChars="-50" w:right="-105" w:rightChars="-50" w:firstLine="201" w:firstLineChars="100"/>
        <w:rPr>
          <w:rFonts w:ascii="宋体" w:hAnsi="宋体" w:cs="宋体"/>
          <w:b/>
          <w:sz w:val="20"/>
        </w:rPr>
      </w:pPr>
    </w:p>
    <w:p>
      <w:pPr>
        <w:spacing w:line="360" w:lineRule="auto"/>
        <w:ind w:right="-105" w:rightChars="-50"/>
        <w:rPr>
          <w:rFonts w:ascii="宋体" w:hAnsi="宋体" w:cs="宋体"/>
          <w:b/>
          <w:sz w:val="20"/>
        </w:rPr>
      </w:pPr>
      <w:r>
        <w:rPr>
          <w:rFonts w:hint="eastAsia" w:ascii="宋体" w:hAnsi="宋体" w:cs="宋体"/>
          <w:b/>
          <w:sz w:val="20"/>
        </w:rPr>
        <w:t>八、保密条款</w:t>
      </w:r>
    </w:p>
    <w:p>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九、其它约定</w:t>
      </w:r>
    </w:p>
    <w:p>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w:t>
      </w:r>
    </w:p>
    <w:p>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十、违约责任</w:t>
      </w:r>
    </w:p>
    <w:p>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6个月。</w:t>
      </w:r>
    </w:p>
    <w:p>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pPr>
        <w:spacing w:line="360" w:lineRule="auto"/>
        <w:ind w:firstLine="400" w:firstLineChars="200"/>
        <w:rPr>
          <w:rFonts w:ascii="宋体" w:hAnsi="宋体" w:cs="宋体"/>
          <w:sz w:val="20"/>
        </w:rPr>
      </w:pPr>
    </w:p>
    <w:p>
      <w:pPr>
        <w:spacing w:line="360" w:lineRule="auto"/>
        <w:rPr>
          <w:rFonts w:ascii="宋体" w:hAnsi="宋体" w:cs="宋体"/>
          <w:b/>
          <w:sz w:val="20"/>
        </w:rPr>
      </w:pPr>
      <w:r>
        <w:rPr>
          <w:rFonts w:hint="eastAsia" w:ascii="宋体" w:hAnsi="宋体" w:cs="宋体"/>
          <w:b/>
          <w:sz w:val="20"/>
        </w:rPr>
        <w:t>十一、纠纷的处理</w:t>
      </w:r>
    </w:p>
    <w:p>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pPr>
        <w:spacing w:line="360" w:lineRule="auto"/>
        <w:rPr>
          <w:rFonts w:ascii="宋体" w:hAnsi="宋体" w:cs="宋体"/>
          <w:b/>
          <w:sz w:val="20"/>
        </w:rPr>
      </w:pPr>
    </w:p>
    <w:p>
      <w:pPr>
        <w:spacing w:line="360" w:lineRule="auto"/>
        <w:rPr>
          <w:rFonts w:ascii="宋体" w:hAnsi="宋体" w:cs="宋体"/>
          <w:b/>
          <w:sz w:val="20"/>
        </w:rPr>
      </w:pPr>
      <w:r>
        <w:rPr>
          <w:rFonts w:hint="eastAsia" w:ascii="宋体" w:hAnsi="宋体" w:cs="宋体"/>
          <w:b/>
          <w:sz w:val="20"/>
        </w:rPr>
        <w:t>十二、附件</w:t>
      </w:r>
    </w:p>
    <w:p>
      <w:pPr>
        <w:ind w:firstLine="600" w:firstLineChars="300"/>
        <w:rPr>
          <w:rFonts w:ascii="宋体" w:hAnsi="宋体" w:cs="宋体"/>
          <w:sz w:val="20"/>
        </w:rPr>
      </w:pPr>
      <w:r>
        <w:rPr>
          <w:rFonts w:hint="eastAsia" w:ascii="宋体" w:hAnsi="宋体" w:cs="宋体"/>
          <w:sz w:val="20"/>
        </w:rPr>
        <w:t>附件一：</w:t>
      </w:r>
    </w:p>
    <w:p>
      <w:pPr>
        <w:ind w:firstLine="400" w:firstLineChars="200"/>
        <w:rPr>
          <w:rFonts w:ascii="宋体" w:hAnsi="宋体" w:cs="宋体"/>
          <w:sz w:val="20"/>
        </w:rPr>
      </w:pPr>
      <w:r>
        <w:rPr>
          <w:rFonts w:hint="eastAsia" w:ascii="宋体" w:hAnsi="宋体" w:cs="宋体"/>
          <w:sz w:val="20"/>
        </w:rPr>
        <w:t>1、双方签订的价格确认表作为本合同的附件，具有与合同相同的法律效力。</w:t>
      </w:r>
    </w:p>
    <w:p>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3、本合同自双方签署之日起生效。本合同一式五份，甲方四份，乙方一份。</w:t>
      </w:r>
    </w:p>
    <w:p>
      <w:pPr>
        <w:widowControl/>
        <w:adjustRightInd w:val="0"/>
        <w:snapToGrid w:val="0"/>
        <w:spacing w:line="360" w:lineRule="auto"/>
        <w:jc w:val="left"/>
        <w:rPr>
          <w:rFonts w:ascii="宋体" w:hAnsi="宋体"/>
          <w:snapToGrid w:val="0"/>
          <w:kern w:val="0"/>
          <w:sz w:val="20"/>
          <w:lang w:eastAsia="zh-Hans"/>
        </w:rPr>
      </w:pPr>
    </w:p>
    <w:p>
      <w:pPr>
        <w:widowControl/>
        <w:adjustRightInd w:val="0"/>
        <w:snapToGrid w:val="0"/>
        <w:spacing w:line="360" w:lineRule="auto"/>
        <w:jc w:val="left"/>
        <w:rPr>
          <w:rFonts w:ascii="宋体" w:hAnsi="宋体"/>
          <w:snapToGrid w:val="0"/>
          <w:kern w:val="0"/>
          <w:sz w:val="20"/>
          <w:lang w:eastAsia="zh-Hans"/>
        </w:rPr>
      </w:pPr>
    </w:p>
    <w:p>
      <w:pPr>
        <w:widowControl/>
        <w:adjustRightInd w:val="0"/>
        <w:snapToGrid w:val="0"/>
        <w:spacing w:line="360" w:lineRule="auto"/>
        <w:jc w:val="left"/>
        <w:rPr>
          <w:rFonts w:ascii="宋体" w:hAnsi="宋体"/>
          <w:snapToGrid w:val="0"/>
          <w:kern w:val="0"/>
          <w:sz w:val="20"/>
          <w:lang w:eastAsia="zh-Hans"/>
        </w:rPr>
      </w:pPr>
      <w:r>
        <w:rPr>
          <w:rFonts w:hint="eastAsia" w:ascii="宋体" w:hAnsi="宋体"/>
          <w:snapToGrid w:val="0"/>
          <w:kern w:val="0"/>
          <w:sz w:val="20"/>
          <w:lang w:eastAsia="zh-Hans"/>
        </w:rPr>
        <w:t>甲方</w:t>
      </w:r>
      <w:r>
        <w:rPr>
          <w:rFonts w:hint="eastAsia" w:ascii="宋体" w:hAnsi="宋体"/>
          <w:snapToGrid w:val="0"/>
          <w:kern w:val="0"/>
          <w:sz w:val="20"/>
        </w:rPr>
        <w:t>（盖章）</w:t>
      </w:r>
      <w:r>
        <w:rPr>
          <w:rFonts w:hint="eastAsia" w:ascii="宋体" w:hAnsi="宋体"/>
          <w:snapToGrid w:val="0"/>
          <w:kern w:val="0"/>
          <w:sz w:val="20"/>
          <w:lang w:eastAsia="zh-Hans"/>
        </w:rPr>
        <w:t xml:space="preserve">：                    </w:t>
      </w:r>
      <w:r>
        <w:rPr>
          <w:rFonts w:hint="eastAsia" w:ascii="宋体" w:hAnsi="宋体"/>
          <w:snapToGrid w:val="0"/>
          <w:kern w:val="0"/>
          <w:sz w:val="20"/>
        </w:rPr>
        <w:t xml:space="preserve">           </w:t>
      </w:r>
      <w:r>
        <w:rPr>
          <w:rFonts w:hint="eastAsia" w:ascii="宋体" w:hAnsi="宋体"/>
          <w:snapToGrid w:val="0"/>
          <w:kern w:val="0"/>
          <w:sz w:val="20"/>
          <w:lang w:eastAsia="zh-Hans"/>
        </w:rPr>
        <w:t>乙方</w:t>
      </w:r>
      <w:r>
        <w:rPr>
          <w:rFonts w:hint="eastAsia" w:ascii="宋体" w:hAnsi="宋体"/>
          <w:snapToGrid w:val="0"/>
          <w:kern w:val="0"/>
          <w:sz w:val="20"/>
        </w:rPr>
        <w:t>（盖章）</w:t>
      </w:r>
      <w:r>
        <w:rPr>
          <w:rFonts w:hint="eastAsia" w:ascii="宋体" w:hAnsi="宋体"/>
          <w:snapToGrid w:val="0"/>
          <w:kern w:val="0"/>
          <w:sz w:val="20"/>
          <w:lang w:eastAsia="zh-Hans"/>
        </w:rPr>
        <w:t>：</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法定代表人或代理人（签字）：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法定代表人或代理人（签字）：</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地  址：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地  址：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电话：                                       电话： </w:t>
      </w:r>
    </w:p>
    <w:p>
      <w:pPr>
        <w:widowControl/>
        <w:adjustRightInd w:val="0"/>
        <w:snapToGrid w:val="0"/>
        <w:spacing w:line="360" w:lineRule="auto"/>
        <w:jc w:val="left"/>
        <w:rPr>
          <w:rFonts w:ascii="宋体" w:hAnsi="宋体"/>
          <w:snapToGrid w:val="0"/>
          <w:kern w:val="0"/>
          <w:sz w:val="20"/>
          <w:lang w:eastAsia="zh-Hans"/>
        </w:rPr>
      </w:pPr>
      <w:r>
        <w:rPr>
          <w:rFonts w:ascii="宋体" w:hAnsi="宋体"/>
          <w:snapToGrid w:val="0"/>
          <w:kern w:val="0"/>
          <w:sz w:val="20"/>
          <w:lang w:eastAsia="zh-Hans"/>
        </w:rPr>
        <w:t xml:space="preserve">传真：                                       传真： </w:t>
      </w:r>
    </w:p>
    <w:p>
      <w:pPr>
        <w:widowControl/>
        <w:adjustRightInd w:val="0"/>
        <w:snapToGrid w:val="0"/>
        <w:spacing w:line="360" w:lineRule="auto"/>
        <w:jc w:val="left"/>
        <w:rPr>
          <w:rFonts w:ascii="宋体" w:hAnsi="宋体"/>
          <w:snapToGrid w:val="0"/>
          <w:color w:val="000000"/>
          <w:kern w:val="0"/>
          <w:sz w:val="20"/>
          <w:lang w:eastAsia="zh-Hans"/>
        </w:rPr>
      </w:pPr>
      <w:r>
        <w:rPr>
          <w:rFonts w:ascii="宋体" w:hAnsi="宋体"/>
          <w:snapToGrid w:val="0"/>
          <w:color w:val="000000"/>
          <w:kern w:val="0"/>
          <w:sz w:val="20"/>
          <w:lang w:eastAsia="zh-Hans"/>
        </w:rPr>
        <w:t xml:space="preserve">开户银行：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开户银行：   </w:t>
      </w:r>
    </w:p>
    <w:p>
      <w:pPr>
        <w:widowControl/>
        <w:adjustRightInd w:val="0"/>
        <w:snapToGrid w:val="0"/>
        <w:spacing w:line="360" w:lineRule="auto"/>
        <w:jc w:val="left"/>
        <w:rPr>
          <w:rFonts w:ascii="宋体" w:hAnsi="宋体"/>
          <w:snapToGrid w:val="0"/>
          <w:kern w:val="0"/>
          <w:sz w:val="20"/>
        </w:rPr>
      </w:pPr>
      <w:r>
        <w:rPr>
          <w:rFonts w:ascii="宋体" w:hAnsi="宋体"/>
          <w:snapToGrid w:val="0"/>
          <w:color w:val="000000"/>
          <w:kern w:val="0"/>
          <w:sz w:val="20"/>
          <w:lang w:eastAsia="zh-Hans"/>
        </w:rPr>
        <w:t xml:space="preserve">账  号：                            </w:t>
      </w:r>
      <w:r>
        <w:rPr>
          <w:rFonts w:ascii="宋体" w:hAnsi="宋体"/>
          <w:snapToGrid w:val="0"/>
          <w:kern w:val="0"/>
          <w:sz w:val="20"/>
          <w:lang w:eastAsia="zh-Hans"/>
        </w:rPr>
        <w:t xml:space="preserve">        </w:t>
      </w:r>
      <w:r>
        <w:rPr>
          <w:rFonts w:ascii="宋体" w:hAnsi="宋体"/>
          <w:snapToGrid w:val="0"/>
          <w:color w:val="000000"/>
          <w:kern w:val="0"/>
          <w:sz w:val="20"/>
          <w:lang w:eastAsia="zh-Hans"/>
        </w:rPr>
        <w:t xml:space="preserve"> 账 号： </w:t>
      </w:r>
    </w:p>
    <w:p>
      <w:pPr>
        <w:spacing w:line="360" w:lineRule="auto"/>
        <w:rPr>
          <w:rFonts w:ascii="宋体" w:hAnsi="宋体" w:cs="宋体"/>
          <w:sz w:val="20"/>
        </w:rPr>
      </w:pPr>
    </w:p>
    <w:p>
      <w:pPr>
        <w:sectPr>
          <w:headerReference r:id="rId3" w:type="defaul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附件SRM非生产供应商注册操作手册</w:t>
      </w:r>
    </w:p>
    <w:p>
      <w:pPr>
        <w:pStyle w:val="4"/>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11"/>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12"/>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13"/>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14"/>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4"/>
      </w:pPr>
    </w:p>
    <w:p>
      <w:pPr>
        <w:rPr>
          <w:rFonts w:hint="eastAsia"/>
        </w:rPr>
      </w:pPr>
      <w:r>
        <w:drawing>
          <wp:inline distT="0" distB="0" distL="0" distR="0">
            <wp:extent cx="5760085" cy="2809875"/>
            <wp:effectExtent l="0" t="0" r="571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15"/>
                    <a:stretch>
                      <a:fillRect/>
                    </a:stretch>
                  </pic:blipFill>
                  <pic:spPr>
                    <a:xfrm>
                      <a:off x="0" y="0"/>
                      <a:ext cx="5760085" cy="2810122"/>
                    </a:xfrm>
                    <a:prstGeom prst="rect">
                      <a:avLst/>
                    </a:prstGeom>
                  </pic:spPr>
                </pic:pic>
              </a:graphicData>
            </a:graphic>
          </wp:inline>
        </w:drawing>
      </w:r>
    </w:p>
    <w:p>
      <w:pPr>
        <w:pStyle w:val="4"/>
      </w:pPr>
      <w:r>
        <w:drawing>
          <wp:inline distT="0" distB="0" distL="0" distR="0">
            <wp:extent cx="5760085" cy="2820035"/>
            <wp:effectExtent l="0" t="0" r="5715" b="1206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16"/>
                    <a:stretch>
                      <a:fillRect/>
                    </a:stretch>
                  </pic:blipFill>
                  <pic:spPr>
                    <a:xfrm>
                      <a:off x="0" y="0"/>
                      <a:ext cx="5760085" cy="2820042"/>
                    </a:xfrm>
                    <a:prstGeom prst="rect">
                      <a:avLst/>
                    </a:prstGeom>
                  </pic:spPr>
                </pic:pic>
              </a:graphicData>
            </a:graphic>
          </wp:inline>
        </w:drawing>
      </w:r>
    </w:p>
    <w:p>
      <w:pPr>
        <w:pStyle w:val="4"/>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4"/>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Style w:val="12"/>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2"/>
          <w:rFonts w:hint="eastAsia" w:ascii="宋体" w:hAnsi="宋体" w:eastAsia="宋体" w:cs="宋体"/>
          <w:sz w:val="24"/>
          <w:szCs w:val="24"/>
        </w:rPr>
        <w:t>http://ecaitong.sinotruk.com:8012/</w:t>
      </w:r>
      <w:r>
        <w:rPr>
          <w:rStyle w:val="12"/>
          <w:rFonts w:hint="eastAsia" w:ascii="宋体" w:hAnsi="宋体" w:eastAsia="宋体" w:cs="宋体"/>
          <w:sz w:val="24"/>
          <w:szCs w:val="24"/>
        </w:rPr>
        <w:fldChar w:fldCharType="end"/>
      </w:r>
      <w:r>
        <w:rPr>
          <w:rStyle w:val="12"/>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6028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6028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17"/>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4"/>
      </w:pP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5715" b="1206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23"/>
                    <a:stretch>
                      <a:fillRect/>
                    </a:stretch>
                  </pic:blipFill>
                  <pic:spPr>
                    <a:xfrm>
                      <a:off x="0" y="0"/>
                      <a:ext cx="5760085" cy="1956600"/>
                    </a:xfrm>
                    <a:prstGeom prst="rect">
                      <a:avLst/>
                    </a:prstGeom>
                  </pic:spPr>
                </pic:pic>
              </a:graphicData>
            </a:graphic>
          </wp:inline>
        </w:drawing>
      </w:r>
    </w:p>
    <w:p>
      <w:pPr>
        <w:pStyle w:val="4"/>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4"/>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749290" cy="2501265"/>
                    </a:xfrm>
                    <a:prstGeom prst="rect">
                      <a:avLst/>
                    </a:prstGeom>
                    <a:noFill/>
                    <a:ln>
                      <a:noFill/>
                    </a:ln>
                  </pic:spPr>
                </pic:pic>
              </a:graphicData>
            </a:graphic>
          </wp:inline>
        </w:drawing>
      </w:r>
    </w:p>
    <w:p>
      <w:pPr>
        <w:pStyle w:val="4"/>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746750" cy="3303270"/>
                    </a:xfrm>
                    <a:prstGeom prst="rect">
                      <a:avLst/>
                    </a:prstGeom>
                    <a:noFill/>
                    <a:ln>
                      <a:noFill/>
                    </a:ln>
                  </pic:spPr>
                </pic:pic>
              </a:graphicData>
            </a:graphic>
          </wp:inline>
        </w:drawing>
      </w:r>
    </w:p>
    <w:p>
      <w:pPr>
        <w:pStyle w:val="4"/>
        <w:outlineLvl w:val="2"/>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6"/>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5742940" cy="2925445"/>
                    </a:xfrm>
                    <a:prstGeom prst="rect">
                      <a:avLst/>
                    </a:prstGeom>
                    <a:noFill/>
                    <a:ln>
                      <a:noFill/>
                    </a:ln>
                  </pic:spPr>
                </pic:pic>
              </a:graphicData>
            </a:graphic>
          </wp:inline>
        </w:drawing>
      </w:r>
    </w:p>
    <w:sectPr>
      <w:headerReference r:id="rId7" w:type="first"/>
      <w:footerReference r:id="rId9" w:type="first"/>
      <w:headerReference r:id="rId6" w:type="default"/>
      <w:footerReference r:id="rId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separate"/>
    </w:r>
    <w:r>
      <w:rPr>
        <w:rStyle w:val="11"/>
      </w:rPr>
      <w:t>- 22 -</w:t>
    </w:r>
    <w:r>
      <w:fldChar w:fldCharType="end"/>
    </w:r>
  </w:p>
  <w:p>
    <w:pPr>
      <w:pStyle w:val="5"/>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1"/>
      </w:rPr>
    </w:pPr>
    <w:r>
      <w:fldChar w:fldCharType="begin"/>
    </w:r>
    <w:r>
      <w:rPr>
        <w:rStyle w:val="11"/>
      </w:rPr>
      <w:instrText xml:space="preserve">PAGE  </w:instrText>
    </w:r>
    <w:r>
      <w:fldChar w:fldCharType="end"/>
    </w:r>
  </w:p>
  <w:p>
    <w:pPr>
      <w:pStyle w:val="5"/>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5"/>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5"/>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p>
    <w:pPr>
      <w:pStyle w:val="6"/>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57867"/>
    <w:multiLevelType w:val="singleLevel"/>
    <w:tmpl w:val="BDD57867"/>
    <w:lvl w:ilvl="0" w:tentative="0">
      <w:start w:val="1"/>
      <w:numFmt w:val="decimal"/>
      <w:suff w:val="nothing"/>
      <w:lvlText w:val="%1、"/>
      <w:lvlJc w:val="left"/>
    </w:lvl>
  </w:abstractNum>
  <w:abstractNum w:abstractNumId="1">
    <w:nsid w:val="FD78AE24"/>
    <w:multiLevelType w:val="singleLevel"/>
    <w:tmpl w:val="FD78AE24"/>
    <w:lvl w:ilvl="0" w:tentative="0">
      <w:start w:val="4"/>
      <w:numFmt w:val="decimal"/>
      <w:lvlText w:val="%1."/>
      <w:lvlJc w:val="left"/>
      <w:pPr>
        <w:tabs>
          <w:tab w:val="left" w:pos="312"/>
        </w:tabs>
      </w:pPr>
    </w:lvl>
  </w:abstractNum>
  <w:abstractNum w:abstractNumId="2">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21ED0EF5"/>
    <w:multiLevelType w:val="singleLevel"/>
    <w:tmpl w:val="21ED0EF5"/>
    <w:lvl w:ilvl="0" w:tentative="0">
      <w:start w:val="2"/>
      <w:numFmt w:val="chineseCounting"/>
      <w:suff w:val="nothing"/>
      <w:lvlText w:val="%1、"/>
      <w:lvlJc w:val="left"/>
      <w:rPr>
        <w:rFonts w:hint="eastAsia"/>
      </w:rPr>
    </w:lvl>
  </w:abstractNum>
  <w:abstractNum w:abstractNumId="5">
    <w:nsid w:val="2C0DBF55"/>
    <w:multiLevelType w:val="singleLevel"/>
    <w:tmpl w:val="2C0DBF55"/>
    <w:lvl w:ilvl="0" w:tentative="0">
      <w:start w:val="2"/>
      <w:numFmt w:val="decimal"/>
      <w:lvlText w:val="%1."/>
      <w:lvlJc w:val="left"/>
      <w:pPr>
        <w:tabs>
          <w:tab w:val="left" w:pos="312"/>
        </w:tabs>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num w:numId="1">
    <w:abstractNumId w:val="5"/>
  </w:num>
  <w:num w:numId="2">
    <w:abstractNumId w:val="1"/>
  </w:num>
  <w:num w:numId="3">
    <w:abstractNumId w:val="0"/>
  </w:num>
  <w:num w:numId="4">
    <w:abstractNumId w:val="6"/>
  </w:num>
  <w:num w:numId="5">
    <w:abstractNumId w:val="7"/>
  </w:num>
  <w:num w:numId="6">
    <w:abstractNumId w:val="3"/>
  </w:num>
  <w:num w:numId="7">
    <w:abstractNumId w:val="2"/>
  </w:num>
  <w:num w:numId="8">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onMMx 2000">
    <w15:presenceInfo w15:providerId="None" w15:userId="JonMMx 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ODViYWE0MDIzYjZhMmE5YjJhMjE0ODc0ZjQwNDkifQ=="/>
  </w:docVars>
  <w:rsids>
    <w:rsidRoot w:val="00AE6CD8"/>
    <w:rsid w:val="00022F66"/>
    <w:rsid w:val="00114136"/>
    <w:rsid w:val="001144B6"/>
    <w:rsid w:val="00153A9A"/>
    <w:rsid w:val="00155748"/>
    <w:rsid w:val="001D65EC"/>
    <w:rsid w:val="001F51A4"/>
    <w:rsid w:val="00214363"/>
    <w:rsid w:val="002B2D71"/>
    <w:rsid w:val="003254B3"/>
    <w:rsid w:val="00414531"/>
    <w:rsid w:val="00522935"/>
    <w:rsid w:val="005263F4"/>
    <w:rsid w:val="00570A3A"/>
    <w:rsid w:val="005C5308"/>
    <w:rsid w:val="00623C36"/>
    <w:rsid w:val="0065299F"/>
    <w:rsid w:val="006567FD"/>
    <w:rsid w:val="0067544D"/>
    <w:rsid w:val="00686632"/>
    <w:rsid w:val="00731BBD"/>
    <w:rsid w:val="00781746"/>
    <w:rsid w:val="00827AF0"/>
    <w:rsid w:val="00836608"/>
    <w:rsid w:val="008633B2"/>
    <w:rsid w:val="008B2DF7"/>
    <w:rsid w:val="0096605F"/>
    <w:rsid w:val="009B4B67"/>
    <w:rsid w:val="009D5DC8"/>
    <w:rsid w:val="00A15793"/>
    <w:rsid w:val="00AB02FC"/>
    <w:rsid w:val="00AC7076"/>
    <w:rsid w:val="00AD5932"/>
    <w:rsid w:val="00AE6CD8"/>
    <w:rsid w:val="00B673F8"/>
    <w:rsid w:val="00D343AF"/>
    <w:rsid w:val="00D77B67"/>
    <w:rsid w:val="00DD1992"/>
    <w:rsid w:val="00E253B0"/>
    <w:rsid w:val="00EA336C"/>
    <w:rsid w:val="00EF7950"/>
    <w:rsid w:val="00F402CD"/>
    <w:rsid w:val="00F41FC8"/>
    <w:rsid w:val="00FD659B"/>
    <w:rsid w:val="012568DD"/>
    <w:rsid w:val="02975ACD"/>
    <w:rsid w:val="02E92A38"/>
    <w:rsid w:val="031E276F"/>
    <w:rsid w:val="049E65AB"/>
    <w:rsid w:val="05037CFB"/>
    <w:rsid w:val="07786950"/>
    <w:rsid w:val="07A373EA"/>
    <w:rsid w:val="09723B4F"/>
    <w:rsid w:val="0B61144B"/>
    <w:rsid w:val="0C697516"/>
    <w:rsid w:val="0F7F00F1"/>
    <w:rsid w:val="11E46FC8"/>
    <w:rsid w:val="126D60C9"/>
    <w:rsid w:val="164A498D"/>
    <w:rsid w:val="17880C04"/>
    <w:rsid w:val="1BB455C7"/>
    <w:rsid w:val="1CE44CFC"/>
    <w:rsid w:val="1E9C2349"/>
    <w:rsid w:val="1EFA6067"/>
    <w:rsid w:val="20124FB2"/>
    <w:rsid w:val="20BE02FA"/>
    <w:rsid w:val="22360451"/>
    <w:rsid w:val="23BA2ECB"/>
    <w:rsid w:val="243417E3"/>
    <w:rsid w:val="259A4636"/>
    <w:rsid w:val="26453597"/>
    <w:rsid w:val="26AB75C6"/>
    <w:rsid w:val="27295BCD"/>
    <w:rsid w:val="28C97878"/>
    <w:rsid w:val="2D475E7D"/>
    <w:rsid w:val="2DB11B2B"/>
    <w:rsid w:val="2DBE4804"/>
    <w:rsid w:val="2DF055EB"/>
    <w:rsid w:val="2F874408"/>
    <w:rsid w:val="2FD60923"/>
    <w:rsid w:val="30B524E5"/>
    <w:rsid w:val="31AB124D"/>
    <w:rsid w:val="329465AC"/>
    <w:rsid w:val="33F12316"/>
    <w:rsid w:val="35210B49"/>
    <w:rsid w:val="3C7D42C9"/>
    <w:rsid w:val="3D2F2C1F"/>
    <w:rsid w:val="3ECF3EDA"/>
    <w:rsid w:val="414323CD"/>
    <w:rsid w:val="430976F7"/>
    <w:rsid w:val="43120317"/>
    <w:rsid w:val="433F7F28"/>
    <w:rsid w:val="43A24E17"/>
    <w:rsid w:val="44314E59"/>
    <w:rsid w:val="443F4D58"/>
    <w:rsid w:val="44A2785B"/>
    <w:rsid w:val="45B3679A"/>
    <w:rsid w:val="45EA4B12"/>
    <w:rsid w:val="47CF4CAB"/>
    <w:rsid w:val="48B445F1"/>
    <w:rsid w:val="4A4F4589"/>
    <w:rsid w:val="4B7778F3"/>
    <w:rsid w:val="4C3E2A23"/>
    <w:rsid w:val="4E7C731A"/>
    <w:rsid w:val="4EB32846"/>
    <w:rsid w:val="5125662C"/>
    <w:rsid w:val="52615C47"/>
    <w:rsid w:val="52CA1B96"/>
    <w:rsid w:val="5569512F"/>
    <w:rsid w:val="57143CEB"/>
    <w:rsid w:val="5A0A5DD6"/>
    <w:rsid w:val="5D884F8A"/>
    <w:rsid w:val="60DC2F35"/>
    <w:rsid w:val="61C01BFB"/>
    <w:rsid w:val="640C0830"/>
    <w:rsid w:val="641C6E32"/>
    <w:rsid w:val="64586C8D"/>
    <w:rsid w:val="6486074F"/>
    <w:rsid w:val="677A27ED"/>
    <w:rsid w:val="67E85E46"/>
    <w:rsid w:val="6A3C01E7"/>
    <w:rsid w:val="6A8B1515"/>
    <w:rsid w:val="6A8C58DC"/>
    <w:rsid w:val="6E607B7F"/>
    <w:rsid w:val="6EC34E26"/>
    <w:rsid w:val="6F20011E"/>
    <w:rsid w:val="6F9155B8"/>
    <w:rsid w:val="7035211A"/>
    <w:rsid w:val="729B48C1"/>
    <w:rsid w:val="7486193A"/>
    <w:rsid w:val="748C3843"/>
    <w:rsid w:val="74E74DFB"/>
    <w:rsid w:val="75320004"/>
    <w:rsid w:val="75656F9B"/>
    <w:rsid w:val="79825F6B"/>
    <w:rsid w:val="7AF124C5"/>
    <w:rsid w:val="7C1C74BD"/>
    <w:rsid w:val="7C7D6DD2"/>
    <w:rsid w:val="7CF575CC"/>
    <w:rsid w:val="7D9615AC"/>
    <w:rsid w:val="7F9C5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ascii="仿宋_GB2312" w:eastAsia="仿宋_GB2312" w:hAnsiTheme="minorHAnsi" w:cstheme="minorBidi"/>
      <w:sz w:val="32"/>
      <w:szCs w:val="22"/>
    </w:rPr>
  </w:style>
  <w:style w:type="paragraph" w:customStyle="1" w:styleId="3">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4">
    <w:name w:val="Plain Text"/>
    <w:basedOn w:val="1"/>
    <w:qFormat/>
    <w:uiPriority w:val="0"/>
    <w:rPr>
      <w:rFonts w:ascii="宋体" w:hAnsi="Courier New" w:cstheme="minorBidi"/>
      <w:szCs w:val="22"/>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1">
    <w:name w:val="page number"/>
    <w:basedOn w:val="10"/>
    <w:qFormat/>
    <w:uiPriority w:val="0"/>
  </w:style>
  <w:style w:type="character" w:styleId="12">
    <w:name w:val="Hyperlink"/>
    <w:basedOn w:val="10"/>
    <w:semiHidden/>
    <w:qFormat/>
    <w:uiPriority w:val="99"/>
    <w:rPr>
      <w:rFonts w:cs="Times New Roman"/>
      <w:color w:val="1F4F88"/>
      <w:u w:val="none"/>
    </w:rPr>
  </w:style>
  <w:style w:type="paragraph" w:customStyle="1" w:styleId="13">
    <w:name w:val="首行缩进"/>
    <w:basedOn w:val="1"/>
    <w:qFormat/>
    <w:uiPriority w:val="0"/>
    <w:pPr>
      <w:spacing w:line="360" w:lineRule="auto"/>
      <w:ind w:firstLine="480" w:firstLineChars="200"/>
    </w:pPr>
    <w:rPr>
      <w:rFonts w:ascii="宋体" w:hAnsi="宋体" w:cs="宋体"/>
      <w:kern w:val="0"/>
      <w:sz w:val="24"/>
    </w:rPr>
  </w:style>
  <w:style w:type="character" w:customStyle="1" w:styleId="14">
    <w:name w:val="font11"/>
    <w:basedOn w:val="10"/>
    <w:qFormat/>
    <w:uiPriority w:val="0"/>
    <w:rPr>
      <w:rFonts w:hint="eastAsia" w:ascii="宋体" w:hAnsi="宋体" w:eastAsia="宋体" w:cs="宋体"/>
      <w:color w:val="000000"/>
      <w:sz w:val="24"/>
      <w:szCs w:val="24"/>
      <w:u w:val="single"/>
    </w:rPr>
  </w:style>
  <w:style w:type="character" w:customStyle="1" w:styleId="15">
    <w:name w:val="font21"/>
    <w:basedOn w:val="10"/>
    <w:qFormat/>
    <w:uiPriority w:val="0"/>
    <w:rPr>
      <w:rFonts w:hint="eastAsia" w:ascii="宋体" w:hAnsi="宋体" w:eastAsia="宋体" w:cs="宋体"/>
      <w:color w:val="000000"/>
      <w:sz w:val="24"/>
      <w:szCs w:val="24"/>
      <w:u w:val="none"/>
    </w:rPr>
  </w:style>
  <w:style w:type="paragraph" w:customStyle="1" w:styleId="16">
    <w:name w:val="标书正文格式"/>
    <w:basedOn w:val="4"/>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16190</Words>
  <Characters>16666</Characters>
  <Lines>120</Lines>
  <Paragraphs>33</Paragraphs>
  <TotalTime>23</TotalTime>
  <ScaleCrop>false</ScaleCrop>
  <LinksUpToDate>false</LinksUpToDate>
  <CharactersWithSpaces>18600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2022-06-22T09:12:00Z</dcterms:created>
  <dc:creator>SD-PENGCHAO</dc:creator>
  <cp:lastModifiedBy>轻途</cp:lastModifiedBy>
  <dcterms:modified xsi:type="dcterms:W3CDTF">2025-12-01T02:21:43Z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39DBFDF291154681862E0C49297AA347_13</vt:lpwstr>
  </property>
  <property fmtid="{D5CDD505-2E9C-101B-9397-08002B2CF9AE}" pid="4" name="KSOTemplateDocerSaveRecord">
    <vt:lpwstr>eyJoZGlkIjoiN2UwNGUxNzRmYWVmZmZiY2ZjOTk5OTZkOGNjNDdlNDAiLCJ1c2VySWQiOiI3Mzk2Nzg2OTMifQ==</vt:lpwstr>
  </property>
</Properties>
</file>