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驻济单位2026年环境监测项目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中国重汽集团济南动力公司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5202"/>
      <w:bookmarkStart w:id="2" w:name="_Toc29994"/>
      <w:bookmarkStart w:id="3" w:name="_Toc22242"/>
      <w:bookmarkStart w:id="4" w:name="_Toc15480"/>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项目名称：驻济单位2026年环境监测项目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招标内容：为保证相关单位环境监测工作有序开展，规避环保法规风险，安全环保部拟组织开展驻济单位2026年环境监测项目招标工作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val="en-US" w:eastAsia="zh-CN"/>
              </w:rPr>
              <w:t>中国重汽集团济南动力公司</w:t>
            </w:r>
          </w:p>
          <w:p>
            <w:pPr>
              <w:ind w:firstLine="482" w:firstLineChars="200"/>
              <w:rPr>
                <w:rFonts w:hint="default" w:ascii="仿宋_GB2312" w:hAnsi="仿宋_GB2312" w:eastAsia="仿宋_GB2312" w:cs="仿宋_GB2312"/>
                <w:b/>
                <w:snapToGrid w:val="0"/>
                <w:kern w:val="0"/>
                <w:sz w:val="24"/>
                <w:szCs w:val="24"/>
                <w:lang w:val="en-US" w:eastAsia="zh-CN"/>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山东省济南市历城区华奥路777号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技术联系人：杨志成</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电话：13385421370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47.98</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6%</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spacing w:line="360" w:lineRule="auto"/>
              <w:ind w:firstLine="420" w:firstLineChars="200"/>
              <w:rPr>
                <w:rFonts w:hint="eastAsia"/>
                <w:b/>
              </w:rPr>
            </w:pPr>
            <w:r>
              <w:rPr>
                <w:rFonts w:hint="eastAsia"/>
              </w:rPr>
              <w:t>1.投标人须遵守《中华人民共和国招标投标法》、《中华人民共和国民法典》及其它有关的法律和法规；为中华人民共和国境内注册的独立法人机构，具有独立承担民事责任能力；</w:t>
            </w:r>
          </w:p>
          <w:p>
            <w:pPr>
              <w:pStyle w:val="22"/>
              <w:spacing w:line="360" w:lineRule="auto"/>
              <w:ind w:firstLine="420" w:firstLineChars="200"/>
              <w:rPr>
                <w:rFonts w:hint="eastAsia"/>
                <w:szCs w:val="22"/>
              </w:rPr>
            </w:pPr>
            <w:r>
              <w:rPr>
                <w:rFonts w:hint="eastAsia"/>
              </w:rPr>
              <w:t>2.公司成立</w:t>
            </w:r>
            <w:r>
              <w:rPr>
                <w:rFonts w:hint="eastAsia"/>
                <w:b/>
                <w:bCs/>
              </w:rPr>
              <w:t>三年以上</w:t>
            </w:r>
            <w:r>
              <w:rPr>
                <w:rFonts w:hint="eastAsia"/>
              </w:rPr>
              <w:t>（以营业执照成立日期到开标当日满三年为准）注册资金不能少于</w:t>
            </w:r>
            <w:r>
              <w:rPr>
                <w:rFonts w:hint="eastAsia"/>
                <w:b/>
                <w:bCs/>
              </w:rPr>
              <w:t>300万或不得低于项目标的额</w:t>
            </w:r>
            <w:r>
              <w:rPr>
                <w:rFonts w:hint="eastAsia"/>
                <w:szCs w:val="22"/>
              </w:rPr>
              <w:t>；</w:t>
            </w:r>
          </w:p>
          <w:p>
            <w:pPr>
              <w:pStyle w:val="22"/>
              <w:spacing w:line="360" w:lineRule="auto"/>
              <w:ind w:firstLine="420" w:firstLineChars="200"/>
              <w:rPr>
                <w:rFonts w:hint="eastAsia"/>
                <w:b/>
                <w:bCs/>
              </w:rPr>
            </w:pPr>
            <w:r>
              <w:rPr>
                <w:rFonts w:hint="eastAsia"/>
                <w:szCs w:val="22"/>
              </w:rPr>
              <w:t>3</w:t>
            </w:r>
            <w:r>
              <w:rPr>
                <w:rFonts w:hint="eastAsia"/>
              </w:rPr>
              <w:t>.投标人须提供具有统一社会信用代码的新版营业执照副本</w:t>
            </w:r>
            <w:r>
              <w:rPr>
                <w:rFonts w:hint="eastAsia"/>
                <w:b/>
                <w:bCs/>
              </w:rPr>
              <w:t>复印件（加盖公章）；</w:t>
            </w:r>
          </w:p>
          <w:p>
            <w:pPr>
              <w:pStyle w:val="22"/>
              <w:spacing w:line="360" w:lineRule="auto"/>
              <w:ind w:firstLine="420" w:firstLineChars="200"/>
              <w:rPr>
                <w:rFonts w:hint="eastAsia"/>
              </w:rPr>
            </w:pPr>
            <w:r>
              <w:rPr>
                <w:rFonts w:hint="eastAsia"/>
              </w:rPr>
              <w:t>4.取得环境检测计量认证证书3年以上（202</w:t>
            </w:r>
            <w:r>
              <w:rPr>
                <w:rFonts w:hint="eastAsia"/>
                <w:lang w:val="en-US" w:eastAsia="zh-CN"/>
              </w:rPr>
              <w:t>2</w:t>
            </w:r>
            <w:r>
              <w:rPr>
                <w:rFonts w:hint="eastAsia"/>
              </w:rPr>
              <w:t>年11月30日之前）；</w:t>
            </w:r>
          </w:p>
          <w:p>
            <w:pPr>
              <w:pStyle w:val="22"/>
              <w:spacing w:line="360" w:lineRule="auto"/>
              <w:ind w:firstLine="420" w:firstLineChars="200"/>
              <w:rPr>
                <w:rFonts w:hint="eastAsia"/>
                <w:bCs/>
                <w:color w:val="000000"/>
              </w:rPr>
            </w:pPr>
            <w:r>
              <w:rPr>
                <w:rFonts w:hint="eastAsia"/>
                <w:bCs/>
                <w:color w:val="000000"/>
              </w:rPr>
              <w:t>5.</w:t>
            </w:r>
            <w:r>
              <w:rPr>
                <w:bCs/>
                <w:color w:val="000000"/>
              </w:rPr>
              <w:t>投标人</w:t>
            </w:r>
            <w:r>
              <w:rPr>
                <w:rFonts w:hint="eastAsia"/>
                <w:bCs/>
                <w:color w:val="000000"/>
              </w:rPr>
              <w:t>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pPr>
              <w:pStyle w:val="22"/>
              <w:spacing w:line="360" w:lineRule="auto"/>
              <w:ind w:firstLine="420" w:firstLineChars="200"/>
              <w:rPr>
                <w:rFonts w:hint="eastAsia"/>
              </w:rPr>
            </w:pPr>
            <w:r>
              <w:rPr>
                <w:rFonts w:hint="eastAsia"/>
              </w:rPr>
              <w:t>6.具有健全的财务会计制度，财务状况和市场行为良好。没有处于被有权机关吊销营业执照、吊销资质、停业整顿、取消投标资格以及财产被接管、冻结或进入破产程序等，投标单位需提供近三年经会计师事务所或审计机构出具的财务审计报告，保证单位财务状况良好可以进行投标。</w:t>
            </w:r>
          </w:p>
          <w:p>
            <w:pPr>
              <w:pStyle w:val="22"/>
              <w:spacing w:line="360" w:lineRule="auto"/>
              <w:ind w:firstLine="420" w:firstLineChars="200"/>
            </w:pPr>
            <w:r>
              <w:rPr>
                <w:rFonts w:hint="eastAsia"/>
              </w:rPr>
              <w:t>7.近三年内没有被环保部门通报事件；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pPr>
              <w:pStyle w:val="22"/>
              <w:spacing w:line="360" w:lineRule="auto"/>
              <w:ind w:firstLine="420" w:firstLineChars="200"/>
              <w:rPr>
                <w:rFonts w:hint="eastAsia"/>
              </w:rPr>
            </w:pPr>
            <w:r>
              <w:rPr>
                <w:rFonts w:hint="eastAsia"/>
              </w:rPr>
              <w:t>8.投标人必须是最终投标、签订合同的单位，不得以任何理由将已中标项目以任何形式转包给其他单位（恶臭气体因子，地下水检测39项及土壤检测45项以技术澄清为准）；</w:t>
            </w:r>
          </w:p>
          <w:p>
            <w:pPr>
              <w:pStyle w:val="22"/>
              <w:spacing w:line="360" w:lineRule="auto"/>
              <w:ind w:firstLine="420" w:firstLineChars="200"/>
              <w:rPr>
                <w:rFonts w:hint="eastAsia"/>
                <w:highlight w:val="yellow"/>
              </w:rPr>
            </w:pPr>
            <w:r>
              <w:rPr>
                <w:rFonts w:hint="eastAsia"/>
              </w:rPr>
              <w:t>9.本次招标项目不接受联合体投标</w:t>
            </w:r>
            <w:r>
              <w:rPr>
                <w:rFonts w:hint="eastAsia"/>
                <w:lang w:eastAsia="zh-CN"/>
              </w:rPr>
              <w:t>，</w:t>
            </w:r>
            <w:r>
              <w:rPr>
                <w:rFonts w:hint="eastAsia"/>
                <w:lang w:val="en-US" w:eastAsia="zh-CN"/>
              </w:rPr>
              <w:t>不接受代理商投标</w:t>
            </w:r>
            <w:r>
              <w:rPr>
                <w:rFonts w:hint="eastAsia"/>
              </w:rPr>
              <w:t>。</w:t>
            </w:r>
          </w:p>
          <w:p>
            <w:pPr>
              <w:pStyle w:val="22"/>
              <w:spacing w:line="360" w:lineRule="auto"/>
              <w:ind w:firstLine="420" w:firstLineChars="200"/>
              <w:rPr>
                <w:rFonts w:hint="eastAsia"/>
              </w:rPr>
            </w:pPr>
            <w:r>
              <w:rPr>
                <w:rFonts w:hint="eastAsia"/>
              </w:rPr>
              <w:t>1</w:t>
            </w:r>
            <w:r>
              <w:rPr>
                <w:rFonts w:hint="eastAsia"/>
                <w:lang w:val="en-US" w:eastAsia="zh-CN"/>
              </w:rPr>
              <w:t>0</w:t>
            </w:r>
            <w:r>
              <w:rPr>
                <w:rFonts w:hint="eastAsia"/>
              </w:rPr>
              <w:t>.投标人须认可招标人的工作指令，包括节假日、夜间能正常开展工作的要求；</w:t>
            </w:r>
          </w:p>
          <w:p>
            <w:pPr>
              <w:pStyle w:val="22"/>
              <w:spacing w:line="360" w:lineRule="auto"/>
              <w:ind w:firstLine="420" w:firstLineChars="200"/>
              <w:rPr>
                <w:rFonts w:hint="eastAsia"/>
              </w:rPr>
            </w:pPr>
            <w:r>
              <w:rPr>
                <w:rFonts w:hint="eastAsia"/>
              </w:rPr>
              <w:t>1</w:t>
            </w:r>
            <w:r>
              <w:rPr>
                <w:rFonts w:hint="eastAsia"/>
                <w:lang w:val="en-US" w:eastAsia="zh-CN"/>
              </w:rPr>
              <w:t>1</w:t>
            </w:r>
            <w:r>
              <w:rPr>
                <w:rFonts w:hint="eastAsia"/>
              </w:rPr>
              <w:t>.投标人在向招标人出示《投标保证金缴纳凭证》后方可进行投标；</w:t>
            </w:r>
          </w:p>
          <w:p>
            <w:pPr>
              <w:pStyle w:val="22"/>
              <w:spacing w:line="360" w:lineRule="auto"/>
              <w:ind w:firstLine="420" w:firstLineChars="200"/>
              <w:rPr>
                <w:rFonts w:hint="default" w:eastAsiaTheme="minorEastAsia"/>
                <w:lang w:val="en-US" w:eastAsia="zh-CN"/>
              </w:rPr>
            </w:pPr>
            <w:r>
              <w:rPr>
                <w:rFonts w:hint="eastAsia"/>
                <w:lang w:val="en-US" w:eastAsia="zh-CN"/>
              </w:rPr>
              <w:t>12.</w:t>
            </w:r>
            <w:r>
              <w:rPr>
                <w:rFonts w:hint="eastAsia"/>
              </w:rPr>
              <w:t>供方的直接或间接股东、法定代表人、董事、监事、高管非重汽员工及其亲属</w:t>
            </w:r>
          </w:p>
          <w:p>
            <w:pPr>
              <w:pStyle w:val="22"/>
              <w:spacing w:line="360" w:lineRule="auto"/>
              <w:ind w:firstLine="420" w:firstLineChars="200"/>
              <w:rPr>
                <w:rFonts w:hint="eastAsia" w:ascii="仿宋_GB2312" w:hAnsi="仿宋_GB2312" w:eastAsia="仿宋_GB2312" w:cs="仿宋_GB2312"/>
                <w:color w:val="000000"/>
                <w:sz w:val="24"/>
                <w:szCs w:val="24"/>
              </w:rPr>
            </w:pPr>
            <w:r>
              <w:rPr>
                <w:rFonts w:hint="eastAsia"/>
                <w:b/>
                <w:bCs/>
              </w:rPr>
              <w:t>上述为投标必备的资格条件，相关材料缺项</w:t>
            </w:r>
            <w:r>
              <w:rPr>
                <w:rFonts w:hint="eastAsia"/>
                <w:b/>
                <w:bCs/>
                <w:szCs w:val="22"/>
              </w:rPr>
              <w:t>会按不响应招标文件或无效投标处理</w:t>
            </w:r>
            <w:r>
              <w:rPr>
                <w:rFonts w:hint="eastAsia"/>
                <w:b/>
                <w:bCs/>
              </w:rPr>
              <w:t>，资质证明审查后废除投标资格。逾期的投标文件招标人不予受理。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2025年12月9日前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2025年12月9日前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w:t>
            </w:r>
            <w:r>
              <w:rPr>
                <w:rFonts w:hint="eastAsia" w:ascii="仿宋_GB2312" w:hAnsi="仿宋_GB2312" w:eastAsia="仿宋_GB2312" w:cs="仿宋_GB2312"/>
                <w:b/>
                <w:bCs/>
                <w:highlight w:val="green"/>
                <w:lang w:val="en-US" w:eastAsia="zh-CN"/>
              </w:rPr>
              <w:t>①-⑧</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2025年12月6日17：00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2025年12月11日17：00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2025年12月11日17：00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2025年12月12日9：00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以招标人实际要求为准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lang w:val="en-US" w:eastAsia="zh-CN"/>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green"/>
                <w:lang w:val="en-US" w:eastAsia="zh-CN"/>
              </w:rPr>
              <w:t>其他付款节点①100%：乙方完成甲方的需求，乙方开具合同价款100%的收据并增值税专用发票，经甲方核对无误后支付。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6577"/>
      <w:bookmarkStart w:id="8" w:name="_Toc27087"/>
      <w:bookmarkStart w:id="9" w:name="_Toc9448"/>
      <w:bookmarkStart w:id="10" w:name="_Toc11216"/>
      <w:bookmarkStart w:id="11" w:name="_Toc19183"/>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b/>
          <w:bCs/>
          <w:highlight w:val="green"/>
          <w:lang w:val="en-US" w:eastAsia="zh-CN"/>
        </w:rPr>
        <w:t>①-⑧</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5752"/>
      <w:bookmarkStart w:id="20" w:name="_Toc33265653"/>
      <w:bookmarkStart w:id="21" w:name="_Toc33266914"/>
      <w:bookmarkStart w:id="22" w:name="_Toc33266950"/>
      <w:bookmarkStart w:id="23" w:name="_Toc33266627"/>
      <w:bookmarkStart w:id="24" w:name="_Toc33285487"/>
      <w:bookmarkStart w:id="25" w:name="_Toc30534"/>
      <w:bookmarkStart w:id="26" w:name="_Toc33267001"/>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pPr>
        <w:pStyle w:val="1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pStyle w:val="22"/>
        <w:spacing w:line="360" w:lineRule="auto"/>
        <w:ind w:firstLine="420" w:firstLineChars="200"/>
        <w:rPr>
          <w:rFonts w:hint="eastAsia"/>
          <w:b/>
        </w:rPr>
      </w:pPr>
      <w:bookmarkStart w:id="29" w:name="OLE_LINK4"/>
      <w:r>
        <w:rPr>
          <w:rFonts w:hint="eastAsia"/>
          <w:b/>
        </w:rPr>
        <w:t>本次招标评价分为以下几个方面，总赋分为100分。</w:t>
      </w:r>
    </w:p>
    <w:tbl>
      <w:tblPr>
        <w:tblStyle w:val="41"/>
        <w:tblpPr w:leftFromText="181" w:rightFromText="181" w:vertAnchor="text" w:horzAnchor="margin" w:tblpXSpec="center" w:tblpY="285"/>
        <w:tblW w:w="52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81"/>
        <w:gridCol w:w="5591"/>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4" w:type="pct"/>
            <w:noWrap w:val="0"/>
            <w:vAlign w:val="center"/>
          </w:tcPr>
          <w:p>
            <w:pPr>
              <w:pStyle w:val="22"/>
              <w:spacing w:line="360" w:lineRule="auto"/>
              <w:jc w:val="center"/>
              <w:rPr>
                <w:rFonts w:hAnsi="宋体"/>
                <w:b/>
                <w:szCs w:val="21"/>
              </w:rPr>
            </w:pPr>
            <w:r>
              <w:rPr>
                <w:rFonts w:hint="eastAsia" w:hAnsi="宋体"/>
                <w:b/>
                <w:szCs w:val="21"/>
              </w:rPr>
              <w:t>序号</w:t>
            </w:r>
          </w:p>
        </w:tc>
        <w:tc>
          <w:tcPr>
            <w:tcW w:w="662" w:type="pct"/>
            <w:noWrap w:val="0"/>
            <w:vAlign w:val="center"/>
          </w:tcPr>
          <w:p>
            <w:pPr>
              <w:pStyle w:val="22"/>
              <w:spacing w:line="360" w:lineRule="auto"/>
              <w:jc w:val="center"/>
              <w:rPr>
                <w:rFonts w:hAnsi="宋体"/>
                <w:b/>
                <w:szCs w:val="21"/>
              </w:rPr>
            </w:pPr>
            <w:r>
              <w:rPr>
                <w:rFonts w:hint="eastAsia" w:hAnsi="宋体"/>
                <w:b/>
                <w:szCs w:val="21"/>
              </w:rPr>
              <w:t>具体项目</w:t>
            </w:r>
          </w:p>
        </w:tc>
        <w:tc>
          <w:tcPr>
            <w:tcW w:w="2889" w:type="pct"/>
            <w:noWrap w:val="0"/>
            <w:vAlign w:val="center"/>
          </w:tcPr>
          <w:p>
            <w:pPr>
              <w:pStyle w:val="22"/>
              <w:spacing w:line="360" w:lineRule="auto"/>
              <w:jc w:val="center"/>
              <w:rPr>
                <w:rFonts w:hAnsi="宋体"/>
                <w:b/>
                <w:szCs w:val="21"/>
              </w:rPr>
            </w:pPr>
            <w:r>
              <w:rPr>
                <w:rFonts w:hint="eastAsia" w:hAnsi="宋体"/>
                <w:b/>
                <w:szCs w:val="21"/>
              </w:rPr>
              <w:t>评分依据</w:t>
            </w:r>
          </w:p>
        </w:tc>
        <w:tc>
          <w:tcPr>
            <w:tcW w:w="994" w:type="pct"/>
            <w:noWrap w:val="0"/>
            <w:vAlign w:val="center"/>
          </w:tcPr>
          <w:p>
            <w:pPr>
              <w:pStyle w:val="22"/>
              <w:spacing w:line="360" w:lineRule="auto"/>
              <w:jc w:val="center"/>
              <w:rPr>
                <w:rFonts w:hint="eastAsia" w:hAnsi="宋体"/>
                <w:b/>
                <w:szCs w:val="21"/>
              </w:rPr>
            </w:pPr>
            <w:r>
              <w:rPr>
                <w:rFonts w:hint="eastAsia" w:hAnsi="宋体"/>
                <w:b/>
                <w:szCs w:val="21"/>
              </w:rPr>
              <w:t>共计100分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Ansi="宋体"/>
                <w:szCs w:val="21"/>
              </w:rPr>
            </w:pPr>
            <w:r>
              <w:rPr>
                <w:rFonts w:hint="eastAsia" w:hAnsi="宋体"/>
                <w:szCs w:val="21"/>
              </w:rPr>
              <w:t>1</w:t>
            </w:r>
          </w:p>
        </w:tc>
        <w:tc>
          <w:tcPr>
            <w:tcW w:w="662" w:type="pct"/>
            <w:noWrap w:val="0"/>
            <w:vAlign w:val="center"/>
          </w:tcPr>
          <w:p>
            <w:pPr>
              <w:pStyle w:val="22"/>
              <w:spacing w:line="360" w:lineRule="auto"/>
              <w:jc w:val="center"/>
              <w:rPr>
                <w:rFonts w:hint="eastAsia" w:hAnsi="宋体"/>
                <w:szCs w:val="21"/>
              </w:rPr>
            </w:pPr>
            <w:r>
              <w:rPr>
                <w:rFonts w:hint="eastAsia" w:hAnsi="宋体"/>
                <w:szCs w:val="21"/>
              </w:rPr>
              <w:t>企业实力</w:t>
            </w:r>
          </w:p>
        </w:tc>
        <w:tc>
          <w:tcPr>
            <w:tcW w:w="2889" w:type="pct"/>
            <w:noWrap w:val="0"/>
            <w:vAlign w:val="center"/>
          </w:tcPr>
          <w:p>
            <w:pPr>
              <w:pStyle w:val="22"/>
              <w:spacing w:line="300" w:lineRule="auto"/>
              <w:jc w:val="left"/>
              <w:rPr>
                <w:rFonts w:hint="eastAsia" w:hAnsi="宋体"/>
                <w:szCs w:val="21"/>
              </w:rPr>
            </w:pPr>
            <w:r>
              <w:rPr>
                <w:rFonts w:hint="eastAsia" w:hAnsi="宋体"/>
                <w:szCs w:val="21"/>
              </w:rPr>
              <w:t>（1）企业注册资金、成立时间、实验室和检测人员数量，采样、检验人员具有相应能力评价证书，满足项目对样品检验工作要求的设施环境和设备配置15—20分；</w:t>
            </w:r>
          </w:p>
          <w:p>
            <w:pPr>
              <w:pStyle w:val="22"/>
              <w:spacing w:line="300" w:lineRule="auto"/>
              <w:jc w:val="left"/>
              <w:rPr>
                <w:rFonts w:hint="eastAsia" w:hAnsi="宋体"/>
                <w:szCs w:val="21"/>
              </w:rPr>
            </w:pPr>
            <w:r>
              <w:rPr>
                <w:rFonts w:hint="eastAsia" w:hAnsi="宋体"/>
                <w:szCs w:val="21"/>
              </w:rPr>
              <w:t>（2）具有烟气采样设备4台得2分，每多1台附1分，最高得5分（需提供本公司购买发票）；</w:t>
            </w:r>
          </w:p>
          <w:p>
            <w:pPr>
              <w:pStyle w:val="22"/>
              <w:spacing w:line="300" w:lineRule="auto"/>
              <w:jc w:val="left"/>
              <w:rPr>
                <w:rFonts w:hint="eastAsia" w:hAnsi="宋体"/>
                <w:szCs w:val="21"/>
              </w:rPr>
            </w:pPr>
            <w:r>
              <w:rPr>
                <w:rFonts w:hint="eastAsia" w:hAnsi="宋体"/>
                <w:szCs w:val="21"/>
              </w:rPr>
              <w:t>（3）公司从业人员30人及以上，且环境检测授权签字人高级职称人员至少1人（需提供社保证明）得2分，优于上述条件者得3-5分，其他不得分；</w:t>
            </w:r>
          </w:p>
          <w:p>
            <w:pPr>
              <w:pStyle w:val="22"/>
              <w:spacing w:line="300" w:lineRule="auto"/>
              <w:jc w:val="left"/>
              <w:rPr>
                <w:rFonts w:hint="eastAsia" w:hAnsi="宋体"/>
                <w:szCs w:val="21"/>
              </w:rPr>
            </w:pPr>
            <w:r>
              <w:rPr>
                <w:rFonts w:hint="eastAsia" w:hAnsi="宋体"/>
                <w:szCs w:val="21"/>
              </w:rPr>
              <w:t>（4）本项最高得30分。</w:t>
            </w:r>
          </w:p>
        </w:tc>
        <w:tc>
          <w:tcPr>
            <w:tcW w:w="994" w:type="pct"/>
            <w:noWrap w:val="0"/>
            <w:vAlign w:val="center"/>
          </w:tcPr>
          <w:p>
            <w:pPr>
              <w:pStyle w:val="22"/>
              <w:spacing w:line="360" w:lineRule="auto"/>
              <w:jc w:val="center"/>
              <w:rPr>
                <w:rFonts w:hint="eastAsia" w:hAnsi="宋体"/>
                <w:szCs w:val="21"/>
              </w:rPr>
            </w:pPr>
            <w:r>
              <w:rPr>
                <w:rFonts w:hint="eastAsia" w:hAnsi="宋体"/>
                <w:szCs w:val="21"/>
              </w:rPr>
              <w:t>3</w:t>
            </w:r>
            <w:r>
              <w:rPr>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int="eastAsia" w:hAnsi="宋体"/>
                <w:szCs w:val="21"/>
              </w:rPr>
            </w:pPr>
            <w:r>
              <w:rPr>
                <w:rFonts w:hint="eastAsia" w:hAnsi="宋体"/>
                <w:szCs w:val="21"/>
              </w:rPr>
              <w:t>2</w:t>
            </w:r>
          </w:p>
        </w:tc>
        <w:tc>
          <w:tcPr>
            <w:tcW w:w="662" w:type="pct"/>
            <w:noWrap w:val="0"/>
            <w:vAlign w:val="center"/>
          </w:tcPr>
          <w:p>
            <w:pPr>
              <w:pStyle w:val="22"/>
              <w:spacing w:line="360" w:lineRule="auto"/>
              <w:jc w:val="center"/>
              <w:rPr>
                <w:rFonts w:hint="eastAsia" w:hAnsi="宋体"/>
                <w:szCs w:val="21"/>
              </w:rPr>
            </w:pPr>
            <w:r>
              <w:rPr>
                <w:rFonts w:hint="eastAsia" w:hAnsi="宋体"/>
                <w:szCs w:val="21"/>
              </w:rPr>
              <w:t>监测能力</w:t>
            </w:r>
          </w:p>
        </w:tc>
        <w:tc>
          <w:tcPr>
            <w:tcW w:w="2889" w:type="pct"/>
            <w:noWrap w:val="0"/>
            <w:vAlign w:val="center"/>
          </w:tcPr>
          <w:p>
            <w:pPr>
              <w:pStyle w:val="22"/>
              <w:spacing w:line="300" w:lineRule="auto"/>
              <w:jc w:val="left"/>
              <w:rPr>
                <w:rFonts w:hint="eastAsia" w:hAnsi="宋体"/>
                <w:szCs w:val="21"/>
              </w:rPr>
            </w:pPr>
            <w:r>
              <w:rPr>
                <w:rFonts w:hint="eastAsia" w:hAnsi="宋体"/>
                <w:szCs w:val="21"/>
              </w:rPr>
              <w:t>（1）标书内要求监测指标具有全部检测资质得18分；</w:t>
            </w:r>
          </w:p>
          <w:p>
            <w:pPr>
              <w:pStyle w:val="22"/>
              <w:spacing w:line="300" w:lineRule="auto"/>
              <w:jc w:val="left"/>
              <w:rPr>
                <w:rFonts w:hint="eastAsia" w:hAnsi="宋体"/>
                <w:szCs w:val="21"/>
              </w:rPr>
            </w:pPr>
            <w:r>
              <w:rPr>
                <w:rFonts w:hint="eastAsia" w:hAnsi="宋体"/>
                <w:szCs w:val="21"/>
              </w:rPr>
              <w:t>（2）有90%及以上检测资质得</w:t>
            </w:r>
            <w:r>
              <w:rPr>
                <w:rFonts w:hAnsi="宋体"/>
                <w:szCs w:val="21"/>
              </w:rPr>
              <w:t>1</w:t>
            </w:r>
            <w:r>
              <w:rPr>
                <w:rFonts w:hint="eastAsia" w:hAnsi="宋体"/>
                <w:szCs w:val="21"/>
              </w:rPr>
              <w:t>5</w:t>
            </w:r>
            <w:r>
              <w:rPr>
                <w:rFonts w:hAnsi="宋体"/>
                <w:szCs w:val="21"/>
              </w:rPr>
              <w:t>-1</w:t>
            </w:r>
            <w:r>
              <w:rPr>
                <w:rFonts w:hint="eastAsia" w:hAnsi="宋体"/>
                <w:szCs w:val="21"/>
              </w:rPr>
              <w:t>7分；</w:t>
            </w:r>
          </w:p>
          <w:p>
            <w:pPr>
              <w:pStyle w:val="22"/>
              <w:spacing w:line="300" w:lineRule="auto"/>
              <w:jc w:val="left"/>
              <w:rPr>
                <w:rFonts w:hAnsi="宋体"/>
                <w:szCs w:val="21"/>
              </w:rPr>
            </w:pPr>
            <w:r>
              <w:rPr>
                <w:rFonts w:hint="eastAsia" w:hAnsi="宋体"/>
                <w:szCs w:val="21"/>
              </w:rPr>
              <w:t>（3）有80%-90%检测资质得10-15分；</w:t>
            </w:r>
          </w:p>
          <w:p>
            <w:pPr>
              <w:pStyle w:val="22"/>
              <w:spacing w:line="300" w:lineRule="auto"/>
              <w:jc w:val="left"/>
              <w:rPr>
                <w:rFonts w:hint="eastAsia" w:hAnsi="宋体"/>
                <w:szCs w:val="21"/>
              </w:rPr>
            </w:pPr>
            <w:r>
              <w:rPr>
                <w:rFonts w:hint="eastAsia" w:hAnsi="宋体"/>
                <w:szCs w:val="21"/>
              </w:rPr>
              <w:t>（4）检测资质低于80%者不得分；</w:t>
            </w:r>
          </w:p>
          <w:p>
            <w:pPr>
              <w:pStyle w:val="22"/>
              <w:spacing w:line="300" w:lineRule="auto"/>
              <w:jc w:val="left"/>
              <w:rPr>
                <w:rFonts w:hint="eastAsia" w:hAnsi="宋体"/>
                <w:szCs w:val="21"/>
              </w:rPr>
            </w:pPr>
            <w:r>
              <w:rPr>
                <w:rFonts w:hint="eastAsia" w:hAnsi="宋体" w:cs="宋体"/>
                <w:szCs w:val="21"/>
              </w:rPr>
              <w:t>（5）参加山东省环境盲样考核，结果合格及以上得2分（需提供考核结果），其余不得分；</w:t>
            </w:r>
          </w:p>
          <w:p>
            <w:pPr>
              <w:pStyle w:val="22"/>
              <w:spacing w:line="300" w:lineRule="auto"/>
              <w:jc w:val="left"/>
              <w:rPr>
                <w:rFonts w:hAnsi="宋体"/>
                <w:szCs w:val="21"/>
              </w:rPr>
            </w:pPr>
            <w:r>
              <w:rPr>
                <w:rFonts w:hint="eastAsia" w:hAnsi="宋体"/>
                <w:szCs w:val="21"/>
              </w:rPr>
              <w:t>本项最高得20分。</w:t>
            </w:r>
          </w:p>
        </w:tc>
        <w:tc>
          <w:tcPr>
            <w:tcW w:w="994" w:type="pct"/>
            <w:noWrap w:val="0"/>
            <w:vAlign w:val="center"/>
          </w:tcPr>
          <w:p>
            <w:pPr>
              <w:pStyle w:val="22"/>
              <w:spacing w:line="360" w:lineRule="auto"/>
              <w:jc w:val="center"/>
              <w:rPr>
                <w:rFonts w:hint="eastAsia"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int="eastAsia" w:hAnsi="宋体"/>
                <w:szCs w:val="21"/>
              </w:rPr>
            </w:pPr>
            <w:r>
              <w:rPr>
                <w:rFonts w:hint="eastAsia" w:hAnsi="宋体"/>
                <w:szCs w:val="21"/>
              </w:rPr>
              <w:t>3</w:t>
            </w:r>
          </w:p>
        </w:tc>
        <w:tc>
          <w:tcPr>
            <w:tcW w:w="662" w:type="pct"/>
            <w:noWrap w:val="0"/>
            <w:vAlign w:val="center"/>
          </w:tcPr>
          <w:p>
            <w:pPr>
              <w:pStyle w:val="22"/>
              <w:spacing w:line="360" w:lineRule="auto"/>
              <w:jc w:val="center"/>
              <w:rPr>
                <w:rFonts w:hint="eastAsia" w:hAnsi="宋体"/>
                <w:szCs w:val="21"/>
              </w:rPr>
            </w:pPr>
            <w:r>
              <w:rPr>
                <w:rFonts w:hint="eastAsia" w:hAnsi="宋体"/>
                <w:szCs w:val="21"/>
              </w:rPr>
              <w:t>同类业绩</w:t>
            </w:r>
          </w:p>
        </w:tc>
        <w:tc>
          <w:tcPr>
            <w:tcW w:w="2889" w:type="pct"/>
            <w:noWrap w:val="0"/>
            <w:vAlign w:val="center"/>
          </w:tcPr>
          <w:p>
            <w:pPr>
              <w:pStyle w:val="22"/>
              <w:spacing w:line="300" w:lineRule="auto"/>
              <w:jc w:val="left"/>
              <w:rPr>
                <w:rFonts w:hint="eastAsia" w:hAnsi="宋体"/>
                <w:szCs w:val="21"/>
              </w:rPr>
            </w:pPr>
            <w:r>
              <w:rPr>
                <w:rFonts w:hint="eastAsia" w:hAnsi="宋体"/>
                <w:szCs w:val="21"/>
              </w:rPr>
              <w:t>提供近三年（202</w:t>
            </w:r>
            <w:r>
              <w:rPr>
                <w:rFonts w:hint="eastAsia" w:hAnsi="宋体"/>
                <w:szCs w:val="21"/>
                <w:lang w:val="en-US" w:eastAsia="zh-CN"/>
              </w:rPr>
              <w:t>2</w:t>
            </w:r>
            <w:r>
              <w:rPr>
                <w:rFonts w:hint="eastAsia" w:hAnsi="宋体"/>
                <w:szCs w:val="21"/>
              </w:rPr>
              <w:t>年1月1日至今，以合同签订时间为准）山东省内地区生产企业环境检测业绩类似业绩，每份合同赋</w:t>
            </w:r>
            <w:r>
              <w:rPr>
                <w:rFonts w:hAnsi="宋体"/>
                <w:szCs w:val="21"/>
              </w:rPr>
              <w:t>2</w:t>
            </w:r>
            <w:r>
              <w:rPr>
                <w:rFonts w:hint="eastAsia" w:hAnsi="宋体"/>
                <w:szCs w:val="21"/>
              </w:rPr>
              <w:t>分，满分</w:t>
            </w:r>
            <w:r>
              <w:rPr>
                <w:rFonts w:hAnsi="宋体"/>
                <w:szCs w:val="21"/>
              </w:rPr>
              <w:t>2</w:t>
            </w:r>
            <w:r>
              <w:rPr>
                <w:rFonts w:hint="eastAsia" w:hAnsi="宋体"/>
                <w:szCs w:val="21"/>
              </w:rPr>
              <w:t>0分。（须提供相应合同原件复印件证明）</w:t>
            </w:r>
          </w:p>
        </w:tc>
        <w:tc>
          <w:tcPr>
            <w:tcW w:w="994" w:type="pct"/>
            <w:noWrap w:val="0"/>
            <w:vAlign w:val="center"/>
          </w:tcPr>
          <w:p>
            <w:pPr>
              <w:pStyle w:val="22"/>
              <w:spacing w:line="360" w:lineRule="auto"/>
              <w:jc w:val="center"/>
              <w:rPr>
                <w:rFonts w:hint="eastAsia"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54" w:type="pct"/>
            <w:noWrap w:val="0"/>
            <w:vAlign w:val="center"/>
          </w:tcPr>
          <w:p>
            <w:pPr>
              <w:pStyle w:val="22"/>
              <w:spacing w:line="360" w:lineRule="auto"/>
              <w:jc w:val="center"/>
              <w:rPr>
                <w:rFonts w:hAnsi="宋体"/>
                <w:szCs w:val="21"/>
              </w:rPr>
            </w:pPr>
            <w:r>
              <w:rPr>
                <w:rFonts w:hint="eastAsia" w:hAnsi="宋体"/>
                <w:szCs w:val="21"/>
              </w:rPr>
              <w:t>4</w:t>
            </w:r>
          </w:p>
        </w:tc>
        <w:tc>
          <w:tcPr>
            <w:tcW w:w="662" w:type="pct"/>
            <w:noWrap w:val="0"/>
            <w:vAlign w:val="center"/>
          </w:tcPr>
          <w:p>
            <w:pPr>
              <w:pStyle w:val="22"/>
              <w:spacing w:line="360" w:lineRule="auto"/>
              <w:jc w:val="center"/>
              <w:rPr>
                <w:rFonts w:hAnsi="宋体"/>
                <w:szCs w:val="21"/>
              </w:rPr>
            </w:pPr>
            <w:r>
              <w:rPr>
                <w:rFonts w:hint="eastAsia" w:hAnsi="宋体"/>
                <w:szCs w:val="21"/>
              </w:rPr>
              <w:t>检测方案</w:t>
            </w:r>
          </w:p>
        </w:tc>
        <w:tc>
          <w:tcPr>
            <w:tcW w:w="2889" w:type="pct"/>
            <w:noWrap w:val="0"/>
            <w:vAlign w:val="center"/>
          </w:tcPr>
          <w:p>
            <w:pPr>
              <w:pStyle w:val="22"/>
              <w:spacing w:line="300" w:lineRule="auto"/>
              <w:jc w:val="left"/>
              <w:rPr>
                <w:rFonts w:hAnsi="宋体"/>
                <w:szCs w:val="21"/>
              </w:rPr>
            </w:pPr>
            <w:r>
              <w:rPr>
                <w:rFonts w:hint="eastAsia" w:hAnsi="宋体"/>
                <w:szCs w:val="21"/>
              </w:rPr>
              <w:t>根据为本项目配备检测人员的数量、检测响应时间、提供</w:t>
            </w:r>
            <w:r>
              <w:rPr>
                <w:rFonts w:hint="eastAsia" w:hAnsi="宋体" w:cs="宋体"/>
                <w:kern w:val="0"/>
                <w:szCs w:val="21"/>
                <w:lang w:bidi="ar"/>
              </w:rPr>
              <w:t>检测服务方案和现场服务承诺的完整性、合理性、专业性和可操作性进行评估：评估优秀的</w:t>
            </w:r>
            <w:r>
              <w:rPr>
                <w:rFonts w:hint="eastAsia" w:hAnsi="宋体"/>
                <w:szCs w:val="21"/>
              </w:rPr>
              <w:t>附</w:t>
            </w:r>
            <w:r>
              <w:rPr>
                <w:rFonts w:hAnsi="宋体" w:cs="宋体"/>
                <w:kern w:val="0"/>
                <w:szCs w:val="21"/>
                <w:lang w:bidi="ar"/>
              </w:rPr>
              <w:t>18</w:t>
            </w:r>
            <w:r>
              <w:rPr>
                <w:rFonts w:hint="eastAsia" w:hAnsi="宋体" w:cs="宋体"/>
                <w:kern w:val="0"/>
                <w:szCs w:val="21"/>
                <w:lang w:bidi="ar"/>
              </w:rPr>
              <w:t>-</w:t>
            </w:r>
            <w:r>
              <w:rPr>
                <w:rFonts w:hAnsi="宋体" w:cs="宋体"/>
                <w:kern w:val="0"/>
                <w:szCs w:val="21"/>
                <w:lang w:bidi="ar"/>
              </w:rPr>
              <w:t>20</w:t>
            </w:r>
            <w:r>
              <w:rPr>
                <w:rFonts w:hint="eastAsia" w:hAnsi="宋体" w:cs="宋体"/>
                <w:kern w:val="0"/>
                <w:szCs w:val="21"/>
                <w:lang w:bidi="ar"/>
              </w:rPr>
              <w:t>分、一般的</w:t>
            </w:r>
            <w:r>
              <w:rPr>
                <w:rFonts w:hint="eastAsia" w:hAnsi="宋体"/>
                <w:szCs w:val="21"/>
              </w:rPr>
              <w:t>附</w:t>
            </w:r>
            <w:r>
              <w:rPr>
                <w:rFonts w:hAnsi="宋体" w:cs="宋体"/>
                <w:kern w:val="0"/>
                <w:szCs w:val="21"/>
                <w:lang w:bidi="ar"/>
              </w:rPr>
              <w:t>15</w:t>
            </w:r>
            <w:r>
              <w:rPr>
                <w:rFonts w:hint="eastAsia" w:hAnsi="宋体" w:cs="宋体"/>
                <w:kern w:val="0"/>
                <w:szCs w:val="21"/>
                <w:lang w:bidi="ar"/>
              </w:rPr>
              <w:t>-</w:t>
            </w:r>
            <w:r>
              <w:rPr>
                <w:rFonts w:hAnsi="宋体" w:cs="宋体"/>
                <w:kern w:val="0"/>
                <w:szCs w:val="21"/>
                <w:lang w:bidi="ar"/>
              </w:rPr>
              <w:t>17</w:t>
            </w:r>
            <w:r>
              <w:rPr>
                <w:rFonts w:hint="eastAsia" w:hAnsi="宋体" w:cs="宋体"/>
                <w:kern w:val="0"/>
                <w:szCs w:val="21"/>
                <w:lang w:bidi="ar"/>
              </w:rPr>
              <w:t>分、较差的</w:t>
            </w:r>
            <w:r>
              <w:rPr>
                <w:rFonts w:hint="eastAsia" w:hAnsi="宋体"/>
                <w:szCs w:val="21"/>
              </w:rPr>
              <w:t>附</w:t>
            </w:r>
            <w:r>
              <w:rPr>
                <w:rFonts w:hAnsi="宋体" w:cs="宋体"/>
                <w:kern w:val="0"/>
                <w:szCs w:val="21"/>
                <w:lang w:bidi="ar"/>
              </w:rPr>
              <w:t>0</w:t>
            </w:r>
            <w:r>
              <w:rPr>
                <w:rFonts w:hint="eastAsia" w:hAnsi="宋体" w:cs="宋体"/>
                <w:kern w:val="0"/>
                <w:szCs w:val="21"/>
                <w:lang w:bidi="ar"/>
              </w:rPr>
              <w:t>-</w:t>
            </w:r>
            <w:r>
              <w:rPr>
                <w:rFonts w:hAnsi="宋体" w:cs="宋体"/>
                <w:kern w:val="0"/>
                <w:szCs w:val="21"/>
                <w:lang w:bidi="ar"/>
              </w:rPr>
              <w:t>14</w:t>
            </w:r>
            <w:r>
              <w:rPr>
                <w:rFonts w:hint="eastAsia" w:hAnsi="宋体" w:cs="宋体"/>
                <w:kern w:val="0"/>
                <w:szCs w:val="21"/>
                <w:lang w:bidi="ar"/>
              </w:rPr>
              <w:t>分；</w:t>
            </w:r>
          </w:p>
        </w:tc>
        <w:tc>
          <w:tcPr>
            <w:tcW w:w="994" w:type="pct"/>
            <w:noWrap w:val="0"/>
            <w:vAlign w:val="center"/>
          </w:tcPr>
          <w:p>
            <w:pPr>
              <w:pStyle w:val="22"/>
              <w:spacing w:line="360" w:lineRule="auto"/>
              <w:jc w:val="center"/>
              <w:rPr>
                <w:rFonts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454" w:type="pct"/>
            <w:noWrap w:val="0"/>
            <w:vAlign w:val="center"/>
          </w:tcPr>
          <w:p>
            <w:pPr>
              <w:pStyle w:val="22"/>
              <w:spacing w:line="360" w:lineRule="auto"/>
              <w:jc w:val="center"/>
              <w:rPr>
                <w:rFonts w:hAnsi="宋体"/>
                <w:szCs w:val="21"/>
              </w:rPr>
            </w:pPr>
            <w:r>
              <w:rPr>
                <w:rFonts w:hint="eastAsia" w:hAnsi="宋体"/>
                <w:szCs w:val="21"/>
              </w:rPr>
              <w:t>5</w:t>
            </w:r>
          </w:p>
        </w:tc>
        <w:tc>
          <w:tcPr>
            <w:tcW w:w="662" w:type="pct"/>
            <w:noWrap w:val="0"/>
            <w:vAlign w:val="center"/>
          </w:tcPr>
          <w:p>
            <w:pPr>
              <w:pStyle w:val="22"/>
              <w:spacing w:line="360" w:lineRule="auto"/>
              <w:jc w:val="center"/>
              <w:rPr>
                <w:rFonts w:hAnsi="宋体"/>
                <w:szCs w:val="21"/>
              </w:rPr>
            </w:pPr>
            <w:r>
              <w:rPr>
                <w:rFonts w:hint="eastAsia" w:hAnsi="宋体"/>
                <w:szCs w:val="21"/>
              </w:rPr>
              <w:t>交货期</w:t>
            </w:r>
          </w:p>
        </w:tc>
        <w:tc>
          <w:tcPr>
            <w:tcW w:w="2889" w:type="pct"/>
            <w:noWrap w:val="0"/>
            <w:vAlign w:val="center"/>
          </w:tcPr>
          <w:p>
            <w:pPr>
              <w:pStyle w:val="22"/>
              <w:spacing w:line="360" w:lineRule="auto"/>
              <w:rPr>
                <w:rFonts w:hint="eastAsia" w:hAnsi="宋体"/>
                <w:szCs w:val="21"/>
              </w:rPr>
            </w:pPr>
            <w:r>
              <w:rPr>
                <w:rFonts w:hint="eastAsia" w:hAnsi="宋体"/>
                <w:szCs w:val="21"/>
              </w:rPr>
              <w:t>检测后5个工作日内出具报告得8分，每多一天扣1分。</w:t>
            </w:r>
          </w:p>
          <w:p>
            <w:pPr>
              <w:pStyle w:val="22"/>
              <w:spacing w:line="360" w:lineRule="auto"/>
              <w:jc w:val="left"/>
              <w:rPr>
                <w:rFonts w:hAnsi="宋体"/>
                <w:szCs w:val="21"/>
              </w:rPr>
            </w:pPr>
            <w:r>
              <w:rPr>
                <w:rFonts w:hint="eastAsia" w:hAnsi="宋体"/>
                <w:szCs w:val="21"/>
              </w:rPr>
              <w:t>临时（应急）采样任务</w:t>
            </w:r>
            <w:r>
              <w:rPr>
                <w:rFonts w:hAnsi="宋体"/>
                <w:szCs w:val="21"/>
              </w:rPr>
              <w:t>2</w:t>
            </w:r>
            <w:r>
              <w:rPr>
                <w:rFonts w:hint="eastAsia" w:hAnsi="宋体"/>
                <w:szCs w:val="21"/>
              </w:rPr>
              <w:t>小时内到达采样现场附</w:t>
            </w:r>
            <w:r>
              <w:rPr>
                <w:rFonts w:hAnsi="宋体"/>
                <w:szCs w:val="21"/>
              </w:rPr>
              <w:t>2</w:t>
            </w:r>
            <w:r>
              <w:rPr>
                <w:rFonts w:hint="eastAsia" w:hAnsi="宋体"/>
                <w:szCs w:val="21"/>
              </w:rPr>
              <w:t>分，超过</w:t>
            </w:r>
            <w:r>
              <w:rPr>
                <w:rFonts w:hAnsi="宋体"/>
                <w:szCs w:val="21"/>
              </w:rPr>
              <w:t>2</w:t>
            </w:r>
            <w:r>
              <w:rPr>
                <w:rFonts w:hint="eastAsia" w:hAnsi="宋体"/>
                <w:szCs w:val="21"/>
              </w:rPr>
              <w:t>小时不得分。</w:t>
            </w:r>
          </w:p>
        </w:tc>
        <w:tc>
          <w:tcPr>
            <w:tcW w:w="994" w:type="pct"/>
            <w:noWrap w:val="0"/>
            <w:vAlign w:val="center"/>
          </w:tcPr>
          <w:p>
            <w:pPr>
              <w:pStyle w:val="22"/>
              <w:spacing w:line="360" w:lineRule="auto"/>
              <w:jc w:val="center"/>
              <w:rPr>
                <w:rFonts w:hAnsi="宋体"/>
                <w:szCs w:val="21"/>
              </w:rPr>
            </w:pPr>
            <w:r>
              <w:rPr>
                <w:rFonts w:hint="eastAsia" w:hAnsi="宋体"/>
                <w:szCs w:val="21"/>
              </w:rPr>
              <w:t>10</w:t>
            </w:r>
          </w:p>
        </w:tc>
      </w:tr>
      <w:bookmarkEnd w:id="29"/>
    </w:tbl>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highlight w:val="yellow"/>
        </w:rPr>
        <w:t>本项目产生</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0" w:name="_Toc15650"/>
      <w:r>
        <w:rPr>
          <w:rFonts w:hint="eastAsia" w:ascii="仿宋_GB2312" w:hAnsi="仿宋_GB2312" w:eastAsia="仿宋_GB2312" w:cs="仿宋_GB2312"/>
          <w:sz w:val="36"/>
          <w:szCs w:val="36"/>
        </w:rPr>
        <w:t>八、废标及终止招标</w:t>
      </w:r>
      <w:bookmarkEnd w:id="30"/>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1" w:name="OLE_LINK28"/>
      <w:bookmarkStart w:id="32" w:name="OLE_LINK27"/>
      <w:bookmarkStart w:id="33" w:name="OLE_LINK29"/>
      <w:bookmarkStart w:id="34" w:name="OLE_LINK26"/>
      <w:bookmarkStart w:id="35" w:name="OLE_LINK25"/>
      <w:r>
        <w:rPr>
          <w:rFonts w:hint="eastAsia" w:ascii="仿宋_GB2312" w:hAnsi="仿宋_GB2312" w:eastAsia="仿宋_GB2312" w:cs="仿宋_GB2312"/>
          <w:bCs/>
          <w:sz w:val="24"/>
          <w:szCs w:val="24"/>
        </w:rPr>
        <w:t>；</w:t>
      </w:r>
      <w:bookmarkEnd w:id="31"/>
      <w:bookmarkEnd w:id="32"/>
      <w:bookmarkEnd w:id="33"/>
      <w:bookmarkEnd w:id="34"/>
      <w:bookmarkEnd w:id="35"/>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36" w:name="_Toc14012"/>
      <w:r>
        <w:rPr>
          <w:rFonts w:hint="eastAsia" w:ascii="仿宋_GB2312" w:hAnsi="仿宋_GB2312" w:eastAsia="仿宋_GB2312" w:cs="仿宋_GB2312"/>
          <w:sz w:val="36"/>
          <w:szCs w:val="36"/>
        </w:rPr>
        <w:t>九、本次招标最终解释权归中国重汽集团济南动力有限公司。</w:t>
      </w:r>
      <w:bookmarkEnd w:id="36"/>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37" w:name="_Toc31869"/>
      <w:bookmarkStart w:id="38" w:name="_Toc13479"/>
      <w:bookmarkStart w:id="39" w:name="_Toc21022"/>
      <w:bookmarkStart w:id="40" w:name="_Toc762"/>
      <w:bookmarkStart w:id="41" w:name="_Toc13002"/>
      <w:bookmarkStart w:id="42" w:name="_Toc2363"/>
      <w:r>
        <w:rPr>
          <w:rFonts w:hint="eastAsia" w:ascii="仿宋_GB2312" w:hAnsi="仿宋_GB2312" w:eastAsia="仿宋_GB2312" w:cs="仿宋_GB2312"/>
          <w:sz w:val="44"/>
        </w:rPr>
        <w:t>第三部分 投标文件编制</w:t>
      </w:r>
      <w:bookmarkEnd w:id="37"/>
      <w:bookmarkEnd w:id="38"/>
      <w:bookmarkEnd w:id="39"/>
      <w:bookmarkEnd w:id="40"/>
      <w:bookmarkEnd w:id="41"/>
      <w:bookmarkEnd w:id="42"/>
    </w:p>
    <w:p>
      <w:pPr>
        <w:pStyle w:val="3"/>
        <w:rPr>
          <w:rFonts w:hint="eastAsia" w:ascii="仿宋_GB2312" w:hAnsi="仿宋_GB2312" w:eastAsia="仿宋_GB2312" w:cs="仿宋_GB2312"/>
          <w:sz w:val="36"/>
          <w:szCs w:val="36"/>
        </w:rPr>
      </w:pPr>
      <w:bookmarkStart w:id="43" w:name="_Toc2771"/>
      <w:r>
        <w:rPr>
          <w:rFonts w:hint="eastAsia" w:ascii="仿宋_GB2312" w:hAnsi="仿宋_GB2312" w:eastAsia="仿宋_GB2312" w:cs="仿宋_GB2312"/>
          <w:sz w:val="36"/>
          <w:szCs w:val="36"/>
        </w:rPr>
        <w:t>一、投标文件的编制</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44" w:name="_Toc5592"/>
      <w:r>
        <w:rPr>
          <w:rFonts w:hint="eastAsia" w:ascii="仿宋_GB2312" w:hAnsi="仿宋_GB2312" w:eastAsia="仿宋_GB2312" w:cs="仿宋_GB2312"/>
          <w:sz w:val="36"/>
          <w:szCs w:val="36"/>
        </w:rPr>
        <w:t>二、投标文件资料</w:t>
      </w:r>
      <w:bookmarkEnd w:id="4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45" w:name="_Toc5199"/>
      <w:r>
        <w:rPr>
          <w:rFonts w:hint="eastAsia" w:ascii="仿宋_GB2312" w:hAnsi="仿宋_GB2312" w:eastAsia="仿宋_GB2312" w:cs="仿宋_GB2312"/>
          <w:sz w:val="36"/>
          <w:szCs w:val="36"/>
        </w:rPr>
        <w:t>三、投标文件的组成</w:t>
      </w:r>
      <w:bookmarkEnd w:id="45"/>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①统一社会信用代码的新版营业执照副本复印件；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②投标人须提供法人授权委托书复印件及法人代表、投标单位授权代表的身份证复印件（加盖公章），开标现场核验授权代表身份证原件，授权代表由法人代表本人担任的，仅须提供法人身份证原件；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③提供市场监督管理局资质认定、计量认定文件。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④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征信报告）；③年度纳税信用评价信息（可从电子税务局查询截图，需加盖公章）；④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⑤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提供查询页截图；</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⑥近六个月依法缴纳税收和社会保障资金的证明材料；</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⑦近三年内在经营活动中没有违法违纪行为的声明； </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⑧投标单位在国家企业信用信息公示系统中无与本投标项目有关的行政处罚、经营异常或失信信息或上述信息已被移除的声明。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注：为防止丢失，上述资料资格审核时使用加盖单位公章的复印件，但相关原件仍需在评审现场提供。</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重要提示：资格审核中，上述所列示的所有条款均属于否决项，对于任意一项或多项未达到资格审核要求的投标人，视为主动放弃投标，该投标人将不能进入后续的评标程序。对于未通过资格审核要求的投标人，不做任何解释。</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⑨</w:t>
      </w:r>
      <w:r>
        <w:rPr>
          <w:rFonts w:hint="eastAsia" w:ascii="仿宋_GB2312" w:hAnsi="仿宋_GB2312" w:eastAsia="仿宋_GB2312" w:cs="仿宋_GB2312"/>
          <w:color w:val="000000"/>
          <w:sz w:val="24"/>
          <w:szCs w:val="24"/>
        </w:rPr>
        <w:t>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6"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6"/>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2.2应招标人需求的响应时间及监测报告出具时间。</w:t>
      </w:r>
      <w:bookmarkStart w:id="94" w:name="_GoBack"/>
      <w:bookmarkEnd w:id="94"/>
    </w:p>
    <w:p>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2.3近三年山东地区环境监测项目业绩一览表（附件16，格式见“第三章 投标文件编制”）及有效合同复印件；</w:t>
      </w:r>
    </w:p>
    <w:p>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2.4投标人按本招标书“第四章 技术协议书”中所列示项目内容自行编制的技术文件；</w:t>
      </w:r>
    </w:p>
    <w:p>
      <w:pPr>
        <w:spacing w:line="360" w:lineRule="auto"/>
        <w:ind w:firstLine="480" w:firstLineChars="200"/>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kern w:val="2"/>
          <w:sz w:val="24"/>
          <w:szCs w:val="24"/>
          <w:lang w:val="en-US" w:eastAsia="zh-CN" w:bidi="ar-SA"/>
        </w:rPr>
        <w:t>2.5法人授权委托书（附件17，格式见“第三章 投标文件编制”）；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6企业概况及服务承诺一览表</w:t>
      </w:r>
      <w:r>
        <w:rPr>
          <w:rFonts w:hint="eastAsia" w:ascii="仿宋_GB2312" w:hAnsi="仿宋_GB2312" w:eastAsia="仿宋_GB2312" w:cs="仿宋_GB2312"/>
          <w:color w:val="000000"/>
          <w:sz w:val="24"/>
          <w:szCs w:val="24"/>
        </w:rPr>
        <w:t>（附件</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pStyle w:val="3"/>
        <w:rPr>
          <w:rFonts w:hint="eastAsia" w:ascii="仿宋_GB2312" w:hAnsi="仿宋_GB2312" w:eastAsia="仿宋_GB2312" w:cs="仿宋_GB2312"/>
          <w:sz w:val="36"/>
          <w:szCs w:val="36"/>
        </w:rPr>
      </w:pPr>
      <w:bookmarkStart w:id="47" w:name="_Toc15748"/>
      <w:r>
        <w:rPr>
          <w:rFonts w:hint="eastAsia" w:ascii="仿宋_GB2312" w:hAnsi="仿宋_GB2312" w:eastAsia="仿宋_GB2312" w:cs="仿宋_GB2312"/>
          <w:sz w:val="36"/>
          <w:szCs w:val="36"/>
        </w:rPr>
        <w:t>四、投标文件格式</w:t>
      </w:r>
      <w:bookmarkEnd w:id="4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48" w:name="_Toc18805"/>
      <w:bookmarkStart w:id="49" w:name="_Toc30738"/>
      <w:bookmarkStart w:id="50" w:name="_Toc18182"/>
      <w:bookmarkStart w:id="51" w:name="_Toc133783966"/>
      <w:bookmarkStart w:id="52" w:name="_Toc1884"/>
      <w:bookmarkStart w:id="53" w:name="_Toc20272"/>
      <w:bookmarkStart w:id="54" w:name="_Toc3372"/>
      <w:bookmarkStart w:id="55" w:name="_Toc7511"/>
      <w:bookmarkStart w:id="56" w:name="_Toc13555"/>
      <w:bookmarkStart w:id="57" w:name="_Toc12563"/>
      <w:bookmarkStart w:id="58" w:name="_Toc8202"/>
      <w:bookmarkStart w:id="59" w:name="_Toc3565"/>
      <w:bookmarkStart w:id="60" w:name="_Toc18606"/>
      <w:bookmarkStart w:id="61" w:name="_Toc6346"/>
      <w:bookmarkStart w:id="62" w:name="_Toc21497"/>
      <w:bookmarkStart w:id="63" w:name="_Toc13988"/>
      <w:bookmarkStart w:id="64" w:name="_Toc20467"/>
      <w:bookmarkStart w:id="65" w:name="_Toc7110"/>
      <w:bookmarkStart w:id="66" w:name="_Toc12714"/>
      <w:bookmarkStart w:id="67" w:name="_Toc32378"/>
      <w:bookmarkStart w:id="68" w:name="_Toc13605"/>
      <w:bookmarkStart w:id="69" w:name="_Toc24964"/>
      <w:bookmarkStart w:id="70" w:name="_Toc24913"/>
      <w:bookmarkStart w:id="71" w:name="_Toc4029"/>
      <w:bookmarkStart w:id="72" w:name="_Toc13562"/>
      <w:bookmarkStart w:id="73" w:name="_Toc16358"/>
      <w:bookmarkStart w:id="74" w:name="_Toc8032"/>
      <w:bookmarkStart w:id="75" w:name="_Toc14517"/>
      <w:bookmarkStart w:id="76" w:name="_Toc22649"/>
      <w:bookmarkStart w:id="77" w:name="_Toc28236"/>
      <w:bookmarkStart w:id="78" w:name="_Toc11355"/>
      <w:bookmarkStart w:id="79" w:name="_Toc4483"/>
      <w:bookmarkStart w:id="80" w:name="_Toc12552"/>
      <w:bookmarkStart w:id="81" w:name="_Toc23870"/>
      <w:bookmarkStart w:id="82" w:name="_Toc19672"/>
      <w:bookmarkStart w:id="83" w:name="_Toc6957"/>
      <w:bookmarkStart w:id="84" w:name="_Toc4194"/>
      <w:bookmarkStart w:id="85" w:name="_Toc4532"/>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6"/>
        </w:numPr>
        <w:spacing w:line="360" w:lineRule="auto"/>
        <w:rPr>
          <w:rFonts w:hint="eastAsia" w:ascii="仿宋_GB2312" w:hAnsi="仿宋_GB2312" w:eastAsia="仿宋_GB2312" w:cs="仿宋_GB2312"/>
          <w:sz w:val="44"/>
          <w:highlight w:val="green"/>
        </w:rPr>
      </w:pPr>
      <w:bookmarkStart w:id="86" w:name="_Toc10008"/>
      <w:r>
        <w:rPr>
          <w:rFonts w:hint="eastAsia" w:ascii="仿宋_GB2312" w:hAnsi="仿宋_GB2312" w:eastAsia="仿宋_GB2312" w:cs="仿宋_GB2312"/>
          <w:sz w:val="44"/>
          <w:highlight w:val="green"/>
        </w:rPr>
        <w:t>技术标书</w:t>
      </w:r>
      <w:bookmarkEnd w:id="86"/>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22"/>
        <w:spacing w:line="360" w:lineRule="auto"/>
        <w:jc w:val="center"/>
        <w:rPr>
          <w:rFonts w:hint="default" w:ascii="黑体" w:eastAsia="黑体"/>
          <w:b/>
          <w:bCs/>
          <w:sz w:val="36"/>
          <w:szCs w:val="36"/>
          <w:lang w:val="en-US" w:eastAsia="zh-CN"/>
        </w:rPr>
      </w:pPr>
      <w:r>
        <w:rPr>
          <w:rFonts w:ascii="黑体" w:eastAsia="黑体"/>
          <w:b/>
          <w:bCs/>
          <w:sz w:val="36"/>
          <w:szCs w:val="36"/>
        </w:rPr>
        <w:t>技术</w:t>
      </w:r>
      <w:r>
        <w:rPr>
          <w:rFonts w:hint="eastAsia" w:ascii="黑体" w:eastAsia="黑体"/>
          <w:b/>
          <w:bCs/>
          <w:sz w:val="36"/>
          <w:szCs w:val="36"/>
          <w:lang w:val="en-US" w:eastAsia="zh-CN"/>
        </w:rPr>
        <w:t>标文件</w:t>
      </w:r>
    </w:p>
    <w:p>
      <w:pPr>
        <w:pStyle w:val="22"/>
        <w:spacing w:line="360" w:lineRule="auto"/>
        <w:rPr>
          <w:rFonts w:hint="eastAsia" w:hAnsi="宋体" w:cs="宋体"/>
          <w:b/>
          <w:sz w:val="30"/>
          <w:szCs w:val="30"/>
        </w:rPr>
      </w:pPr>
      <w:r>
        <w:rPr>
          <w:rFonts w:hint="eastAsia" w:hAnsi="宋体" w:cs="宋体"/>
          <w:b/>
          <w:sz w:val="30"/>
          <w:szCs w:val="30"/>
        </w:rPr>
        <w:t>一、项目名称</w:t>
      </w:r>
    </w:p>
    <w:p>
      <w:pPr>
        <w:spacing w:line="420" w:lineRule="exact"/>
        <w:ind w:firstLine="420" w:firstLineChars="200"/>
        <w:jc w:val="left"/>
        <w:rPr>
          <w:rFonts w:hint="eastAsia" w:ascii="宋体" w:hAnsi="宋体" w:cs="宋体"/>
          <w:spacing w:val="2"/>
        </w:rPr>
      </w:pPr>
      <w:r>
        <w:rPr>
          <w:rFonts w:hint="eastAsia" w:ascii="宋体" w:hAnsi="宋体" w:cs="宋体"/>
          <w:color w:val="000000"/>
          <w:shd w:val="clear" w:color="auto" w:fill="FCFCFC"/>
        </w:rPr>
        <w:t>中国重型汽车集团有限公司驻济单位 202</w:t>
      </w:r>
      <w:r>
        <w:rPr>
          <w:rFonts w:hint="eastAsia" w:ascii="宋体" w:hAnsi="宋体" w:cs="宋体"/>
          <w:color w:val="000000"/>
          <w:shd w:val="clear" w:color="auto" w:fill="FCFCFC"/>
          <w:lang w:val="en-US" w:eastAsia="zh-CN"/>
        </w:rPr>
        <w:t>6</w:t>
      </w:r>
      <w:r>
        <w:rPr>
          <w:rFonts w:hint="eastAsia" w:ascii="宋体" w:hAnsi="宋体" w:cs="宋体"/>
          <w:color w:val="000000"/>
          <w:shd w:val="clear" w:color="auto" w:fill="FCFCFC"/>
        </w:rPr>
        <w:t>年环境监测项目</w:t>
      </w:r>
    </w:p>
    <w:p>
      <w:pPr>
        <w:pStyle w:val="22"/>
        <w:spacing w:line="360" w:lineRule="auto"/>
        <w:rPr>
          <w:rFonts w:hint="eastAsia" w:hAnsi="宋体" w:cs="宋体"/>
          <w:b/>
          <w:sz w:val="30"/>
          <w:szCs w:val="30"/>
        </w:rPr>
      </w:pPr>
      <w:r>
        <w:rPr>
          <w:rFonts w:hint="eastAsia" w:hAnsi="宋体" w:cs="宋体"/>
          <w:b/>
          <w:sz w:val="30"/>
          <w:szCs w:val="30"/>
        </w:rPr>
        <w:t>二、项目内容</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中国重型汽车集团有限公司（济南商用车制造公司、济南卡车制造公司、济南成型厂、济南传动轴公司、济南车桥公司、济南橡塑件公司、济南轻卡制造公司、变速箱厂、特种车公司、发动机厂、济南专用车公司、后市场公司、产品检验试验中心、科技大厦园区）按照《HJ 819-2017排污单位自行监测技术指南》和《国家重点监控企业自行监测及信息公开办法》等要求，现对废水、废气组织环境监测项目招标。</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我公司污染物排放现阶段执行标准及污染物检测方法以环评报告和排污许可证为准</w:t>
      </w:r>
      <w:r>
        <w:rPr>
          <w:rFonts w:hint="eastAsia" w:ascii="宋体" w:hAnsi="宋体" w:cs="宋体"/>
          <w:b/>
          <w:bCs/>
          <w:color w:val="000000"/>
          <w:szCs w:val="22"/>
          <w:shd w:val="clear" w:color="auto" w:fill="FCFCFC"/>
        </w:rPr>
        <w:t>（已公开）</w:t>
      </w:r>
      <w:r>
        <w:rPr>
          <w:rFonts w:hint="eastAsia" w:ascii="宋体" w:hAnsi="宋体" w:cs="宋体"/>
          <w:color w:val="000000"/>
          <w:szCs w:val="22"/>
          <w:shd w:val="clear" w:color="auto" w:fill="FCFCFC"/>
        </w:rPr>
        <w:t>，具体要求以政府环保政策或部门要求为准。按生态环境标准或计量认证认定的测定方法进行检测，监测计划必须当月完成并出具报告。</w:t>
      </w:r>
    </w:p>
    <w:p>
      <w:pPr>
        <w:spacing w:line="420" w:lineRule="exact"/>
        <w:ind w:firstLine="420" w:firstLineChars="200"/>
        <w:jc w:val="left"/>
      </w:pPr>
      <w:r>
        <w:rPr>
          <w:rFonts w:hint="eastAsia" w:ascii="宋体" w:hAnsi="宋体" w:cs="宋体"/>
          <w:color w:val="000000"/>
          <w:szCs w:val="22"/>
          <w:shd w:val="clear" w:color="auto" w:fill="FCFCFC"/>
        </w:rPr>
        <w:t>以下检测内容为预计202</w:t>
      </w:r>
      <w:r>
        <w:rPr>
          <w:rFonts w:hint="eastAsia" w:ascii="宋体" w:hAnsi="宋体" w:cs="宋体"/>
          <w:color w:val="000000"/>
          <w:szCs w:val="22"/>
          <w:shd w:val="clear" w:color="auto" w:fill="FCFCFC"/>
          <w:lang w:val="en-US" w:eastAsia="zh-CN"/>
        </w:rPr>
        <w:t>6</w:t>
      </w:r>
      <w:r>
        <w:rPr>
          <w:rFonts w:hint="eastAsia" w:ascii="宋体" w:hAnsi="宋体" w:cs="宋体"/>
          <w:color w:val="000000"/>
          <w:szCs w:val="22"/>
          <w:shd w:val="clear" w:color="auto" w:fill="FCFCFC"/>
        </w:rPr>
        <w:t>全年检测内容及数量，以实际检测为准</w:t>
      </w:r>
      <w:r>
        <w:rPr>
          <w:rFonts w:hint="eastAsia"/>
        </w:rPr>
        <w:t>。</w:t>
      </w:r>
    </w:p>
    <w:tbl>
      <w:tblPr>
        <w:tblStyle w:val="41"/>
        <w:tblW w:w="5000" w:type="pct"/>
        <w:jc w:val="center"/>
        <w:tblLayout w:type="autofit"/>
        <w:tblCellMar>
          <w:top w:w="0" w:type="dxa"/>
          <w:left w:w="108" w:type="dxa"/>
          <w:bottom w:w="0" w:type="dxa"/>
          <w:right w:w="108" w:type="dxa"/>
        </w:tblCellMar>
      </w:tblPr>
      <w:tblGrid>
        <w:gridCol w:w="1876"/>
        <w:gridCol w:w="4416"/>
        <w:gridCol w:w="2995"/>
      </w:tblGrid>
      <w:tr>
        <w:tblPrEx>
          <w:tblCellMar>
            <w:top w:w="0" w:type="dxa"/>
            <w:left w:w="108" w:type="dxa"/>
            <w:bottom w:w="0" w:type="dxa"/>
            <w:right w:w="108" w:type="dxa"/>
          </w:tblCellMar>
        </w:tblPrEx>
        <w:trPr>
          <w:trHeight w:val="278" w:hRule="atLeast"/>
          <w:jc w:val="center"/>
        </w:trPr>
        <w:tc>
          <w:tcPr>
            <w:tcW w:w="1010"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color w:val="000000"/>
                <w:sz w:val="22"/>
                <w:szCs w:val="22"/>
              </w:rPr>
            </w:pPr>
            <w:r>
              <w:rPr>
                <w:rFonts w:hint="eastAsia"/>
                <w:color w:val="000000"/>
                <w:sz w:val="22"/>
                <w:szCs w:val="22"/>
              </w:rPr>
              <w:t>检测项目</w:t>
            </w: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2"/>
                <w:szCs w:val="22"/>
              </w:rPr>
            </w:pPr>
            <w:r>
              <w:rPr>
                <w:rFonts w:hint="eastAsia"/>
                <w:color w:val="000000"/>
                <w:sz w:val="22"/>
                <w:szCs w:val="22"/>
              </w:rPr>
              <w:t>检测内容</w:t>
            </w:r>
          </w:p>
        </w:tc>
        <w:tc>
          <w:tcPr>
            <w:tcW w:w="161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2"/>
                <w:szCs w:val="22"/>
              </w:rPr>
            </w:pPr>
            <w:r>
              <w:rPr>
                <w:rFonts w:hint="eastAsia"/>
                <w:color w:val="000000"/>
                <w:sz w:val="22"/>
                <w:szCs w:val="22"/>
              </w:rPr>
              <w:t>年检测总次数</w:t>
            </w:r>
          </w:p>
        </w:tc>
      </w:tr>
      <w:tr>
        <w:tblPrEx>
          <w:tblCellMar>
            <w:top w:w="0" w:type="dxa"/>
            <w:left w:w="108" w:type="dxa"/>
            <w:bottom w:w="0" w:type="dxa"/>
            <w:right w:w="108" w:type="dxa"/>
          </w:tblCellMar>
        </w:tblPrEx>
        <w:trPr>
          <w:trHeight w:val="405" w:hRule="atLeast"/>
          <w:jc w:val="center"/>
        </w:trPr>
        <w:tc>
          <w:tcPr>
            <w:tcW w:w="1010" w:type="pct"/>
            <w:vMerge w:val="restart"/>
            <w:tcBorders>
              <w:top w:val="single" w:color="auto" w:sz="4" w:space="0"/>
              <w:left w:val="single" w:color="auto" w:sz="4" w:space="0"/>
              <w:right w:val="single" w:color="auto" w:sz="4" w:space="0"/>
            </w:tcBorders>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废水检测</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（含雨水）</w:t>
            </w: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ph</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89</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化学需氧量</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113</w:t>
            </w:r>
          </w:p>
        </w:tc>
      </w:tr>
      <w:tr>
        <w:tblPrEx>
          <w:tblCellMar>
            <w:top w:w="0" w:type="dxa"/>
            <w:left w:w="108" w:type="dxa"/>
            <w:bottom w:w="0" w:type="dxa"/>
            <w:right w:w="108" w:type="dxa"/>
          </w:tblCellMar>
        </w:tblPrEx>
        <w:trPr>
          <w:trHeight w:val="35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sz w:val="24"/>
                <w:szCs w:val="24"/>
              </w:rPr>
            </w:pPr>
            <w:r>
              <w:rPr>
                <w:rFonts w:hint="eastAsia" w:ascii="仿宋_GB2312" w:eastAsia="仿宋_GB2312"/>
                <w:color w:val="000000"/>
                <w:sz w:val="24"/>
                <w:szCs w:val="24"/>
              </w:rPr>
              <w:t>五日生化需氧量（B0D5）</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r>
      <w:tr>
        <w:tblPrEx>
          <w:tblCellMar>
            <w:top w:w="0" w:type="dxa"/>
            <w:left w:w="108" w:type="dxa"/>
            <w:bottom w:w="0" w:type="dxa"/>
            <w:right w:w="108" w:type="dxa"/>
          </w:tblCellMar>
        </w:tblPrEx>
        <w:trPr>
          <w:trHeight w:val="409"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悬浮物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121</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总氮</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64</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氨氮</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总磷（以P计）</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全盐量</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44</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氟化物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52</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大肠菌落数</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石油类</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117</w:t>
            </w:r>
          </w:p>
        </w:tc>
      </w:tr>
      <w:tr>
        <w:tblPrEx>
          <w:tblCellMar>
            <w:top w:w="0" w:type="dxa"/>
            <w:left w:w="108" w:type="dxa"/>
            <w:bottom w:w="0" w:type="dxa"/>
            <w:right w:w="108" w:type="dxa"/>
          </w:tblCellMar>
        </w:tblPrEx>
        <w:trPr>
          <w:trHeight w:val="300"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阴离子表面活性剂</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总镍</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108</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总锰</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73</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总锌</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总铅</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总镉</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90"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甲苯</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二甲苯</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苯系物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溶解性总固体</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钙离子</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镁离子</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氰化物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tblPrEx>
          <w:tblCellMar>
            <w:top w:w="0" w:type="dxa"/>
            <w:left w:w="108" w:type="dxa"/>
            <w:bottom w:w="0" w:type="dxa"/>
            <w:right w:w="108" w:type="dxa"/>
          </w:tblCellMar>
        </w:tblPrEx>
        <w:trPr>
          <w:trHeight w:val="278" w:hRule="atLeast"/>
          <w:jc w:val="center"/>
        </w:trPr>
        <w:tc>
          <w:tcPr>
            <w:tcW w:w="1010" w:type="pct"/>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377"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磷酸盐</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r>
      <w:tr>
        <w:tblPrEx>
          <w:tblCellMar>
            <w:top w:w="0" w:type="dxa"/>
            <w:left w:w="108" w:type="dxa"/>
            <w:bottom w:w="0" w:type="dxa"/>
            <w:right w:w="108" w:type="dxa"/>
          </w:tblCellMar>
        </w:tblPrEx>
        <w:trPr>
          <w:trHeight w:val="624" w:hRule="atLeast"/>
          <w:jc w:val="center"/>
        </w:trPr>
        <w:tc>
          <w:tcPr>
            <w:tcW w:w="1010" w:type="pct"/>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废气检测</w:t>
            </w: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4"/>
                <w:szCs w:val="24"/>
              </w:rPr>
            </w:pPr>
            <w:r>
              <w:rPr>
                <w:rFonts w:hint="eastAsia" w:ascii="仿宋_GB2312" w:eastAsia="仿宋_GB2312"/>
                <w:color w:val="000000"/>
                <w:sz w:val="24"/>
                <w:szCs w:val="24"/>
              </w:rPr>
              <w:t>VOCs（含苯、甲苯、二甲苯、苯系物）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324</w:t>
            </w:r>
          </w:p>
        </w:tc>
      </w:tr>
      <w:tr>
        <w:tblPrEx>
          <w:tblCellMar>
            <w:top w:w="0" w:type="dxa"/>
            <w:left w:w="108" w:type="dxa"/>
            <w:bottom w:w="0" w:type="dxa"/>
            <w:right w:w="108" w:type="dxa"/>
          </w:tblCellMar>
        </w:tblPrEx>
        <w:trPr>
          <w:trHeight w:val="624"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苯、甲苯、二甲苯</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248</w:t>
            </w:r>
          </w:p>
        </w:tc>
      </w:tr>
      <w:tr>
        <w:tblPrEx>
          <w:tblCellMar>
            <w:top w:w="0" w:type="dxa"/>
            <w:left w:w="108" w:type="dxa"/>
            <w:bottom w:w="0" w:type="dxa"/>
            <w:right w:w="108" w:type="dxa"/>
          </w:tblCellMar>
        </w:tblPrEx>
        <w:trPr>
          <w:trHeight w:val="624"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VOCs</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466</w:t>
            </w:r>
          </w:p>
        </w:tc>
      </w:tr>
      <w:tr>
        <w:tblPrEx>
          <w:tblCellMar>
            <w:top w:w="0" w:type="dxa"/>
            <w:left w:w="108" w:type="dxa"/>
            <w:bottom w:w="0" w:type="dxa"/>
            <w:right w:w="108" w:type="dxa"/>
          </w:tblCellMar>
        </w:tblPrEx>
        <w:trPr>
          <w:trHeight w:val="408"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二氧化硫</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402</w:t>
            </w:r>
          </w:p>
        </w:tc>
      </w:tr>
      <w:tr>
        <w:tblPrEx>
          <w:tblCellMar>
            <w:top w:w="0" w:type="dxa"/>
            <w:left w:w="108" w:type="dxa"/>
            <w:bottom w:w="0" w:type="dxa"/>
            <w:right w:w="108" w:type="dxa"/>
          </w:tblCellMar>
        </w:tblPrEx>
        <w:trPr>
          <w:trHeight w:val="408"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氮氧化物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765</w:t>
            </w:r>
          </w:p>
        </w:tc>
      </w:tr>
      <w:tr>
        <w:tblPrEx>
          <w:tblCellMar>
            <w:top w:w="0" w:type="dxa"/>
            <w:left w:w="108" w:type="dxa"/>
            <w:bottom w:w="0" w:type="dxa"/>
            <w:right w:w="108" w:type="dxa"/>
          </w:tblCellMar>
        </w:tblPrEx>
        <w:trPr>
          <w:trHeight w:val="427"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颗粒物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864</w:t>
            </w:r>
          </w:p>
        </w:tc>
      </w:tr>
      <w:tr>
        <w:tblPrEx>
          <w:tblCellMar>
            <w:top w:w="0" w:type="dxa"/>
            <w:left w:w="108" w:type="dxa"/>
            <w:bottom w:w="0" w:type="dxa"/>
            <w:right w:w="108" w:type="dxa"/>
          </w:tblCellMar>
        </w:tblPrEx>
        <w:trPr>
          <w:trHeight w:val="547"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林格曼黑度</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222</w:t>
            </w:r>
          </w:p>
        </w:tc>
      </w:tr>
      <w:tr>
        <w:tblPrEx>
          <w:tblCellMar>
            <w:top w:w="0" w:type="dxa"/>
            <w:left w:w="108" w:type="dxa"/>
            <w:bottom w:w="0" w:type="dxa"/>
            <w:right w:w="108" w:type="dxa"/>
          </w:tblCellMar>
        </w:tblPrEx>
        <w:trPr>
          <w:trHeight w:val="510"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硫化氢</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38</w:t>
            </w:r>
          </w:p>
        </w:tc>
      </w:tr>
      <w:tr>
        <w:tblPrEx>
          <w:tblCellMar>
            <w:top w:w="0" w:type="dxa"/>
            <w:left w:w="108" w:type="dxa"/>
            <w:bottom w:w="0" w:type="dxa"/>
            <w:right w:w="108" w:type="dxa"/>
          </w:tblCellMar>
        </w:tblPrEx>
        <w:trPr>
          <w:trHeight w:val="46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甲硫醇</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27"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甲硫醚</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05"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二甲二硫醚</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24"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二硫化碳</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0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氨</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29</w:t>
            </w:r>
          </w:p>
        </w:tc>
      </w:tr>
      <w:tr>
        <w:tblPrEx>
          <w:tblCellMar>
            <w:top w:w="0" w:type="dxa"/>
            <w:left w:w="108" w:type="dxa"/>
            <w:bottom w:w="0" w:type="dxa"/>
            <w:right w:w="108" w:type="dxa"/>
          </w:tblCellMar>
        </w:tblPrEx>
        <w:trPr>
          <w:trHeight w:val="42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三甲胺</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15"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000000"/>
                <w:kern w:val="0"/>
                <w:sz w:val="24"/>
                <w:szCs w:val="24"/>
              </w:rPr>
            </w:pPr>
            <w:r>
              <w:rPr>
                <w:rFonts w:hint="eastAsia" w:ascii="仿宋_GB2312" w:eastAsia="仿宋_GB2312"/>
                <w:color w:val="000000"/>
                <w:sz w:val="24"/>
                <w:szCs w:val="24"/>
              </w:rPr>
              <w:t>苯乙烯</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r>
      <w:tr>
        <w:tblPrEx>
          <w:tblCellMar>
            <w:top w:w="0" w:type="dxa"/>
            <w:left w:w="108" w:type="dxa"/>
            <w:bottom w:w="0" w:type="dxa"/>
            <w:right w:w="108" w:type="dxa"/>
          </w:tblCellMar>
        </w:tblPrEx>
        <w:trPr>
          <w:trHeight w:val="406"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甲醇</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41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臭气浓度</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47</w:t>
            </w:r>
          </w:p>
        </w:tc>
      </w:tr>
      <w:tr>
        <w:tblPrEx>
          <w:tblCellMar>
            <w:top w:w="0" w:type="dxa"/>
            <w:left w:w="108" w:type="dxa"/>
            <w:bottom w:w="0" w:type="dxa"/>
            <w:right w:w="108" w:type="dxa"/>
          </w:tblCellMar>
        </w:tblPrEx>
        <w:trPr>
          <w:trHeight w:val="29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一氧化碳</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r>
      <w:tr>
        <w:tblPrEx>
          <w:tblCellMar>
            <w:top w:w="0" w:type="dxa"/>
            <w:left w:w="108" w:type="dxa"/>
            <w:bottom w:w="0" w:type="dxa"/>
            <w:right w:w="108" w:type="dxa"/>
          </w:tblCellMar>
        </w:tblPrEx>
        <w:trPr>
          <w:trHeight w:val="412" w:hRule="atLeast"/>
          <w:jc w:val="center"/>
        </w:trPr>
        <w:tc>
          <w:tcPr>
            <w:tcW w:w="1010" w:type="pct"/>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氯化氢</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405" w:hRule="atLeast"/>
          <w:jc w:val="center"/>
        </w:trPr>
        <w:tc>
          <w:tcPr>
            <w:tcW w:w="1010" w:type="pct"/>
            <w:vMerge w:val="continue"/>
            <w:tcBorders>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硫酸雾</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r>
      <w:tr>
        <w:tblPrEx>
          <w:tblCellMar>
            <w:top w:w="0" w:type="dxa"/>
            <w:left w:w="108" w:type="dxa"/>
            <w:bottom w:w="0" w:type="dxa"/>
            <w:right w:w="108" w:type="dxa"/>
          </w:tblCellMar>
        </w:tblPrEx>
        <w:trPr>
          <w:trHeight w:val="624" w:hRule="atLeast"/>
          <w:jc w:val="center"/>
        </w:trPr>
        <w:tc>
          <w:tcPr>
            <w:tcW w:w="1010"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无组织废气</w:t>
            </w:r>
          </w:p>
        </w:tc>
        <w:tc>
          <w:tcPr>
            <w:tcW w:w="2377"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eastAsia="仿宋_GB2312"/>
                <w:color w:val="000000"/>
                <w:kern w:val="0"/>
                <w:sz w:val="24"/>
                <w:szCs w:val="24"/>
              </w:rPr>
            </w:pPr>
            <w:r>
              <w:rPr>
                <w:rFonts w:hint="eastAsia" w:ascii="仿宋_GB2312" w:eastAsia="仿宋_GB2312"/>
                <w:color w:val="000000"/>
                <w:sz w:val="24"/>
                <w:szCs w:val="24"/>
              </w:rPr>
              <w:t>甲烷</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臭气浓度</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氨（氨气）</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硫化氢</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23</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颗粒物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67</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VOCs（含苯、甲苯、二甲苯、苯系物）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152</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二氧化硫</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r>
      <w:tr>
        <w:tblPrEx>
          <w:tblCellMar>
            <w:top w:w="0" w:type="dxa"/>
            <w:left w:w="108" w:type="dxa"/>
            <w:bottom w:w="0" w:type="dxa"/>
            <w:right w:w="108" w:type="dxa"/>
          </w:tblCellMar>
        </w:tblPrEx>
        <w:trPr>
          <w:trHeight w:val="624" w:hRule="atLeast"/>
          <w:jc w:val="center"/>
        </w:trPr>
        <w:tc>
          <w:tcPr>
            <w:tcW w:w="1010" w:type="pct"/>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氮氧化物</w:t>
            </w:r>
          </w:p>
        </w:tc>
        <w:tc>
          <w:tcPr>
            <w:tcW w:w="1612"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r>
      <w:tr>
        <w:tblPrEx>
          <w:tblCellMar>
            <w:top w:w="0" w:type="dxa"/>
            <w:left w:w="108" w:type="dxa"/>
            <w:bottom w:w="0" w:type="dxa"/>
            <w:right w:w="108" w:type="dxa"/>
          </w:tblCellMar>
        </w:tblPrEx>
        <w:trPr>
          <w:trHeight w:val="624" w:hRule="atLeast"/>
          <w:jc w:val="center"/>
        </w:trPr>
        <w:tc>
          <w:tcPr>
            <w:tcW w:w="1010" w:type="pct"/>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厂界噪声</w:t>
            </w:r>
          </w:p>
        </w:tc>
        <w:tc>
          <w:tcPr>
            <w:tcW w:w="2377"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噪声</w:t>
            </w:r>
          </w:p>
        </w:tc>
        <w:tc>
          <w:tcPr>
            <w:tcW w:w="1612" w:type="pct"/>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92</w:t>
            </w:r>
          </w:p>
        </w:tc>
      </w:tr>
      <w:tr>
        <w:tblPrEx>
          <w:tblCellMar>
            <w:top w:w="0" w:type="dxa"/>
            <w:left w:w="108" w:type="dxa"/>
            <w:bottom w:w="0" w:type="dxa"/>
            <w:right w:w="108" w:type="dxa"/>
          </w:tblCellMar>
        </w:tblPrEx>
        <w:trPr>
          <w:trHeight w:val="624"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地下水检测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GB/T14848-2017表1地下水常规指标39项指标（不限于）</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17</w:t>
            </w:r>
          </w:p>
        </w:tc>
      </w:tr>
      <w:tr>
        <w:tblPrEx>
          <w:tblCellMar>
            <w:top w:w="0" w:type="dxa"/>
            <w:left w:w="108" w:type="dxa"/>
            <w:bottom w:w="0" w:type="dxa"/>
            <w:right w:w="108" w:type="dxa"/>
          </w:tblCellMar>
        </w:tblPrEx>
        <w:trPr>
          <w:trHeight w:val="624"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土壤检测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GB36600-2018表1基本项目45项指标（不限于）</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w:t>
            </w:r>
          </w:p>
        </w:tc>
      </w:tr>
      <w:tr>
        <w:tblPrEx>
          <w:tblCellMar>
            <w:top w:w="0" w:type="dxa"/>
            <w:left w:w="108" w:type="dxa"/>
            <w:bottom w:w="0" w:type="dxa"/>
            <w:right w:w="108" w:type="dxa"/>
          </w:tblCellMar>
        </w:tblPrEx>
        <w:trPr>
          <w:trHeight w:val="624" w:hRule="atLeast"/>
          <w:jc w:val="center"/>
        </w:trPr>
        <w:tc>
          <w:tcPr>
            <w:tcW w:w="1010" w:type="pct"/>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比对检测</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污水自动监测设备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r>
      <w:tr>
        <w:tblPrEx>
          <w:tblCellMar>
            <w:top w:w="0" w:type="dxa"/>
            <w:left w:w="108" w:type="dxa"/>
            <w:bottom w:w="0" w:type="dxa"/>
            <w:right w:w="108" w:type="dxa"/>
          </w:tblCellMar>
        </w:tblPrEx>
        <w:trPr>
          <w:trHeight w:val="624" w:hRule="atLeast"/>
          <w:jc w:val="center"/>
        </w:trPr>
        <w:tc>
          <w:tcPr>
            <w:tcW w:w="1010" w:type="pct"/>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重金属流量计自动监测设备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r>
      <w:tr>
        <w:tblPrEx>
          <w:tblCellMar>
            <w:top w:w="0" w:type="dxa"/>
            <w:left w:w="108" w:type="dxa"/>
            <w:bottom w:w="0" w:type="dxa"/>
            <w:right w:w="108" w:type="dxa"/>
          </w:tblCellMar>
        </w:tblPrEx>
        <w:trPr>
          <w:trHeight w:val="624" w:hRule="atLeast"/>
          <w:jc w:val="center"/>
        </w:trPr>
        <w:tc>
          <w:tcPr>
            <w:tcW w:w="1010" w:type="pct"/>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废气VOC自动监测设备（含厂界监测设备）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96</w:t>
            </w:r>
          </w:p>
        </w:tc>
      </w:tr>
      <w:tr>
        <w:tblPrEx>
          <w:tblCellMar>
            <w:top w:w="0" w:type="dxa"/>
            <w:left w:w="108" w:type="dxa"/>
            <w:bottom w:w="0" w:type="dxa"/>
            <w:right w:w="108" w:type="dxa"/>
          </w:tblCellMar>
        </w:tblPrEx>
        <w:trPr>
          <w:trHeight w:val="405" w:hRule="atLeast"/>
          <w:jc w:val="center"/>
        </w:trPr>
        <w:tc>
          <w:tcPr>
            <w:tcW w:w="1010" w:type="pct"/>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宋体" w:eastAsia="仿宋_GB2312" w:cs="宋体"/>
                <w:color w:val="000000"/>
                <w:kern w:val="0"/>
                <w:sz w:val="24"/>
                <w:szCs w:val="24"/>
                <w:lang w:bidi="ar"/>
              </w:rPr>
            </w:pPr>
            <w:r>
              <w:rPr>
                <w:rFonts w:hint="eastAsia" w:ascii="仿宋_GB2312" w:eastAsia="仿宋_GB2312"/>
                <w:color w:val="0C0C0C"/>
                <w:sz w:val="24"/>
                <w:szCs w:val="24"/>
              </w:rPr>
              <w:t>氮氧化物自动监测设备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w:t>
            </w:r>
          </w:p>
        </w:tc>
      </w:tr>
      <w:tr>
        <w:tblPrEx>
          <w:tblCellMar>
            <w:top w:w="0" w:type="dxa"/>
            <w:left w:w="108" w:type="dxa"/>
            <w:bottom w:w="0" w:type="dxa"/>
            <w:right w:w="108" w:type="dxa"/>
          </w:tblCellMar>
        </w:tblPrEx>
        <w:trPr>
          <w:trHeight w:val="470" w:hRule="atLeast"/>
          <w:jc w:val="center"/>
        </w:trPr>
        <w:tc>
          <w:tcPr>
            <w:tcW w:w="1010" w:type="pct"/>
            <w:vMerge w:val="continue"/>
            <w:tcBorders>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eastAsia="仿宋_GB2312"/>
                <w:color w:val="0C0C0C"/>
                <w:sz w:val="24"/>
                <w:szCs w:val="24"/>
              </w:rPr>
            </w:pPr>
            <w:r>
              <w:rPr>
                <w:rFonts w:hint="eastAsia" w:ascii="仿宋_GB2312" w:eastAsia="仿宋_GB2312"/>
                <w:color w:val="000000"/>
                <w:sz w:val="24"/>
                <w:szCs w:val="24"/>
              </w:rPr>
              <w:t>颗粒物自动监测设备</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color w:val="0C0C0C"/>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r>
      <w:tr>
        <w:tblPrEx>
          <w:tblCellMar>
            <w:top w:w="0" w:type="dxa"/>
            <w:left w:w="108" w:type="dxa"/>
            <w:bottom w:w="0" w:type="dxa"/>
            <w:right w:w="108" w:type="dxa"/>
          </w:tblCellMar>
        </w:tblPrEx>
        <w:trPr>
          <w:trHeight w:val="502"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rPr>
              <w:t>油烟浓度</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sz w:val="24"/>
                <w:szCs w:val="24"/>
              </w:rPr>
              <w:t>油烟浓度</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eastAsia="宋体"/>
                <w:color w:val="000000"/>
                <w:sz w:val="24"/>
                <w:szCs w:val="24"/>
                <w:lang w:eastAsia="zh-CN"/>
              </w:rPr>
            </w:pPr>
            <w:r>
              <w:rPr>
                <w:rFonts w:hint="eastAsia" w:ascii="仿宋_GB2312" w:eastAsia="仿宋_GB2312"/>
                <w:color w:val="000000"/>
                <w:sz w:val="24"/>
                <w:szCs w:val="24"/>
                <w:lang w:val="en-US" w:eastAsia="zh-CN"/>
              </w:rPr>
              <w:t>9</w:t>
            </w:r>
          </w:p>
        </w:tc>
      </w:tr>
      <w:tr>
        <w:tblPrEx>
          <w:tblCellMar>
            <w:top w:w="0" w:type="dxa"/>
            <w:left w:w="108" w:type="dxa"/>
            <w:bottom w:w="0" w:type="dxa"/>
            <w:right w:w="108" w:type="dxa"/>
          </w:tblCellMar>
        </w:tblPrEx>
        <w:trPr>
          <w:trHeight w:val="502" w:hRule="atLeast"/>
          <w:jc w:val="center"/>
        </w:trPr>
        <w:tc>
          <w:tcPr>
            <w:tcW w:w="1010"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237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kern w:val="0"/>
                <w:sz w:val="24"/>
                <w:szCs w:val="24"/>
                <w:lang w:eastAsia="zh-CN" w:bidi="ar"/>
              </w:rPr>
            </w:pPr>
            <w:r>
              <w:rPr>
                <w:rFonts w:hint="eastAsia" w:ascii="仿宋_GB2312" w:hAnsi="宋体" w:eastAsia="仿宋_GB2312" w:cs="宋体"/>
                <w:color w:val="000000"/>
                <w:sz w:val="24"/>
                <w:szCs w:val="24"/>
                <w:lang w:val="en-US" w:eastAsia="zh-CN"/>
              </w:rPr>
              <w:t>动植物油</w:t>
            </w:r>
          </w:p>
        </w:tc>
        <w:tc>
          <w:tcPr>
            <w:tcW w:w="1612"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eastAsia="宋体"/>
                <w:color w:val="000000"/>
                <w:sz w:val="24"/>
                <w:szCs w:val="24"/>
                <w:lang w:val="en-US" w:eastAsia="zh-CN"/>
              </w:rPr>
            </w:pPr>
            <w:r>
              <w:rPr>
                <w:rFonts w:hint="eastAsia" w:ascii="仿宋_GB2312" w:eastAsia="仿宋_GB2312"/>
                <w:color w:val="000000"/>
                <w:sz w:val="24"/>
                <w:szCs w:val="24"/>
                <w:lang w:val="en-US" w:eastAsia="zh-CN"/>
              </w:rPr>
              <w:t>12</w:t>
            </w:r>
          </w:p>
        </w:tc>
      </w:tr>
      <w:tr>
        <w:tblPrEx>
          <w:tblCellMar>
            <w:top w:w="0" w:type="dxa"/>
            <w:left w:w="108" w:type="dxa"/>
            <w:bottom w:w="0" w:type="dxa"/>
            <w:right w:w="108" w:type="dxa"/>
          </w:tblCellMar>
        </w:tblPrEx>
        <w:trPr>
          <w:trHeight w:val="624" w:hRule="atLeast"/>
          <w:jc w:val="center"/>
        </w:trPr>
        <w:tc>
          <w:tcPr>
            <w:tcW w:w="3387"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合计</w:t>
            </w:r>
          </w:p>
        </w:tc>
        <w:tc>
          <w:tcPr>
            <w:tcW w:w="161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5516</w:t>
            </w:r>
          </w:p>
        </w:tc>
      </w:tr>
    </w:tbl>
    <w:p>
      <w:pPr>
        <w:pStyle w:val="22"/>
        <w:spacing w:line="360" w:lineRule="auto"/>
        <w:rPr>
          <w:rFonts w:hint="eastAsia" w:hAnsi="宋体" w:cs="宋体"/>
          <w:b/>
          <w:sz w:val="30"/>
          <w:szCs w:val="30"/>
        </w:rPr>
      </w:pPr>
      <w:r>
        <w:rPr>
          <w:rFonts w:hint="eastAsia" w:hAnsi="宋体" w:cs="宋体"/>
          <w:b/>
          <w:sz w:val="30"/>
          <w:szCs w:val="30"/>
        </w:rPr>
        <w:t>三、技术要求</w:t>
      </w:r>
    </w:p>
    <w:p>
      <w:pPr>
        <w:spacing w:line="420" w:lineRule="exact"/>
        <w:ind w:firstLine="420" w:firstLineChars="200"/>
        <w:jc w:val="left"/>
        <w:rPr>
          <w:rFonts w:hint="eastAsia" w:ascii="宋体" w:hAnsi="宋体" w:cs="宋体"/>
          <w:b/>
          <w:bCs/>
          <w:color w:val="000000"/>
          <w:szCs w:val="22"/>
          <w:shd w:val="clear" w:color="auto" w:fill="FCFCFC"/>
        </w:rPr>
      </w:pPr>
      <w:r>
        <w:rPr>
          <w:rFonts w:hint="eastAsia" w:ascii="宋体" w:hAnsi="宋体" w:cs="宋体"/>
          <w:b/>
          <w:bCs/>
          <w:color w:val="000000"/>
          <w:szCs w:val="22"/>
          <w:shd w:val="clear" w:color="auto" w:fill="FCFCFC"/>
        </w:rPr>
        <w:t>1.资质要求</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投标人需满足合格投标人资质。</w:t>
      </w:r>
    </w:p>
    <w:p>
      <w:pPr>
        <w:spacing w:line="420" w:lineRule="exact"/>
        <w:ind w:firstLine="420" w:firstLineChars="200"/>
        <w:jc w:val="left"/>
        <w:rPr>
          <w:rFonts w:hint="eastAsia" w:ascii="宋体" w:hAnsi="宋体" w:cs="宋体"/>
          <w:b/>
          <w:bCs/>
          <w:color w:val="000000"/>
          <w:szCs w:val="22"/>
          <w:shd w:val="clear" w:color="auto" w:fill="FCFCFC"/>
        </w:rPr>
      </w:pPr>
      <w:r>
        <w:rPr>
          <w:rFonts w:hint="eastAsia" w:ascii="宋体" w:hAnsi="宋体" w:cs="宋体"/>
          <w:b/>
          <w:bCs/>
          <w:color w:val="000000"/>
          <w:szCs w:val="22"/>
          <w:shd w:val="clear" w:color="auto" w:fill="FCFCFC"/>
        </w:rPr>
        <w:t>2.服务要求</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（1）固定污染源监测及在线设备比对按前述方案执行,比对监测项每处实际监测内容以生态环境局或相关法规要求为准，可根据政府环保部门要求免费增减子项。</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（2）检测业务每月开展一至多次，以招标人实际需求为准。中标人需</w:t>
      </w:r>
      <w:r>
        <w:rPr>
          <w:rFonts w:hint="eastAsia" w:ascii="宋体" w:hAnsi="宋体" w:cs="宋体"/>
          <w:b/>
          <w:bCs/>
          <w:color w:val="000000"/>
          <w:szCs w:val="22"/>
          <w:shd w:val="clear" w:color="auto" w:fill="FCFCFC"/>
        </w:rPr>
        <w:t>安排专人</w:t>
      </w:r>
      <w:r>
        <w:rPr>
          <w:rFonts w:hint="eastAsia" w:ascii="宋体" w:hAnsi="宋体" w:cs="宋体"/>
          <w:color w:val="000000"/>
          <w:szCs w:val="22"/>
          <w:shd w:val="clear" w:color="auto" w:fill="FCFCFC"/>
        </w:rPr>
        <w:t>负责本招标项目的联络、检测计划布置、检测现场指导工作，该负责人对于以上问题的响应时间不得超过2小时。</w:t>
      </w:r>
      <w:r>
        <w:rPr>
          <w:rFonts w:hint="eastAsia"/>
        </w:rPr>
        <w:t>紧急情况下，采样人员应在 2 小时内响应并到达现场进行采样；</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（3）招标人将检测计划通知到中标人，中标人需立即安排检测工作（</w:t>
      </w:r>
      <w:r>
        <w:rPr>
          <w:rFonts w:hint="eastAsia" w:ascii="宋体" w:hAnsi="宋体" w:cs="宋体"/>
          <w:b/>
          <w:bCs/>
          <w:color w:val="000000"/>
          <w:szCs w:val="22"/>
          <w:shd w:val="clear" w:color="auto" w:fill="FCFCFC"/>
        </w:rPr>
        <w:t>3个自然日内</w:t>
      </w:r>
      <w:r>
        <w:rPr>
          <w:rFonts w:hint="eastAsia" w:ascii="宋体" w:hAnsi="宋体" w:cs="宋体"/>
          <w:color w:val="000000"/>
          <w:szCs w:val="22"/>
          <w:shd w:val="clear" w:color="auto" w:fill="FCFCFC"/>
        </w:rPr>
        <w:t>），不得以检测任务多为由拖延检查时间，</w:t>
      </w:r>
      <w:r>
        <w:rPr>
          <w:rFonts w:hint="eastAsia" w:ascii="宋体" w:hAnsi="宋体" w:cs="宋体"/>
          <w:b/>
          <w:bCs/>
          <w:color w:val="000000"/>
          <w:szCs w:val="22"/>
          <w:shd w:val="clear" w:color="auto" w:fill="FCFCFC"/>
        </w:rPr>
        <w:t>必须保证承诺时间内将检测计划完成</w:t>
      </w:r>
      <w:r>
        <w:rPr>
          <w:rFonts w:hint="eastAsia" w:ascii="宋体" w:hAnsi="宋体" w:cs="宋体"/>
          <w:color w:val="000000"/>
          <w:szCs w:val="22"/>
          <w:shd w:val="clear" w:color="auto" w:fill="FCFCFC"/>
        </w:rPr>
        <w:t>，并将检测数据报于招标人。</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（4）中标人需在取样完成后承诺的交货期内出具</w:t>
      </w:r>
      <w:r>
        <w:rPr>
          <w:rFonts w:hint="eastAsia" w:ascii="宋体" w:hAnsi="宋体" w:cs="宋体"/>
          <w:b/>
          <w:bCs/>
          <w:color w:val="000000"/>
          <w:szCs w:val="22"/>
          <w:shd w:val="clear" w:color="auto" w:fill="FCFCFC"/>
        </w:rPr>
        <w:t>正式书面检测报告</w:t>
      </w:r>
      <w:r>
        <w:rPr>
          <w:rFonts w:hint="eastAsia" w:ascii="宋体" w:hAnsi="宋体" w:cs="宋体"/>
          <w:color w:val="000000"/>
          <w:szCs w:val="22"/>
          <w:shd w:val="clear" w:color="auto" w:fill="FCFCFC"/>
        </w:rPr>
        <w:t>（1正本1副本，比对监测报告要求2正本1副本，或以合同约定为准）及电子版。</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（5）中标人需在出具书面检测报告前将检测结果与招标人沟通，</w:t>
      </w:r>
      <w:r>
        <w:rPr>
          <w:rFonts w:hint="eastAsia" w:ascii="宋体" w:hAnsi="宋体" w:cs="宋体"/>
          <w:b/>
          <w:bCs/>
          <w:color w:val="000000"/>
          <w:szCs w:val="22"/>
          <w:shd w:val="clear" w:color="auto" w:fill="FCFCFC"/>
        </w:rPr>
        <w:t>确保检测结果与现场实际相符合</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（6）废气检测中，VOCs项需同时出具</w:t>
      </w:r>
      <w:r>
        <w:rPr>
          <w:rFonts w:hint="eastAsia" w:ascii="宋体" w:hAnsi="宋体" w:cs="宋体"/>
          <w:b/>
          <w:bCs/>
          <w:color w:val="000000"/>
          <w:szCs w:val="22"/>
          <w:shd w:val="clear" w:color="auto" w:fill="FCFCFC"/>
        </w:rPr>
        <w:t>苯、甲苯、二甲苯、苯系物、VOCs的</w:t>
      </w:r>
      <w:r>
        <w:rPr>
          <w:rFonts w:hint="eastAsia" w:ascii="宋体" w:hAnsi="宋体" w:cs="宋体"/>
          <w:color w:val="000000"/>
          <w:szCs w:val="22"/>
          <w:shd w:val="clear" w:color="auto" w:fill="FCFCFC"/>
        </w:rPr>
        <w:t>数据，且</w:t>
      </w:r>
      <w:r>
        <w:rPr>
          <w:rFonts w:hint="eastAsia" w:ascii="宋体" w:hAnsi="宋体" w:cs="宋体"/>
          <w:b/>
          <w:bCs/>
          <w:color w:val="000000"/>
          <w:szCs w:val="22"/>
          <w:shd w:val="clear" w:color="auto" w:fill="FCFCFC"/>
        </w:rPr>
        <w:t>费用已包含在内</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（7）厂界、无组织、地下水及土壤检测均为</w:t>
      </w:r>
      <w:r>
        <w:rPr>
          <w:rFonts w:hint="eastAsia" w:ascii="宋体" w:hAnsi="宋体" w:cs="宋体"/>
          <w:b/>
          <w:bCs/>
          <w:color w:val="000000"/>
          <w:szCs w:val="22"/>
          <w:shd w:val="clear" w:color="auto" w:fill="FCFCFC"/>
        </w:rPr>
        <w:t>1处取样点位项目全套内容</w:t>
      </w:r>
      <w:r>
        <w:rPr>
          <w:rFonts w:hint="eastAsia" w:ascii="宋体" w:hAnsi="宋体" w:cs="宋体"/>
          <w:color w:val="000000"/>
          <w:szCs w:val="22"/>
          <w:shd w:val="clear" w:color="auto" w:fill="FCFCFC"/>
        </w:rPr>
        <w:t>（例如地下水39项、土壤45项），非1套，其中</w:t>
      </w:r>
      <w:r>
        <w:rPr>
          <w:rFonts w:hint="eastAsia" w:ascii="宋体" w:hAnsi="宋体" w:cs="宋体"/>
          <w:b/>
          <w:bCs/>
          <w:color w:val="000000"/>
          <w:szCs w:val="22"/>
          <w:shd w:val="clear" w:color="auto" w:fill="FCFCFC"/>
        </w:rPr>
        <w:t>噪声检测包含昼夜各一次</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（8）地下水检测项目及检测方法依据《地下水质量标准 GB14848-2017》相关要求，</w:t>
      </w:r>
      <w:r>
        <w:rPr>
          <w:rFonts w:hint="eastAsia" w:ascii="宋体" w:hAnsi="宋体" w:cs="宋体"/>
          <w:b/>
          <w:bCs/>
          <w:color w:val="000000"/>
          <w:szCs w:val="22"/>
          <w:shd w:val="clear" w:color="auto" w:fill="FCFCFC"/>
        </w:rPr>
        <w:t>检测内容为该标准“表1地下水质量常规指标及限值”中39项指标（不限于）</w:t>
      </w:r>
      <w:r>
        <w:rPr>
          <w:rFonts w:hint="eastAsia" w:ascii="宋体" w:hAnsi="宋体" w:cs="宋体"/>
          <w:color w:val="000000"/>
          <w:szCs w:val="22"/>
          <w:shd w:val="clear" w:color="auto" w:fill="FCFCFC"/>
        </w:rPr>
        <w:t>。</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（9）土壤检测项目及检测方法依据《土壤环境质量建设用地土壤污染风险管控标准（试行）(GB36600-2018)》相关要求，</w:t>
      </w:r>
      <w:r>
        <w:rPr>
          <w:rFonts w:hint="eastAsia" w:ascii="宋体" w:hAnsi="宋体" w:cs="宋体"/>
          <w:b/>
          <w:bCs/>
          <w:color w:val="000000"/>
          <w:szCs w:val="22"/>
          <w:shd w:val="clear" w:color="auto" w:fill="FCFCFC"/>
        </w:rPr>
        <w:t>检测内容为该标准“表1基本项目”中45项指标（不限于）</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（10）中标人开展比对监测工作，需</w:t>
      </w:r>
      <w:r>
        <w:rPr>
          <w:rFonts w:hint="eastAsia" w:ascii="宋体" w:hAnsi="宋体" w:cs="宋体"/>
          <w:b/>
          <w:bCs/>
          <w:color w:val="000000"/>
          <w:szCs w:val="22"/>
          <w:shd w:val="clear" w:color="auto" w:fill="FCFCFC"/>
        </w:rPr>
        <w:t>提前、自行</w:t>
      </w:r>
      <w:r>
        <w:rPr>
          <w:rFonts w:hint="eastAsia" w:ascii="宋体" w:hAnsi="宋体" w:cs="宋体"/>
          <w:color w:val="000000"/>
          <w:szCs w:val="22"/>
          <w:shd w:val="clear" w:color="auto" w:fill="FCFCFC"/>
        </w:rPr>
        <w:t>与招标人的在线运维单位进行联系，确保</w:t>
      </w:r>
      <w:r>
        <w:rPr>
          <w:rFonts w:hint="eastAsia" w:ascii="宋体" w:hAnsi="宋体" w:cs="宋体"/>
          <w:b/>
          <w:bCs/>
          <w:color w:val="000000"/>
          <w:szCs w:val="22"/>
          <w:shd w:val="clear" w:color="auto" w:fill="FCFCFC"/>
        </w:rPr>
        <w:t>比对当日生产正常、自动监测设备运行正常</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b/>
          <w:bCs/>
          <w:color w:val="000000"/>
          <w:szCs w:val="22"/>
          <w:shd w:val="clear" w:color="auto" w:fill="FCFCFC"/>
        </w:rPr>
        <w:t>（11）各自动监测设备比对监测内容如下</w:t>
      </w:r>
      <w:r>
        <w:rPr>
          <w:rFonts w:hint="eastAsia" w:ascii="宋体" w:hAnsi="宋体" w:cs="宋体"/>
          <w:color w:val="000000"/>
          <w:szCs w:val="22"/>
          <w:shd w:val="clear" w:color="auto" w:fill="FCFCFC"/>
        </w:rPr>
        <w:t>：</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①污水处理站排放口比对监测内容：pH、氨氮、COD、总磷、总氮、流量。</w:t>
      </w:r>
    </w:p>
    <w:p>
      <w:pPr>
        <w:numPr>
          <w:ilvl w:val="0"/>
          <w:numId w:val="7"/>
        </w:numPr>
        <w:spacing w:line="420" w:lineRule="exact"/>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重金属污水处理站比对监测内容：流量。</w:t>
      </w:r>
    </w:p>
    <w:p>
      <w:pPr>
        <w:numPr>
          <w:ilvl w:val="0"/>
          <w:numId w:val="7"/>
        </w:numPr>
        <w:spacing w:line="420" w:lineRule="exact"/>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VOCs废气排放口比对监测内容：碳氢化合物（总烃）、甲烷、VOCs（以非甲烷总烃计）、苯、甲苯、二甲苯、流速、温度、压力、湿度、氧含量等，以实际为准。</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④厂界在线监测比对监测内容：碳氢化合物（总烃）、甲烷、VOCs（以非甲烷总烃计）、苯、甲苯、二甲苯、风速、气温、气压、湿度、主导风向(十六方位)等。</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⑤颗粒物在线监测废气排放口比对监测内容：颗粒物、流速、温度、压力、湿度、氧含量</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⑥氮氧化物在线监测废气排放口比对监测内容：氮氧化物、氧含量、烟气流速、烟气温度、烟气湿度</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（12）投标人应承诺遵循相关法规要求开展检测业务，数据真实准确，出具鉴定报告真实有效。</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（13）投标人需自备交通工具、各种检测设备（包括电源）、安全防护用品及食宿等检测必须品。</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（14）为保证投标人有效进行技术服务工作，招标人当向投标人提供下列工作条件和协作事项：</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①提供污染物排放口及在线监测设施的相关技术资料。</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 xml:space="preserve">②确保现场采样时生产工况正常，各处理设施正常运行。 </w:t>
      </w:r>
    </w:p>
    <w:p>
      <w:pPr>
        <w:spacing w:line="420" w:lineRule="exact"/>
        <w:ind w:firstLine="420" w:firstLineChars="200"/>
        <w:jc w:val="left"/>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 xml:space="preserve">③采样期间招标人需派人现场协助，提供爬梯、检测平台等条件。 </w:t>
      </w:r>
    </w:p>
    <w:p>
      <w:pPr>
        <w:spacing w:line="420" w:lineRule="exact"/>
        <w:ind w:firstLine="420" w:firstLineChars="200"/>
        <w:jc w:val="left"/>
        <w:rPr>
          <w:rFonts w:ascii="宋体" w:hAnsi="宋体" w:cs="宋体"/>
          <w:color w:val="000000"/>
          <w:szCs w:val="22"/>
          <w:shd w:val="clear" w:color="auto" w:fill="FCFCFC"/>
        </w:rPr>
      </w:pPr>
      <w:r>
        <w:rPr>
          <w:rFonts w:hint="eastAsia" w:ascii="宋体" w:hAnsi="宋体" w:cs="宋体"/>
          <w:color w:val="000000"/>
          <w:szCs w:val="22"/>
          <w:shd w:val="clear" w:color="auto" w:fill="FCFCFC"/>
        </w:rPr>
        <w:t>（15）中标方需对招标人提供的数据及企业资料进行保密，并不得向第三方扩散。因泄密对招标人造成的损失由中标方承担相应全部责任。</w:t>
      </w:r>
    </w:p>
    <w:p>
      <w:pPr>
        <w:tabs>
          <w:tab w:val="left" w:pos="1800"/>
        </w:tabs>
        <w:autoSpaceDE w:val="0"/>
        <w:autoSpaceDN w:val="0"/>
        <w:spacing w:line="360" w:lineRule="exact"/>
        <w:ind w:firstLine="420" w:firstLineChars="200"/>
        <w:jc w:val="left"/>
        <w:rPr>
          <w:b/>
          <w:bCs/>
          <w:color w:val="000000"/>
          <w:kern w:val="0"/>
          <w:szCs w:val="21"/>
        </w:rPr>
      </w:pPr>
      <w:r>
        <w:rPr>
          <w:b/>
          <w:bCs/>
          <w:color w:val="000000"/>
          <w:kern w:val="0"/>
          <w:szCs w:val="21"/>
        </w:rPr>
        <w:t>3</w:t>
      </w:r>
      <w:r>
        <w:rPr>
          <w:rFonts w:hint="eastAsia"/>
          <w:b/>
          <w:bCs/>
          <w:color w:val="000000"/>
          <w:kern w:val="0"/>
          <w:szCs w:val="21"/>
        </w:rPr>
        <w:t>、其它</w:t>
      </w:r>
    </w:p>
    <w:p>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（1）检测所需的所有耗材、设备全部由乙方免费负责提供。</w:t>
      </w:r>
    </w:p>
    <w:p>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（2）非正常使用条件下造成的甲方物品损坏的费用由乙方承担。</w:t>
      </w:r>
    </w:p>
    <w:p>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（3）车辆要求</w:t>
      </w:r>
      <w:bookmarkStart w:id="87" w:name="_Toc44077705"/>
      <w:bookmarkStart w:id="88" w:name="_Toc47031022"/>
      <w:bookmarkStart w:id="89" w:name="_Toc44077654"/>
      <w:r>
        <w:rPr>
          <w:rFonts w:hint="eastAsia"/>
          <w:color w:val="000000"/>
          <w:kern w:val="0"/>
          <w:szCs w:val="21"/>
        </w:rPr>
        <w:t>：所有的进厂运输车辆须满足中国重汽《关于对进入厂区物流车辆实施统一品牌管理的通知》相关要求。货车要求为重汽品牌，排放标准国</w:t>
      </w:r>
      <w:r>
        <w:rPr>
          <w:rFonts w:hint="eastAsia"/>
          <w:color w:val="000000"/>
          <w:kern w:val="0"/>
          <w:szCs w:val="21"/>
        </w:rPr>
        <w:fldChar w:fldCharType="begin"/>
      </w:r>
      <w:r>
        <w:rPr>
          <w:rFonts w:hint="eastAsia"/>
          <w:color w:val="000000"/>
          <w:kern w:val="0"/>
          <w:szCs w:val="21"/>
        </w:rPr>
        <w:instrText xml:space="preserve">= 5 \* ROMAN</w:instrText>
      </w:r>
      <w:r>
        <w:rPr>
          <w:rFonts w:hint="eastAsia"/>
          <w:color w:val="000000"/>
          <w:kern w:val="0"/>
          <w:szCs w:val="21"/>
        </w:rPr>
        <w:fldChar w:fldCharType="separate"/>
      </w:r>
      <w:r>
        <w:rPr>
          <w:rFonts w:hint="eastAsia"/>
          <w:color w:val="000000"/>
          <w:kern w:val="0"/>
          <w:szCs w:val="21"/>
        </w:rPr>
        <w:t>V</w:t>
      </w:r>
      <w:r>
        <w:rPr>
          <w:rFonts w:hint="eastAsia"/>
          <w:color w:val="000000"/>
          <w:kern w:val="0"/>
          <w:szCs w:val="21"/>
        </w:rPr>
        <w:fldChar w:fldCharType="end"/>
      </w:r>
      <w:r>
        <w:rPr>
          <w:rFonts w:hint="eastAsia"/>
          <w:color w:val="000000"/>
          <w:kern w:val="0"/>
          <w:szCs w:val="21"/>
        </w:rPr>
        <w:t>及以上。非道路移动机械（叉车及装载机）：国Ⅲ排放标准。</w:t>
      </w:r>
    </w:p>
    <w:bookmarkEnd w:id="87"/>
    <w:bookmarkEnd w:id="88"/>
    <w:bookmarkEnd w:id="89"/>
    <w:p>
      <w:pPr>
        <w:tabs>
          <w:tab w:val="left" w:pos="1800"/>
        </w:tabs>
        <w:autoSpaceDE w:val="0"/>
        <w:autoSpaceDN w:val="0"/>
        <w:spacing w:line="420" w:lineRule="exact"/>
        <w:ind w:firstLine="420" w:firstLineChars="200"/>
        <w:rPr>
          <w:color w:val="000000"/>
          <w:kern w:val="0"/>
          <w:szCs w:val="21"/>
        </w:rPr>
      </w:pPr>
      <w:r>
        <w:rPr>
          <w:rFonts w:hint="eastAsia"/>
          <w:color w:val="000000"/>
          <w:kern w:val="0"/>
          <w:szCs w:val="21"/>
        </w:rPr>
        <w:t>（4）人员管理：投标人专职岗位人员如发生变更，需要在变更前2个工作日内向招标部门备案并获得招标人同意后方可进行人员的变更。</w:t>
      </w:r>
    </w:p>
    <w:p>
      <w:pPr>
        <w:tabs>
          <w:tab w:val="left" w:pos="1800"/>
        </w:tabs>
        <w:autoSpaceDE w:val="0"/>
        <w:autoSpaceDN w:val="0"/>
        <w:spacing w:line="420" w:lineRule="exact"/>
        <w:ind w:firstLine="420" w:firstLineChars="200"/>
        <w:rPr>
          <w:rFonts w:hint="eastAsia" w:ascii="宋体" w:hAnsi="宋体" w:cs="宋体"/>
          <w:color w:val="000000"/>
          <w:szCs w:val="22"/>
          <w:shd w:val="clear" w:color="auto" w:fill="FCFCFC"/>
        </w:rPr>
      </w:pPr>
      <w:r>
        <w:rPr>
          <w:rFonts w:hint="eastAsia"/>
          <w:color w:val="000000"/>
          <w:kern w:val="0"/>
          <w:szCs w:val="21"/>
        </w:rPr>
        <w:t>（5）乙方严格执行甲方各项规章制度，对乙方违反甲方规章制度行为，参照甲方管理考核办法执行。</w:t>
      </w:r>
    </w:p>
    <w:p>
      <w:pPr>
        <w:pStyle w:val="22"/>
        <w:spacing w:line="360" w:lineRule="auto"/>
        <w:rPr>
          <w:rFonts w:hint="eastAsia" w:hAnsi="宋体" w:cs="宋体"/>
          <w:b/>
          <w:sz w:val="30"/>
          <w:szCs w:val="30"/>
        </w:rPr>
      </w:pPr>
      <w:r>
        <w:rPr>
          <w:rFonts w:hint="eastAsia" w:hAnsi="宋体" w:cs="宋体"/>
          <w:b/>
          <w:sz w:val="30"/>
          <w:szCs w:val="30"/>
        </w:rPr>
        <w:t>四、检测方法及要求</w:t>
      </w:r>
    </w:p>
    <w:p>
      <w:pPr>
        <w:spacing w:line="420" w:lineRule="exact"/>
        <w:ind w:firstLine="420" w:firstLineChars="200"/>
        <w:rPr>
          <w:rFonts w:hint="eastAsia" w:eastAsiaTheme="minorEastAsia"/>
          <w:lang w:eastAsia="zh-CN"/>
        </w:rPr>
        <w:sectPr>
          <w:pgSz w:w="11907" w:h="16840"/>
          <w:pgMar w:top="1304" w:right="1418" w:bottom="1304" w:left="1418" w:header="724" w:footer="851" w:gutter="0"/>
          <w:cols w:space="720" w:num="1"/>
          <w:docGrid w:linePitch="290" w:charSpace="-3931"/>
        </w:sectPr>
      </w:pPr>
      <w:r>
        <w:rPr>
          <w:rFonts w:hint="eastAsia" w:ascii="宋体" w:hAnsi="宋体" w:cs="宋体"/>
          <w:color w:val="000000"/>
          <w:szCs w:val="22"/>
          <w:shd w:val="clear" w:color="auto" w:fill="FCFCFC"/>
        </w:rPr>
        <w:t>按照当前《HJ 819排污单位自行监测技术指南》《国家重点监控企业自行监测及信息公开办法》和《污染源自动监测设备比对监测技术规定》等环保法规执行，排放污染物现阶段执行标准及污染物检测方法以环评报告和排污许可证为准（已公开），具体要求以政府环保政策或部门要求为准</w:t>
      </w:r>
      <w:r>
        <w:rPr>
          <w:rFonts w:hint="eastAsia" w:ascii="宋体" w:hAnsi="宋体" w:cs="宋体"/>
          <w:color w:val="000000"/>
          <w:szCs w:val="22"/>
          <w:shd w:val="clear" w:color="auto" w:fill="FCFCFC"/>
          <w:lang w:eastAsia="zh-CN"/>
        </w:rPr>
        <w:t>。</w:t>
      </w:r>
    </w:p>
    <w:p/>
    <w:p>
      <w:pPr>
        <w:spacing w:line="360" w:lineRule="auto"/>
        <w:jc w:val="center"/>
        <w:outlineLvl w:val="0"/>
        <w:rPr>
          <w:rFonts w:ascii="宋体" w:hAnsi="Calibri" w:eastAsia="宋体" w:cs="Times New Roman"/>
          <w:b/>
          <w:sz w:val="36"/>
          <w:szCs w:val="36"/>
        </w:rPr>
      </w:pPr>
      <w:bookmarkStart w:id="90"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0"/>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1" w:name="_Toc15851"/>
      <w:bookmarkStart w:id="92" w:name="_Toc20872"/>
      <w:bookmarkStart w:id="93"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1"/>
      <w:bookmarkEnd w:id="92"/>
      <w:bookmarkEnd w:id="93"/>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rPr>
          <w:rFonts w:hint="eastAsia" w:ascii="宋体" w:hAnsi="宋体"/>
          <w:u w:val="single"/>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pPr>
        <w:rPr>
          <w:rFonts w:hint="eastAsia" w:ascii="宋体" w:hAnsi="宋体"/>
          <w:u w:val="single"/>
        </w:rPr>
      </w:pPr>
    </w:p>
    <w:p>
      <w:pPr>
        <w:rPr>
          <w:rFonts w:hint="eastAsia" w:eastAsia="黑体"/>
          <w:b/>
          <w:bCs/>
          <w:sz w:val="28"/>
        </w:rPr>
      </w:pPr>
      <w:r>
        <w:rPr>
          <w:rFonts w:hint="eastAsia" w:ascii="宋体" w:hAnsi="宋体"/>
          <w:szCs w:val="21"/>
        </w:rPr>
        <w:t>日期：  年   月   日</w:t>
      </w:r>
    </w:p>
    <w:p>
      <w:pPr>
        <w:jc w:val="center"/>
        <w:rPr>
          <w:rFonts w:hint="eastAsia" w:ascii="黑体" w:eastAsia="黑体"/>
          <w:sz w:val="30"/>
        </w:rPr>
      </w:pPr>
      <w:r>
        <w:rPr>
          <w:rFonts w:hint="eastAsia" w:ascii="黑体" w:eastAsia="黑体"/>
          <w:sz w:val="30"/>
        </w:rPr>
        <w:t>开标一览表</w:t>
      </w:r>
    </w:p>
    <w:tbl>
      <w:tblPr>
        <w:tblStyle w:val="41"/>
        <w:tblW w:w="8910" w:type="dxa"/>
        <w:tblInd w:w="0" w:type="dxa"/>
        <w:tblLayout w:type="fixed"/>
        <w:tblCellMar>
          <w:top w:w="0" w:type="dxa"/>
          <w:left w:w="0" w:type="dxa"/>
          <w:bottom w:w="0" w:type="dxa"/>
          <w:right w:w="0" w:type="dxa"/>
        </w:tblCellMar>
      </w:tblPr>
      <w:tblGrid>
        <w:gridCol w:w="669"/>
        <w:gridCol w:w="3730"/>
        <w:gridCol w:w="4511"/>
      </w:tblGrid>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报价（单价合计，含税）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报价（单价合计，不含税）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报价（总价合计，含税）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报价（总价合计，不含税）</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sz w:val="28"/>
                <w:szCs w:val="28"/>
              </w:rPr>
              <w:t>交货期（检测后出具报告）</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对招标文件的认同程度</w:t>
            </w:r>
            <w:r>
              <w:rPr>
                <w:rFonts w:hint="eastAsia" w:ascii="宋体" w:hAnsi="宋体" w:cs="宋体"/>
                <w:color w:val="000000"/>
                <w:kern w:val="0"/>
                <w:sz w:val="28"/>
                <w:szCs w:val="28"/>
                <w:lang w:bidi="ar"/>
              </w:rPr>
              <w:br w:type="textWrapping"/>
            </w:r>
            <w:r>
              <w:rPr>
                <w:rFonts w:hint="eastAsia" w:ascii="宋体" w:hAnsi="宋体" w:cs="宋体"/>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r>
        <w:tblPrEx>
          <w:tblCellMar>
            <w:top w:w="0" w:type="dxa"/>
            <w:left w:w="0" w:type="dxa"/>
            <w:bottom w:w="0" w:type="dxa"/>
            <w:right w:w="0" w:type="dxa"/>
          </w:tblCellMar>
        </w:tblPrEx>
        <w:trPr>
          <w:trHeight w:val="1125" w:hRule="atLeast"/>
        </w:trPr>
        <w:tc>
          <w:tcPr>
            <w:tcW w:w="6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6</w:t>
            </w:r>
          </w:p>
        </w:tc>
        <w:tc>
          <w:tcPr>
            <w:tcW w:w="3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8"/>
                <w:szCs w:val="28"/>
              </w:rPr>
            </w:pPr>
          </w:p>
        </w:tc>
      </w:tr>
    </w:tbl>
    <w:p>
      <w:pPr>
        <w:spacing w:line="660" w:lineRule="exact"/>
        <w:rPr>
          <w:rFonts w:hint="eastAsia" w:eastAsia="黑体"/>
          <w:b/>
          <w:bCs/>
          <w:sz w:val="28"/>
        </w:rPr>
      </w:pPr>
    </w:p>
    <w:p>
      <w:pPr>
        <w:spacing w:line="660" w:lineRule="exact"/>
        <w:rPr>
          <w:rFonts w:hint="eastAsia" w:eastAsia="黑体"/>
          <w:b/>
          <w:bCs/>
          <w:sz w:val="28"/>
        </w:rPr>
      </w:pPr>
    </w:p>
    <w:p>
      <w:pPr>
        <w:rPr>
          <w:rFonts w:ascii="宋体" w:hAnsi="宋体"/>
          <w:sz w:val="24"/>
        </w:rPr>
      </w:pPr>
      <w:r>
        <w:rPr>
          <w:rFonts w:hint="eastAsia" w:ascii="仿宋_GB2312" w:hAnsi="宋体" w:eastAsia="仿宋_GB2312"/>
          <w:sz w:val="24"/>
        </w:rPr>
        <w:t>投标人名称（盖章）：                   法定代表人或授权代表签字：</w:t>
      </w:r>
    </w:p>
    <w:p>
      <w:pPr>
        <w:spacing w:line="660" w:lineRule="exact"/>
        <w:rPr>
          <w:rFonts w:hint="eastAsia" w:eastAsia="黑体"/>
          <w:b/>
          <w:bCs/>
          <w:sz w:val="28"/>
        </w:rPr>
        <w:sectPr>
          <w:pgSz w:w="11906" w:h="16838"/>
          <w:pgMar w:top="1417" w:right="1587" w:bottom="1020" w:left="1587" w:header="851" w:footer="992" w:gutter="0"/>
          <w:pgNumType w:fmt="numberInDash"/>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rPr>
          <w:rFonts w:hint="eastAsia" w:ascii="宋体" w:hAnsi="宋体"/>
          <w:u w:val="single"/>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 年环境监测项目 </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分项报价单</w:t>
      </w:r>
    </w:p>
    <w:tbl>
      <w:tblPr>
        <w:tblStyle w:val="41"/>
        <w:tblW w:w="10235" w:type="dxa"/>
        <w:jc w:val="center"/>
        <w:tblLayout w:type="autofit"/>
        <w:tblCellMar>
          <w:top w:w="0" w:type="dxa"/>
          <w:left w:w="108" w:type="dxa"/>
          <w:bottom w:w="0" w:type="dxa"/>
          <w:right w:w="108" w:type="dxa"/>
        </w:tblCellMar>
      </w:tblPr>
      <w:tblGrid>
        <w:gridCol w:w="2015"/>
        <w:gridCol w:w="2537"/>
        <w:gridCol w:w="1085"/>
        <w:gridCol w:w="1077"/>
        <w:gridCol w:w="1221"/>
        <w:gridCol w:w="1104"/>
        <w:gridCol w:w="1183"/>
        <w:gridCol w:w="13"/>
      </w:tblGrid>
      <w:tr>
        <w:tblPrEx>
          <w:tblCellMar>
            <w:top w:w="0" w:type="dxa"/>
            <w:left w:w="108" w:type="dxa"/>
            <w:bottom w:w="0" w:type="dxa"/>
            <w:right w:w="108" w:type="dxa"/>
          </w:tblCellMar>
        </w:tblPrEx>
        <w:trPr>
          <w:trHeight w:val="278" w:hRule="atLeast"/>
          <w:jc w:val="center"/>
        </w:trPr>
        <w:tc>
          <w:tcPr>
            <w:tcW w:w="201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color w:val="000000"/>
                <w:sz w:val="22"/>
                <w:szCs w:val="22"/>
              </w:rPr>
            </w:pPr>
            <w:r>
              <w:rPr>
                <w:rFonts w:hint="eastAsia"/>
                <w:color w:val="000000"/>
                <w:sz w:val="22"/>
                <w:szCs w:val="22"/>
              </w:rPr>
              <w:t>检测项目</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2"/>
                <w:szCs w:val="22"/>
              </w:rPr>
            </w:pPr>
            <w:r>
              <w:rPr>
                <w:rFonts w:hint="eastAsia"/>
                <w:color w:val="000000"/>
                <w:sz w:val="22"/>
                <w:szCs w:val="22"/>
              </w:rPr>
              <w:t>检测内容</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2"/>
                <w:szCs w:val="22"/>
              </w:rPr>
            </w:pPr>
            <w:r>
              <w:rPr>
                <w:rFonts w:hint="eastAsia"/>
                <w:color w:val="000000"/>
                <w:sz w:val="22"/>
                <w:szCs w:val="22"/>
              </w:rPr>
              <w:t>年检测总次数</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color w:val="000000"/>
                <w:sz w:val="22"/>
                <w:szCs w:val="22"/>
              </w:rPr>
            </w:pPr>
            <w:r>
              <w:rPr>
                <w:rFonts w:hint="eastAsia"/>
                <w:color w:val="000000"/>
                <w:sz w:val="22"/>
                <w:szCs w:val="22"/>
              </w:rPr>
              <w:t>单价（元/次）含税</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color w:val="000000"/>
                <w:sz w:val="22"/>
                <w:szCs w:val="22"/>
              </w:rPr>
            </w:pPr>
            <w:r>
              <w:rPr>
                <w:rFonts w:hint="eastAsia"/>
                <w:color w:val="000000"/>
                <w:sz w:val="22"/>
                <w:szCs w:val="22"/>
              </w:rPr>
              <w:t>单价（元/次）不含税</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color w:val="000000"/>
                <w:sz w:val="22"/>
                <w:szCs w:val="22"/>
              </w:rPr>
            </w:pPr>
            <w:r>
              <w:rPr>
                <w:rFonts w:hint="eastAsia"/>
                <w:color w:val="000000"/>
                <w:sz w:val="22"/>
                <w:szCs w:val="22"/>
              </w:rPr>
              <w:t>总价（含税）</w:t>
            </w: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rFonts w:hint="eastAsia"/>
                <w:color w:val="000000"/>
                <w:sz w:val="22"/>
                <w:szCs w:val="22"/>
              </w:rPr>
            </w:pPr>
            <w:r>
              <w:rPr>
                <w:rFonts w:hint="eastAsia"/>
                <w:color w:val="000000"/>
                <w:sz w:val="22"/>
                <w:szCs w:val="22"/>
              </w:rPr>
              <w:t>总价（不含税）</w:t>
            </w:r>
          </w:p>
        </w:tc>
      </w:tr>
      <w:tr>
        <w:tblPrEx>
          <w:tblCellMar>
            <w:top w:w="0" w:type="dxa"/>
            <w:left w:w="108" w:type="dxa"/>
            <w:bottom w:w="0" w:type="dxa"/>
            <w:right w:w="108" w:type="dxa"/>
          </w:tblCellMar>
        </w:tblPrEx>
        <w:trPr>
          <w:trHeight w:val="405" w:hRule="atLeast"/>
          <w:jc w:val="center"/>
        </w:trPr>
        <w:tc>
          <w:tcPr>
            <w:tcW w:w="2015"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废水检测</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（含雨水）</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ph</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89</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化学需氧量</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113</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35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sz w:val="24"/>
                <w:szCs w:val="24"/>
              </w:rPr>
            </w:pPr>
            <w:r>
              <w:rPr>
                <w:rFonts w:hint="eastAsia" w:ascii="仿宋_GB2312" w:eastAsia="仿宋_GB2312"/>
                <w:color w:val="000000"/>
                <w:sz w:val="24"/>
                <w:szCs w:val="24"/>
              </w:rPr>
              <w:t>五日生化需氧量（B0D5）</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409"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悬浮物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121</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总氮</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64</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氨氮</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总磷（以P计）</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全盐量</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44</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氟化物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52</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大肠菌落数</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石油类</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117</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556"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阴离子表面活性剂</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116</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总镍</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108</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总锰</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73</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总锌</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85</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总铅</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总镉</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90"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甲苯</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二甲苯</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苯系物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溶解性总固体</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钙离子</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镁离子</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27</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氰化物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8" w:hRule="atLeast"/>
          <w:jc w:val="center"/>
        </w:trPr>
        <w:tc>
          <w:tcPr>
            <w:tcW w:w="2015"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2537"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color w:val="000000"/>
                <w:sz w:val="24"/>
                <w:szCs w:val="24"/>
              </w:rPr>
            </w:pPr>
            <w:r>
              <w:rPr>
                <w:rFonts w:hint="eastAsia" w:ascii="仿宋_GB2312" w:eastAsia="仿宋_GB2312"/>
                <w:color w:val="000000"/>
                <w:sz w:val="24"/>
                <w:szCs w:val="24"/>
              </w:rPr>
              <w:t>磷酸盐</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c>
          <w:tcPr>
            <w:tcW w:w="1077"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c>
          <w:tcPr>
            <w:tcW w:w="1196" w:type="dxa"/>
            <w:gridSpan w:val="2"/>
            <w:tcBorders>
              <w:top w:val="single" w:color="auto" w:sz="4" w:space="0"/>
              <w:left w:val="single" w:color="auto" w:sz="4" w:space="0"/>
              <w:bottom w:val="single" w:color="auto" w:sz="4" w:space="0"/>
              <w:right w:val="single" w:color="auto" w:sz="4" w:space="0"/>
            </w:tcBorders>
            <w:noWrap w:val="0"/>
            <w:vAlign w:val="top"/>
          </w:tcPr>
          <w:p>
            <w:pPr>
              <w:widowControl/>
              <w:jc w:val="right"/>
              <w:rPr>
                <w:rFonts w:hint="eastAsia" w:ascii="宋体" w:hAnsi="宋体" w:cs="宋体"/>
                <w:color w:val="000000"/>
                <w:kern w:val="0"/>
                <w:sz w:val="22"/>
                <w:szCs w:val="22"/>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废气检测</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 w:val="24"/>
                <w:szCs w:val="24"/>
              </w:rPr>
            </w:pPr>
            <w:r>
              <w:rPr>
                <w:rFonts w:hint="eastAsia" w:ascii="仿宋_GB2312" w:eastAsia="仿宋_GB2312"/>
                <w:color w:val="000000"/>
                <w:sz w:val="24"/>
                <w:szCs w:val="24"/>
              </w:rPr>
              <w:t>VOCs（含苯、甲苯、二甲苯、苯系物）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324</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苯、甲苯、二甲苯</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248</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VOCs</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466</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8"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二氧化硫</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402</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8"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氮氧化物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765</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27"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颗粒物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864</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547"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林格曼黑度</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222</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510"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硫化氢</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38</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6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甲硫醇</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27"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甲硫醚</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二甲二硫醚</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24"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二硫化碳</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氨</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29</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2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三甲胺</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15"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000000"/>
                <w:kern w:val="0"/>
                <w:sz w:val="24"/>
                <w:szCs w:val="24"/>
              </w:rPr>
            </w:pPr>
            <w:r>
              <w:rPr>
                <w:rFonts w:hint="eastAsia" w:ascii="仿宋_GB2312" w:eastAsia="仿宋_GB2312"/>
                <w:color w:val="000000"/>
                <w:sz w:val="24"/>
                <w:szCs w:val="24"/>
              </w:rPr>
              <w:t>苯乙烯</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6"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甲醇</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1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臭气浓度</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47</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29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一氧化碳</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0</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12" w:hRule="atLeast"/>
          <w:jc w:val="center"/>
        </w:trPr>
        <w:tc>
          <w:tcPr>
            <w:tcW w:w="2015" w:type="dxa"/>
            <w:vMerge w:val="continue"/>
            <w:tcBorders>
              <w:left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氯化氢</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 w:val="24"/>
                <w:szCs w:val="24"/>
              </w:rPr>
            </w:pPr>
            <w:r>
              <w:rPr>
                <w:rFonts w:hint="eastAsia" w:ascii="仿宋_GB2312" w:eastAsia="仿宋_GB2312"/>
                <w:color w:val="000000"/>
                <w:sz w:val="24"/>
                <w:szCs w:val="24"/>
              </w:rPr>
              <w:t>硫酸雾</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无组织废气</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eastAsia="仿宋_GB2312"/>
                <w:color w:val="000000"/>
                <w:kern w:val="0"/>
                <w:sz w:val="24"/>
                <w:szCs w:val="24"/>
              </w:rPr>
            </w:pPr>
            <w:r>
              <w:rPr>
                <w:rFonts w:hint="eastAsia" w:ascii="仿宋_GB2312" w:eastAsia="仿宋_GB2312"/>
                <w:color w:val="000000"/>
                <w:sz w:val="24"/>
                <w:szCs w:val="24"/>
              </w:rPr>
              <w:t>甲烷</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kern w:val="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臭气浓度</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氨（氨气）</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24</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硫化氢</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23</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颗粒物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67</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VOCs（含苯、甲苯、二甲苯、苯系物）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152</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二氧化硫</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24"/>
                <w:szCs w:val="24"/>
              </w:rPr>
            </w:pPr>
          </w:p>
        </w:tc>
        <w:tc>
          <w:tcPr>
            <w:tcW w:w="2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氮氧化物</w:t>
            </w:r>
          </w:p>
        </w:tc>
        <w:tc>
          <w:tcPr>
            <w:tcW w:w="108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7</w:t>
            </w:r>
          </w:p>
        </w:tc>
        <w:tc>
          <w:tcPr>
            <w:tcW w:w="107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厂界噪声</w:t>
            </w:r>
          </w:p>
        </w:tc>
        <w:tc>
          <w:tcPr>
            <w:tcW w:w="2537"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噪声</w:t>
            </w:r>
          </w:p>
        </w:tc>
        <w:tc>
          <w:tcPr>
            <w:tcW w:w="108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92</w:t>
            </w:r>
          </w:p>
        </w:tc>
        <w:tc>
          <w:tcPr>
            <w:tcW w:w="1077" w:type="dxa"/>
            <w:tcBorders>
              <w:top w:val="single" w:color="auto"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auto"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auto"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auto"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地下水检测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GB/T14848-2017表1地下水常规指标39项指标（不限于）</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17</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土壤检测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GB36600-2018表1基本项目45项指标（不限于）</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比对检测</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污水自动监测设备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28</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重金属流量计自动监测设备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12</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2015" w:type="dxa"/>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废气VOC自动监测设备（含厂界监测设备）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96</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05" w:hRule="atLeast"/>
          <w:jc w:val="center"/>
        </w:trPr>
        <w:tc>
          <w:tcPr>
            <w:tcW w:w="2015" w:type="dxa"/>
            <w:vMerge w:val="continue"/>
            <w:tcBorders>
              <w:left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hAnsi="宋体" w:eastAsia="仿宋_GB2312" w:cs="宋体"/>
                <w:color w:val="000000"/>
                <w:kern w:val="0"/>
                <w:sz w:val="24"/>
                <w:szCs w:val="24"/>
                <w:lang w:bidi="ar"/>
              </w:rPr>
            </w:pPr>
            <w:r>
              <w:rPr>
                <w:rFonts w:hint="eastAsia" w:ascii="仿宋_GB2312" w:eastAsia="仿宋_GB2312"/>
                <w:color w:val="0C0C0C"/>
                <w:sz w:val="24"/>
                <w:szCs w:val="24"/>
              </w:rPr>
              <w:t>氮氧化物自动监测设备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color w:val="000000"/>
                <w:sz w:val="24"/>
                <w:szCs w:val="24"/>
              </w:rPr>
            </w:pPr>
            <w:r>
              <w:rPr>
                <w:rFonts w:hint="eastAsia" w:ascii="仿宋_GB2312" w:hAnsi="宋体" w:eastAsia="仿宋_GB2312" w:cs="仿宋_GB2312"/>
                <w:i w:val="0"/>
                <w:iCs w:val="0"/>
                <w:color w:val="000000"/>
                <w:kern w:val="0"/>
                <w:sz w:val="28"/>
                <w:szCs w:val="28"/>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470" w:hRule="atLeast"/>
          <w:jc w:val="center"/>
        </w:trPr>
        <w:tc>
          <w:tcPr>
            <w:tcW w:w="2015"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_GB2312" w:eastAsia="仿宋_GB2312"/>
                <w:color w:val="0C0C0C"/>
                <w:sz w:val="24"/>
                <w:szCs w:val="24"/>
              </w:rPr>
            </w:pPr>
            <w:r>
              <w:rPr>
                <w:rFonts w:hint="eastAsia" w:ascii="仿宋_GB2312" w:eastAsia="仿宋_GB2312"/>
                <w:color w:val="000000"/>
                <w:sz w:val="24"/>
                <w:szCs w:val="24"/>
              </w:rPr>
              <w:t>颗粒物自动监测设备</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color w:val="0C0C0C"/>
                <w:sz w:val="24"/>
                <w:szCs w:val="24"/>
              </w:rPr>
            </w:pPr>
            <w:r>
              <w:rPr>
                <w:rFonts w:hint="eastAsia" w:ascii="仿宋_GB2312" w:hAnsi="宋体" w:eastAsia="仿宋_GB2312" w:cs="仿宋_GB2312"/>
                <w:i w:val="0"/>
                <w:iCs w:val="0"/>
                <w:color w:val="000000"/>
                <w:kern w:val="0"/>
                <w:sz w:val="28"/>
                <w:szCs w:val="28"/>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502"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rPr>
              <w:t>油烟浓度</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kern w:val="0"/>
                <w:sz w:val="24"/>
                <w:szCs w:val="24"/>
                <w:lang w:bidi="ar"/>
              </w:rPr>
            </w:pPr>
            <w:r>
              <w:rPr>
                <w:rFonts w:hint="eastAsia" w:ascii="仿宋_GB2312" w:hAnsi="宋体" w:eastAsia="仿宋_GB2312" w:cs="宋体"/>
                <w:color w:val="000000"/>
                <w:sz w:val="24"/>
                <w:szCs w:val="24"/>
              </w:rPr>
              <w:t>油烟浓度</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color w:val="000000"/>
                <w:sz w:val="24"/>
                <w:szCs w:val="24"/>
              </w:rPr>
            </w:pPr>
            <w:r>
              <w:rPr>
                <w:rFonts w:hint="eastAsia" w:ascii="仿宋_GB2312" w:eastAsia="仿宋_GB2312"/>
                <w:color w:val="000000"/>
                <w:sz w:val="24"/>
                <w:szCs w:val="24"/>
                <w:lang w:val="en-US" w:eastAsia="zh-CN"/>
              </w:rPr>
              <w:t>9</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502" w:hRule="atLeast"/>
          <w:jc w:val="center"/>
        </w:trPr>
        <w:tc>
          <w:tcPr>
            <w:tcW w:w="201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25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lang w:val="en-US" w:eastAsia="zh-CN"/>
              </w:rPr>
            </w:pPr>
            <w:r>
              <w:rPr>
                <w:rFonts w:hint="eastAsia" w:ascii="仿宋_GB2312" w:hAnsi="宋体" w:eastAsia="仿宋_GB2312" w:cs="宋体"/>
                <w:color w:val="000000"/>
                <w:sz w:val="24"/>
                <w:szCs w:val="24"/>
                <w:lang w:val="en-US" w:eastAsia="zh-CN"/>
              </w:rPr>
              <w:t>动植物油</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lang w:val="en-US" w:eastAsia="zh-CN"/>
              </w:rPr>
              <w:t>12</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 w:val="24"/>
                <w:szCs w:val="24"/>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Cs w:val="21"/>
              </w:rPr>
            </w:pPr>
          </w:p>
        </w:tc>
      </w:tr>
      <w:tr>
        <w:tblPrEx>
          <w:tblCellMar>
            <w:top w:w="0" w:type="dxa"/>
            <w:left w:w="108" w:type="dxa"/>
            <w:bottom w:w="0" w:type="dxa"/>
            <w:right w:w="108" w:type="dxa"/>
          </w:tblCellMar>
        </w:tblPrEx>
        <w:trPr>
          <w:gridAfter w:val="1"/>
          <w:wAfter w:w="13" w:type="dxa"/>
          <w:trHeight w:val="624" w:hRule="atLeast"/>
          <w:jc w:val="center"/>
        </w:trPr>
        <w:tc>
          <w:tcPr>
            <w:tcW w:w="4552"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合计</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宋体"/>
                <w:color w:val="000000"/>
                <w:sz w:val="24"/>
                <w:szCs w:val="24"/>
              </w:rPr>
            </w:pPr>
            <w:r>
              <w:rPr>
                <w:rFonts w:hint="eastAsia" w:ascii="仿宋_GB2312" w:hAnsi="宋体" w:eastAsia="仿宋_GB2312" w:cs="宋体"/>
                <w:color w:val="000000"/>
                <w:sz w:val="24"/>
                <w:szCs w:val="24"/>
                <w:lang w:val="en-US" w:eastAsia="zh-CN"/>
              </w:rPr>
              <w:t>5516</w:t>
            </w:r>
          </w:p>
        </w:tc>
        <w:tc>
          <w:tcPr>
            <w:tcW w:w="1077"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cs="宋体"/>
                <w:color w:val="000000"/>
                <w:sz w:val="24"/>
                <w:szCs w:val="24"/>
              </w:rPr>
            </w:pPr>
          </w:p>
        </w:tc>
        <w:tc>
          <w:tcPr>
            <w:tcW w:w="122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cs="宋体"/>
                <w:color w:val="000000"/>
                <w:szCs w:val="21"/>
              </w:rPr>
            </w:pPr>
          </w:p>
        </w:tc>
        <w:tc>
          <w:tcPr>
            <w:tcW w:w="11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cs="宋体"/>
                <w:color w:val="000000"/>
                <w:szCs w:val="21"/>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Cs w:val="21"/>
              </w:rPr>
            </w:pPr>
          </w:p>
        </w:tc>
      </w:tr>
    </w:tbl>
    <w:p>
      <w:pPr>
        <w:rPr>
          <w:rFonts w:hint="eastAsia" w:ascii="宋体" w:hAnsi="宋体"/>
          <w:szCs w:val="21"/>
        </w:rPr>
      </w:pPr>
    </w:p>
    <w:p>
      <w:pPr>
        <w:rPr>
          <w:rFonts w:ascii="仿宋_GB2312" w:hAnsi="宋体" w:eastAsia="仿宋_GB2312"/>
          <w:sz w:val="24"/>
        </w:rPr>
      </w:pPr>
    </w:p>
    <w:p>
      <w:pPr>
        <w:rPr>
          <w:rFonts w:hint="eastAsia" w:ascii="仿宋_GB2312" w:hAnsi="宋体" w:eastAsia="仿宋_GB2312"/>
          <w:sz w:val="24"/>
        </w:rPr>
      </w:pPr>
    </w:p>
    <w:p>
      <w:pPr>
        <w:rPr>
          <w:rFonts w:hint="eastAsia" w:eastAsia="黑体"/>
          <w:b/>
          <w:bCs/>
          <w:sz w:val="28"/>
        </w:rPr>
      </w:pPr>
      <w:r>
        <w:rPr>
          <w:rFonts w:hint="eastAsia" w:ascii="仿宋_GB2312" w:hAnsi="宋体" w:eastAsia="仿宋_GB2312"/>
          <w:sz w:val="24"/>
        </w:rPr>
        <w:t>投标人名称（盖章）：                   法定代表人或授权代表签字：</w:t>
      </w:r>
    </w:p>
    <w:p>
      <w:pP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br w:type="page"/>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2"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4"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8" w:type="first"/>
          <w:footerReference r:id="rId30" w:type="first"/>
          <w:headerReference r:id="rId27" w:type="default"/>
          <w:footerReference r:id="rId29"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pStyle w:val="22"/>
        <w:spacing w:line="360" w:lineRule="auto"/>
        <w:ind w:firstLine="420" w:firstLineChars="200"/>
        <w:rPr>
          <w:rFonts w:hint="eastAsia"/>
          <w:b/>
        </w:rPr>
      </w:pPr>
      <w:r>
        <w:rPr>
          <w:rFonts w:hint="eastAsia"/>
          <w:b/>
        </w:rPr>
        <w:t>本次招标评价分为以下几个方面，总赋分为100分。</w:t>
      </w:r>
    </w:p>
    <w:tbl>
      <w:tblPr>
        <w:tblStyle w:val="41"/>
        <w:tblpPr w:leftFromText="181" w:rightFromText="181" w:vertAnchor="text" w:horzAnchor="margin" w:tblpXSpec="center" w:tblpY="285"/>
        <w:tblW w:w="52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154"/>
        <w:gridCol w:w="9401"/>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4" w:type="pct"/>
            <w:noWrap w:val="0"/>
            <w:vAlign w:val="center"/>
          </w:tcPr>
          <w:p>
            <w:pPr>
              <w:pStyle w:val="22"/>
              <w:spacing w:line="360" w:lineRule="auto"/>
              <w:jc w:val="center"/>
              <w:rPr>
                <w:rFonts w:hAnsi="宋体"/>
                <w:b/>
                <w:szCs w:val="21"/>
              </w:rPr>
            </w:pPr>
            <w:r>
              <w:rPr>
                <w:rFonts w:hint="eastAsia" w:hAnsi="宋体"/>
                <w:b/>
                <w:szCs w:val="21"/>
              </w:rPr>
              <w:t>序号</w:t>
            </w:r>
          </w:p>
        </w:tc>
        <w:tc>
          <w:tcPr>
            <w:tcW w:w="662" w:type="pct"/>
            <w:noWrap w:val="0"/>
            <w:vAlign w:val="center"/>
          </w:tcPr>
          <w:p>
            <w:pPr>
              <w:pStyle w:val="22"/>
              <w:spacing w:line="360" w:lineRule="auto"/>
              <w:jc w:val="center"/>
              <w:rPr>
                <w:rFonts w:hAnsi="宋体"/>
                <w:b/>
                <w:szCs w:val="21"/>
              </w:rPr>
            </w:pPr>
            <w:r>
              <w:rPr>
                <w:rFonts w:hint="eastAsia" w:hAnsi="宋体"/>
                <w:b/>
                <w:szCs w:val="21"/>
              </w:rPr>
              <w:t>具体项目</w:t>
            </w:r>
          </w:p>
        </w:tc>
        <w:tc>
          <w:tcPr>
            <w:tcW w:w="2889" w:type="pct"/>
            <w:noWrap w:val="0"/>
            <w:vAlign w:val="center"/>
          </w:tcPr>
          <w:p>
            <w:pPr>
              <w:pStyle w:val="22"/>
              <w:spacing w:line="360" w:lineRule="auto"/>
              <w:jc w:val="center"/>
              <w:rPr>
                <w:rFonts w:hAnsi="宋体"/>
                <w:b/>
                <w:szCs w:val="21"/>
              </w:rPr>
            </w:pPr>
            <w:r>
              <w:rPr>
                <w:rFonts w:hint="eastAsia" w:hAnsi="宋体"/>
                <w:b/>
                <w:szCs w:val="21"/>
              </w:rPr>
              <w:t>评分依据</w:t>
            </w:r>
          </w:p>
        </w:tc>
        <w:tc>
          <w:tcPr>
            <w:tcW w:w="994" w:type="pct"/>
            <w:noWrap w:val="0"/>
            <w:vAlign w:val="center"/>
          </w:tcPr>
          <w:p>
            <w:pPr>
              <w:pStyle w:val="22"/>
              <w:spacing w:line="360" w:lineRule="auto"/>
              <w:jc w:val="center"/>
              <w:rPr>
                <w:rFonts w:hint="eastAsia" w:hAnsi="宋体"/>
                <w:b/>
                <w:szCs w:val="21"/>
              </w:rPr>
            </w:pPr>
            <w:r>
              <w:rPr>
                <w:rFonts w:hint="eastAsia" w:hAnsi="宋体"/>
                <w:b/>
                <w:szCs w:val="21"/>
              </w:rPr>
              <w:t>共计100分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Ansi="宋体"/>
                <w:szCs w:val="21"/>
              </w:rPr>
            </w:pPr>
            <w:r>
              <w:rPr>
                <w:rFonts w:hint="eastAsia" w:hAnsi="宋体"/>
                <w:szCs w:val="21"/>
              </w:rPr>
              <w:t>1</w:t>
            </w:r>
          </w:p>
        </w:tc>
        <w:tc>
          <w:tcPr>
            <w:tcW w:w="662" w:type="pct"/>
            <w:noWrap w:val="0"/>
            <w:vAlign w:val="center"/>
          </w:tcPr>
          <w:p>
            <w:pPr>
              <w:pStyle w:val="22"/>
              <w:spacing w:line="360" w:lineRule="auto"/>
              <w:jc w:val="center"/>
              <w:rPr>
                <w:rFonts w:hint="eastAsia" w:hAnsi="宋体"/>
                <w:szCs w:val="21"/>
              </w:rPr>
            </w:pPr>
            <w:r>
              <w:rPr>
                <w:rFonts w:hint="eastAsia" w:hAnsi="宋体"/>
                <w:szCs w:val="21"/>
              </w:rPr>
              <w:t>企业实力</w:t>
            </w:r>
          </w:p>
        </w:tc>
        <w:tc>
          <w:tcPr>
            <w:tcW w:w="2889" w:type="pct"/>
            <w:noWrap w:val="0"/>
            <w:vAlign w:val="center"/>
          </w:tcPr>
          <w:p>
            <w:pPr>
              <w:pStyle w:val="22"/>
              <w:spacing w:line="300" w:lineRule="auto"/>
              <w:jc w:val="left"/>
              <w:rPr>
                <w:rFonts w:hint="eastAsia" w:hAnsi="宋体"/>
                <w:szCs w:val="21"/>
              </w:rPr>
            </w:pPr>
            <w:r>
              <w:rPr>
                <w:rFonts w:hint="eastAsia" w:hAnsi="宋体"/>
                <w:szCs w:val="21"/>
              </w:rPr>
              <w:t>（1）企业注册资金、成立时间、实验室和检测人员数量，采样、检验人员具有相应能力评价证书，满足项目对样品检验工作要求的设施环境和设备配置15—20分；</w:t>
            </w:r>
          </w:p>
          <w:p>
            <w:pPr>
              <w:pStyle w:val="22"/>
              <w:spacing w:line="300" w:lineRule="auto"/>
              <w:jc w:val="left"/>
              <w:rPr>
                <w:rFonts w:hint="eastAsia" w:hAnsi="宋体"/>
                <w:szCs w:val="21"/>
              </w:rPr>
            </w:pPr>
            <w:r>
              <w:rPr>
                <w:rFonts w:hint="eastAsia" w:hAnsi="宋体"/>
                <w:szCs w:val="21"/>
              </w:rPr>
              <w:t>（2）具有烟气采样设备4台得2分，每多1台附1分，最高得5分（需提供本公司购买发票）；</w:t>
            </w:r>
          </w:p>
          <w:p>
            <w:pPr>
              <w:pStyle w:val="22"/>
              <w:spacing w:line="300" w:lineRule="auto"/>
              <w:jc w:val="left"/>
              <w:rPr>
                <w:rFonts w:hint="eastAsia" w:hAnsi="宋体"/>
                <w:szCs w:val="21"/>
              </w:rPr>
            </w:pPr>
            <w:r>
              <w:rPr>
                <w:rFonts w:hint="eastAsia" w:hAnsi="宋体"/>
                <w:szCs w:val="21"/>
              </w:rPr>
              <w:t>（3）公司从业人员30人及以上，且环境检测授权签字人高级职称人员至少1人（需提供社保证明）得2分，优于上述条件者得3-5分，其他不得分；</w:t>
            </w:r>
          </w:p>
          <w:p>
            <w:pPr>
              <w:pStyle w:val="22"/>
              <w:spacing w:line="300" w:lineRule="auto"/>
              <w:jc w:val="left"/>
              <w:rPr>
                <w:rFonts w:hint="eastAsia" w:hAnsi="宋体"/>
                <w:szCs w:val="21"/>
              </w:rPr>
            </w:pPr>
            <w:r>
              <w:rPr>
                <w:rFonts w:hint="eastAsia" w:hAnsi="宋体"/>
                <w:szCs w:val="21"/>
              </w:rPr>
              <w:t>（4）本项最高得30分。</w:t>
            </w:r>
          </w:p>
        </w:tc>
        <w:tc>
          <w:tcPr>
            <w:tcW w:w="994" w:type="pct"/>
            <w:noWrap w:val="0"/>
            <w:vAlign w:val="center"/>
          </w:tcPr>
          <w:p>
            <w:pPr>
              <w:pStyle w:val="22"/>
              <w:spacing w:line="360" w:lineRule="auto"/>
              <w:jc w:val="center"/>
              <w:rPr>
                <w:rFonts w:hint="eastAsia" w:hAnsi="宋体"/>
                <w:szCs w:val="21"/>
              </w:rPr>
            </w:pPr>
            <w:r>
              <w:rPr>
                <w:rFonts w:hint="eastAsia" w:hAnsi="宋体"/>
                <w:szCs w:val="21"/>
              </w:rPr>
              <w:t>3</w:t>
            </w:r>
            <w:r>
              <w:rPr>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int="eastAsia" w:hAnsi="宋体"/>
                <w:szCs w:val="21"/>
              </w:rPr>
            </w:pPr>
            <w:r>
              <w:rPr>
                <w:rFonts w:hint="eastAsia" w:hAnsi="宋体"/>
                <w:szCs w:val="21"/>
              </w:rPr>
              <w:t>2</w:t>
            </w:r>
          </w:p>
        </w:tc>
        <w:tc>
          <w:tcPr>
            <w:tcW w:w="662" w:type="pct"/>
            <w:noWrap w:val="0"/>
            <w:vAlign w:val="center"/>
          </w:tcPr>
          <w:p>
            <w:pPr>
              <w:pStyle w:val="22"/>
              <w:spacing w:line="360" w:lineRule="auto"/>
              <w:jc w:val="center"/>
              <w:rPr>
                <w:rFonts w:hint="eastAsia" w:hAnsi="宋体"/>
                <w:szCs w:val="21"/>
              </w:rPr>
            </w:pPr>
            <w:r>
              <w:rPr>
                <w:rFonts w:hint="eastAsia" w:hAnsi="宋体"/>
                <w:szCs w:val="21"/>
              </w:rPr>
              <w:t>监测能力</w:t>
            </w:r>
          </w:p>
        </w:tc>
        <w:tc>
          <w:tcPr>
            <w:tcW w:w="2889" w:type="pct"/>
            <w:noWrap w:val="0"/>
            <w:vAlign w:val="center"/>
          </w:tcPr>
          <w:p>
            <w:pPr>
              <w:pStyle w:val="22"/>
              <w:spacing w:line="300" w:lineRule="auto"/>
              <w:jc w:val="left"/>
              <w:rPr>
                <w:rFonts w:hint="eastAsia" w:hAnsi="宋体"/>
                <w:szCs w:val="21"/>
              </w:rPr>
            </w:pPr>
            <w:r>
              <w:rPr>
                <w:rFonts w:hint="eastAsia" w:hAnsi="宋体"/>
                <w:szCs w:val="21"/>
              </w:rPr>
              <w:t>（1）标书内要求监测指标具有全部检测资质得18分；</w:t>
            </w:r>
          </w:p>
          <w:p>
            <w:pPr>
              <w:pStyle w:val="22"/>
              <w:spacing w:line="300" w:lineRule="auto"/>
              <w:jc w:val="left"/>
              <w:rPr>
                <w:rFonts w:hint="eastAsia" w:hAnsi="宋体"/>
                <w:szCs w:val="21"/>
              </w:rPr>
            </w:pPr>
            <w:r>
              <w:rPr>
                <w:rFonts w:hint="eastAsia" w:hAnsi="宋体"/>
                <w:szCs w:val="21"/>
              </w:rPr>
              <w:t>（2）有90%及以上检测资质得</w:t>
            </w:r>
            <w:r>
              <w:rPr>
                <w:rFonts w:hAnsi="宋体"/>
                <w:szCs w:val="21"/>
              </w:rPr>
              <w:t>1</w:t>
            </w:r>
            <w:r>
              <w:rPr>
                <w:rFonts w:hint="eastAsia" w:hAnsi="宋体"/>
                <w:szCs w:val="21"/>
              </w:rPr>
              <w:t>5</w:t>
            </w:r>
            <w:r>
              <w:rPr>
                <w:rFonts w:hAnsi="宋体"/>
                <w:szCs w:val="21"/>
              </w:rPr>
              <w:t>-1</w:t>
            </w:r>
            <w:r>
              <w:rPr>
                <w:rFonts w:hint="eastAsia" w:hAnsi="宋体"/>
                <w:szCs w:val="21"/>
              </w:rPr>
              <w:t>7分；</w:t>
            </w:r>
          </w:p>
          <w:p>
            <w:pPr>
              <w:pStyle w:val="22"/>
              <w:spacing w:line="300" w:lineRule="auto"/>
              <w:jc w:val="left"/>
              <w:rPr>
                <w:rFonts w:hAnsi="宋体"/>
                <w:szCs w:val="21"/>
              </w:rPr>
            </w:pPr>
            <w:r>
              <w:rPr>
                <w:rFonts w:hint="eastAsia" w:hAnsi="宋体"/>
                <w:szCs w:val="21"/>
              </w:rPr>
              <w:t>（3）有80%-90%检测资质得10-15分；</w:t>
            </w:r>
          </w:p>
          <w:p>
            <w:pPr>
              <w:pStyle w:val="22"/>
              <w:spacing w:line="300" w:lineRule="auto"/>
              <w:jc w:val="left"/>
              <w:rPr>
                <w:rFonts w:hint="eastAsia" w:hAnsi="宋体"/>
                <w:szCs w:val="21"/>
              </w:rPr>
            </w:pPr>
            <w:r>
              <w:rPr>
                <w:rFonts w:hint="eastAsia" w:hAnsi="宋体"/>
                <w:szCs w:val="21"/>
              </w:rPr>
              <w:t>（4）检测资质低于80%者不得分；</w:t>
            </w:r>
          </w:p>
          <w:p>
            <w:pPr>
              <w:pStyle w:val="22"/>
              <w:spacing w:line="300" w:lineRule="auto"/>
              <w:jc w:val="left"/>
              <w:rPr>
                <w:rFonts w:hint="eastAsia" w:hAnsi="宋体"/>
                <w:szCs w:val="21"/>
              </w:rPr>
            </w:pPr>
            <w:r>
              <w:rPr>
                <w:rFonts w:hint="eastAsia" w:hAnsi="宋体" w:cs="宋体"/>
                <w:szCs w:val="21"/>
              </w:rPr>
              <w:t>（5）参加山东省环境盲样考核，结果合格及以上得2分（需提供考核结果），其余不得分；</w:t>
            </w:r>
          </w:p>
          <w:p>
            <w:pPr>
              <w:pStyle w:val="22"/>
              <w:spacing w:line="300" w:lineRule="auto"/>
              <w:jc w:val="left"/>
              <w:rPr>
                <w:rFonts w:hAnsi="宋体"/>
                <w:szCs w:val="21"/>
              </w:rPr>
            </w:pPr>
            <w:r>
              <w:rPr>
                <w:rFonts w:hint="eastAsia" w:hAnsi="宋体"/>
                <w:szCs w:val="21"/>
              </w:rPr>
              <w:t>本项最高得20分。</w:t>
            </w:r>
          </w:p>
        </w:tc>
        <w:tc>
          <w:tcPr>
            <w:tcW w:w="994" w:type="pct"/>
            <w:noWrap w:val="0"/>
            <w:vAlign w:val="center"/>
          </w:tcPr>
          <w:p>
            <w:pPr>
              <w:pStyle w:val="22"/>
              <w:spacing w:line="360" w:lineRule="auto"/>
              <w:jc w:val="center"/>
              <w:rPr>
                <w:rFonts w:hint="eastAsia"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pPr>
              <w:pStyle w:val="22"/>
              <w:spacing w:line="360" w:lineRule="auto"/>
              <w:jc w:val="center"/>
              <w:rPr>
                <w:rFonts w:hint="eastAsia" w:hAnsi="宋体"/>
                <w:szCs w:val="21"/>
              </w:rPr>
            </w:pPr>
            <w:r>
              <w:rPr>
                <w:rFonts w:hint="eastAsia" w:hAnsi="宋体"/>
                <w:szCs w:val="21"/>
              </w:rPr>
              <w:t>3</w:t>
            </w:r>
          </w:p>
        </w:tc>
        <w:tc>
          <w:tcPr>
            <w:tcW w:w="662" w:type="pct"/>
            <w:noWrap w:val="0"/>
            <w:vAlign w:val="center"/>
          </w:tcPr>
          <w:p>
            <w:pPr>
              <w:pStyle w:val="22"/>
              <w:spacing w:line="360" w:lineRule="auto"/>
              <w:jc w:val="center"/>
              <w:rPr>
                <w:rFonts w:hint="eastAsia" w:hAnsi="宋体"/>
                <w:szCs w:val="21"/>
              </w:rPr>
            </w:pPr>
            <w:r>
              <w:rPr>
                <w:rFonts w:hint="eastAsia" w:hAnsi="宋体"/>
                <w:szCs w:val="21"/>
              </w:rPr>
              <w:t>同类业绩</w:t>
            </w:r>
          </w:p>
        </w:tc>
        <w:tc>
          <w:tcPr>
            <w:tcW w:w="2889" w:type="pct"/>
            <w:noWrap w:val="0"/>
            <w:vAlign w:val="center"/>
          </w:tcPr>
          <w:p>
            <w:pPr>
              <w:pStyle w:val="22"/>
              <w:spacing w:line="300" w:lineRule="auto"/>
              <w:jc w:val="left"/>
              <w:rPr>
                <w:rFonts w:hint="eastAsia" w:hAnsi="宋体"/>
                <w:szCs w:val="21"/>
              </w:rPr>
            </w:pPr>
            <w:r>
              <w:rPr>
                <w:rFonts w:hint="eastAsia" w:hAnsi="宋体"/>
                <w:szCs w:val="21"/>
              </w:rPr>
              <w:t>提供近三年（202</w:t>
            </w:r>
            <w:r>
              <w:rPr>
                <w:rFonts w:hint="eastAsia" w:hAnsi="宋体"/>
                <w:szCs w:val="21"/>
                <w:lang w:val="en-US" w:eastAsia="zh-CN"/>
              </w:rPr>
              <w:t>2</w:t>
            </w:r>
            <w:r>
              <w:rPr>
                <w:rFonts w:hint="eastAsia" w:hAnsi="宋体"/>
                <w:szCs w:val="21"/>
              </w:rPr>
              <w:t>年1月1日至今，以合同签订时间为准）山东省内地区生产企业环境检测业绩类似业绩，每份合同赋</w:t>
            </w:r>
            <w:r>
              <w:rPr>
                <w:rFonts w:hAnsi="宋体"/>
                <w:szCs w:val="21"/>
              </w:rPr>
              <w:t>2</w:t>
            </w:r>
            <w:r>
              <w:rPr>
                <w:rFonts w:hint="eastAsia" w:hAnsi="宋体"/>
                <w:szCs w:val="21"/>
              </w:rPr>
              <w:t>分，满分</w:t>
            </w:r>
            <w:r>
              <w:rPr>
                <w:rFonts w:hAnsi="宋体"/>
                <w:szCs w:val="21"/>
              </w:rPr>
              <w:t>2</w:t>
            </w:r>
            <w:r>
              <w:rPr>
                <w:rFonts w:hint="eastAsia" w:hAnsi="宋体"/>
                <w:szCs w:val="21"/>
              </w:rPr>
              <w:t>0分。（须提供相应合同原件复印件证明）</w:t>
            </w:r>
          </w:p>
        </w:tc>
        <w:tc>
          <w:tcPr>
            <w:tcW w:w="994" w:type="pct"/>
            <w:noWrap w:val="0"/>
            <w:vAlign w:val="center"/>
          </w:tcPr>
          <w:p>
            <w:pPr>
              <w:pStyle w:val="22"/>
              <w:spacing w:line="360" w:lineRule="auto"/>
              <w:jc w:val="center"/>
              <w:rPr>
                <w:rFonts w:hint="eastAsia"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54" w:type="pct"/>
            <w:noWrap w:val="0"/>
            <w:vAlign w:val="center"/>
          </w:tcPr>
          <w:p>
            <w:pPr>
              <w:pStyle w:val="22"/>
              <w:spacing w:line="360" w:lineRule="auto"/>
              <w:jc w:val="center"/>
              <w:rPr>
                <w:rFonts w:hAnsi="宋体"/>
                <w:szCs w:val="21"/>
              </w:rPr>
            </w:pPr>
            <w:r>
              <w:rPr>
                <w:rFonts w:hint="eastAsia" w:hAnsi="宋体"/>
                <w:szCs w:val="21"/>
              </w:rPr>
              <w:t>4</w:t>
            </w:r>
          </w:p>
        </w:tc>
        <w:tc>
          <w:tcPr>
            <w:tcW w:w="662" w:type="pct"/>
            <w:noWrap w:val="0"/>
            <w:vAlign w:val="center"/>
          </w:tcPr>
          <w:p>
            <w:pPr>
              <w:pStyle w:val="22"/>
              <w:spacing w:line="360" w:lineRule="auto"/>
              <w:jc w:val="center"/>
              <w:rPr>
                <w:rFonts w:hAnsi="宋体"/>
                <w:szCs w:val="21"/>
              </w:rPr>
            </w:pPr>
            <w:r>
              <w:rPr>
                <w:rFonts w:hint="eastAsia" w:hAnsi="宋体"/>
                <w:szCs w:val="21"/>
              </w:rPr>
              <w:t>检测方案</w:t>
            </w:r>
          </w:p>
        </w:tc>
        <w:tc>
          <w:tcPr>
            <w:tcW w:w="2889" w:type="pct"/>
            <w:noWrap w:val="0"/>
            <w:vAlign w:val="center"/>
          </w:tcPr>
          <w:p>
            <w:pPr>
              <w:pStyle w:val="22"/>
              <w:spacing w:line="300" w:lineRule="auto"/>
              <w:jc w:val="left"/>
              <w:rPr>
                <w:rFonts w:hAnsi="宋体"/>
                <w:szCs w:val="21"/>
              </w:rPr>
            </w:pPr>
            <w:r>
              <w:rPr>
                <w:rFonts w:hint="eastAsia" w:hAnsi="宋体"/>
                <w:szCs w:val="21"/>
              </w:rPr>
              <w:t>根据为本项目配备检测人员的数量、检测响应时间、提供</w:t>
            </w:r>
            <w:r>
              <w:rPr>
                <w:rFonts w:hint="eastAsia" w:hAnsi="宋体" w:cs="宋体"/>
                <w:kern w:val="0"/>
                <w:szCs w:val="21"/>
                <w:lang w:bidi="ar"/>
              </w:rPr>
              <w:t>检测服务方案和现场服务承诺的完整性、合理性、专业性和可操作性进行评估：评估优秀的</w:t>
            </w:r>
            <w:r>
              <w:rPr>
                <w:rFonts w:hint="eastAsia" w:hAnsi="宋体"/>
                <w:szCs w:val="21"/>
              </w:rPr>
              <w:t>附</w:t>
            </w:r>
            <w:r>
              <w:rPr>
                <w:rFonts w:hAnsi="宋体" w:cs="宋体"/>
                <w:kern w:val="0"/>
                <w:szCs w:val="21"/>
                <w:lang w:bidi="ar"/>
              </w:rPr>
              <w:t>18</w:t>
            </w:r>
            <w:r>
              <w:rPr>
                <w:rFonts w:hint="eastAsia" w:hAnsi="宋体" w:cs="宋体"/>
                <w:kern w:val="0"/>
                <w:szCs w:val="21"/>
                <w:lang w:bidi="ar"/>
              </w:rPr>
              <w:t>-</w:t>
            </w:r>
            <w:r>
              <w:rPr>
                <w:rFonts w:hAnsi="宋体" w:cs="宋体"/>
                <w:kern w:val="0"/>
                <w:szCs w:val="21"/>
                <w:lang w:bidi="ar"/>
              </w:rPr>
              <w:t>20</w:t>
            </w:r>
            <w:r>
              <w:rPr>
                <w:rFonts w:hint="eastAsia" w:hAnsi="宋体" w:cs="宋体"/>
                <w:kern w:val="0"/>
                <w:szCs w:val="21"/>
                <w:lang w:bidi="ar"/>
              </w:rPr>
              <w:t>分、一般的</w:t>
            </w:r>
            <w:r>
              <w:rPr>
                <w:rFonts w:hint="eastAsia" w:hAnsi="宋体"/>
                <w:szCs w:val="21"/>
              </w:rPr>
              <w:t>附</w:t>
            </w:r>
            <w:r>
              <w:rPr>
                <w:rFonts w:hAnsi="宋体" w:cs="宋体"/>
                <w:kern w:val="0"/>
                <w:szCs w:val="21"/>
                <w:lang w:bidi="ar"/>
              </w:rPr>
              <w:t>15</w:t>
            </w:r>
            <w:r>
              <w:rPr>
                <w:rFonts w:hint="eastAsia" w:hAnsi="宋体" w:cs="宋体"/>
                <w:kern w:val="0"/>
                <w:szCs w:val="21"/>
                <w:lang w:bidi="ar"/>
              </w:rPr>
              <w:t>-</w:t>
            </w:r>
            <w:r>
              <w:rPr>
                <w:rFonts w:hAnsi="宋体" w:cs="宋体"/>
                <w:kern w:val="0"/>
                <w:szCs w:val="21"/>
                <w:lang w:bidi="ar"/>
              </w:rPr>
              <w:t>17</w:t>
            </w:r>
            <w:r>
              <w:rPr>
                <w:rFonts w:hint="eastAsia" w:hAnsi="宋体" w:cs="宋体"/>
                <w:kern w:val="0"/>
                <w:szCs w:val="21"/>
                <w:lang w:bidi="ar"/>
              </w:rPr>
              <w:t>分、较差的</w:t>
            </w:r>
            <w:r>
              <w:rPr>
                <w:rFonts w:hint="eastAsia" w:hAnsi="宋体"/>
                <w:szCs w:val="21"/>
              </w:rPr>
              <w:t>附</w:t>
            </w:r>
            <w:r>
              <w:rPr>
                <w:rFonts w:hAnsi="宋体" w:cs="宋体"/>
                <w:kern w:val="0"/>
                <w:szCs w:val="21"/>
                <w:lang w:bidi="ar"/>
              </w:rPr>
              <w:t>0</w:t>
            </w:r>
            <w:r>
              <w:rPr>
                <w:rFonts w:hint="eastAsia" w:hAnsi="宋体" w:cs="宋体"/>
                <w:kern w:val="0"/>
                <w:szCs w:val="21"/>
                <w:lang w:bidi="ar"/>
              </w:rPr>
              <w:t>-</w:t>
            </w:r>
            <w:r>
              <w:rPr>
                <w:rFonts w:hAnsi="宋体" w:cs="宋体"/>
                <w:kern w:val="0"/>
                <w:szCs w:val="21"/>
                <w:lang w:bidi="ar"/>
              </w:rPr>
              <w:t>14</w:t>
            </w:r>
            <w:r>
              <w:rPr>
                <w:rFonts w:hint="eastAsia" w:hAnsi="宋体" w:cs="宋体"/>
                <w:kern w:val="0"/>
                <w:szCs w:val="21"/>
                <w:lang w:bidi="ar"/>
              </w:rPr>
              <w:t>分；</w:t>
            </w:r>
          </w:p>
        </w:tc>
        <w:tc>
          <w:tcPr>
            <w:tcW w:w="994" w:type="pct"/>
            <w:noWrap w:val="0"/>
            <w:vAlign w:val="center"/>
          </w:tcPr>
          <w:p>
            <w:pPr>
              <w:pStyle w:val="22"/>
              <w:spacing w:line="360" w:lineRule="auto"/>
              <w:jc w:val="center"/>
              <w:rPr>
                <w:rFonts w:hAnsi="宋体"/>
                <w:szCs w:val="21"/>
              </w:rPr>
            </w:pPr>
            <w:r>
              <w:rPr>
                <w:rFonts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454" w:type="pct"/>
            <w:noWrap w:val="0"/>
            <w:vAlign w:val="center"/>
          </w:tcPr>
          <w:p>
            <w:pPr>
              <w:pStyle w:val="22"/>
              <w:spacing w:line="360" w:lineRule="auto"/>
              <w:jc w:val="center"/>
              <w:rPr>
                <w:rFonts w:hAnsi="宋体"/>
                <w:szCs w:val="21"/>
              </w:rPr>
            </w:pPr>
            <w:r>
              <w:rPr>
                <w:rFonts w:hint="eastAsia" w:hAnsi="宋体"/>
                <w:szCs w:val="21"/>
              </w:rPr>
              <w:t>5</w:t>
            </w:r>
          </w:p>
        </w:tc>
        <w:tc>
          <w:tcPr>
            <w:tcW w:w="662" w:type="pct"/>
            <w:noWrap w:val="0"/>
            <w:vAlign w:val="center"/>
          </w:tcPr>
          <w:p>
            <w:pPr>
              <w:pStyle w:val="22"/>
              <w:spacing w:line="360" w:lineRule="auto"/>
              <w:jc w:val="center"/>
              <w:rPr>
                <w:rFonts w:hAnsi="宋体"/>
                <w:szCs w:val="21"/>
              </w:rPr>
            </w:pPr>
            <w:r>
              <w:rPr>
                <w:rFonts w:hint="eastAsia" w:hAnsi="宋体"/>
                <w:szCs w:val="21"/>
              </w:rPr>
              <w:t>交货期</w:t>
            </w:r>
          </w:p>
        </w:tc>
        <w:tc>
          <w:tcPr>
            <w:tcW w:w="2889" w:type="pct"/>
            <w:noWrap w:val="0"/>
            <w:vAlign w:val="center"/>
          </w:tcPr>
          <w:p>
            <w:pPr>
              <w:pStyle w:val="22"/>
              <w:spacing w:line="360" w:lineRule="auto"/>
              <w:rPr>
                <w:rFonts w:hint="eastAsia" w:hAnsi="宋体"/>
                <w:szCs w:val="21"/>
              </w:rPr>
            </w:pPr>
            <w:r>
              <w:rPr>
                <w:rFonts w:hint="eastAsia" w:hAnsi="宋体"/>
                <w:szCs w:val="21"/>
              </w:rPr>
              <w:t>检测后5个工作日内出具报告得8分，每多一天扣1分。</w:t>
            </w:r>
          </w:p>
          <w:p>
            <w:pPr>
              <w:pStyle w:val="22"/>
              <w:spacing w:line="360" w:lineRule="auto"/>
              <w:jc w:val="left"/>
              <w:rPr>
                <w:rFonts w:hAnsi="宋体"/>
                <w:szCs w:val="21"/>
              </w:rPr>
            </w:pPr>
            <w:r>
              <w:rPr>
                <w:rFonts w:hint="eastAsia" w:hAnsi="宋体"/>
                <w:szCs w:val="21"/>
              </w:rPr>
              <w:t>临时（应急）采样任务</w:t>
            </w:r>
            <w:r>
              <w:rPr>
                <w:rFonts w:hAnsi="宋体"/>
                <w:szCs w:val="21"/>
              </w:rPr>
              <w:t>2</w:t>
            </w:r>
            <w:r>
              <w:rPr>
                <w:rFonts w:hint="eastAsia" w:hAnsi="宋体"/>
                <w:szCs w:val="21"/>
              </w:rPr>
              <w:t>小时内到达采样现场附</w:t>
            </w:r>
            <w:r>
              <w:rPr>
                <w:rFonts w:hAnsi="宋体"/>
                <w:szCs w:val="21"/>
              </w:rPr>
              <w:t>2</w:t>
            </w:r>
            <w:r>
              <w:rPr>
                <w:rFonts w:hint="eastAsia" w:hAnsi="宋体"/>
                <w:szCs w:val="21"/>
              </w:rPr>
              <w:t>分，超过</w:t>
            </w:r>
            <w:r>
              <w:rPr>
                <w:rFonts w:hAnsi="宋体"/>
                <w:szCs w:val="21"/>
              </w:rPr>
              <w:t>2</w:t>
            </w:r>
            <w:r>
              <w:rPr>
                <w:rFonts w:hint="eastAsia" w:hAnsi="宋体"/>
                <w:szCs w:val="21"/>
              </w:rPr>
              <w:t>小时不得分。</w:t>
            </w:r>
          </w:p>
        </w:tc>
        <w:tc>
          <w:tcPr>
            <w:tcW w:w="994" w:type="pct"/>
            <w:noWrap w:val="0"/>
            <w:vAlign w:val="center"/>
          </w:tcPr>
          <w:p>
            <w:pPr>
              <w:pStyle w:val="22"/>
              <w:spacing w:line="360" w:lineRule="auto"/>
              <w:jc w:val="center"/>
              <w:rPr>
                <w:rFonts w:hAnsi="宋体"/>
                <w:szCs w:val="21"/>
              </w:rPr>
            </w:pPr>
            <w:r>
              <w:rPr>
                <w:rFonts w:hint="eastAsia" w:hAnsi="宋体"/>
                <w:szCs w:val="21"/>
              </w:rPr>
              <w:t>10</w:t>
            </w:r>
          </w:p>
        </w:tc>
      </w:tr>
    </w:tbl>
    <w:p>
      <w:pPr>
        <w:jc w:val="right"/>
        <w:rPr>
          <w:rFonts w:hint="eastAsia" w:asciiTheme="minorEastAsia" w:hAnsiTheme="minorEastAsia" w:cstheme="minorEastAsia"/>
          <w:sz w:val="20"/>
          <w:szCs w:val="20"/>
        </w:rPr>
      </w:pPr>
    </w:p>
    <w:p>
      <w:pPr>
        <w:rPr>
          <w:rFonts w:hint="eastAsia"/>
        </w:rPr>
      </w:pPr>
      <w:r>
        <w:rPr>
          <w:rFonts w:hint="eastAsia"/>
        </w:rPr>
        <w:br w:type="page"/>
      </w:r>
    </w:p>
    <w:p>
      <w:pPr>
        <w:rPr>
          <w:rFonts w:hint="eastAsia" w:ascii="宋体" w:hAnsi="宋体" w:eastAsia="宋体" w:cs="宋体"/>
          <w:b/>
          <w:bCs/>
          <w:sz w:val="24"/>
          <w:szCs w:val="24"/>
        </w:rPr>
      </w:pPr>
      <w:r>
        <w:rPr>
          <w:rFonts w:hint="eastAsia" w:ascii="宋体" w:hAnsi="宋体" w:eastAsia="宋体" w:cs="宋体"/>
          <w:b/>
          <w:bCs/>
          <w:sz w:val="24"/>
          <w:szCs w:val="24"/>
        </w:rPr>
        <w:t>附件1</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企业概况及服务承诺一览表</w:t>
      </w:r>
    </w:p>
    <w:p>
      <w:pPr>
        <w:rPr>
          <w:rFonts w:hint="eastAsia" w:ascii="宋体" w:hAnsi="宋体"/>
        </w:rPr>
      </w:pPr>
    </w:p>
    <w:p>
      <w:pPr>
        <w:rPr>
          <w:rFonts w:hint="eastAsia" w:ascii="宋体" w:hAnsi="宋体"/>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pPr>
        <w:rPr>
          <w:rFonts w:hint="eastAsia" w:ascii="宋体" w:hAnsi="宋体"/>
          <w:szCs w:val="21"/>
        </w:rPr>
      </w:pPr>
    </w:p>
    <w:p>
      <w:pPr>
        <w:rPr>
          <w:rFonts w:hint="eastAsia" w:eastAsia="黑体"/>
          <w:b/>
          <w:bCs/>
          <w:sz w:val="28"/>
        </w:rPr>
      </w:pPr>
      <w:r>
        <w:rPr>
          <w:rFonts w:hint="eastAsia" w:ascii="宋体" w:hAnsi="宋体"/>
          <w:szCs w:val="21"/>
        </w:rPr>
        <w:t>日期：  年   月   日</w:t>
      </w:r>
    </w:p>
    <w:p>
      <w:pPr>
        <w:jc w:val="center"/>
        <w:rPr>
          <w:rFonts w:hint="eastAsia" w:eastAsia="黑体"/>
          <w:b/>
          <w:bCs/>
          <w:sz w:val="28"/>
        </w:rPr>
      </w:pPr>
      <w:r>
        <w:rPr>
          <w:rFonts w:hint="eastAsia" w:eastAsia="黑体"/>
          <w:b/>
          <w:bCs/>
          <w:sz w:val="28"/>
        </w:rPr>
        <w:t>企业概况及服务承诺一览表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pPr>
              <w:jc w:val="center"/>
              <w:rPr>
                <w:rFonts w:hint="eastAsia" w:ascii="宋体" w:hAnsi="宋体"/>
                <w:sz w:val="24"/>
              </w:rPr>
            </w:pPr>
          </w:p>
        </w:tc>
        <w:tc>
          <w:tcPr>
            <w:tcW w:w="1276" w:type="dxa"/>
            <w:gridSpan w:val="3"/>
            <w:noWrap w:val="0"/>
            <w:vAlign w:val="center"/>
          </w:tcPr>
          <w:p>
            <w:pPr>
              <w:rPr>
                <w:rFonts w:hint="eastAsia" w:ascii="宋体" w:hAnsi="宋体"/>
                <w:sz w:val="24"/>
              </w:rPr>
            </w:pPr>
            <w:r>
              <w:rPr>
                <w:rFonts w:hint="eastAsia" w:ascii="宋体" w:hAnsi="宋体"/>
                <w:sz w:val="24"/>
              </w:rPr>
              <w:t>成立时间</w:t>
            </w:r>
          </w:p>
        </w:tc>
        <w:tc>
          <w:tcPr>
            <w:tcW w:w="1400" w:type="dxa"/>
            <w:noWrap w:val="0"/>
            <w:vAlign w:val="center"/>
          </w:tcPr>
          <w:p>
            <w:pPr>
              <w:rPr>
                <w:rFonts w:hint="eastAsia" w:ascii="宋体" w:hAnsi="宋体"/>
                <w:sz w:val="24"/>
              </w:rPr>
            </w:pPr>
          </w:p>
        </w:tc>
        <w:tc>
          <w:tcPr>
            <w:tcW w:w="1293" w:type="dxa"/>
            <w:noWrap w:val="0"/>
            <w:vAlign w:val="center"/>
          </w:tcPr>
          <w:p>
            <w:pPr>
              <w:rPr>
                <w:rFonts w:hint="eastAsia" w:ascii="宋体" w:hAnsi="宋体"/>
                <w:sz w:val="24"/>
              </w:rPr>
            </w:pPr>
            <w:r>
              <w:rPr>
                <w:rFonts w:hint="eastAsia" w:ascii="宋体" w:hAnsi="宋体"/>
                <w:sz w:val="24"/>
              </w:rPr>
              <w:t>注册资本</w:t>
            </w:r>
          </w:p>
        </w:tc>
        <w:tc>
          <w:tcPr>
            <w:tcW w:w="2263" w:type="dxa"/>
            <w:gridSpan w:val="2"/>
            <w:noWrap w:val="0"/>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pPr>
              <w:jc w:val="right"/>
              <w:rPr>
                <w:rFonts w:hint="eastAsia" w:ascii="宋体" w:hAnsi="宋体"/>
                <w:sz w:val="24"/>
              </w:rPr>
            </w:pPr>
            <w:r>
              <w:rPr>
                <w:rFonts w:hint="eastAsia" w:ascii="宋体" w:hAnsi="宋体"/>
                <w:sz w:val="24"/>
              </w:rPr>
              <w:t>人</w:t>
            </w:r>
          </w:p>
        </w:tc>
        <w:tc>
          <w:tcPr>
            <w:tcW w:w="3970" w:type="dxa"/>
            <w:gridSpan w:val="4"/>
            <w:noWrap w:val="0"/>
            <w:vAlign w:val="center"/>
          </w:tcPr>
          <w:p>
            <w:pPr>
              <w:rPr>
                <w:rFonts w:hint="eastAsia" w:ascii="宋体" w:hAnsi="宋体"/>
                <w:sz w:val="24"/>
              </w:rPr>
            </w:pPr>
            <w:r>
              <w:rPr>
                <w:rFonts w:hint="eastAsia" w:ascii="宋体" w:hAnsi="宋体"/>
                <w:sz w:val="24"/>
              </w:rPr>
              <w:t>专业从事环境检测持证员工人数</w:t>
            </w:r>
          </w:p>
        </w:tc>
        <w:tc>
          <w:tcPr>
            <w:tcW w:w="1554" w:type="dxa"/>
            <w:noWrap w:val="0"/>
            <w:vAlign w:val="center"/>
          </w:tcPr>
          <w:p>
            <w:pPr>
              <w:jc w:val="right"/>
              <w:rPr>
                <w:rFonts w:hint="eastAsia"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pPr>
              <w:jc w:val="righ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ascii="宋体" w:hAnsi="宋体"/>
                <w:sz w:val="24"/>
              </w:rPr>
            </w:pPr>
            <w:r>
              <w:rPr>
                <w:rFonts w:hint="eastAsia" w:ascii="宋体" w:hAnsi="宋体"/>
                <w:sz w:val="24"/>
              </w:rPr>
              <w:t>公司现有主要检测设备、实验室数量及规模等、具有自行检测资质的指标。</w:t>
            </w:r>
          </w:p>
        </w:tc>
        <w:tc>
          <w:tcPr>
            <w:tcW w:w="7493" w:type="dxa"/>
            <w:gridSpan w:val="8"/>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sz w:val="24"/>
              </w:rPr>
            </w:pPr>
            <w:r>
              <w:rPr>
                <w:rFonts w:hint="eastAsia" w:ascii="宋体" w:hAnsi="宋体"/>
                <w:sz w:val="24"/>
              </w:rPr>
              <w:t>针对本招标项目的服务方案及承诺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pPr>
              <w:jc w:val="center"/>
              <w:rPr>
                <w:rFonts w:hint="eastAsia" w:ascii="宋体" w:hAnsi="宋体"/>
                <w:sz w:val="24"/>
              </w:rPr>
            </w:pPr>
            <w:r>
              <w:rPr>
                <w:rFonts w:hint="eastAsia" w:ascii="宋体" w:hAnsi="宋体"/>
                <w:sz w:val="24"/>
              </w:rPr>
              <w:t>检测人员（名）</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sz w:val="24"/>
              </w:rPr>
            </w:pPr>
          </w:p>
        </w:tc>
        <w:tc>
          <w:tcPr>
            <w:tcW w:w="1730" w:type="dxa"/>
            <w:gridSpan w:val="4"/>
            <w:noWrap w:val="0"/>
            <w:vAlign w:val="center"/>
          </w:tcPr>
          <w:p>
            <w:pPr>
              <w:jc w:val="center"/>
              <w:rPr>
                <w:rFonts w:hint="eastAsia" w:ascii="宋体" w:hAnsi="宋体"/>
                <w:sz w:val="24"/>
              </w:rPr>
            </w:pPr>
            <w:r>
              <w:rPr>
                <w:rFonts w:hint="eastAsia" w:ascii="宋体" w:hAnsi="宋体"/>
                <w:sz w:val="24"/>
              </w:rPr>
              <w:t>实验设备（功能、型号、数量）</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sz w:val="24"/>
              </w:rPr>
            </w:pPr>
          </w:p>
        </w:tc>
        <w:tc>
          <w:tcPr>
            <w:tcW w:w="1730" w:type="dxa"/>
            <w:gridSpan w:val="4"/>
            <w:noWrap w:val="0"/>
            <w:vAlign w:val="center"/>
          </w:tcPr>
          <w:p>
            <w:pPr>
              <w:jc w:val="center"/>
              <w:rPr>
                <w:rFonts w:hint="eastAsia" w:ascii="宋体" w:hAnsi="宋体"/>
                <w:sz w:val="24"/>
              </w:rPr>
            </w:pPr>
            <w:r>
              <w:rPr>
                <w:rFonts w:hint="eastAsia" w:ascii="宋体" w:hAnsi="宋体"/>
                <w:sz w:val="24"/>
              </w:rPr>
              <w:t>检测设备（功能、型号、数量）</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sz w:val="24"/>
              </w:rPr>
            </w:pPr>
          </w:p>
        </w:tc>
        <w:tc>
          <w:tcPr>
            <w:tcW w:w="1730" w:type="dxa"/>
            <w:gridSpan w:val="4"/>
            <w:noWrap w:val="0"/>
            <w:vAlign w:val="center"/>
          </w:tcPr>
          <w:p>
            <w:pPr>
              <w:jc w:val="center"/>
              <w:rPr>
                <w:rFonts w:hint="eastAsia" w:ascii="宋体" w:hAnsi="宋体"/>
                <w:sz w:val="24"/>
                <w:szCs w:val="24"/>
              </w:rPr>
            </w:pPr>
            <w:r>
              <w:rPr>
                <w:rFonts w:hint="eastAsia" w:ascii="宋体" w:hAnsi="宋体"/>
                <w:sz w:val="24"/>
              </w:rPr>
              <w:t>车辆（品牌、型号、数量）</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sz w:val="24"/>
              </w:rPr>
            </w:pPr>
          </w:p>
        </w:tc>
        <w:tc>
          <w:tcPr>
            <w:tcW w:w="1730" w:type="dxa"/>
            <w:gridSpan w:val="4"/>
            <w:noWrap w:val="0"/>
            <w:vAlign w:val="center"/>
          </w:tcPr>
          <w:p>
            <w:pPr>
              <w:jc w:val="center"/>
              <w:rPr>
                <w:rFonts w:hint="eastAsia" w:ascii="宋体" w:hAnsi="宋体"/>
                <w:sz w:val="24"/>
              </w:rPr>
            </w:pPr>
            <w:r>
              <w:rPr>
                <w:rFonts w:ascii="宋体" w:hAnsi="宋体"/>
                <w:sz w:val="24"/>
              </w:rPr>
              <w:t>……</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sz w:val="24"/>
              </w:rPr>
            </w:pPr>
            <w:r>
              <w:rPr>
                <w:rFonts w:hint="eastAsia" w:ascii="宋体" w:hAnsi="宋体"/>
                <w:sz w:val="24"/>
              </w:rPr>
              <w:t>其他</w:t>
            </w:r>
          </w:p>
        </w:tc>
        <w:tc>
          <w:tcPr>
            <w:tcW w:w="1730" w:type="dxa"/>
            <w:gridSpan w:val="4"/>
            <w:noWrap w:val="0"/>
            <w:vAlign w:val="center"/>
          </w:tcPr>
          <w:p>
            <w:pPr>
              <w:jc w:val="center"/>
              <w:rPr>
                <w:rFonts w:hint="eastAsia" w:ascii="宋体" w:hAnsi="宋体"/>
                <w:sz w:val="24"/>
              </w:rPr>
            </w:pPr>
            <w:r>
              <w:rPr>
                <w:rFonts w:ascii="宋体" w:hAnsi="宋体"/>
                <w:sz w:val="24"/>
              </w:rPr>
              <w:t>……</w:t>
            </w:r>
          </w:p>
        </w:tc>
        <w:tc>
          <w:tcPr>
            <w:tcW w:w="6205" w:type="dxa"/>
            <w:gridSpan w:val="6"/>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sz w:val="24"/>
              </w:rPr>
            </w:pPr>
          </w:p>
        </w:tc>
        <w:tc>
          <w:tcPr>
            <w:tcW w:w="1730" w:type="dxa"/>
            <w:gridSpan w:val="4"/>
            <w:noWrap w:val="0"/>
            <w:vAlign w:val="center"/>
          </w:tcPr>
          <w:p>
            <w:pPr>
              <w:jc w:val="center"/>
              <w:rPr>
                <w:rFonts w:hint="eastAsia" w:ascii="宋体" w:hAnsi="宋体"/>
                <w:sz w:val="24"/>
              </w:rPr>
            </w:pPr>
            <w:r>
              <w:rPr>
                <w:rFonts w:ascii="宋体" w:hAnsi="宋体"/>
                <w:sz w:val="24"/>
              </w:rPr>
              <w:t>……</w:t>
            </w:r>
          </w:p>
        </w:tc>
        <w:tc>
          <w:tcPr>
            <w:tcW w:w="6205" w:type="dxa"/>
            <w:gridSpan w:val="6"/>
            <w:noWrap w:val="0"/>
            <w:vAlign w:val="center"/>
          </w:tcPr>
          <w:p>
            <w:pPr>
              <w:jc w:val="center"/>
              <w:rPr>
                <w:rFonts w:hint="eastAsia" w:ascii="宋体" w:hAnsi="宋体"/>
                <w:sz w:val="24"/>
              </w:rPr>
            </w:pPr>
          </w:p>
        </w:tc>
      </w:tr>
    </w:tbl>
    <w:p>
      <w:pPr>
        <w:pStyle w:val="22"/>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22"/>
        <w:spacing w:line="360" w:lineRule="auto"/>
        <w:ind w:left="707" w:leftChars="115" w:hanging="466" w:hangingChars="194"/>
        <w:rPr>
          <w:rFonts w:hint="eastAsia" w:hAnsi="宋体"/>
          <w:b/>
          <w:sz w:val="24"/>
        </w:rPr>
      </w:pPr>
    </w:p>
    <w:p>
      <w:pPr>
        <w:pStyle w:val="22"/>
        <w:spacing w:line="360" w:lineRule="auto"/>
        <w:ind w:left="707" w:leftChars="115" w:hanging="466"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22"/>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2.投标人可在上表内容基础上，酌情自行增加相关条目，以便更好的满足项目开展之需要,有助于技术评标得分较高。</w:t>
      </w:r>
    </w:p>
    <w:p>
      <w:pPr>
        <w:rPr>
          <w:rFonts w:hint="eastAsia" w:hAnsi="宋体"/>
          <w:sz w:val="24"/>
        </w:rPr>
      </w:pPr>
      <w:r>
        <w:rPr>
          <w:rFonts w:hint="eastAsia" w:hAnsi="宋体"/>
          <w:sz w:val="24"/>
        </w:rPr>
        <w:br w:type="page"/>
      </w:r>
    </w:p>
    <w:p>
      <w:pPr>
        <w:pStyle w:val="22"/>
        <w:spacing w:line="360" w:lineRule="auto"/>
        <w:ind w:left="661" w:leftChars="315"/>
        <w:rPr>
          <w:rFonts w:hint="eastAsia" w:hAnsi="宋体"/>
          <w:sz w:val="24"/>
        </w:rPr>
      </w:pPr>
    </w:p>
    <w:p>
      <w:pPr>
        <w:rPr>
          <w:rFonts w:hint="eastAsia"/>
        </w:rPr>
      </w:pPr>
    </w:p>
    <w:p>
      <w:pPr>
        <w:rPr>
          <w:rFonts w:hint="eastAsia" w:ascii="宋体" w:hAnsi="宋体" w:eastAsia="宋体" w:cs="宋体"/>
          <w:b/>
          <w:bCs/>
          <w:sz w:val="24"/>
          <w:szCs w:val="24"/>
        </w:rPr>
      </w:pPr>
      <w:r>
        <w:rPr>
          <w:rFonts w:hint="eastAsia" w:ascii="宋体" w:hAnsi="宋体" w:eastAsia="宋体" w:cs="宋体"/>
          <w:b/>
          <w:bCs/>
          <w:sz w:val="24"/>
          <w:szCs w:val="24"/>
        </w:rPr>
        <w:t>附件1</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 xml:space="preserve">       </w:t>
      </w:r>
    </w:p>
    <w:p>
      <w:pPr>
        <w:rPr>
          <w:rFonts w:hint="eastAsia" w:ascii="宋体" w:hAnsi="宋体"/>
        </w:rPr>
      </w:pPr>
      <w:r>
        <w:rPr>
          <w:rFonts w:hint="eastAsia" w:ascii="宋体" w:hAnsi="宋体"/>
        </w:rPr>
        <w:t>项目名称：</w:t>
      </w:r>
      <w:r>
        <w:rPr>
          <w:rFonts w:hint="eastAsia" w:ascii="宋体" w:hAnsi="宋体"/>
          <w:u w:val="single"/>
        </w:rPr>
        <w:t>中国重型汽车集团有限公司驻济单位 202</w:t>
      </w:r>
      <w:r>
        <w:rPr>
          <w:rFonts w:hint="eastAsia" w:ascii="宋体" w:hAnsi="宋体"/>
          <w:u w:val="single"/>
          <w:lang w:val="en-US" w:eastAsia="zh-CN"/>
        </w:rPr>
        <w:t>6</w:t>
      </w:r>
      <w:r>
        <w:rPr>
          <w:rFonts w:hint="eastAsia" w:ascii="宋体" w:hAnsi="宋体"/>
          <w:u w:val="single"/>
        </w:rPr>
        <w:t xml:space="preserve"> 年环境监测项目 </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pStyle w:val="123"/>
        <w:ind w:firstLine="0" w:firstLineChars="0"/>
        <w:jc w:val="center"/>
        <w:rPr>
          <w:rFonts w:hint="eastAsia"/>
        </w:rPr>
      </w:pPr>
    </w:p>
    <w:p>
      <w:pPr>
        <w:pStyle w:val="123"/>
        <w:ind w:firstLine="0" w:firstLineChars="0"/>
        <w:jc w:val="center"/>
      </w:pPr>
      <w:r>
        <w:rPr>
          <w:rFonts w:hint="eastAsia"/>
        </w:rPr>
        <w:t>近三年山东地区环境监测项目业绩一览表</w:t>
      </w:r>
    </w:p>
    <w:p>
      <w:pPr>
        <w:rPr>
          <w:rFonts w:hint="eastAsia" w:ascii="黑体" w:eastAsia="黑体"/>
          <w:b/>
          <w:bCs/>
          <w:sz w:val="36"/>
          <w:szCs w:val="36"/>
        </w:rPr>
      </w:pPr>
      <w:r>
        <w:rPr>
          <w:rFonts w:hint="eastAsia"/>
        </w:rPr>
        <w:t xml:space="preserve">                                          </w:t>
      </w:r>
    </w:p>
    <w:tbl>
      <w:tblPr>
        <w:tblStyle w:val="41"/>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176"/>
        <w:gridCol w:w="1317"/>
        <w:gridCol w:w="1194"/>
        <w:gridCol w:w="1225"/>
        <w:gridCol w:w="1513"/>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center"/>
          </w:tcPr>
          <w:p>
            <w:pPr>
              <w:pStyle w:val="31"/>
              <w:jc w:val="center"/>
              <w:rPr>
                <w:rFonts w:hint="eastAsia" w:ascii="宋体" w:hAnsi="宋体"/>
                <w:b/>
                <w:szCs w:val="21"/>
              </w:rPr>
            </w:pPr>
            <w:r>
              <w:rPr>
                <w:rFonts w:hint="eastAsia" w:ascii="宋体" w:hAnsi="宋体"/>
                <w:b/>
                <w:szCs w:val="21"/>
              </w:rPr>
              <w:t>序号</w:t>
            </w:r>
          </w:p>
        </w:tc>
        <w:tc>
          <w:tcPr>
            <w:tcW w:w="2176" w:type="dxa"/>
            <w:noWrap w:val="0"/>
            <w:vAlign w:val="center"/>
          </w:tcPr>
          <w:p>
            <w:pPr>
              <w:pStyle w:val="31"/>
              <w:jc w:val="center"/>
              <w:rPr>
                <w:rFonts w:hint="eastAsia" w:ascii="宋体" w:hAnsi="宋体"/>
                <w:b/>
                <w:szCs w:val="21"/>
              </w:rPr>
            </w:pPr>
            <w:r>
              <w:rPr>
                <w:rFonts w:hint="eastAsia" w:ascii="宋体" w:hAnsi="宋体"/>
                <w:b/>
                <w:szCs w:val="21"/>
              </w:rPr>
              <w:t>服务单位</w:t>
            </w:r>
          </w:p>
        </w:tc>
        <w:tc>
          <w:tcPr>
            <w:tcW w:w="1317" w:type="dxa"/>
            <w:noWrap w:val="0"/>
            <w:vAlign w:val="center"/>
          </w:tcPr>
          <w:p>
            <w:pPr>
              <w:pStyle w:val="31"/>
              <w:jc w:val="center"/>
              <w:rPr>
                <w:rFonts w:hint="eastAsia" w:ascii="宋体" w:hAnsi="宋体"/>
                <w:b/>
                <w:szCs w:val="21"/>
              </w:rPr>
            </w:pPr>
            <w:r>
              <w:rPr>
                <w:rFonts w:hint="eastAsia" w:ascii="宋体" w:hAnsi="宋体"/>
                <w:b/>
                <w:szCs w:val="21"/>
              </w:rPr>
              <w:t>项目名称</w:t>
            </w:r>
          </w:p>
        </w:tc>
        <w:tc>
          <w:tcPr>
            <w:tcW w:w="1194" w:type="dxa"/>
            <w:noWrap w:val="0"/>
            <w:vAlign w:val="center"/>
          </w:tcPr>
          <w:p>
            <w:pPr>
              <w:pStyle w:val="31"/>
              <w:ind w:left="0" w:firstLine="0"/>
              <w:jc w:val="center"/>
              <w:rPr>
                <w:rFonts w:ascii="宋体" w:hAnsi="宋体"/>
                <w:b/>
                <w:szCs w:val="21"/>
              </w:rPr>
            </w:pPr>
            <w:r>
              <w:rPr>
                <w:rFonts w:hint="eastAsia" w:ascii="宋体" w:hAnsi="宋体"/>
                <w:b/>
                <w:szCs w:val="21"/>
              </w:rPr>
              <w:t>涉及种类</w:t>
            </w:r>
          </w:p>
        </w:tc>
        <w:tc>
          <w:tcPr>
            <w:tcW w:w="1225" w:type="dxa"/>
            <w:noWrap w:val="0"/>
            <w:vAlign w:val="center"/>
          </w:tcPr>
          <w:p>
            <w:pPr>
              <w:pStyle w:val="31"/>
              <w:ind w:left="0" w:firstLine="0"/>
              <w:jc w:val="center"/>
              <w:rPr>
                <w:rFonts w:hint="eastAsia" w:ascii="宋体" w:hAnsi="宋体"/>
                <w:b/>
                <w:szCs w:val="21"/>
              </w:rPr>
            </w:pPr>
            <w:r>
              <w:rPr>
                <w:rFonts w:hint="eastAsia" w:ascii="宋体" w:hAnsi="宋体"/>
                <w:b/>
                <w:szCs w:val="21"/>
              </w:rPr>
              <w:t>合同金额（万元）</w:t>
            </w:r>
          </w:p>
        </w:tc>
        <w:tc>
          <w:tcPr>
            <w:tcW w:w="1513" w:type="dxa"/>
            <w:noWrap w:val="0"/>
            <w:vAlign w:val="center"/>
          </w:tcPr>
          <w:p>
            <w:pPr>
              <w:pStyle w:val="31"/>
              <w:ind w:left="0" w:firstLine="0"/>
              <w:jc w:val="center"/>
              <w:rPr>
                <w:rFonts w:hint="eastAsia" w:ascii="宋体" w:hAnsi="宋体"/>
                <w:b/>
                <w:szCs w:val="21"/>
              </w:rPr>
            </w:pPr>
            <w:r>
              <w:rPr>
                <w:rFonts w:hint="eastAsia" w:ascii="宋体" w:hAnsi="宋体"/>
                <w:b/>
                <w:szCs w:val="21"/>
              </w:rPr>
              <w:t>合同签订时间</w:t>
            </w:r>
          </w:p>
        </w:tc>
        <w:tc>
          <w:tcPr>
            <w:tcW w:w="1164" w:type="dxa"/>
            <w:noWrap w:val="0"/>
            <w:vAlign w:val="center"/>
          </w:tcPr>
          <w:p>
            <w:pPr>
              <w:pStyle w:val="31"/>
              <w:jc w:val="center"/>
              <w:rPr>
                <w:rFonts w:hint="eastAsia" w:ascii="宋体" w:hAnsi="宋体"/>
                <w:b/>
                <w:szCs w:val="21"/>
              </w:rPr>
            </w:pPr>
            <w:r>
              <w:rPr>
                <w:rFonts w:hint="eastAsia" w:ascii="宋体" w:hAnsi="宋体"/>
                <w:b/>
                <w:szCs w:val="21"/>
              </w:rPr>
              <w:t>联系人及</w:t>
            </w:r>
          </w:p>
          <w:p>
            <w:pPr>
              <w:pStyle w:val="31"/>
              <w:jc w:val="center"/>
              <w:rPr>
                <w:rFonts w:hint="eastAsia"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pPr>
              <w:pStyle w:val="31"/>
              <w:rPr>
                <w:rFonts w:hint="eastAsia" w:ascii="宋体" w:hAnsi="宋体"/>
                <w:b/>
              </w:rPr>
            </w:pPr>
          </w:p>
        </w:tc>
        <w:tc>
          <w:tcPr>
            <w:tcW w:w="2176" w:type="dxa"/>
            <w:noWrap w:val="0"/>
            <w:vAlign w:val="top"/>
          </w:tcPr>
          <w:p>
            <w:pPr>
              <w:pStyle w:val="31"/>
              <w:rPr>
                <w:rFonts w:hint="eastAsia" w:ascii="宋体" w:hAnsi="宋体"/>
                <w:b/>
              </w:rPr>
            </w:pPr>
          </w:p>
        </w:tc>
        <w:tc>
          <w:tcPr>
            <w:tcW w:w="1317" w:type="dxa"/>
            <w:noWrap w:val="0"/>
            <w:vAlign w:val="top"/>
          </w:tcPr>
          <w:p>
            <w:pPr>
              <w:pStyle w:val="31"/>
              <w:rPr>
                <w:rFonts w:hint="eastAsia" w:ascii="宋体" w:hAnsi="宋体"/>
                <w:b/>
              </w:rPr>
            </w:pPr>
          </w:p>
        </w:tc>
        <w:tc>
          <w:tcPr>
            <w:tcW w:w="1194" w:type="dxa"/>
            <w:noWrap w:val="0"/>
            <w:vAlign w:val="top"/>
          </w:tcPr>
          <w:p>
            <w:pPr>
              <w:pStyle w:val="31"/>
              <w:rPr>
                <w:rFonts w:hint="eastAsia" w:ascii="宋体" w:hAnsi="宋体"/>
                <w:b/>
              </w:rPr>
            </w:pPr>
          </w:p>
        </w:tc>
        <w:tc>
          <w:tcPr>
            <w:tcW w:w="1225" w:type="dxa"/>
            <w:noWrap w:val="0"/>
            <w:vAlign w:val="top"/>
          </w:tcPr>
          <w:p>
            <w:pPr>
              <w:pStyle w:val="31"/>
              <w:rPr>
                <w:rFonts w:hint="eastAsia" w:ascii="宋体" w:hAnsi="宋体"/>
                <w:b/>
              </w:rPr>
            </w:pPr>
          </w:p>
        </w:tc>
        <w:tc>
          <w:tcPr>
            <w:tcW w:w="1513" w:type="dxa"/>
            <w:noWrap w:val="0"/>
            <w:vAlign w:val="top"/>
          </w:tcPr>
          <w:p>
            <w:pPr>
              <w:pStyle w:val="31"/>
              <w:rPr>
                <w:rFonts w:hint="eastAsia" w:ascii="宋体" w:hAnsi="宋体"/>
                <w:b/>
              </w:rPr>
            </w:pPr>
          </w:p>
        </w:tc>
        <w:tc>
          <w:tcPr>
            <w:tcW w:w="1164" w:type="dxa"/>
            <w:noWrap w:val="0"/>
            <w:vAlign w:val="top"/>
          </w:tcPr>
          <w:p>
            <w:pPr>
              <w:pStyle w:val="31"/>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pPr>
              <w:pStyle w:val="31"/>
              <w:rPr>
                <w:rFonts w:hint="eastAsia" w:ascii="宋体" w:hAnsi="宋体"/>
                <w:b/>
              </w:rPr>
            </w:pPr>
          </w:p>
        </w:tc>
        <w:tc>
          <w:tcPr>
            <w:tcW w:w="2176" w:type="dxa"/>
            <w:noWrap w:val="0"/>
            <w:vAlign w:val="top"/>
          </w:tcPr>
          <w:p>
            <w:pPr>
              <w:pStyle w:val="31"/>
              <w:rPr>
                <w:rFonts w:hint="eastAsia" w:ascii="宋体" w:hAnsi="宋体"/>
                <w:b/>
              </w:rPr>
            </w:pPr>
          </w:p>
        </w:tc>
        <w:tc>
          <w:tcPr>
            <w:tcW w:w="1317" w:type="dxa"/>
            <w:noWrap w:val="0"/>
            <w:vAlign w:val="top"/>
          </w:tcPr>
          <w:p>
            <w:pPr>
              <w:pStyle w:val="31"/>
              <w:rPr>
                <w:rFonts w:hint="eastAsia" w:ascii="宋体" w:hAnsi="宋体"/>
                <w:b/>
              </w:rPr>
            </w:pPr>
          </w:p>
        </w:tc>
        <w:tc>
          <w:tcPr>
            <w:tcW w:w="1194" w:type="dxa"/>
            <w:noWrap w:val="0"/>
            <w:vAlign w:val="top"/>
          </w:tcPr>
          <w:p>
            <w:pPr>
              <w:pStyle w:val="31"/>
              <w:rPr>
                <w:rFonts w:hint="eastAsia" w:ascii="宋体" w:hAnsi="宋体"/>
                <w:b/>
              </w:rPr>
            </w:pPr>
          </w:p>
        </w:tc>
        <w:tc>
          <w:tcPr>
            <w:tcW w:w="1225" w:type="dxa"/>
            <w:noWrap w:val="0"/>
            <w:vAlign w:val="top"/>
          </w:tcPr>
          <w:p>
            <w:pPr>
              <w:pStyle w:val="31"/>
              <w:rPr>
                <w:rFonts w:hint="eastAsia" w:ascii="宋体" w:hAnsi="宋体"/>
                <w:b/>
              </w:rPr>
            </w:pPr>
          </w:p>
        </w:tc>
        <w:tc>
          <w:tcPr>
            <w:tcW w:w="1513" w:type="dxa"/>
            <w:noWrap w:val="0"/>
            <w:vAlign w:val="top"/>
          </w:tcPr>
          <w:p>
            <w:pPr>
              <w:pStyle w:val="31"/>
              <w:rPr>
                <w:rFonts w:hint="eastAsia" w:ascii="宋体" w:hAnsi="宋体"/>
                <w:b/>
              </w:rPr>
            </w:pPr>
          </w:p>
        </w:tc>
        <w:tc>
          <w:tcPr>
            <w:tcW w:w="1164" w:type="dxa"/>
            <w:noWrap w:val="0"/>
            <w:vAlign w:val="top"/>
          </w:tcPr>
          <w:p>
            <w:pPr>
              <w:pStyle w:val="31"/>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pPr>
              <w:pStyle w:val="31"/>
              <w:rPr>
                <w:rFonts w:hint="eastAsia" w:ascii="宋体" w:hAnsi="宋体"/>
                <w:b/>
              </w:rPr>
            </w:pPr>
          </w:p>
        </w:tc>
        <w:tc>
          <w:tcPr>
            <w:tcW w:w="2176" w:type="dxa"/>
            <w:noWrap w:val="0"/>
            <w:vAlign w:val="top"/>
          </w:tcPr>
          <w:p>
            <w:pPr>
              <w:pStyle w:val="31"/>
              <w:rPr>
                <w:rFonts w:hint="eastAsia" w:ascii="宋体" w:hAnsi="宋体"/>
                <w:b/>
              </w:rPr>
            </w:pPr>
          </w:p>
        </w:tc>
        <w:tc>
          <w:tcPr>
            <w:tcW w:w="1317" w:type="dxa"/>
            <w:noWrap w:val="0"/>
            <w:vAlign w:val="top"/>
          </w:tcPr>
          <w:p>
            <w:pPr>
              <w:pStyle w:val="31"/>
              <w:rPr>
                <w:rFonts w:hint="eastAsia" w:ascii="宋体" w:hAnsi="宋体"/>
                <w:b/>
              </w:rPr>
            </w:pPr>
          </w:p>
        </w:tc>
        <w:tc>
          <w:tcPr>
            <w:tcW w:w="1194" w:type="dxa"/>
            <w:noWrap w:val="0"/>
            <w:vAlign w:val="top"/>
          </w:tcPr>
          <w:p>
            <w:pPr>
              <w:pStyle w:val="31"/>
              <w:rPr>
                <w:rFonts w:hint="eastAsia" w:ascii="宋体" w:hAnsi="宋体"/>
                <w:b/>
              </w:rPr>
            </w:pPr>
          </w:p>
        </w:tc>
        <w:tc>
          <w:tcPr>
            <w:tcW w:w="1225" w:type="dxa"/>
            <w:noWrap w:val="0"/>
            <w:vAlign w:val="top"/>
          </w:tcPr>
          <w:p>
            <w:pPr>
              <w:pStyle w:val="31"/>
              <w:rPr>
                <w:rFonts w:hint="eastAsia" w:ascii="宋体" w:hAnsi="宋体"/>
                <w:b/>
              </w:rPr>
            </w:pPr>
          </w:p>
        </w:tc>
        <w:tc>
          <w:tcPr>
            <w:tcW w:w="1513" w:type="dxa"/>
            <w:noWrap w:val="0"/>
            <w:vAlign w:val="top"/>
          </w:tcPr>
          <w:p>
            <w:pPr>
              <w:pStyle w:val="31"/>
              <w:rPr>
                <w:rFonts w:hint="eastAsia" w:ascii="宋体" w:hAnsi="宋体"/>
                <w:b/>
              </w:rPr>
            </w:pPr>
          </w:p>
        </w:tc>
        <w:tc>
          <w:tcPr>
            <w:tcW w:w="1164" w:type="dxa"/>
            <w:noWrap w:val="0"/>
            <w:vAlign w:val="top"/>
          </w:tcPr>
          <w:p>
            <w:pPr>
              <w:pStyle w:val="31"/>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pPr>
              <w:pStyle w:val="31"/>
              <w:rPr>
                <w:rFonts w:hint="eastAsia" w:ascii="宋体" w:hAnsi="宋体"/>
                <w:b/>
              </w:rPr>
            </w:pPr>
          </w:p>
        </w:tc>
        <w:tc>
          <w:tcPr>
            <w:tcW w:w="2176" w:type="dxa"/>
            <w:noWrap w:val="0"/>
            <w:vAlign w:val="top"/>
          </w:tcPr>
          <w:p>
            <w:pPr>
              <w:pStyle w:val="31"/>
              <w:rPr>
                <w:rFonts w:hint="eastAsia" w:ascii="宋体" w:hAnsi="宋体"/>
                <w:b/>
              </w:rPr>
            </w:pPr>
          </w:p>
        </w:tc>
        <w:tc>
          <w:tcPr>
            <w:tcW w:w="1317" w:type="dxa"/>
            <w:noWrap w:val="0"/>
            <w:vAlign w:val="top"/>
          </w:tcPr>
          <w:p>
            <w:pPr>
              <w:pStyle w:val="31"/>
              <w:rPr>
                <w:rFonts w:hint="eastAsia" w:ascii="宋体" w:hAnsi="宋体"/>
                <w:b/>
              </w:rPr>
            </w:pPr>
          </w:p>
        </w:tc>
        <w:tc>
          <w:tcPr>
            <w:tcW w:w="1194" w:type="dxa"/>
            <w:noWrap w:val="0"/>
            <w:vAlign w:val="top"/>
          </w:tcPr>
          <w:p>
            <w:pPr>
              <w:pStyle w:val="31"/>
              <w:rPr>
                <w:rFonts w:hint="eastAsia" w:ascii="宋体" w:hAnsi="宋体"/>
                <w:b/>
              </w:rPr>
            </w:pPr>
          </w:p>
        </w:tc>
        <w:tc>
          <w:tcPr>
            <w:tcW w:w="1225" w:type="dxa"/>
            <w:noWrap w:val="0"/>
            <w:vAlign w:val="top"/>
          </w:tcPr>
          <w:p>
            <w:pPr>
              <w:pStyle w:val="31"/>
              <w:rPr>
                <w:rFonts w:hint="eastAsia" w:ascii="宋体" w:hAnsi="宋体"/>
                <w:b/>
              </w:rPr>
            </w:pPr>
          </w:p>
        </w:tc>
        <w:tc>
          <w:tcPr>
            <w:tcW w:w="1513" w:type="dxa"/>
            <w:noWrap w:val="0"/>
            <w:vAlign w:val="top"/>
          </w:tcPr>
          <w:p>
            <w:pPr>
              <w:pStyle w:val="31"/>
              <w:rPr>
                <w:rFonts w:hint="eastAsia" w:ascii="宋体" w:hAnsi="宋体"/>
                <w:b/>
              </w:rPr>
            </w:pPr>
          </w:p>
        </w:tc>
        <w:tc>
          <w:tcPr>
            <w:tcW w:w="1164" w:type="dxa"/>
            <w:noWrap w:val="0"/>
            <w:vAlign w:val="top"/>
          </w:tcPr>
          <w:p>
            <w:pPr>
              <w:pStyle w:val="31"/>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3" w:type="dxa"/>
            <w:noWrap w:val="0"/>
            <w:vAlign w:val="top"/>
          </w:tcPr>
          <w:p>
            <w:pPr>
              <w:pStyle w:val="31"/>
              <w:rPr>
                <w:rFonts w:hint="eastAsia" w:ascii="宋体" w:hAnsi="宋体"/>
                <w:b/>
              </w:rPr>
            </w:pPr>
          </w:p>
        </w:tc>
        <w:tc>
          <w:tcPr>
            <w:tcW w:w="2176" w:type="dxa"/>
            <w:noWrap w:val="0"/>
            <w:vAlign w:val="top"/>
          </w:tcPr>
          <w:p>
            <w:pPr>
              <w:pStyle w:val="31"/>
              <w:rPr>
                <w:rFonts w:hint="eastAsia" w:ascii="宋体" w:hAnsi="宋体"/>
                <w:b/>
              </w:rPr>
            </w:pPr>
          </w:p>
        </w:tc>
        <w:tc>
          <w:tcPr>
            <w:tcW w:w="1317" w:type="dxa"/>
            <w:noWrap w:val="0"/>
            <w:vAlign w:val="top"/>
          </w:tcPr>
          <w:p>
            <w:pPr>
              <w:pStyle w:val="31"/>
              <w:rPr>
                <w:rFonts w:hint="eastAsia" w:ascii="宋体" w:hAnsi="宋体"/>
                <w:b/>
              </w:rPr>
            </w:pPr>
          </w:p>
        </w:tc>
        <w:tc>
          <w:tcPr>
            <w:tcW w:w="1194" w:type="dxa"/>
            <w:noWrap w:val="0"/>
            <w:vAlign w:val="top"/>
          </w:tcPr>
          <w:p>
            <w:pPr>
              <w:pStyle w:val="31"/>
              <w:rPr>
                <w:rFonts w:hint="eastAsia" w:ascii="宋体" w:hAnsi="宋体"/>
                <w:b/>
              </w:rPr>
            </w:pPr>
          </w:p>
        </w:tc>
        <w:tc>
          <w:tcPr>
            <w:tcW w:w="1225" w:type="dxa"/>
            <w:noWrap w:val="0"/>
            <w:vAlign w:val="top"/>
          </w:tcPr>
          <w:p>
            <w:pPr>
              <w:pStyle w:val="31"/>
              <w:rPr>
                <w:rFonts w:hint="eastAsia" w:ascii="宋体" w:hAnsi="宋体"/>
                <w:b/>
              </w:rPr>
            </w:pPr>
          </w:p>
        </w:tc>
        <w:tc>
          <w:tcPr>
            <w:tcW w:w="1513" w:type="dxa"/>
            <w:noWrap w:val="0"/>
            <w:vAlign w:val="top"/>
          </w:tcPr>
          <w:p>
            <w:pPr>
              <w:pStyle w:val="31"/>
              <w:rPr>
                <w:rFonts w:hint="eastAsia" w:ascii="宋体" w:hAnsi="宋体"/>
                <w:b/>
              </w:rPr>
            </w:pPr>
          </w:p>
        </w:tc>
        <w:tc>
          <w:tcPr>
            <w:tcW w:w="1164" w:type="dxa"/>
            <w:noWrap w:val="0"/>
            <w:vAlign w:val="top"/>
          </w:tcPr>
          <w:p>
            <w:pPr>
              <w:pStyle w:val="31"/>
              <w:rPr>
                <w:rFonts w:hint="eastAsia" w:ascii="宋体" w:hAnsi="宋体"/>
                <w:b/>
              </w:rPr>
            </w:pPr>
          </w:p>
        </w:tc>
      </w:tr>
    </w:tbl>
    <w:p>
      <w:pPr>
        <w:rPr>
          <w:rFonts w:hint="eastAsia"/>
        </w:rPr>
      </w:pPr>
      <w:r>
        <w:rPr>
          <w:rFonts w:hint="eastAsia"/>
        </w:rPr>
        <w:br w:type="page"/>
      </w:r>
    </w:p>
    <w:p>
      <w:pPr>
        <w:rPr>
          <w:rFonts w:hint="default" w:ascii="宋体" w:hAnsi="宋体" w:eastAsia="宋体" w:cs="宋体"/>
          <w:b/>
          <w:bCs/>
          <w:sz w:val="24"/>
          <w:szCs w:val="24"/>
          <w:lang w:val="en-US" w:eastAsia="zh-CN"/>
        </w:rPr>
      </w:pP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17</w:t>
      </w:r>
    </w:p>
    <w:p>
      <w:pPr>
        <w:rPr>
          <w:rFonts w:hint="eastAsia" w:ascii="宋体" w:hAnsi="宋体"/>
        </w:rPr>
      </w:pPr>
      <w:r>
        <w:rPr>
          <w:rFonts w:hint="eastAsia" w:ascii="宋体" w:hAnsi="宋体"/>
        </w:rPr>
        <w:t>项目名称：</w:t>
      </w:r>
      <w:r>
        <w:rPr>
          <w:rFonts w:hint="eastAsia" w:ascii="宋体" w:hAnsi="宋体"/>
          <w:u w:val="single"/>
        </w:rPr>
        <w:t xml:space="preserve"> 中国重型汽车集团有限公司驻济单位 202</w:t>
      </w:r>
      <w:r>
        <w:rPr>
          <w:rFonts w:hint="eastAsia" w:ascii="宋体" w:hAnsi="宋体"/>
          <w:u w:val="single"/>
          <w:lang w:val="en-US" w:eastAsia="zh-CN"/>
        </w:rPr>
        <w:t>6</w:t>
      </w:r>
      <w:r>
        <w:rPr>
          <w:rFonts w:hint="eastAsia" w:ascii="宋体" w:hAnsi="宋体"/>
          <w:u w:val="single"/>
        </w:rPr>
        <w:t xml:space="preserve">年环境监测项目 </w:t>
      </w:r>
    </w:p>
    <w:p>
      <w:pPr>
        <w:pStyle w:val="22"/>
        <w:spacing w:line="360" w:lineRule="auto"/>
        <w:rPr>
          <w:rFonts w:hint="eastAsia" w:hAnsi="宋体"/>
          <w:szCs w:val="21"/>
        </w:rPr>
      </w:pPr>
    </w:p>
    <w:p>
      <w:pPr>
        <w:pStyle w:val="22"/>
        <w:spacing w:line="360" w:lineRule="auto"/>
        <w:rPr>
          <w:rFonts w:hint="eastAsia" w:hAnsi="宋体"/>
          <w:szCs w:val="21"/>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w:t>
      </w:r>
      <w:r>
        <w:rPr>
          <w:rFonts w:hint="eastAsia" w:ascii="宋体" w:hAnsi="宋体"/>
          <w:u w:val="single"/>
        </w:rPr>
        <w:t>202</w:t>
      </w:r>
      <w:r>
        <w:rPr>
          <w:rFonts w:hint="eastAsia" w:ascii="宋体" w:hAnsi="宋体"/>
          <w:u w:val="single"/>
          <w:lang w:val="en-US" w:eastAsia="zh-CN"/>
        </w:rPr>
        <w:t>6</w:t>
      </w:r>
      <w:r>
        <w:rPr>
          <w:rFonts w:hint="eastAsia" w:ascii="宋体" w:hAnsi="宋体"/>
          <w:u w:val="single"/>
        </w:rPr>
        <w:t>年环境检测</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6"/>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7"/>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8"/>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39"/>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0"/>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1"/>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2"/>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3"/>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4"/>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5"/>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6"/>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7"/>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8"/>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9"/>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0"/>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1"/>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2"/>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仿宋_GB2312"/>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18094143"/>
    <w:multiLevelType w:val="multilevel"/>
    <w:tmpl w:val="18094143"/>
    <w:lvl w:ilvl="0" w:tentative="0">
      <w:start w:val="1"/>
      <w:numFmt w:val="decimalEnclosedCircle"/>
      <w:lvlText w:val="%1"/>
      <w:lvlJc w:val="left"/>
      <w:pPr>
        <w:ind w:left="900" w:hanging="360"/>
      </w:pPr>
      <w:rPr>
        <w:rFonts w:hint="default"/>
      </w:rPr>
    </w:lvl>
    <w:lvl w:ilvl="1" w:tentative="0">
      <w:start w:val="1"/>
      <w:numFmt w:val="lowerLetter"/>
      <w:lvlText w:val="%2)"/>
      <w:lvlJc w:val="left"/>
      <w:pPr>
        <w:ind w:left="1420" w:hanging="440"/>
      </w:pPr>
    </w:lvl>
    <w:lvl w:ilvl="2" w:tentative="0">
      <w:start w:val="1"/>
      <w:numFmt w:val="lowerRoman"/>
      <w:lvlText w:val="%3."/>
      <w:lvlJc w:val="right"/>
      <w:pPr>
        <w:ind w:left="1860" w:hanging="440"/>
      </w:pPr>
    </w:lvl>
    <w:lvl w:ilvl="3" w:tentative="0">
      <w:start w:val="1"/>
      <w:numFmt w:val="decimal"/>
      <w:lvlText w:val="%4."/>
      <w:lvlJc w:val="left"/>
      <w:pPr>
        <w:ind w:left="2300" w:hanging="440"/>
      </w:pPr>
    </w:lvl>
    <w:lvl w:ilvl="4" w:tentative="0">
      <w:start w:val="1"/>
      <w:numFmt w:val="lowerLetter"/>
      <w:lvlText w:val="%5)"/>
      <w:lvlJc w:val="left"/>
      <w:pPr>
        <w:ind w:left="2740" w:hanging="440"/>
      </w:pPr>
    </w:lvl>
    <w:lvl w:ilvl="5" w:tentative="0">
      <w:start w:val="1"/>
      <w:numFmt w:val="lowerRoman"/>
      <w:lvlText w:val="%6."/>
      <w:lvlJc w:val="right"/>
      <w:pPr>
        <w:ind w:left="3180" w:hanging="440"/>
      </w:pPr>
    </w:lvl>
    <w:lvl w:ilvl="6" w:tentative="0">
      <w:start w:val="1"/>
      <w:numFmt w:val="decimal"/>
      <w:lvlText w:val="%7."/>
      <w:lvlJc w:val="left"/>
      <w:pPr>
        <w:ind w:left="3620" w:hanging="440"/>
      </w:pPr>
    </w:lvl>
    <w:lvl w:ilvl="7" w:tentative="0">
      <w:start w:val="1"/>
      <w:numFmt w:val="lowerLetter"/>
      <w:lvlText w:val="%8)"/>
      <w:lvlJc w:val="left"/>
      <w:pPr>
        <w:ind w:left="4060" w:hanging="440"/>
      </w:pPr>
    </w:lvl>
    <w:lvl w:ilvl="8" w:tentative="0">
      <w:start w:val="1"/>
      <w:numFmt w:val="lowerRoman"/>
      <w:lvlText w:val="%9."/>
      <w:lvlJc w:val="right"/>
      <w:pPr>
        <w:ind w:left="4500" w:hanging="440"/>
      </w:p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E8C6948"/>
    <w:multiLevelType w:val="singleLevel"/>
    <w:tmpl w:val="6E8C6948"/>
    <w:lvl w:ilvl="0" w:tentative="0">
      <w:start w:val="1"/>
      <w:numFmt w:val="chineseCounting"/>
      <w:suff w:val="space"/>
      <w:lvlText w:val="第%1部分"/>
      <w:lvlJc w:val="left"/>
      <w:rPr>
        <w:rFonts w:hint="eastAsia"/>
      </w:rPr>
    </w:lvl>
  </w:abstractNum>
  <w:abstractNum w:abstractNumId="6">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1B6291"/>
    <w:rsid w:val="07571DAC"/>
    <w:rsid w:val="078864AF"/>
    <w:rsid w:val="078A0D17"/>
    <w:rsid w:val="07AB6BDF"/>
    <w:rsid w:val="07D25D65"/>
    <w:rsid w:val="08000695"/>
    <w:rsid w:val="08332819"/>
    <w:rsid w:val="083B072C"/>
    <w:rsid w:val="084C21AB"/>
    <w:rsid w:val="085B3B1D"/>
    <w:rsid w:val="086271E8"/>
    <w:rsid w:val="08741EBB"/>
    <w:rsid w:val="08752E31"/>
    <w:rsid w:val="08C87A6E"/>
    <w:rsid w:val="08E64121"/>
    <w:rsid w:val="090D5816"/>
    <w:rsid w:val="0942017F"/>
    <w:rsid w:val="09810F23"/>
    <w:rsid w:val="098648EF"/>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4A7CF7"/>
    <w:rsid w:val="0E750568"/>
    <w:rsid w:val="0E870499"/>
    <w:rsid w:val="0EA24D8E"/>
    <w:rsid w:val="0EB25028"/>
    <w:rsid w:val="0EB81390"/>
    <w:rsid w:val="0EB93A32"/>
    <w:rsid w:val="0ECE5049"/>
    <w:rsid w:val="0EFB5FED"/>
    <w:rsid w:val="0F2D7A80"/>
    <w:rsid w:val="0F4277E5"/>
    <w:rsid w:val="0F4A548B"/>
    <w:rsid w:val="0F6273CA"/>
    <w:rsid w:val="0F673852"/>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1C6DB8"/>
    <w:rsid w:val="143E3DC5"/>
    <w:rsid w:val="145A6A37"/>
    <w:rsid w:val="1467440F"/>
    <w:rsid w:val="14851B53"/>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D6618E"/>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D034C0"/>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709E9"/>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02474"/>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9378C6"/>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E489D"/>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8C0715"/>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395440"/>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5F5D98"/>
    <w:rsid w:val="41806A69"/>
    <w:rsid w:val="4185761F"/>
    <w:rsid w:val="41B0259C"/>
    <w:rsid w:val="41B3295A"/>
    <w:rsid w:val="41BC6F1C"/>
    <w:rsid w:val="41EA2E34"/>
    <w:rsid w:val="41EF2363"/>
    <w:rsid w:val="41F77860"/>
    <w:rsid w:val="42125648"/>
    <w:rsid w:val="421E4A73"/>
    <w:rsid w:val="42217CAC"/>
    <w:rsid w:val="424A4B98"/>
    <w:rsid w:val="42526A07"/>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4A868AE"/>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5620E1"/>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401CF"/>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2C474D"/>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0262EE"/>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3A2DE2"/>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E2198"/>
    <w:rsid w:val="5BF232F7"/>
    <w:rsid w:val="5BFB631F"/>
    <w:rsid w:val="5C034D53"/>
    <w:rsid w:val="5C6E4899"/>
    <w:rsid w:val="5C903B7A"/>
    <w:rsid w:val="5CEE76A1"/>
    <w:rsid w:val="5D0C57B5"/>
    <w:rsid w:val="5D153EC6"/>
    <w:rsid w:val="5D4E698B"/>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A66B70"/>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3509C1"/>
    <w:rsid w:val="7148570A"/>
    <w:rsid w:val="71504376"/>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9E3489E"/>
    <w:rsid w:val="7A024BBA"/>
    <w:rsid w:val="7A2A6B4A"/>
    <w:rsid w:val="7A2B7A62"/>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BF16F32"/>
    <w:rsid w:val="7C0562EC"/>
    <w:rsid w:val="7C27683F"/>
    <w:rsid w:val="7C502792"/>
    <w:rsid w:val="7C8B6DF3"/>
    <w:rsid w:val="7C92265B"/>
    <w:rsid w:val="7CB14B4D"/>
    <w:rsid w:val="7CB479A6"/>
    <w:rsid w:val="7CF26969"/>
    <w:rsid w:val="7CF6528D"/>
    <w:rsid w:val="7CF96E16"/>
    <w:rsid w:val="7D0E5A5A"/>
    <w:rsid w:val="7D25523C"/>
    <w:rsid w:val="7D434BA5"/>
    <w:rsid w:val="7D457BCA"/>
    <w:rsid w:val="7D5E1216"/>
    <w:rsid w:val="7D660BE8"/>
    <w:rsid w:val="7DA553F4"/>
    <w:rsid w:val="7DB23041"/>
    <w:rsid w:val="7DFF2652"/>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2.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1.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theme" Target="theme/theme1.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header" Target="header8.xml"/><Relationship Id="rId31" Type="http://schemas.openxmlformats.org/officeDocument/2006/relationships/header" Target="header7.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header" Target="header6.xml"/><Relationship Id="rId27" Type="http://schemas.openxmlformats.org/officeDocument/2006/relationships/header" Target="header5.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71</Pages>
  <Words>9950</Words>
  <Characters>10486</Characters>
  <Lines>371</Lines>
  <Paragraphs>104</Paragraphs>
  <TotalTime>1</TotalTime>
  <ScaleCrop>false</ScaleCrop>
  <LinksUpToDate>false</LinksUpToDate>
  <CharactersWithSpaces>10614</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2025-12-01T09:33:14Z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eyJoZGlkIjoiYzMzMGQ3YTg3ZjQyMGJiMDg3MDRkNjg3YzQwNjAxYTciLCJ1c2VySWQiOiI1OTI1NDk4NDEifQ==</vt:lpwstr>
  </property>
</Properties>
</file>