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楷体_GB2312" w:hAnsi="宋体" w:eastAsia="楷体_GB2312"/>
          <w:sz w:val="52"/>
          <w:szCs w:val="52"/>
        </w:rPr>
      </w:pPr>
    </w:p>
    <w:p>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济南卡车制造公司党家庄厂区空压站冷却塔更新技改项目</w:t>
      </w:r>
    </w:p>
    <w:p>
      <w:pPr>
        <w:ind w:right="280"/>
        <w:jc w:val="center"/>
        <w:rPr>
          <w:sz w:val="28"/>
          <w:szCs w:val="28"/>
          <w:highlight w:val="none"/>
        </w:rPr>
      </w:pPr>
    </w:p>
    <w:p>
      <w:pPr>
        <w:ind w:right="280"/>
        <w:jc w:val="center"/>
        <w:rPr>
          <w:sz w:val="28"/>
          <w:szCs w:val="28"/>
          <w:highlight w:val="none"/>
        </w:rPr>
      </w:pPr>
    </w:p>
    <w:p>
      <w:pPr>
        <w:jc w:val="center"/>
        <w:rPr>
          <w:rFonts w:ascii="宋体" w:hAnsi="宋体" w:cs="宋体"/>
          <w:sz w:val="72"/>
          <w:szCs w:val="72"/>
          <w:highlight w:val="none"/>
        </w:rPr>
      </w:pPr>
      <w:r>
        <w:rPr>
          <w:rFonts w:hint="eastAsia" w:ascii="宋体" w:hAnsi="宋体" w:cs="宋体"/>
          <w:sz w:val="72"/>
          <w:szCs w:val="72"/>
          <w:highlight w:val="none"/>
        </w:rPr>
        <w:t>招标文件</w:t>
      </w:r>
    </w:p>
    <w:p>
      <w:pPr>
        <w:jc w:val="center"/>
        <w:rPr>
          <w:rFonts w:ascii="宋体" w:hAnsi="宋体"/>
          <w:sz w:val="48"/>
          <w:szCs w:val="48"/>
          <w:highlight w:val="none"/>
        </w:rPr>
      </w:pPr>
    </w:p>
    <w:p>
      <w:pPr>
        <w:jc w:val="center"/>
        <w:rPr>
          <w:rFonts w:ascii="宋体" w:hAnsi="宋体"/>
          <w:sz w:val="48"/>
          <w:szCs w:val="48"/>
          <w:highlight w:val="none"/>
        </w:rPr>
      </w:pPr>
    </w:p>
    <w:p>
      <w:pPr>
        <w:jc w:val="center"/>
        <w:rPr>
          <w:rFonts w:ascii="宋体" w:hAnsi="宋体"/>
          <w:sz w:val="48"/>
          <w:szCs w:val="48"/>
          <w:highlight w:val="none"/>
        </w:rPr>
      </w:pPr>
    </w:p>
    <w:p>
      <w:pPr>
        <w:jc w:val="center"/>
        <w:rPr>
          <w:rFonts w:ascii="宋体" w:hAnsi="宋体"/>
          <w:sz w:val="48"/>
          <w:szCs w:val="48"/>
          <w:highlight w:val="none"/>
        </w:rPr>
      </w:pPr>
    </w:p>
    <w:p>
      <w:pPr>
        <w:jc w:val="center"/>
        <w:rPr>
          <w:rFonts w:ascii="宋体" w:hAnsi="宋体"/>
          <w:sz w:val="48"/>
          <w:szCs w:val="48"/>
          <w:highlight w:val="none"/>
        </w:rPr>
      </w:pPr>
    </w:p>
    <w:p>
      <w:pPr>
        <w:jc w:val="center"/>
        <w:rPr>
          <w:rFonts w:ascii="宋体" w:hAnsi="宋体"/>
          <w:sz w:val="28"/>
          <w:szCs w:val="28"/>
          <w:highlight w:val="none"/>
        </w:rPr>
      </w:pPr>
    </w:p>
    <w:p>
      <w:pPr>
        <w:jc w:val="center"/>
        <w:rPr>
          <w:rFonts w:ascii="宋体" w:hAnsi="宋体"/>
          <w:sz w:val="28"/>
          <w:szCs w:val="28"/>
          <w:highlight w:val="none"/>
        </w:rPr>
      </w:pPr>
    </w:p>
    <w:p>
      <w:pPr>
        <w:jc w:val="center"/>
        <w:rPr>
          <w:rFonts w:ascii="宋体" w:hAnsi="宋体"/>
          <w:sz w:val="28"/>
          <w:szCs w:val="28"/>
          <w:highlight w:val="none"/>
        </w:rPr>
      </w:pPr>
      <w:r>
        <w:rPr>
          <w:rFonts w:hint="eastAsia" w:ascii="宋体" w:hAnsi="宋体"/>
          <w:sz w:val="28"/>
          <w:szCs w:val="28"/>
          <w:highlight w:val="none"/>
        </w:rPr>
        <w:t>招 标 人：中国重汽集团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有限公司</w:t>
      </w:r>
    </w:p>
    <w:p>
      <w:pPr>
        <w:jc w:val="center"/>
        <w:rPr>
          <w:rFonts w:ascii="宋体" w:hAnsi="宋体"/>
          <w:sz w:val="28"/>
          <w:szCs w:val="28"/>
          <w:highlight w:val="none"/>
        </w:rPr>
      </w:pPr>
    </w:p>
    <w:p>
      <w:pPr>
        <w:spacing w:line="480" w:lineRule="auto"/>
        <w:jc w:val="center"/>
        <w:rPr>
          <w:rFonts w:ascii="宋体" w:hAnsi="宋体"/>
          <w:b/>
          <w:bCs/>
          <w:sz w:val="48"/>
          <w:szCs w:val="48"/>
          <w:highlight w:val="non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12月</w:t>
      </w:r>
    </w:p>
    <w:p>
      <w:pPr>
        <w:spacing w:line="480" w:lineRule="auto"/>
        <w:jc w:val="center"/>
        <w:rPr>
          <w:rFonts w:ascii="宋体" w:hAnsi="宋体"/>
          <w:b/>
          <w:bCs/>
          <w:sz w:val="48"/>
          <w:szCs w:val="48"/>
          <w:highlight w:val="none"/>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highlight w:val="none"/>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highlight w:val="none"/>
          <w:lang w:val="zh-CN"/>
        </w:rPr>
      </w:sdtEndPr>
      <w:sdtContent>
        <w:p>
          <w:pPr>
            <w:pStyle w:val="69"/>
            <w:jc w:val="center"/>
            <w:rPr>
              <w:rFonts w:ascii="黑体" w:hAnsi="黑体" w:eastAsia="黑体"/>
              <w:b/>
              <w:color w:val="auto"/>
              <w:sz w:val="44"/>
              <w:szCs w:val="44"/>
              <w:highlight w:val="none"/>
              <w:lang w:val="zh-CN"/>
            </w:rPr>
          </w:pPr>
          <w:r>
            <w:rPr>
              <w:rFonts w:ascii="黑体" w:hAnsi="黑体" w:eastAsia="黑体"/>
              <w:b/>
              <w:color w:val="auto"/>
              <w:sz w:val="44"/>
              <w:szCs w:val="44"/>
              <w:highlight w:val="none"/>
              <w:lang w:val="zh-CN"/>
            </w:rPr>
            <w:t>目</w:t>
          </w:r>
          <w:r>
            <w:rPr>
              <w:rFonts w:hint="eastAsia" w:ascii="黑体" w:hAnsi="黑体" w:eastAsia="黑体"/>
              <w:b/>
              <w:color w:val="auto"/>
              <w:sz w:val="44"/>
              <w:szCs w:val="44"/>
              <w:highlight w:val="none"/>
              <w:lang w:val="zh-CN"/>
            </w:rPr>
            <w:t xml:space="preserve"> </w:t>
          </w:r>
          <w:r>
            <w:rPr>
              <w:rFonts w:ascii="黑体" w:hAnsi="黑体" w:eastAsia="黑体"/>
              <w:b/>
              <w:color w:val="auto"/>
              <w:sz w:val="44"/>
              <w:szCs w:val="44"/>
              <w:highlight w:val="none"/>
              <w:lang w:val="zh-CN"/>
            </w:rPr>
            <w:t xml:space="preserve">    录</w:t>
          </w:r>
        </w:p>
        <w:p>
          <w:pPr>
            <w:pStyle w:val="22"/>
            <w:tabs>
              <w:tab w:val="right" w:leader="dot" w:pos="9070"/>
              <w:tab w:val="clear" w:pos="8729"/>
            </w:tabs>
            <w:rPr>
              <w:highlight w:val="none"/>
            </w:rPr>
          </w:pPr>
          <w:r>
            <w:rPr>
              <w:rFonts w:hint="eastAsia" w:ascii="Calibri" w:hAnsi="Calibri"/>
              <w:bCs/>
              <w:kern w:val="44"/>
              <w:sz w:val="36"/>
              <w:szCs w:val="44"/>
              <w:highlight w:val="none"/>
            </w:rPr>
            <w:fldChar w:fldCharType="begin"/>
          </w:r>
          <w:r>
            <w:rPr>
              <w:rFonts w:hint="eastAsia" w:ascii="Calibri" w:hAnsi="Calibri"/>
              <w:bCs/>
              <w:kern w:val="44"/>
              <w:sz w:val="36"/>
              <w:szCs w:val="44"/>
              <w:highlight w:val="none"/>
            </w:rPr>
            <w:instrText xml:space="preserve">TOC \o "1-1" \h \u </w:instrText>
          </w:r>
          <w:r>
            <w:rPr>
              <w:rFonts w:hint="eastAsia" w:ascii="Calibri" w:hAnsi="Calibri"/>
              <w:bCs/>
              <w:kern w:val="44"/>
              <w:sz w:val="36"/>
              <w:szCs w:val="44"/>
              <w:highlight w:val="none"/>
            </w:rPr>
            <w:fldChar w:fldCharType="separate"/>
          </w:r>
          <w:r>
            <w:rPr>
              <w:rFonts w:hint="eastAsia" w:ascii="Calibri" w:hAnsi="Calibri"/>
              <w:bCs/>
              <w:kern w:val="44"/>
              <w:szCs w:val="44"/>
              <w:highlight w:val="none"/>
            </w:rPr>
            <w:fldChar w:fldCharType="begin"/>
          </w:r>
          <w:r>
            <w:rPr>
              <w:rFonts w:hint="eastAsia" w:ascii="Calibri" w:hAnsi="Calibri"/>
              <w:bCs/>
              <w:kern w:val="44"/>
              <w:szCs w:val="44"/>
              <w:highlight w:val="none"/>
            </w:rPr>
            <w:instrText xml:space="preserve"> HYPERLINK \l _Toc23927 </w:instrText>
          </w:r>
          <w:r>
            <w:rPr>
              <w:rFonts w:hint="eastAsia" w:ascii="Calibri" w:hAnsi="Calibri"/>
              <w:bCs/>
              <w:kern w:val="44"/>
              <w:szCs w:val="44"/>
              <w:highlight w:val="none"/>
            </w:rPr>
            <w:fldChar w:fldCharType="separate"/>
          </w:r>
          <w:r>
            <w:rPr>
              <w:rFonts w:hint="eastAsia"/>
              <w:highlight w:val="none"/>
            </w:rPr>
            <w:t>第一部分  投标人须知</w:t>
          </w:r>
          <w:r>
            <w:rPr>
              <w:highlight w:val="none"/>
            </w:rPr>
            <w:tab/>
          </w:r>
          <w:r>
            <w:rPr>
              <w:highlight w:val="none"/>
            </w:rPr>
            <w:fldChar w:fldCharType="begin"/>
          </w:r>
          <w:r>
            <w:rPr>
              <w:highlight w:val="none"/>
            </w:rPr>
            <w:instrText xml:space="preserve"> PAGEREF _Toc23927 \h </w:instrText>
          </w:r>
          <w:r>
            <w:rPr>
              <w:highlight w:val="none"/>
            </w:rPr>
            <w:fldChar w:fldCharType="separate"/>
          </w:r>
          <w:r>
            <w:rPr>
              <w:highlight w:val="none"/>
            </w:rPr>
            <w:t>1</w:t>
          </w:r>
          <w:r>
            <w:rPr>
              <w:highlight w:val="none"/>
            </w:rPr>
            <w:fldChar w:fldCharType="end"/>
          </w:r>
          <w:r>
            <w:rPr>
              <w:rFonts w:hint="eastAsia" w:ascii="Calibri" w:hAnsi="Calibri"/>
              <w:bCs/>
              <w:kern w:val="44"/>
              <w:szCs w:val="44"/>
              <w:highlight w:val="none"/>
            </w:rPr>
            <w:fldChar w:fldCharType="end"/>
          </w:r>
        </w:p>
        <w:p>
          <w:pPr>
            <w:pStyle w:val="22"/>
            <w:tabs>
              <w:tab w:val="right" w:leader="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_Toc16839 </w:instrText>
          </w:r>
          <w:r>
            <w:rPr>
              <w:rFonts w:hint="eastAsia" w:ascii="Calibri" w:hAnsi="Calibri" w:eastAsia="宋体" w:cs="Times New Roman"/>
              <w:bCs/>
              <w:kern w:val="44"/>
              <w:szCs w:val="44"/>
              <w:highlight w:val="none"/>
            </w:rPr>
            <w:fldChar w:fldCharType="separate"/>
          </w:r>
          <w:r>
            <w:rPr>
              <w:rFonts w:hint="eastAsia"/>
              <w:highlight w:val="none"/>
            </w:rPr>
            <w:t>第二部分　</w:t>
          </w:r>
          <w:r>
            <w:rPr>
              <w:rFonts w:hint="eastAsia"/>
              <w:highlight w:val="none"/>
              <w:lang w:val="en-US" w:eastAsia="zh-CN"/>
            </w:rPr>
            <w:t>技术标书</w:t>
          </w:r>
          <w:r>
            <w:rPr>
              <w:highlight w:val="none"/>
            </w:rPr>
            <w:tab/>
          </w:r>
          <w:r>
            <w:rPr>
              <w:highlight w:val="none"/>
            </w:rPr>
            <w:fldChar w:fldCharType="begin"/>
          </w:r>
          <w:r>
            <w:rPr>
              <w:highlight w:val="none"/>
            </w:rPr>
            <w:instrText xml:space="preserve"> PAGEREF _Toc16839 \h </w:instrText>
          </w:r>
          <w:r>
            <w:rPr>
              <w:highlight w:val="none"/>
            </w:rPr>
            <w:fldChar w:fldCharType="separate"/>
          </w:r>
          <w:r>
            <w:rPr>
              <w:highlight w:val="none"/>
            </w:rPr>
            <w:t>9</w:t>
          </w:r>
          <w:r>
            <w:rPr>
              <w:highlight w:val="none"/>
            </w:rPr>
            <w:fldChar w:fldCharType="end"/>
          </w:r>
          <w:r>
            <w:rPr>
              <w:rFonts w:hint="eastAsia" w:ascii="Calibri" w:hAnsi="Calibri" w:eastAsia="宋体" w:cs="Times New Roman"/>
              <w:bCs/>
              <w:kern w:val="44"/>
              <w:szCs w:val="44"/>
              <w:highlight w:val="none"/>
            </w:rPr>
            <w:fldChar w:fldCharType="end"/>
          </w:r>
        </w:p>
        <w:p>
          <w:pPr>
            <w:pStyle w:val="22"/>
            <w:tabs>
              <w:tab w:val="right" w:leader="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_Toc8030 </w:instrText>
          </w:r>
          <w:r>
            <w:rPr>
              <w:rFonts w:hint="eastAsia" w:ascii="Calibri" w:hAnsi="Calibri" w:eastAsia="宋体" w:cs="Times New Roman"/>
              <w:bCs/>
              <w:kern w:val="44"/>
              <w:szCs w:val="44"/>
              <w:highlight w:val="none"/>
            </w:rPr>
            <w:fldChar w:fldCharType="separate"/>
          </w:r>
          <w:r>
            <w:rPr>
              <w:rFonts w:hint="eastAsia"/>
              <w:highlight w:val="none"/>
            </w:rPr>
            <w:t>第三部分 合同主要条款</w:t>
          </w:r>
          <w:r>
            <w:rPr>
              <w:highlight w:val="none"/>
            </w:rPr>
            <w:tab/>
          </w:r>
          <w:r>
            <w:rPr>
              <w:highlight w:val="none"/>
            </w:rPr>
            <w:fldChar w:fldCharType="begin"/>
          </w:r>
          <w:r>
            <w:rPr>
              <w:highlight w:val="none"/>
            </w:rPr>
            <w:instrText xml:space="preserve"> PAGEREF _Toc8030 \h </w:instrText>
          </w:r>
          <w:r>
            <w:rPr>
              <w:highlight w:val="none"/>
            </w:rPr>
            <w:fldChar w:fldCharType="separate"/>
          </w:r>
          <w:r>
            <w:rPr>
              <w:highlight w:val="none"/>
            </w:rPr>
            <w:t>15</w:t>
          </w:r>
          <w:r>
            <w:rPr>
              <w:highlight w:val="none"/>
            </w:rPr>
            <w:fldChar w:fldCharType="end"/>
          </w:r>
          <w:r>
            <w:rPr>
              <w:rFonts w:hint="eastAsia" w:ascii="Calibri" w:hAnsi="Calibri" w:eastAsia="宋体" w:cs="Times New Roman"/>
              <w:bCs/>
              <w:kern w:val="44"/>
              <w:szCs w:val="44"/>
              <w:highlight w:val="none"/>
            </w:rPr>
            <w:fldChar w:fldCharType="end"/>
          </w:r>
        </w:p>
        <w:p>
          <w:pPr>
            <w:pStyle w:val="22"/>
            <w:tabs>
              <w:tab w:val="right" w:leader="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_Toc16500 </w:instrText>
          </w:r>
          <w:r>
            <w:rPr>
              <w:rFonts w:hint="eastAsia" w:ascii="Calibri" w:hAnsi="Calibri" w:eastAsia="宋体" w:cs="Times New Roman"/>
              <w:bCs/>
              <w:kern w:val="44"/>
              <w:szCs w:val="44"/>
              <w:highlight w:val="none"/>
            </w:rPr>
            <w:fldChar w:fldCharType="separate"/>
          </w:r>
          <w:r>
            <w:rPr>
              <w:rFonts w:hint="eastAsia"/>
              <w:highlight w:val="none"/>
            </w:rPr>
            <w:t>第四部分　</w:t>
          </w:r>
          <w:r>
            <w:rPr>
              <w:rFonts w:hint="eastAsia"/>
              <w:highlight w:val="none"/>
              <w:lang w:val="en-US" w:eastAsia="zh-CN"/>
            </w:rPr>
            <w:t>投标文件附件</w:t>
          </w:r>
          <w:r>
            <w:rPr>
              <w:highlight w:val="none"/>
            </w:rPr>
            <w:tab/>
          </w:r>
          <w:r>
            <w:rPr>
              <w:highlight w:val="none"/>
            </w:rPr>
            <w:fldChar w:fldCharType="begin"/>
          </w:r>
          <w:r>
            <w:rPr>
              <w:highlight w:val="none"/>
            </w:rPr>
            <w:instrText xml:space="preserve"> PAGEREF _Toc16500 \h </w:instrText>
          </w:r>
          <w:r>
            <w:rPr>
              <w:highlight w:val="none"/>
            </w:rPr>
            <w:fldChar w:fldCharType="separate"/>
          </w:r>
          <w:r>
            <w:rPr>
              <w:highlight w:val="none"/>
            </w:rPr>
            <w:t>32</w:t>
          </w:r>
          <w:r>
            <w:rPr>
              <w:highlight w:val="none"/>
            </w:rPr>
            <w:fldChar w:fldCharType="end"/>
          </w:r>
          <w:r>
            <w:rPr>
              <w:rFonts w:hint="eastAsia" w:ascii="Calibri" w:hAnsi="Calibri" w:eastAsia="宋体" w:cs="Times New Roman"/>
              <w:bCs/>
              <w:kern w:val="44"/>
              <w:szCs w:val="44"/>
              <w:highlight w:val="none"/>
            </w:rPr>
            <w:fldChar w:fldCharType="end"/>
          </w:r>
        </w:p>
        <w:p>
          <w:pPr>
            <w:pStyle w:val="22"/>
            <w:rPr>
              <w:highlight w:val="none"/>
            </w:rPr>
          </w:pPr>
          <w:r>
            <w:rPr>
              <w:rFonts w:hint="eastAsia" w:ascii="Calibri" w:hAnsi="Calibri" w:eastAsia="宋体" w:cs="Times New Roman"/>
              <w:bCs/>
              <w:kern w:val="44"/>
              <w:szCs w:val="44"/>
              <w:highlight w:val="none"/>
            </w:rPr>
            <w:fldChar w:fldCharType="end"/>
          </w:r>
        </w:p>
      </w:sdtContent>
    </w:sdt>
    <w:p>
      <w:pPr>
        <w:pStyle w:val="16"/>
        <w:tabs>
          <w:tab w:val="left" w:pos="2940"/>
        </w:tabs>
        <w:spacing w:line="360" w:lineRule="auto"/>
        <w:rPr>
          <w:highlight w:val="none"/>
        </w:rPr>
      </w:pPr>
      <w:r>
        <w:rPr>
          <w:highlight w:val="none"/>
        </w:rPr>
        <w:tab/>
      </w:r>
    </w:p>
    <w:p>
      <w:pPr>
        <w:pStyle w:val="16"/>
        <w:spacing w:line="360" w:lineRule="auto"/>
        <w:jc w:val="center"/>
        <w:rPr>
          <w:highlight w:val="none"/>
        </w:rPr>
      </w:pPr>
    </w:p>
    <w:p>
      <w:pPr>
        <w:pStyle w:val="16"/>
        <w:spacing w:line="360" w:lineRule="auto"/>
        <w:jc w:val="center"/>
        <w:rPr>
          <w:highlight w:val="none"/>
        </w:rPr>
        <w:sectPr>
          <w:pgSz w:w="11906" w:h="16838"/>
          <w:pgMar w:top="1701" w:right="1418" w:bottom="1134" w:left="1418" w:header="851" w:footer="992" w:gutter="0"/>
          <w:pgNumType w:fmt="numberInDash" w:start="1"/>
          <w:cols w:space="720" w:num="1"/>
          <w:titlePg/>
          <w:docGrid w:type="lines" w:linePitch="312" w:charSpace="0"/>
        </w:sectPr>
      </w:pPr>
    </w:p>
    <w:p>
      <w:pPr>
        <w:pStyle w:val="72"/>
        <w:rPr>
          <w:highlight w:val="none"/>
        </w:rPr>
      </w:pPr>
      <w:bookmarkStart w:id="0" w:name="_Toc23927"/>
      <w:bookmarkStart w:id="1" w:name="_Toc47976595"/>
      <w:r>
        <w:rPr>
          <w:rFonts w:hint="eastAsia"/>
          <w:highlight w:val="none"/>
        </w:rPr>
        <w:t>第一部分  投标人须知</w:t>
      </w:r>
      <w:bookmarkEnd w:id="0"/>
      <w:bookmarkEnd w:id="1"/>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2" w:name="_Toc47976596"/>
      <w:r>
        <w:rPr>
          <w:rFonts w:hint="eastAsia" w:cs="Times New Roman"/>
          <w:highlight w:val="none"/>
        </w:rPr>
        <w:t>项目</w:t>
      </w:r>
      <w:r>
        <w:rPr>
          <w:rFonts w:hint="eastAsia"/>
          <w:highlight w:val="none"/>
        </w:rPr>
        <w:t>介绍</w:t>
      </w:r>
      <w:bookmarkEnd w:id="2"/>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项目名称：济南卡车制造公司党家庄厂区空压站冷却塔更新技改项目</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项目编号：</w:t>
      </w:r>
      <w:r>
        <w:rPr>
          <w:rFonts w:hint="eastAsia" w:ascii="Times New Roman" w:hAnsi="Times New Roman" w:eastAsia="宋体" w:cs="Times New Roman"/>
          <w:kern w:val="2"/>
          <w:sz w:val="21"/>
          <w:szCs w:val="22"/>
          <w:lang w:val="en-US" w:eastAsia="zh-CN" w:bidi="ar-SA"/>
        </w:rPr>
        <w:t>FSCZB2025110540</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招标形式：</w:t>
      </w:r>
      <w:bookmarkStart w:id="3" w:name="_Toc47112482"/>
      <w:r>
        <w:rPr>
          <w:rFonts w:hint="eastAsia"/>
          <w:highlight w:val="none"/>
          <w:lang w:val="en-US" w:eastAsia="zh-CN"/>
        </w:rPr>
        <w:t>公开招标</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ascii="宋体" w:hAnsi="Courier New" w:eastAsia="宋体" w:cs="Times New Roman"/>
          <w:highlight w:val="none"/>
          <w:lang w:val="en-US" w:eastAsia="zh-CN"/>
        </w:rPr>
      </w:pPr>
      <w:r>
        <w:rPr>
          <w:rFonts w:hint="eastAsia"/>
          <w:highlight w:val="none"/>
          <w:lang w:val="en-US" w:eastAsia="zh-CN"/>
        </w:rPr>
        <w:t>项目概况：</w:t>
      </w:r>
      <w:bookmarkStart w:id="4" w:name="OLE_LINK2"/>
      <w:r>
        <w:rPr>
          <w:rFonts w:hint="eastAsia"/>
          <w:highlight w:val="none"/>
          <w:lang w:val="en-US" w:eastAsia="zh-CN"/>
        </w:rPr>
        <w:t>卡车公司党家厂区空压站需拆除并更新两台冷却水量为200</w:t>
      </w:r>
      <w:r>
        <w:rPr>
          <w:rFonts w:hint="eastAsia" w:ascii="宋体" w:hAnsi="宋体" w:cs="宋体"/>
          <w:b w:val="0"/>
          <w:iCs w:val="0"/>
          <w:color w:val="auto"/>
          <w:sz w:val="24"/>
          <w:szCs w:val="24"/>
          <w:lang w:val="en-US" w:eastAsia="zh-CN"/>
        </w:rPr>
        <w:t>m³/h</w:t>
      </w:r>
      <w:r>
        <w:rPr>
          <w:rFonts w:hint="eastAsia"/>
          <w:highlight w:val="none"/>
          <w:lang w:val="en-US" w:eastAsia="zh-CN"/>
        </w:rPr>
        <w:t>的开式冷却塔，要求</w:t>
      </w:r>
      <w:bookmarkStart w:id="5" w:name="_Hlk211000398"/>
      <w:r>
        <w:rPr>
          <w:rFonts w:hint="eastAsia"/>
          <w:highlight w:val="none"/>
          <w:lang w:val="en-US" w:eastAsia="zh-CN"/>
        </w:rPr>
        <w:t>新购的冷却塔</w:t>
      </w:r>
      <w:r>
        <w:rPr>
          <w:rFonts w:hint="eastAsia" w:ascii="仿宋_GB2312" w:hAnsi="仿宋_GB2312" w:cs="仿宋_GB2312"/>
          <w:highlight w:val="none"/>
        </w:rPr>
        <w:t>满足GB/T7190.1-2018中1级能效要求，飘水率≤0.006%，冷却能力≥95%</w:t>
      </w:r>
      <w:bookmarkEnd w:id="5"/>
      <w:r>
        <w:rPr>
          <w:rFonts w:hint="eastAsia" w:ascii="仿宋_GB2312" w:hAnsi="仿宋_GB2312" w:cs="仿宋_GB2312"/>
          <w:highlight w:val="none"/>
          <w:lang w:eastAsia="zh-CN"/>
        </w:rPr>
        <w:t>，</w:t>
      </w:r>
      <w:r>
        <w:rPr>
          <w:rFonts w:hint="eastAsia" w:ascii="仿宋_GB2312" w:hAnsi="仿宋_GB2312" w:cs="仿宋_GB2312"/>
          <w:highlight w:val="none"/>
          <w:lang w:val="en-US" w:eastAsia="zh-CN"/>
        </w:rPr>
        <w:t>及温控变频要求</w:t>
      </w:r>
      <w:r>
        <w:rPr>
          <w:rFonts w:hint="eastAsia" w:ascii="仿宋_GB2312" w:hAnsi="仿宋_GB2312" w:cs="仿宋_GB2312"/>
          <w:highlight w:val="none"/>
          <w:lang w:eastAsia="zh-CN"/>
        </w:rPr>
        <w:t>，</w:t>
      </w:r>
      <w:r>
        <w:rPr>
          <w:rFonts w:hint="eastAsia" w:ascii="仿宋_GB2312" w:hAnsi="仿宋_GB2312" w:cs="仿宋_GB2312"/>
          <w:highlight w:val="none"/>
          <w:lang w:val="en-US" w:eastAsia="zh-CN"/>
        </w:rPr>
        <w:t>设备</w:t>
      </w:r>
      <w:r>
        <w:rPr>
          <w:rFonts w:hint="eastAsia" w:ascii="仿宋_GB2312" w:hAnsi="仿宋_GB2312" w:cs="仿宋_GB2312"/>
          <w:highlight w:val="none"/>
        </w:rPr>
        <w:t>应满足现</w:t>
      </w:r>
      <w:r>
        <w:rPr>
          <w:rFonts w:hint="eastAsia" w:ascii="仿宋_GB2312" w:hAnsi="仿宋_GB2312" w:cs="仿宋_GB2312"/>
          <w:highlight w:val="none"/>
          <w:lang w:val="en-US" w:eastAsia="zh-CN"/>
        </w:rPr>
        <w:t>场</w:t>
      </w:r>
      <w:r>
        <w:rPr>
          <w:rFonts w:hint="eastAsia" w:ascii="仿宋_GB2312" w:hAnsi="仿宋_GB2312" w:cs="仿宋_GB2312"/>
          <w:highlight w:val="none"/>
        </w:rPr>
        <w:t>安装尺寸要求10m*4.4m（长*宽）。</w:t>
      </w:r>
      <w:r>
        <w:rPr>
          <w:rFonts w:hint="eastAsia" w:ascii="仿宋_GB2312" w:hAnsi="仿宋_GB2312" w:cs="仿宋_GB2312"/>
          <w:highlight w:val="none"/>
          <w:lang w:val="en-US" w:eastAsia="zh-CN"/>
        </w:rPr>
        <w:t>本次项目内容包括设备装卸运输、</w:t>
      </w:r>
      <w:r>
        <w:rPr>
          <w:rFonts w:hint="eastAsia" w:ascii="Times New Roman" w:hAnsi="Times New Roman" w:cs="Times New Roman"/>
          <w:color w:val="auto"/>
          <w:kern w:val="2"/>
          <w:sz w:val="21"/>
          <w:szCs w:val="22"/>
          <w:highlight w:val="none"/>
          <w:lang w:val="en-US" w:eastAsia="zh-CN" w:bidi="ar-SA"/>
        </w:rPr>
        <w:t>旧塔拆除分解、新塔供货安装</w:t>
      </w:r>
      <w:r>
        <w:rPr>
          <w:rFonts w:hint="default" w:ascii="Times New Roman" w:hAnsi="Times New Roman" w:eastAsia="宋体" w:cs="Times New Roman"/>
          <w:color w:val="auto"/>
          <w:kern w:val="2"/>
          <w:sz w:val="21"/>
          <w:szCs w:val="22"/>
          <w:highlight w:val="none"/>
          <w:lang w:eastAsia="zh-CN" w:bidi="ar-SA"/>
        </w:rPr>
        <w:t>、</w:t>
      </w:r>
      <w:r>
        <w:rPr>
          <w:rFonts w:hint="eastAsia" w:ascii="Times New Roman" w:hAnsi="Times New Roman" w:cs="Times New Roman"/>
          <w:color w:val="auto"/>
          <w:kern w:val="2"/>
          <w:sz w:val="21"/>
          <w:szCs w:val="22"/>
          <w:highlight w:val="none"/>
          <w:lang w:val="en-US" w:eastAsia="zh-CN" w:bidi="ar-SA"/>
        </w:rPr>
        <w:t>设备安装基础调整及管路对接调试、现场垃圾合规处置、设备试运行验收、培训及售后服务等内容。</w:t>
      </w:r>
      <w:bookmarkEnd w:id="4"/>
      <w:r>
        <w:rPr>
          <w:rFonts w:hint="eastAsia" w:ascii="Times New Roman" w:hAnsi="Times New Roman" w:cs="Times New Roman"/>
          <w:color w:val="auto"/>
          <w:kern w:val="2"/>
          <w:sz w:val="21"/>
          <w:szCs w:val="22"/>
          <w:highlight w:val="none"/>
          <w:lang w:val="en-US" w:eastAsia="zh-CN" w:bidi="ar-SA"/>
        </w:rPr>
        <w:t>交钥匙方式。</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lang w:val="en-US" w:eastAsia="zh-CN"/>
        </w:rPr>
        <w:t>具体</w:t>
      </w:r>
      <w:r>
        <w:rPr>
          <w:rFonts w:hint="eastAsia" w:ascii="宋体" w:hAnsi="Courier New" w:eastAsia="宋体" w:cs="Times New Roman"/>
          <w:highlight w:val="none"/>
          <w:lang w:val="en-US" w:eastAsia="zh-CN"/>
        </w:rPr>
        <w:t>要求详见《技术标书》。</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u w:val="none"/>
          <w:lang w:val="en-US" w:eastAsia="zh-CN"/>
        </w:rPr>
      </w:pPr>
      <w:r>
        <w:rPr>
          <w:rFonts w:hint="eastAsia"/>
          <w:lang w:val="en-US" w:eastAsia="zh-CN"/>
        </w:rPr>
        <w:t>报价：</w:t>
      </w:r>
    </w:p>
    <w:p>
      <w:pPr>
        <w:pStyle w:val="16"/>
        <w:spacing w:line="360" w:lineRule="auto"/>
        <w:ind w:firstLine="420" w:firstLineChars="200"/>
      </w:pPr>
      <w:r>
        <w:rPr>
          <w:rFonts w:hint="eastAsia" w:hAnsi="宋体"/>
        </w:rPr>
        <w:t>⑴</w:t>
      </w:r>
      <w:r>
        <w:rPr>
          <w:rFonts w:hint="eastAsia"/>
        </w:rPr>
        <w:t>本次招标为公开招标，报价应为：投标方与招标人或其指派的答疑人员充分沟通确认基础上，由投标人在满足招标人所提出的、与本项目所有相关环节有关的所有费用；</w:t>
      </w:r>
    </w:p>
    <w:p>
      <w:pPr>
        <w:pStyle w:val="16"/>
        <w:spacing w:line="360" w:lineRule="auto"/>
        <w:ind w:firstLine="420" w:firstLineChars="200"/>
        <w:rPr>
          <w:rFonts w:hint="default" w:eastAsia="宋体"/>
          <w:highlight w:val="none"/>
          <w:lang w:val="en-US" w:eastAsia="zh-CN"/>
        </w:rPr>
      </w:pPr>
      <w:r>
        <w:rPr>
          <w:rFonts w:hint="eastAsia" w:ascii="宋体" w:hAnsi="宋体"/>
          <w:highlight w:val="none"/>
        </w:rPr>
        <w:t>⑵</w:t>
      </w:r>
      <w:r>
        <w:rPr>
          <w:rFonts w:hint="eastAsia" w:ascii="宋体" w:hAnsi="宋体"/>
          <w:highlight w:val="none"/>
          <w:lang w:val="en-US" w:eastAsia="zh-CN"/>
        </w:rPr>
        <w:t>投标方报价上限</w:t>
      </w:r>
      <w:r>
        <w:rPr>
          <w:rFonts w:hint="eastAsia" w:hAnsi="宋体"/>
          <w:highlight w:val="none"/>
          <w:lang w:val="en-US" w:eastAsia="zh-CN"/>
        </w:rPr>
        <w:t>：</w:t>
      </w:r>
      <w:r>
        <w:rPr>
          <w:rFonts w:hint="default" w:cs="Times New Roman"/>
          <w:highlight w:val="none"/>
          <w:lang w:val="en-US" w:eastAsia="zh-CN"/>
        </w:rPr>
        <w:t>人民币</w:t>
      </w:r>
      <w:r>
        <w:rPr>
          <w:rFonts w:hint="eastAsia" w:cs="Times New Roman"/>
          <w:highlight w:val="none"/>
          <w:lang w:val="en-US" w:eastAsia="zh-CN"/>
        </w:rPr>
        <w:t>20</w:t>
      </w:r>
      <w:r>
        <w:rPr>
          <w:rFonts w:hint="default" w:cs="Times New Roman"/>
          <w:highlight w:val="none"/>
          <w:lang w:val="en-US" w:eastAsia="zh-CN"/>
        </w:rPr>
        <w:t>万元（含税，税率</w:t>
      </w:r>
      <w:r>
        <w:rPr>
          <w:rFonts w:hint="eastAsia" w:cs="Times New Roman"/>
          <w:highlight w:val="none"/>
          <w:lang w:val="en-US" w:eastAsia="zh-CN"/>
        </w:rPr>
        <w:t>13</w:t>
      </w:r>
      <w:r>
        <w:rPr>
          <w:rFonts w:hint="default" w:cs="Times New Roman"/>
          <w:highlight w:val="none"/>
          <w:lang w:val="en-US" w:eastAsia="zh-CN"/>
        </w:rPr>
        <w:t>%），超过投标限价无法投标。</w:t>
      </w:r>
    </w:p>
    <w:p>
      <w:pPr>
        <w:spacing w:line="360" w:lineRule="auto"/>
        <w:ind w:left="420" w:leftChars="200" w:firstLine="0" w:firstLineChars="0"/>
        <w:rPr>
          <w:rFonts w:hint="eastAsia" w:ascii="宋体" w:hAnsi="Courier New" w:eastAsia="宋体"/>
          <w:highlight w:val="none"/>
          <w:lang w:eastAsia="zh-CN"/>
        </w:rPr>
      </w:pPr>
      <w:r>
        <w:rPr>
          <w:rFonts w:hint="eastAsia" w:ascii="宋体" w:hAnsi="宋体"/>
          <w:highlight w:val="none"/>
        </w:rPr>
        <w:t>⑶</w:t>
      </w:r>
      <w:r>
        <w:rPr>
          <w:rFonts w:hint="eastAsia" w:ascii="宋体" w:hAnsi="Courier New"/>
          <w:highlight w:val="none"/>
        </w:rPr>
        <w:t>所有报价货币单位为：</w:t>
      </w:r>
    </w:p>
    <w:p>
      <w:pPr>
        <w:spacing w:line="360" w:lineRule="auto"/>
        <w:ind w:left="420" w:leftChars="200" w:firstLine="0" w:firstLineChars="0"/>
        <w:rPr>
          <w:rFonts w:hint="eastAsia" w:ascii="宋体" w:hAnsi="Courier New"/>
          <w:highlight w:val="none"/>
          <w:lang w:eastAsia="zh-CN"/>
        </w:rPr>
      </w:pPr>
      <w:r>
        <w:rPr>
          <w:rFonts w:hint="eastAsia" w:ascii="宋体" w:hAnsi="Courier New"/>
          <w:highlight w:val="none"/>
          <w:lang w:val="en-US" w:eastAsia="zh-CN"/>
        </w:rPr>
        <w:t>合计项目总价</w:t>
      </w:r>
      <w:r>
        <w:rPr>
          <w:rFonts w:hint="eastAsia" w:ascii="宋体" w:hAnsi="Courier New"/>
          <w:highlight w:val="none"/>
          <w:u w:val="single"/>
          <w:lang w:val="en-US" w:eastAsia="zh-CN"/>
        </w:rPr>
        <w:t xml:space="preserve">    </w:t>
      </w:r>
      <w:r>
        <w:rPr>
          <w:rFonts w:hint="eastAsia" w:ascii="宋体" w:hAnsi="Courier New"/>
          <w:highlight w:val="none"/>
        </w:rPr>
        <w:t>元（人民币，未税）；税率</w:t>
      </w:r>
      <w:r>
        <w:rPr>
          <w:rFonts w:hint="eastAsia" w:ascii="宋体" w:hAnsi="Courier New"/>
          <w:highlight w:val="none"/>
          <w:u w:val="single"/>
          <w:lang w:val="en-US" w:eastAsia="zh-CN"/>
        </w:rPr>
        <w:t xml:space="preserve">   </w:t>
      </w:r>
      <w:r>
        <w:rPr>
          <w:rFonts w:hint="eastAsia" w:ascii="宋体" w:hAnsi="Courier New"/>
          <w:highlight w:val="none"/>
        </w:rPr>
        <w:t>；</w:t>
      </w:r>
      <w:r>
        <w:rPr>
          <w:rFonts w:hint="eastAsia" w:ascii="宋体" w:hAnsi="Courier New"/>
          <w:highlight w:val="none"/>
          <w:u w:val="single"/>
          <w:lang w:val="en-US" w:eastAsia="zh-CN"/>
        </w:rPr>
        <w:t xml:space="preserve">   </w:t>
      </w:r>
      <w:r>
        <w:rPr>
          <w:rFonts w:hint="eastAsia" w:ascii="宋体" w:hAnsi="Courier New"/>
          <w:highlight w:val="none"/>
        </w:rPr>
        <w:t>元（人民币</w:t>
      </w:r>
      <w:r>
        <w:rPr>
          <w:rFonts w:hint="eastAsia" w:ascii="宋体" w:hAnsi="Courier New"/>
          <w:highlight w:val="none"/>
          <w:lang w:eastAsia="zh-CN"/>
        </w:rPr>
        <w:t>，</w:t>
      </w:r>
      <w:r>
        <w:rPr>
          <w:rFonts w:hint="eastAsia" w:ascii="宋体" w:hAnsi="Courier New"/>
          <w:highlight w:val="none"/>
          <w:lang w:val="en-US" w:eastAsia="zh-CN"/>
        </w:rPr>
        <w:t>含税</w:t>
      </w:r>
      <w:r>
        <w:rPr>
          <w:rFonts w:hint="eastAsia" w:ascii="宋体" w:hAnsi="Courier New"/>
          <w:highlight w:val="none"/>
        </w:rPr>
        <w:t>）</w:t>
      </w:r>
      <w:r>
        <w:rPr>
          <w:rFonts w:hint="eastAsia" w:ascii="宋体" w:hAnsi="Courier New"/>
          <w:highlight w:val="none"/>
          <w:lang w:eastAsia="zh-CN"/>
        </w:rPr>
        <w:t>。</w:t>
      </w:r>
    </w:p>
    <w:p>
      <w:pPr>
        <w:spacing w:line="360" w:lineRule="auto"/>
        <w:ind w:firstLine="420" w:firstLineChars="200"/>
        <w:rPr>
          <w:rFonts w:hint="eastAsia" w:hAnsi="宋体"/>
          <w:highlight w:val="yellow"/>
          <w:lang w:eastAsia="zh-CN"/>
        </w:rPr>
      </w:pPr>
      <w:r>
        <w:rPr>
          <w:rFonts w:hint="eastAsia" w:hAnsi="宋体"/>
        </w:rPr>
        <w:t>⑷</w:t>
      </w:r>
      <w:r>
        <w:rPr>
          <w:rFonts w:hint="eastAsia" w:hAnsi="宋体"/>
          <w:highlight w:val="none"/>
        </w:rPr>
        <w:t>原则上招标人将与中标人签订</w:t>
      </w:r>
      <w:r>
        <w:rPr>
          <w:rFonts w:hint="eastAsia" w:hAnsi="宋体"/>
          <w:highlight w:val="none"/>
          <w:lang w:val="en-US" w:eastAsia="zh-CN"/>
        </w:rPr>
        <w:t>合同</w:t>
      </w:r>
      <w:r>
        <w:rPr>
          <w:rFonts w:hint="eastAsia" w:hAnsi="宋体"/>
          <w:highlight w:val="none"/>
        </w:rPr>
        <w:t>。鉴于此，投标人应酌情考虑总体能力，本着诚信合作的态度，向招标人提供真实、合理的投标报价</w:t>
      </w:r>
      <w:r>
        <w:rPr>
          <w:rFonts w:hint="eastAsia" w:hAnsi="宋体"/>
          <w:highlight w:val="none"/>
          <w:lang w:eastAsia="zh-CN"/>
        </w:rPr>
        <w:t>；</w:t>
      </w:r>
    </w:p>
    <w:p>
      <w:pPr>
        <w:spacing w:line="360" w:lineRule="auto"/>
        <w:ind w:firstLine="420" w:firstLineChars="200"/>
        <w:rPr>
          <w:rFonts w:hint="eastAsia" w:hAnsi="宋体"/>
          <w:highlight w:val="none"/>
        </w:rPr>
      </w:pPr>
      <w:r>
        <w:rPr>
          <w:rFonts w:hint="eastAsia" w:hAnsi="宋体"/>
          <w:highlight w:val="none"/>
        </w:rPr>
        <w:t>⑸投标价格含合同签订的</w:t>
      </w:r>
      <w:r>
        <w:rPr>
          <w:rFonts w:hint="eastAsia" w:hAnsi="宋体"/>
          <w:highlight w:val="none"/>
          <w:lang w:val="en-US" w:eastAsia="zh-CN"/>
        </w:rPr>
        <w:t>设备采购安装</w:t>
      </w:r>
      <w:r>
        <w:rPr>
          <w:rFonts w:hint="eastAsia" w:hAnsi="宋体"/>
          <w:highlight w:val="none"/>
        </w:rPr>
        <w:t>产生的一切费用，包括</w:t>
      </w:r>
      <w:r>
        <w:rPr>
          <w:rFonts w:hint="eastAsia" w:hAnsi="宋体"/>
          <w:highlight w:val="none"/>
          <w:lang w:val="en-US" w:eastAsia="zh-CN"/>
        </w:rPr>
        <w:t>旧塔拆除、新塔的采购供货</w:t>
      </w:r>
      <w:r>
        <w:rPr>
          <w:rFonts w:hint="eastAsia" w:hAnsi="宋体"/>
          <w:highlight w:val="none"/>
          <w:lang w:eastAsia="zh-CN"/>
        </w:rPr>
        <w:t>、</w:t>
      </w:r>
      <w:r>
        <w:rPr>
          <w:rFonts w:hint="eastAsia" w:hAnsi="宋体"/>
          <w:highlight w:val="none"/>
          <w:lang w:val="en-US" w:eastAsia="zh-CN"/>
        </w:rPr>
        <w:t>安装调试、装卸运输</w:t>
      </w:r>
      <w:r>
        <w:rPr>
          <w:rFonts w:hint="eastAsia" w:hAnsi="宋体"/>
          <w:highlight w:val="none"/>
        </w:rPr>
        <w:t>等所有费用。评标小组有权根据报价情况要求所有投标人进行澄清。</w:t>
      </w:r>
    </w:p>
    <w:p>
      <w:pPr>
        <w:spacing w:line="360" w:lineRule="auto"/>
        <w:ind w:firstLine="420" w:firstLineChars="200"/>
        <w:rPr>
          <w:highlight w:val="none"/>
        </w:rPr>
      </w:pPr>
      <w:r>
        <w:rPr>
          <w:rFonts w:hint="eastAsia" w:hAnsi="宋体"/>
          <w:highlight w:val="none"/>
        </w:rPr>
        <w:t>⑹投标人应对项目内招标的全部内容进行报价，不允许挑项报价、空项报价，否则视为主动弃标。如投标人不认可、不接受</w:t>
      </w:r>
      <w:r>
        <w:rPr>
          <w:rFonts w:hint="eastAsia" w:hAnsi="宋体"/>
          <w:highlight w:val="none"/>
          <w:lang w:val="en-US" w:eastAsia="zh-CN"/>
        </w:rPr>
        <w:t>付款方式</w:t>
      </w:r>
      <w:r>
        <w:rPr>
          <w:rFonts w:hint="eastAsia" w:hAnsi="宋体"/>
          <w:highlight w:val="none"/>
        </w:rPr>
        <w:t>，则须在本标书开标一览表中注明，招标人将视之为主动弃标</w:t>
      </w:r>
      <w:r>
        <w:rPr>
          <w:rFonts w:hint="eastAsia" w:hAnsi="宋体"/>
          <w:highlight w:val="none"/>
          <w:lang w:eastAsia="zh-CN"/>
        </w:rPr>
        <w:t>。</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lang w:val="en-US" w:eastAsia="zh-CN"/>
        </w:rPr>
      </w:pPr>
      <w:r>
        <w:rPr>
          <w:rFonts w:hint="default" w:cs="Times New Roman"/>
          <w:lang w:val="en-US" w:eastAsia="zh-CN"/>
        </w:rPr>
        <w:t>资金来源：企业自筹，已落实。</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招标人名称：中国重汽集团济南动力有限公司 </w:t>
      </w:r>
    </w:p>
    <w:p>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招标人地址：济南市高新区华奥路777号 </w:t>
      </w:r>
    </w:p>
    <w:p>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b/>
          <w:bCs/>
          <w:kern w:val="2"/>
          <w:sz w:val="21"/>
          <w:lang w:val="en-US" w:eastAsia="zh-CN" w:bidi="ar-SA"/>
        </w:rPr>
        <w:t>商务联系人：</w:t>
      </w:r>
      <w:r>
        <w:rPr>
          <w:rFonts w:hint="eastAsia" w:ascii="宋体" w:hAnsi="Courier New" w:cs="Times New Roman"/>
          <w:b/>
          <w:bCs/>
          <w:kern w:val="2"/>
          <w:sz w:val="21"/>
          <w:lang w:val="en-US" w:eastAsia="zh-CN" w:bidi="ar-SA"/>
        </w:rPr>
        <w:t>杨淑超</w:t>
      </w:r>
    </w:p>
    <w:p>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w:t>
      </w:r>
      <w:r>
        <w:rPr>
          <w:rFonts w:hint="eastAsia" w:ascii="宋体" w:hAnsi="Courier New" w:cs="Times New Roman"/>
          <w:kern w:val="2"/>
          <w:sz w:val="21"/>
          <w:lang w:val="en-US" w:eastAsia="zh-CN" w:bidi="ar-SA"/>
        </w:rPr>
        <w:t>17860605820</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Courier New" w:eastAsia="宋体" w:cs="Times New Roman"/>
          <w:color w:val="auto"/>
          <w:kern w:val="2"/>
          <w:sz w:val="21"/>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left="0" w:firstLine="422" w:firstLineChars="200"/>
        <w:textAlignment w:val="auto"/>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b/>
          <w:bCs/>
          <w:kern w:val="2"/>
          <w:sz w:val="21"/>
          <w:lang w:val="en-US" w:eastAsia="zh-CN" w:bidi="ar-SA"/>
        </w:rPr>
        <w:t>技术联系人：</w:t>
      </w:r>
      <w:r>
        <w:rPr>
          <w:rFonts w:hint="eastAsia" w:ascii="宋体" w:hAnsi="宋体" w:cs="宋体"/>
          <w:color w:val="auto"/>
          <w:szCs w:val="21"/>
          <w:lang w:val="en-US" w:eastAsia="zh-CN"/>
        </w:rPr>
        <w:t>王艳</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b/>
          <w:bCs/>
          <w:highlight w:val="cyan"/>
          <w:lang w:val="en-US" w:eastAsia="zh-CN"/>
        </w:rPr>
      </w:pPr>
      <w:r>
        <w:rPr>
          <w:rFonts w:hint="eastAsia" w:ascii="宋体" w:hAnsi="Courier New" w:eastAsia="宋体" w:cs="Times New Roman"/>
          <w:kern w:val="2"/>
          <w:sz w:val="21"/>
          <w:highlight w:val="none"/>
          <w:lang w:val="en-US" w:eastAsia="zh-CN" w:bidi="ar-SA"/>
        </w:rPr>
        <w:t>电话：</w:t>
      </w:r>
      <w:r>
        <w:rPr>
          <w:rFonts w:hint="eastAsia" w:hAnsi="宋体" w:cs="宋体"/>
          <w:color w:val="auto"/>
          <w:szCs w:val="21"/>
          <w:lang w:val="en-US" w:eastAsia="zh-CN"/>
        </w:rPr>
        <w:t>15964548466</w:t>
      </w:r>
    </w:p>
    <w:bookmarkEnd w:id="3"/>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6" w:name="_Toc47976598"/>
      <w:r>
        <w:rPr>
          <w:rFonts w:hint="eastAsia"/>
        </w:rPr>
        <w:t>合格的投标人</w:t>
      </w:r>
      <w:bookmarkEnd w:id="6"/>
    </w:p>
    <w:p>
      <w:pPr>
        <w:pStyle w:val="13"/>
        <w:keepNext w:val="0"/>
        <w:keepLines w:val="0"/>
        <w:pageBreakBefore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 xml:space="preserve">公司成立三年以上（以营业执照成立日期到开标当日满三年为准）； </w:t>
      </w:r>
    </w:p>
    <w:p>
      <w:pPr>
        <w:pStyle w:val="13"/>
        <w:keepNext w:val="0"/>
        <w:keepLines w:val="0"/>
        <w:pageBreakBefore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rPr>
        <w:t>2、</w:t>
      </w:r>
      <w:r>
        <w:rPr>
          <w:rFonts w:hint="eastAsia" w:ascii="宋体" w:hAnsi="宋体" w:eastAsia="宋体" w:cs="宋体"/>
          <w:sz w:val="21"/>
          <w:szCs w:val="21"/>
        </w:rPr>
        <w:t>公司注册资本不少于壹佰万元（人民币），经营范围满足本项目需求；</w:t>
      </w:r>
    </w:p>
    <w:p>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3、</w:t>
      </w:r>
      <w:r>
        <w:rPr>
          <w:rFonts w:hint="eastAsia" w:ascii="宋体" w:hAnsi="宋体" w:eastAsia="宋体" w:cs="宋体"/>
          <w:color w:val="000000"/>
          <w:kern w:val="0"/>
          <w:sz w:val="21"/>
          <w:szCs w:val="21"/>
        </w:rPr>
        <w:t>在社会上和重汽集团内的其它招标过程中没有不良行为记录；</w:t>
      </w:r>
    </w:p>
    <w:p>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4、</w:t>
      </w:r>
      <w:r>
        <w:rPr>
          <w:rFonts w:hint="eastAsia" w:ascii="宋体" w:hAnsi="宋体" w:eastAsia="宋体" w:cs="宋体"/>
          <w:color w:val="000000"/>
          <w:kern w:val="0"/>
          <w:sz w:val="21"/>
          <w:szCs w:val="21"/>
        </w:rPr>
        <w:t>无招标违规、谎报年度报告信息、提供虚假资质资料等行为和行政处罚记录。</w:t>
      </w:r>
    </w:p>
    <w:p>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val="en-US" w:eastAsia="zh-CN"/>
        </w:rPr>
        <w:t>5、公</w:t>
      </w:r>
      <w:r>
        <w:rPr>
          <w:rFonts w:hint="eastAsia" w:ascii="宋体" w:hAnsi="宋体" w:eastAsia="宋体" w:cs="宋体"/>
          <w:color w:val="000000"/>
          <w:kern w:val="0"/>
          <w:sz w:val="21"/>
          <w:szCs w:val="21"/>
        </w:rPr>
        <w:t>司财务良好，经营稳定，有全面履约的能力；投标</w:t>
      </w:r>
      <w:r>
        <w:rPr>
          <w:rFonts w:hint="eastAsia" w:ascii="宋体" w:hAnsi="宋体" w:eastAsia="宋体" w:cs="宋体"/>
          <w:color w:val="000000"/>
          <w:kern w:val="0"/>
          <w:sz w:val="21"/>
          <w:szCs w:val="21"/>
          <w:lang w:val="en-US" w:eastAsia="zh-CN"/>
        </w:rPr>
        <w:t>单位</w:t>
      </w:r>
      <w:r>
        <w:rPr>
          <w:rFonts w:hint="eastAsia" w:ascii="宋体" w:hAnsi="宋体" w:eastAsia="宋体" w:cs="宋体"/>
          <w:color w:val="000000"/>
          <w:kern w:val="0"/>
          <w:sz w:val="21"/>
          <w:szCs w:val="21"/>
        </w:rPr>
        <w:t>之间必须具有充分的竞争关系</w:t>
      </w:r>
      <w:r>
        <w:rPr>
          <w:rFonts w:hint="eastAsia" w:ascii="宋体" w:hAnsi="宋体" w:eastAsia="宋体" w:cs="宋体"/>
          <w:color w:val="000000"/>
          <w:kern w:val="0"/>
          <w:sz w:val="21"/>
          <w:szCs w:val="21"/>
          <w:lang w:eastAsia="zh-CN"/>
        </w:rPr>
        <w:t>。</w:t>
      </w:r>
    </w:p>
    <w:p>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6、</w:t>
      </w:r>
      <w:r>
        <w:rPr>
          <w:rFonts w:hint="eastAsia" w:ascii="宋体" w:hAnsi="宋体" w:eastAsia="宋体" w:cs="宋体"/>
          <w:color w:val="000000"/>
          <w:kern w:val="0"/>
          <w:sz w:val="21"/>
          <w:szCs w:val="21"/>
        </w:rPr>
        <w:t>投标单位应具有良好的商业信誉，没有被处于责令停产、财产被冻结、接管、破产、且财务状况良好。</w:t>
      </w:r>
    </w:p>
    <w:p>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7、</w:t>
      </w:r>
      <w:r>
        <w:rPr>
          <w:rFonts w:hint="eastAsia" w:ascii="宋体" w:hAnsi="宋体" w:eastAsia="宋体" w:cs="宋体"/>
          <w:color w:val="000000"/>
          <w:kern w:val="0"/>
          <w:sz w:val="21"/>
          <w:szCs w:val="21"/>
        </w:rPr>
        <w:t>投标单位未在“信用中国”网站（www.creditchina.gov.cn）或各级信用信息共享平台列入失信被执行人名单</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信用信息共享平台</w:t>
      </w:r>
      <w:r>
        <w:rPr>
          <w:rFonts w:hint="eastAsia" w:ascii="宋体" w:hAnsi="宋体" w:eastAsia="宋体" w:cs="宋体"/>
          <w:color w:val="000000"/>
          <w:kern w:val="0"/>
          <w:sz w:val="21"/>
          <w:szCs w:val="21"/>
          <w:lang w:val="en-US" w:eastAsia="zh-CN"/>
        </w:rPr>
        <w:t>包括但不限于</w:t>
      </w:r>
      <w:r>
        <w:rPr>
          <w:rFonts w:hint="eastAsia" w:ascii="宋体" w:hAnsi="宋体" w:eastAsia="宋体" w:cs="宋体"/>
          <w:color w:val="000000"/>
          <w:kern w:val="0"/>
          <w:sz w:val="21"/>
          <w:szCs w:val="21"/>
        </w:rPr>
        <w:t>“国家企业信用信息公示系统”、“中国执行信息公开网”、“天眼查”“裁判文书网”等信息平台。</w:t>
      </w:r>
    </w:p>
    <w:p>
      <w:pPr>
        <w:pStyle w:val="16"/>
        <w:keepNext w:val="0"/>
        <w:keepLines w:val="0"/>
        <w:pageBreakBefore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val="en-US" w:eastAsia="zh-CN"/>
        </w:rPr>
        <w:t>8、</w:t>
      </w:r>
      <w:r>
        <w:rPr>
          <w:rFonts w:hint="eastAsia" w:ascii="宋体" w:hAnsi="宋体" w:eastAsia="宋体" w:cs="宋体"/>
          <w:color w:val="000000"/>
          <w:kern w:val="0"/>
          <w:sz w:val="21"/>
          <w:szCs w:val="21"/>
        </w:rPr>
        <w:t>投标</w:t>
      </w:r>
      <w:r>
        <w:rPr>
          <w:rFonts w:hint="eastAsia" w:ascii="宋体" w:hAnsi="宋体" w:eastAsia="宋体" w:cs="宋体"/>
          <w:color w:val="000000"/>
          <w:kern w:val="0"/>
          <w:sz w:val="21"/>
          <w:szCs w:val="21"/>
          <w:lang w:val="en-US" w:eastAsia="zh-CN"/>
        </w:rPr>
        <w:t>单位</w:t>
      </w:r>
      <w:r>
        <w:rPr>
          <w:rFonts w:hint="eastAsia" w:ascii="宋体" w:hAnsi="宋体" w:eastAsia="宋体" w:cs="宋体"/>
          <w:color w:val="000000"/>
          <w:kern w:val="0"/>
          <w:sz w:val="21"/>
          <w:szCs w:val="21"/>
        </w:rPr>
        <w:t>的直接或间接股东、法定代表人、董事、监事、高管非重汽员工及其亲属</w:t>
      </w:r>
      <w:r>
        <w:rPr>
          <w:rFonts w:hint="eastAsia" w:ascii="宋体" w:hAnsi="宋体" w:eastAsia="宋体" w:cs="宋体"/>
          <w:color w:val="000000"/>
          <w:kern w:val="0"/>
          <w:sz w:val="21"/>
          <w:szCs w:val="21"/>
          <w:lang w:eastAsia="zh-CN"/>
        </w:rPr>
        <w:t>。</w:t>
      </w:r>
    </w:p>
    <w:p>
      <w:pPr>
        <w:pStyle w:val="16"/>
        <w:keepNext w:val="0"/>
        <w:keepLines w:val="0"/>
        <w:pageBreakBefore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9、</w:t>
      </w:r>
      <w:r>
        <w:rPr>
          <w:rFonts w:hint="eastAsia" w:ascii="宋体" w:hAnsi="宋体" w:eastAsia="宋体" w:cs="宋体"/>
          <w:color w:val="000000"/>
          <w:kern w:val="0"/>
          <w:sz w:val="21"/>
          <w:szCs w:val="21"/>
        </w:rPr>
        <w:t>必须具有</w:t>
      </w:r>
      <w:r>
        <w:rPr>
          <w:rFonts w:hint="eastAsia" w:ascii="宋体" w:hAnsi="宋体" w:eastAsia="宋体" w:cs="宋体"/>
          <w:color w:val="000000"/>
          <w:kern w:val="0"/>
          <w:sz w:val="21"/>
          <w:szCs w:val="21"/>
          <w:u w:val="single"/>
          <w:lang w:val="en-US" w:eastAsia="zh-CN"/>
        </w:rPr>
        <w:t>1</w:t>
      </w:r>
      <w:r>
        <w:rPr>
          <w:rFonts w:hint="eastAsia" w:ascii="宋体" w:hAnsi="宋体" w:eastAsia="宋体" w:cs="宋体"/>
          <w:kern w:val="0"/>
          <w:sz w:val="21"/>
          <w:szCs w:val="21"/>
          <w:u w:val="single"/>
        </w:rPr>
        <w:t>年</w:t>
      </w:r>
      <w:r>
        <w:rPr>
          <w:rFonts w:hint="eastAsia" w:ascii="宋体" w:hAnsi="宋体" w:eastAsia="宋体" w:cs="宋体"/>
          <w:color w:val="000000"/>
          <w:kern w:val="0"/>
          <w:sz w:val="21"/>
          <w:szCs w:val="21"/>
        </w:rPr>
        <w:t>以上相关工作经历和成功的类似案例。</w:t>
      </w:r>
    </w:p>
    <w:p>
      <w:pPr>
        <w:pStyle w:val="16"/>
        <w:keepNext w:val="0"/>
        <w:keepLines w:val="0"/>
        <w:pageBreakBefore w:val="0"/>
        <w:kinsoku/>
        <w:wordWrap/>
        <w:overflowPunct/>
        <w:topLinePunct w:val="0"/>
        <w:autoSpaceDE/>
        <w:autoSpaceDN/>
        <w:bidi w:val="0"/>
        <w:adjustRightInd/>
        <w:snapToGrid/>
        <w:spacing w:line="440" w:lineRule="exact"/>
        <w:ind w:firstLine="422" w:firstLineChars="200"/>
        <w:textAlignment w:val="auto"/>
        <w:rPr>
          <w:rFonts w:hint="eastAsia" w:ascii="宋体" w:hAnsi="宋体" w:eastAsia="宋体" w:cs="宋体"/>
          <w:b/>
          <w:bCs/>
          <w:color w:val="000000"/>
          <w:kern w:val="0"/>
          <w:sz w:val="21"/>
          <w:szCs w:val="21"/>
          <w:lang w:val="en-US" w:eastAsia="zh-CN"/>
        </w:rPr>
      </w:pPr>
      <w:r>
        <w:rPr>
          <w:rFonts w:hint="eastAsia" w:ascii="宋体" w:hAnsi="宋体" w:eastAsia="宋体" w:cs="宋体"/>
          <w:b/>
          <w:bCs/>
          <w:color w:val="000000"/>
          <w:kern w:val="0"/>
          <w:sz w:val="21"/>
          <w:szCs w:val="21"/>
          <w:lang w:val="en-US" w:eastAsia="zh-CN"/>
        </w:rPr>
        <w:t>*10、本项目采用供应商直销模式进行采购，原则上不允许代理商投标。</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pPr>
        <w:pStyle w:val="77"/>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w:t>
      </w:r>
    </w:p>
    <w:p>
      <w:pPr>
        <w:pStyle w:val="77"/>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pPr>
        <w:pStyle w:val="77"/>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12</w:t>
      </w:r>
      <w:r>
        <w:rPr>
          <w:rFonts w:hint="eastAsia" w:eastAsia="宋体" w:cs="宋体"/>
          <w:highlight w:val="none"/>
          <w:u w:val="single"/>
        </w:rPr>
        <w:t>月</w:t>
      </w:r>
      <w:r>
        <w:rPr>
          <w:rFonts w:hint="eastAsia" w:cs="宋体"/>
          <w:highlight w:val="none"/>
          <w:u w:val="single"/>
          <w:lang w:val="en-US" w:eastAsia="zh-CN"/>
        </w:rPr>
        <w:t>5</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pPr>
        <w:pStyle w:val="77"/>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7</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8</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公告中第二部分的“应标文件的编制”</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pPr>
        <w:pStyle w:val="77"/>
        <w:keepNext w:val="0"/>
        <w:keepLines w:val="0"/>
        <w:pageBreakBefore w:val="0"/>
        <w:widowControl w:val="0"/>
        <w:numPr>
          <w:numId w:val="0"/>
        </w:numPr>
        <w:kinsoku/>
        <w:wordWrap/>
        <w:overflowPunct/>
        <w:topLinePunct w:val="0"/>
        <w:autoSpaceDE/>
        <w:autoSpaceDN/>
        <w:bidi w:val="0"/>
        <w:adjustRightInd/>
        <w:snapToGrid/>
        <w:spacing w:line="440" w:lineRule="exact"/>
        <w:ind w:left="420" w:leftChars="0"/>
        <w:jc w:val="both"/>
        <w:textAlignment w:val="auto"/>
        <w:rPr>
          <w:rFonts w:hint="eastAsia" w:ascii="宋体" w:hAnsi="Courier New" w:eastAsia="宋体" w:cs="Times New Roman"/>
          <w:highlight w:val="yellow"/>
          <w:lang w:val="en-US" w:eastAsia="zh-CN"/>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w:t>
      </w:r>
      <w:bookmarkStart w:id="106" w:name="_GoBack"/>
      <w:bookmarkEnd w:id="106"/>
      <w:r>
        <w:rPr>
          <w:rFonts w:hint="eastAsia" w:ascii="仿宋_GB2312" w:hAnsi="仿宋_GB2312" w:eastAsia="仿宋_GB2312" w:cs="仿宋_GB2312"/>
          <w:highlight w:val="yellow"/>
          <w:lang w:val="en-US" w:eastAsia="zh-CN"/>
        </w:rPr>
        <w:t>）</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pPr>
        <w:pStyle w:val="77"/>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pPr>
        <w:pStyle w:val="77"/>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pPr>
        <w:pStyle w:val="77"/>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pPr>
        <w:pStyle w:val="77"/>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pPr>
        <w:pStyle w:val="77"/>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7</w:t>
      </w:r>
      <w:r>
        <w:rPr>
          <w:rFonts w:hint="eastAsia" w:ascii="宋体" w:hAnsi="Courier New" w:eastAsia="宋体" w:cs="Times New Roman"/>
          <w:highlight w:val="none"/>
          <w:u w:val="single"/>
          <w:lang w:val="en-US" w:eastAsia="zh-CN"/>
        </w:rPr>
        <w:t>日</w:t>
      </w:r>
      <w:r>
        <w:rPr>
          <w:rFonts w:hint="default" w:ascii="宋体" w:hAnsi="Courier New" w:eastAsia="宋体" w:cs="Times New Roman"/>
          <w:highlight w:val="none"/>
          <w:u w:val="single"/>
          <w:lang w:val="en-US" w:eastAsia="zh-CN"/>
        </w:rPr>
        <w:t>12:00</w:t>
      </w:r>
      <w:r>
        <w:rPr>
          <w:rFonts w:hint="eastAsia"/>
          <w:highlight w:val="none"/>
          <w:u w:val="single"/>
          <w:lang w:val="en-US" w:eastAsia="zh-CN"/>
        </w:rPr>
        <w:t>:00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pPr>
        <w:pStyle w:val="77"/>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pPr>
        <w:pStyle w:val="77"/>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pPr>
        <w:pStyle w:val="77"/>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12月7日</w:t>
      </w:r>
      <w:r>
        <w:rPr>
          <w:rFonts w:hint="default" w:ascii="宋体" w:hAnsi="Courier New" w:eastAsia="宋体" w:cs="Times New Roman"/>
          <w:highlight w:val="none"/>
          <w:u w:val="single"/>
          <w:lang w:val="en-US" w:eastAsia="zh-CN"/>
        </w:rPr>
        <w:t>17:00</w:t>
      </w:r>
      <w:r>
        <w:rPr>
          <w:rFonts w:hint="eastAsia" w:ascii="宋体" w:hAnsi="Courier New" w:eastAsia="宋体" w:cs="Times New Roman"/>
          <w:highlight w:val="none"/>
          <w:u w:val="single"/>
          <w:lang w:val="en-US" w:eastAsia="zh-CN"/>
        </w:rPr>
        <w:t>前</w:t>
      </w:r>
      <w:r>
        <w:rPr>
          <w:rFonts w:hint="eastAsia" w:cs="Times New Roman"/>
          <w:highlight w:val="none"/>
          <w:u w:val="single"/>
          <w:lang w:val="en-US" w:eastAsia="zh-CN"/>
        </w:rPr>
        <w:t>；</w:t>
      </w:r>
    </w:p>
    <w:p>
      <w:pPr>
        <w:pStyle w:val="77"/>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pPr>
        <w:pStyle w:val="73"/>
        <w:keepNext w:val="0"/>
        <w:keepLines w:val="0"/>
        <w:pageBreakBefore w:val="0"/>
        <w:widowControl w:val="0"/>
        <w:numPr>
          <w:ilvl w:val="0"/>
          <w:numId w:val="1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投标文件的组成</w:t>
      </w:r>
    </w:p>
    <w:p>
      <w:pPr>
        <w:pStyle w:val="7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cs="Times New Roman"/>
          <w:lang w:val="en-US" w:eastAsia="zh-CN"/>
        </w:rPr>
        <w:t>本项</w:t>
      </w:r>
      <w:r>
        <w:rPr>
          <w:rFonts w:hint="eastAsia" w:cs="Times New Roman"/>
          <w:highlight w:val="none"/>
          <w:lang w:val="en-US" w:eastAsia="zh-CN"/>
        </w:rPr>
        <w:t>目投标文件为</w:t>
      </w:r>
      <w:r>
        <w:rPr>
          <w:rFonts w:hint="eastAsia" w:ascii="Times New Roman" w:hAnsi="Times New Roman" w:cs="Times New Roman"/>
          <w:color w:val="auto"/>
          <w:highlight w:val="none"/>
          <w:lang w:val="en-US" w:eastAsia="zh-CN"/>
        </w:rPr>
        <w:t>盖章扫描</w:t>
      </w:r>
      <w:r>
        <w:rPr>
          <w:rFonts w:hint="eastAsia" w:cs="Times New Roman"/>
          <w:highlight w:val="none"/>
          <w:lang w:val="en-US" w:eastAsia="zh-CN"/>
        </w:rPr>
        <w:t>电子版投标文件。</w:t>
      </w:r>
      <w:r>
        <w:rPr>
          <w:rFonts w:hint="eastAsia"/>
          <w:highlight w:val="none"/>
          <w:lang w:val="en-US" w:eastAsia="zh-CN"/>
        </w:rPr>
        <w:t>投标人编写的投标文件由《投标文件（资质标）》、《投标文件（技术标）》(若有）和《投标文件（商务标）》文件组成，共计3个文</w:t>
      </w:r>
      <w:r>
        <w:rPr>
          <w:rFonts w:hint="eastAsia"/>
          <w:lang w:val="en-US" w:eastAsia="zh-CN"/>
        </w:rPr>
        <w:t>件。</w:t>
      </w:r>
    </w:p>
    <w:p>
      <w:pPr>
        <w:pStyle w:val="77"/>
        <w:keepNext w:val="0"/>
        <w:keepLines w:val="0"/>
        <w:pageBreakBefore w:val="0"/>
        <w:widowControl w:val="0"/>
        <w:numPr>
          <w:ilvl w:val="1"/>
          <w:numId w:val="15"/>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Times New Roman" w:hAnsi="Times New Roman" w:cs="Times New Roman"/>
          <w:color w:val="auto"/>
        </w:rPr>
      </w:pPr>
      <w:r>
        <w:rPr>
          <w:rFonts w:hint="eastAsia" w:ascii="黑体" w:hAnsi="黑体" w:eastAsia="黑体" w:cs="黑体"/>
          <w:b w:val="0"/>
          <w:bCs/>
          <w:sz w:val="21"/>
          <w:szCs w:val="21"/>
          <w:highlight w:val="none"/>
        </w:rPr>
        <w:t>资质文件</w:t>
      </w:r>
      <w:r>
        <w:rPr>
          <w:rFonts w:hint="eastAsia" w:ascii="黑体" w:hAnsi="黑体" w:eastAsia="黑体" w:cs="黑体"/>
          <w:b w:val="0"/>
          <w:bCs/>
          <w:sz w:val="21"/>
          <w:szCs w:val="21"/>
          <w:highlight w:val="none"/>
          <w:lang w:val="en-US" w:eastAsia="zh-CN"/>
        </w:rPr>
        <w:t xml:space="preserve"> </w:t>
      </w:r>
    </w:p>
    <w:p>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1、</w:t>
      </w:r>
      <w:r>
        <w:rPr>
          <w:rFonts w:hint="eastAsia" w:ascii="宋体" w:hAnsi="宋体" w:eastAsia="宋体" w:cs="宋体"/>
          <w:color w:val="000000"/>
          <w:kern w:val="0"/>
          <w:sz w:val="21"/>
          <w:szCs w:val="21"/>
        </w:rPr>
        <w:t>法定代表人身份证明</w:t>
      </w:r>
    </w:p>
    <w:p>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2、</w:t>
      </w:r>
      <w:r>
        <w:rPr>
          <w:rFonts w:hint="eastAsia" w:ascii="宋体" w:hAnsi="宋体" w:eastAsia="宋体" w:cs="宋体"/>
          <w:color w:val="000000"/>
          <w:kern w:val="0"/>
          <w:sz w:val="21"/>
          <w:szCs w:val="21"/>
        </w:rPr>
        <w:t>法</w:t>
      </w:r>
      <w:r>
        <w:rPr>
          <w:rFonts w:hint="eastAsia" w:ascii="宋体" w:hAnsi="宋体" w:eastAsia="宋体" w:cs="宋体"/>
          <w:color w:val="000000"/>
          <w:kern w:val="0"/>
          <w:sz w:val="21"/>
          <w:szCs w:val="21"/>
          <w:lang w:val="en-US" w:eastAsia="zh-CN"/>
        </w:rPr>
        <w:t>定代表</w:t>
      </w:r>
      <w:r>
        <w:rPr>
          <w:rFonts w:hint="eastAsia" w:ascii="宋体" w:hAnsi="宋体" w:eastAsia="宋体" w:cs="宋体"/>
          <w:color w:val="000000"/>
          <w:kern w:val="0"/>
          <w:sz w:val="21"/>
          <w:szCs w:val="21"/>
        </w:rPr>
        <w:t>人授权委托书及身份证复印件</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lang w:val="en-US" w:eastAsia="zh-CN"/>
        </w:rPr>
        <w:t>附件1</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rPr>
        <w:t>；</w:t>
      </w:r>
    </w:p>
    <w:p>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3、</w:t>
      </w:r>
      <w:r>
        <w:rPr>
          <w:rFonts w:hint="eastAsia" w:ascii="宋体" w:hAnsi="宋体" w:eastAsia="宋体" w:cs="宋体"/>
          <w:color w:val="000000"/>
          <w:kern w:val="0"/>
          <w:sz w:val="21"/>
          <w:szCs w:val="21"/>
        </w:rPr>
        <w:t>营业执照副本复印件；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4、</w:t>
      </w:r>
      <w:r>
        <w:rPr>
          <w:rFonts w:hint="eastAsia" w:ascii="宋体" w:hAnsi="宋体" w:eastAsia="宋体" w:cs="宋体"/>
          <w:color w:val="000000"/>
          <w:kern w:val="0"/>
          <w:sz w:val="21"/>
          <w:szCs w:val="21"/>
        </w:rPr>
        <w:t>证明投标人满足投标资料表中列出的业绩要求的文件：近三年（</w:t>
      </w:r>
      <w:r>
        <w:rPr>
          <w:rFonts w:hint="eastAsia" w:ascii="宋体" w:hAnsi="宋体" w:eastAsia="宋体" w:cs="宋体"/>
          <w:color w:val="000000"/>
          <w:kern w:val="0"/>
          <w:sz w:val="21"/>
          <w:szCs w:val="21"/>
          <w:lang w:val="en-US" w:eastAsia="zh-CN"/>
        </w:rPr>
        <w:t>2022</w:t>
      </w:r>
      <w:r>
        <w:rPr>
          <w:rFonts w:hint="eastAsia" w:ascii="宋体" w:hAnsi="宋体" w:eastAsia="宋体" w:cs="宋体"/>
          <w:color w:val="000000"/>
          <w:kern w:val="0"/>
          <w:sz w:val="21"/>
          <w:szCs w:val="21"/>
        </w:rPr>
        <w:t>年1月1日至今）类似项目业绩及合同复印件（加盖公章，须有客户联系方式及联系人以供招标人核实确认）。</w:t>
      </w:r>
    </w:p>
    <w:p>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5、</w:t>
      </w:r>
      <w:r>
        <w:rPr>
          <w:rFonts w:hint="eastAsia" w:ascii="宋体" w:hAnsi="宋体" w:eastAsia="宋体" w:cs="宋体"/>
          <w:color w:val="000000"/>
          <w:kern w:val="0"/>
          <w:sz w:val="21"/>
          <w:szCs w:val="21"/>
        </w:rPr>
        <w:t>近三年财务报表（资产负债表、损益表、现金流量表）</w:t>
      </w:r>
      <w:r>
        <w:rPr>
          <w:rFonts w:hint="eastAsia" w:ascii="宋体" w:hAnsi="宋体" w:eastAsia="宋体" w:cs="宋体"/>
          <w:color w:val="000000"/>
          <w:kern w:val="0"/>
          <w:sz w:val="21"/>
          <w:szCs w:val="21"/>
          <w:lang w:val="en-US" w:eastAsia="zh-CN"/>
        </w:rPr>
        <w:t>等</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企业最近半年完税证明、信用证明材料（中国人民银行信用代码证+征信报告）；年度纳税信用评价信息（可从电子税务局查询截图，需加盖公章）；企业对外担保说明（写明贵单位对外有无对外担保和质押业务，需加盖公章）。</w:t>
      </w:r>
    </w:p>
    <w:p>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6、招标文件中要求的其它资格证明文件。</w:t>
      </w:r>
    </w:p>
    <w:p>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7、投标人应具有相应生产证明，为生产厂家。</w:t>
      </w:r>
    </w:p>
    <w:p>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8、近三个月依法缴纳税收和社会保障资金的证明材料，近三年内在经营活动中没有违法违纪行为的声明；</w:t>
      </w:r>
    </w:p>
    <w:p>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9、投标单位在国家企业信用信息公示系统中无与本投标项目有关的行政处罚、经营异常或失信信息或上述信息已被移除的声明。</w:t>
      </w:r>
    </w:p>
    <w:p>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10、投标保证金缴纳凭据。</w:t>
      </w:r>
    </w:p>
    <w:p>
      <w:pPr>
        <w:pStyle w:val="77"/>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42" w:leftChars="0" w:firstLine="422" w:firstLineChars="0"/>
        <w:textAlignment w:val="auto"/>
        <w:rPr>
          <w:b/>
          <w:bCs/>
          <w:color w:val="auto"/>
        </w:rPr>
      </w:pPr>
      <w:r>
        <w:rPr>
          <w:rFonts w:hint="eastAsia"/>
          <w:b/>
          <w:bCs/>
          <w:color w:val="auto"/>
        </w:rPr>
        <w:t>对于投标人资质审核不通过的，招标人有权拒绝其投标。</w:t>
      </w:r>
    </w:p>
    <w:p>
      <w:pPr>
        <w:pStyle w:val="77"/>
        <w:keepNext w:val="0"/>
        <w:keepLines w:val="0"/>
        <w:pageBreakBefore w:val="0"/>
        <w:widowControl w:val="0"/>
        <w:numPr>
          <w:ilvl w:val="1"/>
          <w:numId w:val="15"/>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rPr>
      </w:pPr>
      <w:r>
        <w:rPr>
          <w:rFonts w:hint="eastAsia" w:ascii="黑体" w:hAnsi="黑体" w:eastAsia="黑体" w:cs="黑体"/>
          <w:b w:val="0"/>
          <w:bCs/>
          <w:sz w:val="21"/>
          <w:szCs w:val="21"/>
          <w:highlight w:val="none"/>
          <w:lang w:val="en-US" w:eastAsia="zh-CN"/>
        </w:rPr>
        <w:t>技术标</w:t>
      </w:r>
    </w:p>
    <w:p>
      <w:pPr>
        <w:pStyle w:val="77"/>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相关条款偏离表（含商务偏离及技术偏离）（附件2）；</w:t>
      </w:r>
    </w:p>
    <w:p>
      <w:pPr>
        <w:pStyle w:val="77"/>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冷却塔型号及具体参数（要求满足招标文件）；</w:t>
      </w:r>
    </w:p>
    <w:p>
      <w:pPr>
        <w:pStyle w:val="77"/>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质保期；</w:t>
      </w:r>
    </w:p>
    <w:p>
      <w:pPr>
        <w:pStyle w:val="77"/>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售后承诺。</w:t>
      </w:r>
    </w:p>
    <w:p>
      <w:pPr>
        <w:pStyle w:val="77"/>
        <w:keepNext w:val="0"/>
        <w:keepLines w:val="0"/>
        <w:pageBreakBefore w:val="0"/>
        <w:widowControl w:val="0"/>
        <w:numPr>
          <w:ilvl w:val="1"/>
          <w:numId w:val="15"/>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商务标</w:t>
      </w:r>
    </w:p>
    <w:p>
      <w:pPr>
        <w:pStyle w:val="77"/>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开标一览表（附件3）</w:t>
      </w:r>
      <w:r>
        <w:rPr>
          <w:rFonts w:hint="eastAsia" w:cs="Times New Roman"/>
          <w:highlight w:val="none"/>
        </w:rPr>
        <w:t>；</w:t>
      </w:r>
    </w:p>
    <w:p>
      <w:pPr>
        <w:pStyle w:val="77"/>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投标函（附件</w:t>
      </w:r>
      <w:r>
        <w:rPr>
          <w:rFonts w:hint="eastAsia" w:cs="Times New Roman"/>
          <w:highlight w:val="none"/>
          <w:lang w:val="en-US" w:eastAsia="zh-CN"/>
        </w:rPr>
        <w:t>4</w:t>
      </w:r>
      <w:r>
        <w:rPr>
          <w:rFonts w:hint="eastAsia" w:cs="Times New Roman"/>
          <w:highlight w:val="none"/>
        </w:rPr>
        <w:t>）；</w:t>
      </w:r>
    </w:p>
    <w:p>
      <w:pPr>
        <w:pStyle w:val="77"/>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rPr>
        <w:t>商务条款偏离表（附件</w:t>
      </w:r>
      <w:r>
        <w:rPr>
          <w:rFonts w:hint="eastAsia" w:cs="Times New Roman"/>
          <w:highlight w:val="none"/>
          <w:lang w:val="en-US" w:eastAsia="zh-CN"/>
        </w:rPr>
        <w:t>5</w:t>
      </w:r>
      <w:r>
        <w:rPr>
          <w:rFonts w:hint="eastAsia" w:cs="Times New Roman"/>
          <w:highlight w:val="none"/>
        </w:rPr>
        <w:t>）</w:t>
      </w:r>
      <w:r>
        <w:rPr>
          <w:rFonts w:hint="eastAsia" w:cs="Times New Roman"/>
          <w:highlight w:val="none"/>
          <w:lang w:eastAsia="zh-CN"/>
        </w:rPr>
        <w:t>。</w:t>
      </w:r>
    </w:p>
    <w:p>
      <w:pPr>
        <w:pStyle w:val="77"/>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lang w:val="en-US" w:eastAsia="zh-CN"/>
        </w:rPr>
        <w:t>分项报价表（附件6）</w:t>
      </w:r>
    </w:p>
    <w:p>
      <w:pPr>
        <w:pStyle w:val="77"/>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42" w:leftChars="0" w:firstLine="0" w:firstLineChars="0"/>
        <w:textAlignment w:val="auto"/>
        <w:rPr>
          <w:rFonts w:hint="default" w:cs="Times New Roman"/>
          <w:b w:val="0"/>
          <w:bCs w:val="0"/>
          <w:highlight w:val="none"/>
          <w:lang w:val="en-US" w:eastAsia="zh-CN"/>
        </w:rPr>
      </w:pPr>
      <w:r>
        <w:rPr>
          <w:rFonts w:hint="eastAsia" w:cs="Times New Roman"/>
          <w:b w:val="0"/>
          <w:bCs w:val="0"/>
          <w:highlight w:val="none"/>
          <w:lang w:val="en-US" w:eastAsia="zh-CN"/>
        </w:rPr>
        <w:t>商务报价注意内容：</w:t>
      </w:r>
      <w:r>
        <w:rPr>
          <w:rFonts w:hint="eastAsia" w:cs="Times New Roman"/>
          <w:b w:val="0"/>
          <w:bCs w:val="0"/>
          <w:highlight w:val="none"/>
        </w:rPr>
        <w:t>最高投标限价（招标控制价）：人民币</w:t>
      </w:r>
      <w:r>
        <w:rPr>
          <w:rFonts w:hint="eastAsia" w:cs="Times New Roman"/>
          <w:color w:val="FF0000"/>
          <w:highlight w:val="none"/>
          <w:lang w:val="en-US" w:eastAsia="zh-CN"/>
        </w:rPr>
        <w:t>20</w:t>
      </w:r>
      <w:r>
        <w:rPr>
          <w:rFonts w:hint="eastAsia" w:cs="Times New Roman"/>
          <w:b w:val="0"/>
          <w:bCs w:val="0"/>
          <w:highlight w:val="none"/>
        </w:rPr>
        <w:t>万元（含</w:t>
      </w:r>
      <w:r>
        <w:rPr>
          <w:rFonts w:hint="eastAsia" w:cs="Times New Roman"/>
          <w:b w:val="0"/>
          <w:bCs w:val="0"/>
          <w:highlight w:val="none"/>
          <w:u w:val="none"/>
          <w:lang w:val="en-US" w:eastAsia="zh-CN"/>
        </w:rPr>
        <w:t>13</w:t>
      </w:r>
      <w:r>
        <w:rPr>
          <w:rFonts w:hint="eastAsia" w:cs="Times New Roman"/>
          <w:b w:val="0"/>
          <w:bCs w:val="0"/>
          <w:highlight w:val="none"/>
          <w:u w:val="none"/>
        </w:rPr>
        <w:t>%</w:t>
      </w:r>
      <w:r>
        <w:rPr>
          <w:rFonts w:hint="eastAsia" w:cs="Times New Roman"/>
          <w:b w:val="0"/>
          <w:bCs w:val="0"/>
          <w:highlight w:val="none"/>
        </w:rPr>
        <w:t>增值税），超过投标限价无法投标。</w:t>
      </w:r>
    </w:p>
    <w:p>
      <w:pPr>
        <w:pStyle w:val="73"/>
        <w:keepNext w:val="0"/>
        <w:keepLines w:val="0"/>
        <w:pageBreakBefore w:val="0"/>
        <w:widowControl w:val="0"/>
        <w:numPr>
          <w:ilvl w:val="0"/>
          <w:numId w:val="1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投标文件的投递</w:t>
      </w:r>
    </w:p>
    <w:p>
      <w:pPr>
        <w:pStyle w:val="77"/>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投标方式</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在中国重汽e采通平台应标成功后，进入“供应商投标”环节，投递盖章扫描版电子标书（包含资质标</w:t>
      </w:r>
      <w:r>
        <w:rPr>
          <w:rFonts w:hint="eastAsia" w:ascii="Times New Roman" w:hAnsi="Times New Roman" w:cs="Times New Roman"/>
          <w:color w:val="auto"/>
          <w:highlight w:val="none"/>
          <w:lang w:val="en-US" w:eastAsia="zh-CN"/>
        </w:rPr>
        <w:t>书、技术标书、商务</w:t>
      </w:r>
      <w:r>
        <w:rPr>
          <w:rFonts w:hint="eastAsia" w:ascii="Times New Roman" w:hAnsi="Times New Roman" w:cs="Times New Roman"/>
          <w:color w:val="auto"/>
          <w:lang w:val="en-US" w:eastAsia="zh-CN"/>
        </w:rPr>
        <w:t>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用“公司名称+文件名称”命名。纸质版投标文件应在开标后3天内邮寄给项目建设单位（中国重汽集团济南卡车股份有限公司，联系人：王艳 15964548466）。</w:t>
      </w:r>
      <w:r>
        <w:rPr>
          <w:rFonts w:hint="eastAsia" w:ascii="Times New Roman" w:hAnsi="Times New Roman" w:cs="Times New Roman"/>
          <w:b/>
          <w:bCs/>
          <w:color w:val="auto"/>
          <w:lang w:val="en-US" w:eastAsia="zh-CN"/>
        </w:rPr>
        <w:t>若逾期未在中国重汽e采通平台上传电子标书，即便递交了纸质版投标文件，一律视为无效投标。</w:t>
      </w:r>
    </w:p>
    <w:p>
      <w:pPr>
        <w:pStyle w:val="77"/>
        <w:keepNext w:val="0"/>
        <w:keepLines w:val="0"/>
        <w:pageBreakBefore w:val="0"/>
        <w:widowControl w:val="0"/>
        <w:numPr>
          <w:ilvl w:val="1"/>
          <w:numId w:val="14"/>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lang w:val="en-US" w:eastAsia="zh-CN"/>
        </w:rPr>
      </w:pPr>
      <w:r>
        <w:rPr>
          <w:rFonts w:hint="eastAsia"/>
          <w:lang w:val="en-US" w:eastAsia="zh-CN"/>
        </w:rPr>
        <w:t>投标文件</w:t>
      </w:r>
      <w:r>
        <w:rPr>
          <w:rFonts w:hint="eastAsia" w:ascii="宋体" w:hAnsi="Courier New" w:eastAsia="宋体" w:cs="Times New Roman"/>
          <w:highlight w:val="none"/>
          <w:lang w:val="en-US" w:eastAsia="zh-CN"/>
        </w:rPr>
        <w:t>递交</w:t>
      </w:r>
      <w:r>
        <w:rPr>
          <w:rFonts w:hint="eastAsia"/>
          <w:lang w:val="en-US" w:eastAsia="zh-CN"/>
        </w:rPr>
        <w:t>截止时间：</w:t>
      </w:r>
      <w:r>
        <w:rPr>
          <w:rFonts w:hint="eastAsia"/>
          <w:u w:val="single"/>
          <w:lang w:val="en-US" w:eastAsia="zh-CN"/>
        </w:rPr>
        <w:t>2025年12</w:t>
      </w:r>
      <w:r>
        <w:rPr>
          <w:rFonts w:hint="eastAsia"/>
          <w:highlight w:val="none"/>
          <w:u w:val="single"/>
          <w:lang w:val="en-US" w:eastAsia="zh-CN"/>
        </w:rPr>
        <w:t>月11日9:00:00</w:t>
      </w:r>
      <w:r>
        <w:rPr>
          <w:rFonts w:hint="default"/>
          <w:u w:val="single"/>
          <w:lang w:val="en-US" w:eastAsia="zh-CN"/>
        </w:rPr>
        <w:t>（</w:t>
      </w:r>
      <w:r>
        <w:rPr>
          <w:rFonts w:hint="default" w:ascii="宋体" w:hAnsi="Courier New" w:eastAsia="宋体" w:cs="Times New Roman"/>
          <w:highlight w:val="none"/>
          <w:u w:val="single"/>
          <w:lang w:val="en-US" w:eastAsia="zh-CN"/>
        </w:rPr>
        <w:t>北京时间）</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bookmarkStart w:id="7"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pPr>
        <w:pStyle w:val="73"/>
        <w:keepNext w:val="0"/>
        <w:keepLines w:val="0"/>
        <w:pageBreakBefore w:val="0"/>
        <w:widowControl w:val="0"/>
        <w:numPr>
          <w:ilvl w:val="0"/>
          <w:numId w:val="17"/>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u w:val="single"/>
          <w:lang w:val="en-US" w:eastAsia="zh-CN"/>
        </w:rPr>
      </w:pPr>
      <w:r>
        <w:rPr>
          <w:rFonts w:hint="eastAsia" w:ascii="黑体" w:hAnsi="黑体" w:eastAsia="黑体" w:cs="黑体"/>
          <w:b w:val="0"/>
          <w:bCs w:val="0"/>
          <w:sz w:val="24"/>
          <w:szCs w:val="24"/>
          <w:highlight w:val="none"/>
        </w:rPr>
        <w:t>投标保证金的缴纳</w:t>
      </w:r>
    </w:p>
    <w:p>
      <w:pPr>
        <w:pStyle w:val="77"/>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银行基本账户转账</w:t>
      </w:r>
      <w:r>
        <w:rPr>
          <w:rFonts w:hint="eastAsia" w:hAnsi="宋体" w:cs="宋体"/>
          <w:b w:val="0"/>
          <w:bCs w:val="0"/>
          <w:sz w:val="21"/>
          <w:szCs w:val="21"/>
          <w:highlight w:val="none"/>
          <w:u w:val="single"/>
          <w:lang w:val="en-US" w:eastAsia="zh-CN"/>
        </w:rPr>
        <w:t>（公对公转账）</w:t>
      </w:r>
    </w:p>
    <w:p>
      <w:pPr>
        <w:pStyle w:val="77"/>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pPr>
        <w:pStyle w:val="77"/>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pPr>
        <w:pStyle w:val="77"/>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highlight w:val="none"/>
          <w:lang w:val="en-US" w:eastAsia="zh-CN"/>
        </w:rPr>
      </w:pPr>
      <w:r>
        <w:rPr>
          <w:rFonts w:hint="eastAsia"/>
          <w:highlight w:val="none"/>
        </w:rPr>
        <w:t>投标保证金的金额：人民币</w:t>
      </w:r>
      <w:r>
        <w:rPr>
          <w:rFonts w:hint="eastAsia"/>
          <w:highlight w:val="none"/>
          <w:lang w:val="en-US" w:eastAsia="zh-CN"/>
        </w:rPr>
        <w:t>5000</w:t>
      </w:r>
      <w:r>
        <w:rPr>
          <w:rFonts w:hint="eastAsia"/>
          <w:highlight w:val="none"/>
        </w:rPr>
        <w:t>元</w:t>
      </w:r>
    </w:p>
    <w:p>
      <w:pPr>
        <w:pStyle w:val="77"/>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422" w:firstLineChars="200"/>
        <w:textAlignment w:val="auto"/>
        <w:rPr>
          <w:rFonts w:hint="eastAsia"/>
          <w:b/>
          <w:bCs/>
          <w:lang w:val="en-US" w:eastAsia="zh-CN"/>
        </w:rPr>
      </w:pPr>
      <w:r>
        <w:rPr>
          <w:rFonts w:hint="eastAsia"/>
          <w:b/>
          <w:bCs/>
          <w:lang w:val="en-US" w:eastAsia="zh-CN"/>
        </w:rPr>
        <w:t>名称：中国重汽集团济南卡车股份有限公司</w:t>
      </w:r>
      <w:r>
        <w:rPr>
          <w:rFonts w:hint="eastAsia"/>
          <w:b/>
          <w:bCs/>
          <w:lang w:val="en-US" w:eastAsia="zh-CN"/>
        </w:rPr>
        <w:br w:type="textWrapping"/>
      </w:r>
      <w:r>
        <w:rPr>
          <w:rFonts w:hint="eastAsia"/>
          <w:b/>
          <w:bCs/>
          <w:lang w:val="en-US" w:eastAsia="zh-CN"/>
        </w:rPr>
        <w:tab/>
      </w:r>
      <w:r>
        <w:rPr>
          <w:rFonts w:hint="eastAsia"/>
          <w:b/>
          <w:bCs/>
          <w:lang w:val="en-US" w:eastAsia="zh-CN"/>
        </w:rPr>
        <w:t xml:space="preserve">     账号：531900051810601</w:t>
      </w:r>
      <w:r>
        <w:rPr>
          <w:rFonts w:hint="eastAsia"/>
          <w:b/>
          <w:bCs/>
          <w:lang w:val="en-US" w:eastAsia="zh-CN"/>
        </w:rPr>
        <w:br w:type="textWrapping"/>
      </w:r>
      <w:r>
        <w:rPr>
          <w:rFonts w:hint="eastAsia"/>
          <w:b/>
          <w:bCs/>
          <w:lang w:val="en-US" w:eastAsia="zh-CN"/>
        </w:rPr>
        <w:t xml:space="preserve">     开户行：招商银行股份有限公司济南分行营业部</w:t>
      </w:r>
      <w:r>
        <w:rPr>
          <w:rFonts w:hint="eastAsia"/>
          <w:b/>
          <w:bCs/>
          <w:lang w:val="en-US" w:eastAsia="zh-CN"/>
        </w:rPr>
        <w:br w:type="textWrapping"/>
      </w:r>
      <w:r>
        <w:rPr>
          <w:rFonts w:hint="eastAsia"/>
          <w:b/>
          <w:bCs/>
          <w:lang w:val="en-US" w:eastAsia="zh-CN"/>
        </w:rPr>
        <w:t xml:space="preserve">     行号：308451028020</w:t>
      </w:r>
    </w:p>
    <w:p>
      <w:pPr>
        <w:pStyle w:val="77"/>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422" w:firstLineChars="200"/>
        <w:textAlignment w:val="auto"/>
        <w:rPr>
          <w:rFonts w:hint="eastAsia"/>
          <w:b/>
          <w:bCs/>
          <w:lang w:val="en-US" w:eastAsia="zh-CN"/>
        </w:rPr>
      </w:pPr>
      <w:r>
        <w:rPr>
          <w:rFonts w:hint="eastAsia"/>
          <w:b/>
          <w:bCs/>
          <w:lang w:val="en-US" w:eastAsia="zh-CN"/>
        </w:rPr>
        <w:t>转账附言：公司名称+项目名称+投标保证金。</w:t>
      </w:r>
    </w:p>
    <w:p>
      <w:pPr>
        <w:pStyle w:val="77"/>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保证金缴纳</w:t>
      </w:r>
      <w:r>
        <w:rPr>
          <w:rFonts w:hint="eastAsia" w:cs="Times New Roman"/>
        </w:rPr>
        <w:t>截止</w:t>
      </w:r>
      <w:r>
        <w:rPr>
          <w:rFonts w:hint="eastAsia" w:ascii="宋体" w:hAnsi="宋体" w:eastAsia="宋体" w:cs="宋体"/>
          <w:b w:val="0"/>
          <w:bCs w:val="0"/>
          <w:sz w:val="21"/>
          <w:szCs w:val="21"/>
          <w:highlight w:val="none"/>
        </w:rPr>
        <w:t>时间：202</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年</w:t>
      </w:r>
      <w:r>
        <w:rPr>
          <w:rFonts w:hint="eastAsia" w:hAnsi="宋体" w:cs="宋体"/>
          <w:b w:val="0"/>
          <w:bCs w:val="0"/>
          <w:sz w:val="21"/>
          <w:szCs w:val="21"/>
          <w:highlight w:val="none"/>
          <w:lang w:val="en-US" w:eastAsia="zh-CN"/>
        </w:rPr>
        <w:t>12</w:t>
      </w:r>
      <w:r>
        <w:rPr>
          <w:rFonts w:hint="eastAsia" w:ascii="宋体" w:hAnsi="宋体" w:eastAsia="宋体" w:cs="宋体"/>
          <w:b w:val="0"/>
          <w:bCs w:val="0"/>
          <w:sz w:val="21"/>
          <w:szCs w:val="21"/>
          <w:highlight w:val="none"/>
        </w:rPr>
        <w:t>月</w:t>
      </w:r>
      <w:r>
        <w:rPr>
          <w:rFonts w:hint="eastAsia" w:hAnsi="宋体" w:cs="宋体"/>
          <w:b w:val="0"/>
          <w:bCs w:val="0"/>
          <w:sz w:val="21"/>
          <w:szCs w:val="21"/>
          <w:highlight w:val="none"/>
          <w:lang w:val="en-US" w:eastAsia="zh-CN"/>
        </w:rPr>
        <w:t>10</w:t>
      </w:r>
      <w:r>
        <w:rPr>
          <w:rFonts w:hint="eastAsia" w:ascii="宋体" w:hAnsi="宋体" w:eastAsia="宋体" w:cs="宋体"/>
          <w:b w:val="0"/>
          <w:bCs w:val="0"/>
          <w:sz w:val="21"/>
          <w:szCs w:val="21"/>
          <w:highlight w:val="none"/>
        </w:rPr>
        <w:t>日</w:t>
      </w:r>
      <w:r>
        <w:rPr>
          <w:rFonts w:hint="eastAsia" w:hAnsi="宋体" w:cs="宋体"/>
          <w:b w:val="0"/>
          <w:bCs w:val="0"/>
          <w:sz w:val="21"/>
          <w:szCs w:val="21"/>
          <w:highlight w:val="none"/>
          <w:lang w:val="en-US" w:eastAsia="zh-CN"/>
        </w:rPr>
        <w:t>17</w:t>
      </w:r>
      <w:r>
        <w:rPr>
          <w:rFonts w:hint="eastAsia"/>
          <w:highlight w:val="none"/>
          <w:u w:val="none"/>
          <w:lang w:val="en-US" w:eastAsia="zh-CN"/>
        </w:rPr>
        <w:t>:00</w:t>
      </w:r>
      <w:r>
        <w:rPr>
          <w:rFonts w:hint="eastAsia"/>
          <w:u w:val="none"/>
          <w:lang w:val="en-US" w:eastAsia="zh-CN"/>
        </w:rPr>
        <w:t>:00</w:t>
      </w:r>
      <w:r>
        <w:rPr>
          <w:rFonts w:hint="default" w:ascii="宋体" w:hAnsi="Courier New" w:eastAsia="宋体" w:cs="Times New Roman"/>
          <w:highlight w:val="none"/>
          <w:u w:val="none"/>
          <w:lang w:val="en-US" w:eastAsia="zh-CN"/>
        </w:rPr>
        <w:t>（北京时间）</w:t>
      </w:r>
    </w:p>
    <w:p>
      <w:pPr>
        <w:pStyle w:val="73"/>
        <w:keepNext w:val="0"/>
        <w:keepLines w:val="0"/>
        <w:pageBreakBefore w:val="0"/>
        <w:widowControl w:val="0"/>
        <w:numPr>
          <w:ilvl w:val="0"/>
          <w:numId w:val="17"/>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，投标保证金将于招标人内部完成中标人评审并确认最终中标人后在</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原路返还（无息）。</w:t>
      </w:r>
    </w:p>
    <w:p>
      <w:pPr>
        <w:pStyle w:val="73"/>
        <w:keepNext w:val="0"/>
        <w:keepLines w:val="0"/>
        <w:pageBreakBefore w:val="0"/>
        <w:widowControl w:val="0"/>
        <w:numPr>
          <w:ilvl w:val="0"/>
          <w:numId w:val="17"/>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发生</w:t>
      </w:r>
      <w:r>
        <w:rPr>
          <w:rFonts w:hint="eastAsia" w:ascii="黑体" w:hAnsi="黑体" w:eastAsia="黑体" w:cs="黑体"/>
          <w:b w:val="0"/>
          <w:bCs w:val="0"/>
          <w:sz w:val="24"/>
          <w:szCs w:val="24"/>
          <w:highlight w:val="none"/>
          <w:lang w:val="en-US" w:eastAsia="zh-CN"/>
        </w:rPr>
        <w:t>以下</w:t>
      </w:r>
      <w:r>
        <w:rPr>
          <w:rFonts w:hint="eastAsia" w:ascii="黑体" w:hAnsi="黑体" w:eastAsia="黑体" w:cs="黑体"/>
          <w:b w:val="0"/>
          <w:bCs w:val="0"/>
          <w:sz w:val="24"/>
          <w:szCs w:val="24"/>
          <w:highlight w:val="none"/>
        </w:rPr>
        <w:t>情况时，有权没收保证金：</w:t>
      </w:r>
    </w:p>
    <w:p>
      <w:pPr>
        <w:pStyle w:val="77"/>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ascii="宋体" w:hAnsi="宋体" w:eastAsia="宋体" w:cs="宋体"/>
          <w:b w:val="0"/>
          <w:bCs w:val="0"/>
          <w:szCs w:val="21"/>
          <w:highlight w:val="none"/>
        </w:rPr>
        <w:t>供</w:t>
      </w:r>
      <w:r>
        <w:rPr>
          <w:rFonts w:hint="eastAsia"/>
        </w:rPr>
        <w:t>应商在提交响应文件截止时间后撤回响应文件的；</w:t>
      </w:r>
    </w:p>
    <w:p>
      <w:pPr>
        <w:pStyle w:val="77"/>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供应商在响应文件中提供虚假材料的；</w:t>
      </w:r>
    </w:p>
    <w:p>
      <w:pPr>
        <w:pStyle w:val="77"/>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除因不可抗力或谈判文件、询价通知书认可的情形以外，成交供应商不与采购人签订合同的；</w:t>
      </w:r>
    </w:p>
    <w:p>
      <w:pPr>
        <w:pStyle w:val="77"/>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供应商与采购人、其他供应商或者采购代理机构恶意串通、围标、陪标的；</w:t>
      </w:r>
    </w:p>
    <w:p>
      <w:pPr>
        <w:pStyle w:val="77"/>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供应商有违约违规行为或被投诉、举报的，在调查处理期间，保证金暂不退还，待调查处理结束后按有关规定处理。</w:t>
      </w:r>
    </w:p>
    <w:p>
      <w:pPr>
        <w:pStyle w:val="77"/>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截至开标前3天，投标人无正当理由、未以书面形式向招标人递交说明而在投标截止日不来投标的。</w:t>
      </w:r>
    </w:p>
    <w:p>
      <w:pPr>
        <w:pStyle w:val="77"/>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自中标通知书发出之日起30日内，中标人无正当理由投标人无正当签订合同的；</w:t>
      </w:r>
    </w:p>
    <w:p>
      <w:pPr>
        <w:pStyle w:val="77"/>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仿宋_GB2312" w:cs="宋体"/>
          <w:b w:val="0"/>
          <w:bCs w:val="0"/>
          <w:szCs w:val="24"/>
          <w:highlight w:val="none"/>
          <w:lang w:val="en-US" w:eastAsia="zh-CN"/>
        </w:rPr>
      </w:pPr>
      <w:r>
        <w:rPr>
          <w:rFonts w:hint="eastAsia"/>
        </w:rPr>
        <w:t>采购文件规定</w:t>
      </w:r>
      <w:r>
        <w:rPr>
          <w:rFonts w:hint="eastAsia" w:ascii="宋体" w:hAnsi="宋体" w:eastAsia="宋体" w:cs="宋体"/>
          <w:b w:val="0"/>
          <w:bCs w:val="0"/>
          <w:szCs w:val="21"/>
          <w:highlight w:val="none"/>
        </w:rPr>
        <w:t>的其他情形</w:t>
      </w:r>
      <w:r>
        <w:rPr>
          <w:rFonts w:hint="eastAsia" w:ascii="宋体" w:hAnsi="宋体" w:eastAsia="宋体" w:cs="宋体"/>
          <w:b w:val="0"/>
          <w:bCs w:val="0"/>
          <w:szCs w:val="21"/>
          <w:highlight w:val="none"/>
          <w:lang w:eastAsia="zh-CN"/>
        </w:rPr>
        <w:t>。</w:t>
      </w:r>
    </w:p>
    <w:bookmarkEnd w:id="7"/>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开评标</w:t>
      </w:r>
    </w:p>
    <w:p>
      <w:pPr>
        <w:pStyle w:val="73"/>
        <w:keepNext w:val="0"/>
        <w:keepLines w:val="0"/>
        <w:pageBreakBefore w:val="0"/>
        <w:widowControl w:val="0"/>
        <w:numPr>
          <w:ilvl w:val="0"/>
          <w:numId w:val="2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开标时间和地点</w:t>
      </w:r>
    </w:p>
    <w:p>
      <w:pPr>
        <w:pStyle w:val="77"/>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r>
        <w:rPr>
          <w:rFonts w:hint="eastAsia" w:hAnsi="宋体" w:cs="宋体"/>
          <w:b w:val="0"/>
          <w:bCs w:val="0"/>
          <w:sz w:val="21"/>
          <w:szCs w:val="21"/>
          <w:highlight w:val="none"/>
          <w:lang w:val="en-US" w:eastAsia="zh-CN"/>
        </w:rPr>
        <w:t>2025年12</w:t>
      </w:r>
      <w:r>
        <w:rPr>
          <w:rFonts w:hint="eastAsia" w:ascii="宋体" w:hAnsi="宋体" w:eastAsia="宋体" w:cs="宋体"/>
          <w:b w:val="0"/>
          <w:bCs w:val="0"/>
          <w:sz w:val="21"/>
          <w:szCs w:val="21"/>
          <w:highlight w:val="none"/>
          <w:lang w:val="en-US" w:eastAsia="zh-CN"/>
        </w:rPr>
        <w:t>月</w:t>
      </w:r>
      <w:r>
        <w:rPr>
          <w:rFonts w:hint="eastAsia" w:hAnsi="宋体" w:cs="宋体"/>
          <w:b w:val="0"/>
          <w:bCs w:val="0"/>
          <w:sz w:val="21"/>
          <w:szCs w:val="21"/>
          <w:highlight w:val="none"/>
          <w:lang w:val="en-US" w:eastAsia="zh-CN"/>
        </w:rPr>
        <w:t>11</w:t>
      </w:r>
      <w:r>
        <w:rPr>
          <w:rFonts w:hint="eastAsia" w:ascii="宋体" w:hAnsi="宋体" w:eastAsia="宋体" w:cs="宋体"/>
          <w:b w:val="0"/>
          <w:bCs w:val="0"/>
          <w:sz w:val="21"/>
          <w:szCs w:val="21"/>
          <w:highlight w:val="none"/>
          <w:lang w:val="en-US" w:eastAsia="zh-CN"/>
        </w:rPr>
        <w:t>日</w:t>
      </w:r>
      <w:r>
        <w:rPr>
          <w:rFonts w:hint="default" w:ascii="宋体" w:hAnsi="宋体" w:eastAsia="宋体" w:cs="宋体"/>
          <w:b w:val="0"/>
          <w:bCs w:val="0"/>
          <w:sz w:val="21"/>
          <w:szCs w:val="21"/>
          <w:highlight w:val="none"/>
          <w:lang w:val="en-US" w:eastAsia="zh-CN"/>
        </w:rPr>
        <w:t>9:00:00（北京时间）</w:t>
      </w:r>
      <w:r>
        <w:rPr>
          <w:rFonts w:hint="eastAsia" w:ascii="宋体" w:hAnsi="宋体" w:eastAsia="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若有变动另行通知。</w:t>
      </w:r>
    </w:p>
    <w:p>
      <w:pPr>
        <w:pStyle w:val="77"/>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ascii="宋体" w:hAnsi="Courier New" w:eastAsia="宋体" w:cs="Times New Roman"/>
          <w:kern w:val="2"/>
          <w:sz w:val="21"/>
          <w:highlight w:val="none"/>
          <w:lang w:val="en-US" w:eastAsia="zh-CN" w:bidi="ar-SA"/>
        </w:rPr>
        <w:t>济南市高新区华奥路777</w:t>
      </w:r>
      <w:r>
        <w:rPr>
          <w:rFonts w:hint="eastAsia" w:ascii="宋体" w:hAnsi="Courier New" w:eastAsia="宋体" w:cs="Times New Roman"/>
          <w:kern w:val="2"/>
          <w:sz w:val="21"/>
          <w:lang w:val="en-US" w:eastAsia="zh-CN" w:bidi="ar-SA"/>
        </w:rPr>
        <w:t>号</w:t>
      </w:r>
      <w:r>
        <w:rPr>
          <w:rFonts w:hint="eastAsia" w:ascii="宋体" w:hAnsi="宋体" w:eastAsia="宋体" w:cs="宋体"/>
          <w:b w:val="0"/>
          <w:bCs w:val="0"/>
          <w:sz w:val="21"/>
          <w:szCs w:val="21"/>
          <w:highlight w:val="none"/>
          <w:lang w:val="en-US" w:eastAsia="zh-CN"/>
        </w:rPr>
        <w:t xml:space="preserve"> </w:t>
      </w:r>
    </w:p>
    <w:p>
      <w:pPr>
        <w:pStyle w:val="77"/>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000000"/>
          <w:sz w:val="21"/>
          <w:szCs w:val="21"/>
          <w:highlight w:val="none"/>
        </w:rPr>
      </w:pPr>
      <w:r>
        <w:rPr>
          <w:rFonts w:hint="eastAsia" w:ascii="宋体" w:hAnsi="宋体" w:eastAsia="宋体" w:cs="宋体"/>
          <w:b w:val="0"/>
          <w:bCs w:val="0"/>
          <w:sz w:val="21"/>
          <w:szCs w:val="21"/>
          <w:highlight w:val="none"/>
          <w:lang w:val="en-US" w:eastAsia="zh-CN"/>
        </w:rPr>
        <w:t>开标</w:t>
      </w:r>
      <w:r>
        <w:rPr>
          <w:rFonts w:hint="eastAsia" w:ascii="宋体" w:hAnsi="宋体" w:eastAsia="宋体" w:cs="宋体"/>
          <w:b w:val="0"/>
          <w:bCs w:val="0"/>
          <w:sz w:val="21"/>
          <w:szCs w:val="21"/>
          <w:highlight w:val="none"/>
          <w:u w:val="none"/>
          <w:lang w:val="en-US" w:eastAsia="zh-CN"/>
        </w:rPr>
        <w:t>方式：</w:t>
      </w:r>
      <w:r>
        <w:rPr>
          <w:rFonts w:hint="eastAsia" w:ascii="宋体" w:hAnsi="宋体" w:eastAsia="宋体" w:cs="宋体"/>
          <w:color w:val="000000"/>
          <w:sz w:val="21"/>
          <w:szCs w:val="21"/>
          <w:highlight w:val="none"/>
          <w:u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u w:val="none"/>
        </w:rPr>
        <w:t>招标人创建视频链接</w:t>
      </w:r>
      <w:r>
        <w:rPr>
          <w:rFonts w:hint="eastAsia" w:ascii="宋体" w:hAnsi="宋体" w:eastAsia="宋体" w:cs="宋体"/>
          <w:color w:val="000000"/>
          <w:sz w:val="21"/>
          <w:szCs w:val="21"/>
          <w:highlight w:val="none"/>
          <w:u w:val="none"/>
          <w:lang w:eastAsia="zh-CN"/>
        </w:rPr>
        <w:t>，</w:t>
      </w:r>
      <w:r>
        <w:rPr>
          <w:rFonts w:hint="eastAsia" w:ascii="宋体" w:hAnsi="宋体" w:eastAsia="宋体" w:cs="宋体"/>
          <w:color w:val="000000"/>
          <w:sz w:val="21"/>
          <w:szCs w:val="21"/>
          <w:highlight w:val="none"/>
          <w:u w:val="none"/>
        </w:rPr>
        <w:t>并在报名结束后统一通知。</w:t>
      </w:r>
    </w:p>
    <w:p>
      <w:pPr>
        <w:pStyle w:val="73"/>
        <w:keepNext w:val="0"/>
        <w:keepLines w:val="0"/>
        <w:pageBreakBefore w:val="0"/>
        <w:widowControl w:val="0"/>
        <w:numPr>
          <w:ilvl w:val="0"/>
          <w:numId w:val="2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评标</w:t>
      </w:r>
    </w:p>
    <w:p>
      <w:pPr>
        <w:pStyle w:val="73"/>
        <w:keepNext w:val="0"/>
        <w:keepLines w:val="0"/>
        <w:pageBreakBefore w:val="0"/>
        <w:widowControl w:val="0"/>
        <w:numPr>
          <w:ilvl w:val="1"/>
          <w:numId w:val="20"/>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评标方法</w:t>
      </w:r>
    </w:p>
    <w:p>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none"/>
          <w:lang w:val="en-US" w:eastAsia="zh-CN"/>
        </w:rPr>
      </w:pPr>
      <w:r>
        <w:rPr>
          <w:rFonts w:hint="eastAsia" w:cs="Times New Roman"/>
          <w:b w:val="0"/>
          <w:bCs/>
          <w:highlight w:val="none"/>
          <w:u w:val="none"/>
          <w:lang w:val="en-US" w:eastAsia="zh-CN"/>
        </w:rPr>
        <w:t>本次招标采用合理最低价法进行评标。本着公平、公正、公开的原则，选择合理最低价确定中标人，对未中标单位不做任何解释。</w:t>
      </w:r>
    </w:p>
    <w:p>
      <w:pPr>
        <w:pStyle w:val="73"/>
        <w:keepNext w:val="0"/>
        <w:keepLines w:val="0"/>
        <w:pageBreakBefore w:val="0"/>
        <w:widowControl w:val="0"/>
        <w:numPr>
          <w:ilvl w:val="1"/>
          <w:numId w:val="20"/>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评标流程</w:t>
      </w:r>
    </w:p>
    <w:p>
      <w:pPr>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w:t>
      </w:r>
      <w:r>
        <w:rPr>
          <w:rFonts w:hint="eastAsia" w:ascii="宋体" w:hAnsi="宋体" w:eastAsia="宋体" w:cs="宋体"/>
          <w:b w:val="0"/>
          <w:bCs/>
          <w:color w:val="000000"/>
          <w:sz w:val="21"/>
          <w:szCs w:val="21"/>
          <w:highlight w:val="none"/>
          <w:lang w:val="en-US" w:eastAsia="zh-CN"/>
        </w:rPr>
        <w:t>招标公告中第</w:t>
      </w:r>
      <w:r>
        <w:rPr>
          <w:rFonts w:hint="eastAsia" w:ascii="宋体" w:hAnsi="宋体" w:cs="宋体"/>
          <w:b w:val="0"/>
          <w:bCs/>
          <w:color w:val="000000"/>
          <w:sz w:val="21"/>
          <w:szCs w:val="21"/>
          <w:highlight w:val="none"/>
          <w:lang w:val="en-US" w:eastAsia="zh-CN"/>
        </w:rPr>
        <w:t>二</w:t>
      </w:r>
      <w:r>
        <w:rPr>
          <w:rFonts w:hint="eastAsia" w:ascii="宋体" w:hAnsi="宋体" w:eastAsia="宋体" w:cs="宋体"/>
          <w:b w:val="0"/>
          <w:bCs/>
          <w:color w:val="000000"/>
          <w:sz w:val="21"/>
          <w:szCs w:val="21"/>
          <w:highlight w:val="none"/>
          <w:lang w:val="en-US" w:eastAsia="zh-CN"/>
        </w:rPr>
        <w:t>部分的“应标文件的编制”编制</w:t>
      </w:r>
      <w:r>
        <w:rPr>
          <w:rFonts w:hint="eastAsia" w:ascii="宋体" w:hAnsi="宋体" w:eastAsia="宋体" w:cs="宋体"/>
          <w:b w:val="0"/>
          <w:bCs/>
          <w:color w:val="000000"/>
          <w:sz w:val="21"/>
          <w:szCs w:val="21"/>
          <w:highlight w:val="none"/>
        </w:rPr>
        <w:t>资料，上传完毕后，等待审核；</w:t>
      </w:r>
    </w:p>
    <w:p>
      <w:pPr>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w:t>
      </w:r>
      <w:r>
        <w:rPr>
          <w:rFonts w:hint="eastAsia" w:ascii="宋体" w:hAnsi="宋体" w:cs="宋体"/>
          <w:b w:val="0"/>
          <w:bCs/>
          <w:color w:val="000000"/>
          <w:sz w:val="21"/>
          <w:szCs w:val="21"/>
          <w:highlight w:val="none"/>
          <w:lang w:eastAsia="zh-CN"/>
        </w:rPr>
        <w:t>（</w:t>
      </w:r>
      <w:r>
        <w:rPr>
          <w:rFonts w:hint="eastAsia" w:ascii="宋体" w:hAnsi="宋体" w:cs="宋体"/>
          <w:b w:val="0"/>
          <w:bCs/>
          <w:color w:val="000000"/>
          <w:sz w:val="21"/>
          <w:szCs w:val="21"/>
          <w:highlight w:val="none"/>
          <w:lang w:val="en-US" w:eastAsia="zh-CN"/>
        </w:rPr>
        <w:t>附件8</w:t>
      </w:r>
      <w:r>
        <w:rPr>
          <w:rFonts w:hint="eastAsia" w:ascii="宋体" w:hAnsi="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”，在重汽e采通平台投递电子标书（包含资质标、技术标、商务标）；没有通过应标资质审查的单位不能进入投标环节；</w:t>
      </w:r>
    </w:p>
    <w:p>
      <w:pPr>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pPr>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ascii="宋体" w:hAnsi="宋体" w:eastAsia="宋体" w:cs="宋体"/>
          <w:b w:val="0"/>
          <w:bCs/>
          <w:color w:val="000000"/>
          <w:sz w:val="21"/>
          <w:szCs w:val="21"/>
          <w:highlight w:val="none"/>
        </w:rPr>
        <w:t>公开唱标：公示资质标入围单位的开标价格及商务条款响应情况；</w:t>
      </w:r>
    </w:p>
    <w:p>
      <w:pPr>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w:t>
      </w:r>
      <w:r>
        <w:rPr>
          <w:rFonts w:hint="eastAsia" w:ascii="宋体" w:hAnsi="宋体" w:cs="宋体"/>
          <w:b w:val="0"/>
          <w:bCs/>
          <w:color w:val="000000"/>
          <w:sz w:val="21"/>
          <w:szCs w:val="21"/>
          <w:highlight w:val="none"/>
          <w:lang w:val="en-US" w:eastAsia="zh-CN"/>
        </w:rPr>
        <w:t>相</w:t>
      </w:r>
      <w:r>
        <w:rPr>
          <w:rFonts w:hint="eastAsia" w:ascii="宋体" w:hAnsi="宋体" w:eastAsia="宋体" w:cs="宋体"/>
          <w:b w:val="0"/>
          <w:bCs/>
          <w:color w:val="000000"/>
          <w:sz w:val="21"/>
          <w:szCs w:val="21"/>
          <w:highlight w:val="none"/>
        </w:rPr>
        <w:t>应确认→价格澄清→商务标评审；评审期间产生的商务价格澄清均由投标人在重汽e采通平台限时内完成提交；</w:t>
      </w:r>
    </w:p>
    <w:p>
      <w:pPr>
        <w:pStyle w:val="77"/>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注意：所有参与现场投标的投标人，需要自带笔记本电脑在</w:t>
      </w:r>
      <w:r>
        <w:rPr>
          <w:rFonts w:hint="eastAsia"/>
          <w:lang w:eastAsia="zh-CN"/>
        </w:rPr>
        <w:t>“</w:t>
      </w:r>
      <w:r>
        <w:rPr>
          <w:rFonts w:hint="eastAsia"/>
        </w:rPr>
        <w:t>重汽e采通</w:t>
      </w:r>
      <w:r>
        <w:rPr>
          <w:rFonts w:hint="eastAsia"/>
          <w:lang w:eastAsia="zh-CN"/>
        </w:rPr>
        <w:t>”</w:t>
      </w:r>
      <w:r>
        <w:rPr>
          <w:rFonts w:hint="eastAsia"/>
        </w:rPr>
        <w:t>进行自主投标和提交澄清函；投标和提交澄清函均有时间限制，超时未提交的按无效处理。</w:t>
      </w:r>
    </w:p>
    <w:p>
      <w:pPr>
        <w:pStyle w:val="73"/>
        <w:keepNext w:val="0"/>
        <w:keepLines w:val="0"/>
        <w:pageBreakBefore w:val="0"/>
        <w:widowControl w:val="0"/>
        <w:numPr>
          <w:ilvl w:val="1"/>
          <w:numId w:val="20"/>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评分标准</w:t>
      </w:r>
      <w:r>
        <w:rPr>
          <w:rFonts w:hint="eastAsia" w:hAnsi="黑体" w:cs="黑体"/>
          <w:b w:val="0"/>
          <w:bCs w:val="0"/>
          <w:sz w:val="21"/>
          <w:szCs w:val="21"/>
          <w:highlight w:val="none"/>
          <w:lang w:val="en-US" w:eastAsia="zh-CN"/>
        </w:rPr>
        <w:t xml:space="preserve"> </w:t>
      </w:r>
    </w:p>
    <w:p>
      <w:pPr>
        <w:pStyle w:val="77"/>
        <w:keepNext w:val="0"/>
        <w:keepLines w:val="0"/>
        <w:pageBreakBefore w:val="0"/>
        <w:widowControl w:val="0"/>
        <w:numPr>
          <w:ilvl w:val="2"/>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u w:val="none"/>
          <w:lang w:val="en-US" w:eastAsia="zh-CN"/>
        </w:rPr>
      </w:pPr>
      <w:r>
        <w:rPr>
          <w:rFonts w:hint="eastAsia" w:cs="Times New Roman"/>
          <w:b w:val="0"/>
          <w:bCs/>
          <w:highlight w:val="none"/>
          <w:u w:val="none"/>
          <w:lang w:val="en-US" w:eastAsia="zh-CN"/>
        </w:rPr>
        <w:t>选择合理最低价确定中标人；</w:t>
      </w:r>
    </w:p>
    <w:p>
      <w:pPr>
        <w:pStyle w:val="77"/>
        <w:keepNext w:val="0"/>
        <w:keepLines w:val="0"/>
        <w:pageBreakBefore w:val="0"/>
        <w:widowControl w:val="0"/>
        <w:numPr>
          <w:ilvl w:val="2"/>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u w:val="none"/>
          <w:lang w:val="en-US" w:eastAsia="zh-CN"/>
        </w:rPr>
      </w:pPr>
      <w:r>
        <w:rPr>
          <w:rFonts w:hint="eastAsia" w:cs="Times New Roman"/>
          <w:highlight w:val="none"/>
          <w:u w:val="none"/>
          <w:lang w:val="en-US" w:eastAsia="zh-CN"/>
        </w:rPr>
        <w:t>通过初审者为有效投标；</w:t>
      </w:r>
    </w:p>
    <w:p>
      <w:pPr>
        <w:pStyle w:val="77"/>
        <w:keepNext w:val="0"/>
        <w:keepLines w:val="0"/>
        <w:pageBreakBefore w:val="0"/>
        <w:widowControl w:val="0"/>
        <w:numPr>
          <w:ilvl w:val="2"/>
          <w:numId w:val="20"/>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u w:val="none"/>
          <w:lang w:val="en-US" w:eastAsia="zh-CN"/>
        </w:rPr>
      </w:pPr>
      <w:r>
        <w:rPr>
          <w:rFonts w:hint="eastAsia" w:cs="Times New Roman"/>
          <w:highlight w:val="none"/>
          <w:u w:val="none"/>
          <w:lang w:val="en-US" w:eastAsia="zh-CN"/>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cs="Times New Roman"/>
          <w:lang w:val="en-US" w:eastAsia="zh-CN"/>
        </w:rPr>
        <w:t>定标</w:t>
      </w:r>
    </w:p>
    <w:p>
      <w:pPr>
        <w:pStyle w:val="7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eastAsia="zh-CN"/>
        </w:rPr>
      </w:pPr>
      <w:r>
        <w:rPr>
          <w:rFonts w:hint="eastAsia"/>
        </w:rPr>
        <w:t>本项目只产生</w:t>
      </w:r>
      <w:r>
        <w:rPr>
          <w:rFonts w:hint="eastAsia"/>
          <w:lang w:val="en-US" w:eastAsia="zh-CN"/>
        </w:rPr>
        <w:t>1</w:t>
      </w:r>
      <w:r>
        <w:rPr>
          <w:rFonts w:hint="eastAsia"/>
        </w:rPr>
        <w:t>个中标人。中标人签订合同前须进行最终审查。最终审查的对象</w:t>
      </w:r>
      <w:r>
        <w:rPr>
          <w:rFonts w:hint="eastAsia"/>
          <w:lang w:val="en-US" w:eastAsia="zh-CN"/>
        </w:rPr>
        <w:t>是</w:t>
      </w:r>
      <w:r>
        <w:rPr>
          <w:rFonts w:hint="eastAsia"/>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lang w:val="en-US" w:eastAsia="zh-CN"/>
        </w:rPr>
        <w:t>的</w:t>
      </w:r>
      <w:r>
        <w:rPr>
          <w:rFonts w:hint="eastAsia"/>
        </w:rPr>
        <w:t>，则本次评标作废</w:t>
      </w:r>
      <w:r>
        <w:rPr>
          <w:rFonts w:hint="eastAsia"/>
          <w:lang w:val="en-US" w:eastAsia="zh-CN"/>
        </w:rPr>
        <w:t>或变更意向中标人</w:t>
      </w:r>
      <w:r>
        <w:rPr>
          <w:rFonts w:hint="eastAsia"/>
          <w:lang w:eastAsia="zh-CN"/>
        </w:rPr>
        <w:t>。</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废标及终止招标</w:t>
      </w:r>
    </w:p>
    <w:p>
      <w:pPr>
        <w:pStyle w:val="73"/>
        <w:keepNext w:val="0"/>
        <w:keepLines w:val="0"/>
        <w:pageBreakBefore w:val="0"/>
        <w:widowControl w:val="0"/>
        <w:numPr>
          <w:ilvl w:val="0"/>
          <w:numId w:val="23"/>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pStyle w:val="77"/>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投标人提供的有关资格、资质证明文件不合格、不真实或提供虚假投标材料；</w:t>
      </w:r>
    </w:p>
    <w:p>
      <w:pPr>
        <w:pStyle w:val="77"/>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投标人在报价有效期内撤回投标；</w:t>
      </w:r>
    </w:p>
    <w:p>
      <w:pPr>
        <w:pStyle w:val="77"/>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lang w:eastAsia="zh-CN"/>
        </w:rPr>
      </w:pPr>
      <w:r>
        <w:rPr>
          <w:rFonts w:hint="eastAsia"/>
        </w:rPr>
        <w:t>在整个评标过程中，投标人有企图影响评标结果公正性的任何活动；</w:t>
      </w:r>
    </w:p>
    <w:p>
      <w:pPr>
        <w:pStyle w:val="77"/>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投标人以任何方式诋毁其他投标人；</w:t>
      </w:r>
    </w:p>
    <w:p>
      <w:pPr>
        <w:pStyle w:val="77"/>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投标人串通投标；投标人被举报、检举，并经招标人查实无误的；</w:t>
      </w:r>
    </w:p>
    <w:p>
      <w:pPr>
        <w:pStyle w:val="77"/>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以他人名义投标或者以其他方式弄虚作假，骗取中标的；</w:t>
      </w:r>
    </w:p>
    <w:p>
      <w:pPr>
        <w:pStyle w:val="77"/>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投标人负责人为同一人或者存在控股、管理关系的不同单位；</w:t>
      </w:r>
    </w:p>
    <w:p>
      <w:pPr>
        <w:pStyle w:val="77"/>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有效投标不足三家；</w:t>
      </w:r>
    </w:p>
    <w:p>
      <w:pPr>
        <w:pStyle w:val="77"/>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不同投标人的投标文件异常一致或者投标报价呈规律性差异的；</w:t>
      </w:r>
    </w:p>
    <w:p>
      <w:pPr>
        <w:pStyle w:val="77"/>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投标人报价均超过</w:t>
      </w:r>
      <w:r>
        <w:rPr>
          <w:rFonts w:hint="eastAsia"/>
          <w:lang w:val="en-US" w:eastAsia="zh-CN"/>
        </w:rPr>
        <w:t>最高限价</w:t>
      </w:r>
      <w:r>
        <w:rPr>
          <w:rFonts w:hint="eastAsia"/>
        </w:rPr>
        <w:t>的；</w:t>
      </w:r>
    </w:p>
    <w:p>
      <w:pPr>
        <w:pStyle w:val="77"/>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未按要求填报商务报价资料，对招标开展造成较大影响；</w:t>
      </w:r>
    </w:p>
    <w:p>
      <w:pPr>
        <w:pStyle w:val="77"/>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lang w:val="en-US" w:eastAsia="zh-CN"/>
        </w:rPr>
        <w:t>未按照招标人规定的时间内在中国重汽e采通完成投标的；</w:t>
      </w:r>
    </w:p>
    <w:p>
      <w:pPr>
        <w:pStyle w:val="77"/>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法律、法规规定的其他情况。</w:t>
      </w:r>
    </w:p>
    <w:p>
      <w:pPr>
        <w:pStyle w:val="73"/>
        <w:keepNext w:val="0"/>
        <w:keepLines w:val="0"/>
        <w:pageBreakBefore w:val="0"/>
        <w:widowControl w:val="0"/>
        <w:numPr>
          <w:ilvl w:val="0"/>
          <w:numId w:val="23"/>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pPr>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符合条件的投标人或者对招标文件做实质响应的投标人不足三家的；</w:t>
      </w:r>
    </w:p>
    <w:p>
      <w:pPr>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pPr>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pPr>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8" w:name="OLE_LINK26"/>
      <w:bookmarkStart w:id="9" w:name="OLE_LINK25"/>
      <w:bookmarkStart w:id="10" w:name="OLE_LINK28"/>
      <w:bookmarkStart w:id="11" w:name="OLE_LINK29"/>
      <w:bookmarkStart w:id="12" w:name="OLE_LINK27"/>
      <w:r>
        <w:rPr>
          <w:rFonts w:hint="eastAsia" w:ascii="宋体" w:hAnsi="宋体" w:eastAsia="宋体" w:cs="宋体"/>
          <w:sz w:val="21"/>
          <w:szCs w:val="21"/>
          <w:highlight w:val="none"/>
        </w:rPr>
        <w:t>；</w:t>
      </w:r>
      <w:bookmarkEnd w:id="8"/>
      <w:bookmarkEnd w:id="9"/>
      <w:bookmarkEnd w:id="10"/>
      <w:bookmarkEnd w:id="11"/>
      <w:bookmarkEnd w:id="12"/>
    </w:p>
    <w:p>
      <w:pPr>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pPr>
        <w:pStyle w:val="73"/>
        <w:keepNext w:val="0"/>
        <w:keepLines w:val="0"/>
        <w:pageBreakBefore w:val="0"/>
        <w:widowControl w:val="0"/>
        <w:numPr>
          <w:ilvl w:val="0"/>
          <w:numId w:val="23"/>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hAnsi="Courier New" w:cs="Times New Roman"/>
          <w:highlight w:val="none"/>
          <w:lang w:val="en-US" w:eastAsia="zh-CN"/>
        </w:rPr>
        <w:t>合同</w:t>
      </w:r>
      <w:r>
        <w:rPr>
          <w:rFonts w:hint="eastAsia"/>
          <w:lang w:val="en-US" w:eastAsia="zh-CN"/>
        </w:rPr>
        <w:t>签订</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招标人根据评标工作小组的评标结果确定中标人，在重汽e采通平台公布中标结果，并发送中标通知。</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中标人应该在中标通知书规定的时间、地点与招标人签订采购合同，否则按照开标后撤回投标处理。</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b w:val="0"/>
          <w:bCs w:val="0"/>
          <w:sz w:val="21"/>
          <w:szCs w:val="21"/>
        </w:rPr>
      </w:pPr>
      <w:r>
        <w:rPr>
          <w:rFonts w:hint="eastAsia" w:ascii="宋体" w:hAnsi="宋体" w:cs="宋体"/>
          <w:b w:val="0"/>
          <w:bCs w:val="0"/>
          <w:color w:val="000000"/>
          <w:sz w:val="21"/>
          <w:szCs w:val="21"/>
        </w:rPr>
        <w:t>中标人应当按照合同约定的履约责任，在保证质量的前提下完成中标项目，不得将中标项目转包或分包给他人，否则视为违约，招标人有权解除合同。</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rPr>
        <w:t>中标人由于履行义务的能力或信用有严重缺陷，招标人有权取消其中标资格，招标人将从中标候选单位中依序重新确定中标人，或重新组织招标；</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rPr>
        <w:t>合同以双方最终签署的版本为准。</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交货及付款</w:t>
      </w:r>
    </w:p>
    <w:p>
      <w:pPr>
        <w:pStyle w:val="77"/>
        <w:keepNext w:val="0"/>
        <w:keepLines w:val="0"/>
        <w:pageBreakBefore w:val="0"/>
        <w:widowControl w:val="0"/>
        <w:numPr>
          <w:ilvl w:val="0"/>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供货时间：</w:t>
      </w:r>
      <w:r>
        <w:rPr>
          <w:rFonts w:hint="eastAsia" w:cs="Times New Roman"/>
          <w:highlight w:val="none"/>
          <w:lang w:val="en-US" w:eastAsia="zh-CN"/>
        </w:rPr>
        <w:t>见技术标书；</w:t>
      </w:r>
    </w:p>
    <w:p>
      <w:pPr>
        <w:pStyle w:val="77"/>
        <w:keepNext w:val="0"/>
        <w:keepLines w:val="0"/>
        <w:pageBreakBefore w:val="0"/>
        <w:widowControl w:val="0"/>
        <w:numPr>
          <w:ilvl w:val="0"/>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供货地点：</w:t>
      </w:r>
      <w:r>
        <w:rPr>
          <w:rFonts w:hint="eastAsia" w:cs="Times New Roman"/>
          <w:highlight w:val="none"/>
          <w:lang w:val="en-US" w:eastAsia="zh-CN"/>
        </w:rPr>
        <w:t>见技术标书；</w:t>
      </w:r>
    </w:p>
    <w:p>
      <w:pPr>
        <w:pStyle w:val="77"/>
        <w:keepNext w:val="0"/>
        <w:keepLines w:val="0"/>
        <w:pageBreakBefore w:val="0"/>
        <w:widowControl w:val="0"/>
        <w:numPr>
          <w:ilvl w:val="0"/>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highlight w:val="none"/>
          <w:lang w:val="en-US" w:eastAsia="zh-CN"/>
        </w:rPr>
        <w:t>质保期：见技术标书；</w:t>
      </w:r>
    </w:p>
    <w:p>
      <w:pPr>
        <w:pStyle w:val="77"/>
        <w:keepNext w:val="0"/>
        <w:keepLines w:val="0"/>
        <w:pageBreakBefore w:val="0"/>
        <w:widowControl w:val="0"/>
        <w:numPr>
          <w:ilvl w:val="0"/>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付款方式：验收通过后，并对发票进行确认后支付，具体以双方最终签署的合同为准。</w:t>
      </w:r>
    </w:p>
    <w:p>
      <w:pPr>
        <w:pStyle w:val="77"/>
        <w:keepNext w:val="0"/>
        <w:keepLines w:val="0"/>
        <w:pageBreakBefore w:val="0"/>
        <w:widowControl w:val="0"/>
        <w:numPr>
          <w:ilvl w:val="0"/>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付款结算方法：半年期商业汇票（包括银行承兑汇票和商业承兑汇票）；</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cs="Times New Roman"/>
          <w:highlight w:val="none"/>
          <w:lang w:val="en-US" w:eastAsia="zh-CN"/>
        </w:rPr>
      </w:pPr>
      <w:r>
        <w:rPr>
          <w:rFonts w:hint="eastAsia" w:cs="Times New Roman"/>
          <w:highlight w:val="none"/>
          <w:lang w:val="en-US" w:eastAsia="zh-CN"/>
        </w:rPr>
        <w:t>①按照要求供方保质保量完成项目实施内容，经最终验收合格后，供方提交下列单据经招标方依照财务制度审核无误后，招标方在30日后付给项目供方项目费用的80%合同总价款作为验收款。</w:t>
      </w:r>
    </w:p>
    <w:p>
      <w:pPr>
        <w:pStyle w:val="16"/>
        <w:numPr>
          <w:ilvl w:val="0"/>
          <w:numId w:val="0"/>
        </w:numPr>
        <w:spacing w:line="360" w:lineRule="auto"/>
        <w:ind w:firstLine="420" w:firstLineChars="200"/>
        <w:rPr>
          <w:rFonts w:hint="eastAsia" w:ascii="Calibri" w:hAnsi="Calibri"/>
          <w:highlight w:val="none"/>
        </w:rPr>
      </w:pPr>
      <w:r>
        <w:rPr>
          <w:rFonts w:hint="eastAsia" w:ascii="Calibri" w:hAnsi="Calibri"/>
          <w:highlight w:val="none"/>
        </w:rPr>
        <w:t>A金额为合同总额</w:t>
      </w:r>
      <w:r>
        <w:rPr>
          <w:rFonts w:hint="eastAsia" w:ascii="Calibri" w:hAnsi="Calibri"/>
          <w:highlight w:val="none"/>
          <w:u w:val="single"/>
        </w:rPr>
        <w:t xml:space="preserve"> 100%</w:t>
      </w:r>
      <w:r>
        <w:rPr>
          <w:rFonts w:hint="eastAsia" w:ascii="Calibri" w:hAnsi="Calibri"/>
          <w:highlight w:val="none"/>
        </w:rPr>
        <w:t>的增值税专用发票。</w:t>
      </w:r>
    </w:p>
    <w:p>
      <w:pPr>
        <w:pStyle w:val="16"/>
        <w:numPr>
          <w:ilvl w:val="0"/>
          <w:numId w:val="0"/>
        </w:numPr>
        <w:spacing w:line="360" w:lineRule="auto"/>
        <w:ind w:firstLine="420" w:firstLineChars="200"/>
        <w:rPr>
          <w:rFonts w:hint="eastAsia" w:ascii="Calibri" w:hAnsi="Calibri"/>
          <w:highlight w:val="none"/>
        </w:rPr>
      </w:pPr>
      <w:r>
        <w:rPr>
          <w:rFonts w:hint="eastAsia" w:ascii="Calibri" w:hAnsi="Calibri"/>
          <w:highlight w:val="none"/>
        </w:rPr>
        <w:t>B</w:t>
      </w:r>
      <w:r>
        <w:rPr>
          <w:rFonts w:hint="eastAsia" w:ascii="Calibri" w:hAnsi="Calibri"/>
          <w:highlight w:val="none"/>
          <w:lang w:val="en-US" w:eastAsia="zh-CN"/>
        </w:rPr>
        <w:t xml:space="preserve"> </w:t>
      </w:r>
      <w:r>
        <w:rPr>
          <w:rFonts w:hint="eastAsia" w:ascii="Calibri" w:hAnsi="Calibri"/>
          <w:highlight w:val="none"/>
          <w:u w:val="single"/>
          <w:lang w:val="en-US" w:eastAsia="zh-CN"/>
        </w:rPr>
        <w:t>8</w:t>
      </w:r>
      <w:r>
        <w:rPr>
          <w:rFonts w:hint="eastAsia" w:ascii="Calibri" w:hAnsi="Calibri"/>
          <w:highlight w:val="none"/>
          <w:u w:val="single"/>
        </w:rPr>
        <w:t>0%</w:t>
      </w:r>
      <w:r>
        <w:rPr>
          <w:rFonts w:hint="eastAsia" w:ascii="Calibri" w:hAnsi="Calibri"/>
          <w:highlight w:val="none"/>
        </w:rPr>
        <w:t>付款额为财务收据。</w:t>
      </w:r>
    </w:p>
    <w:p>
      <w:pPr>
        <w:pStyle w:val="16"/>
        <w:numPr>
          <w:ilvl w:val="0"/>
          <w:numId w:val="0"/>
        </w:numPr>
        <w:spacing w:line="360" w:lineRule="auto"/>
        <w:ind w:firstLine="420" w:firstLineChars="200"/>
        <w:rPr>
          <w:rFonts w:hint="eastAsia" w:ascii="Calibri" w:hAnsi="Calibri"/>
          <w:highlight w:val="none"/>
        </w:rPr>
      </w:pPr>
      <w:r>
        <w:rPr>
          <w:rFonts w:hint="eastAsia" w:ascii="Calibri" w:hAnsi="Calibri"/>
          <w:highlight w:val="none"/>
        </w:rPr>
        <w:t>C财务授权书及相关付款所需资料。</w:t>
      </w:r>
    </w:p>
    <w:p>
      <w:pPr>
        <w:pStyle w:val="16"/>
        <w:numPr>
          <w:ilvl w:val="0"/>
          <w:numId w:val="0"/>
        </w:numPr>
        <w:spacing w:line="360" w:lineRule="auto"/>
        <w:ind w:firstLine="420" w:firstLineChars="200"/>
        <w:rPr>
          <w:rFonts w:hint="eastAsia" w:ascii="Calibri" w:hAnsi="Calibri"/>
          <w:highlight w:val="none"/>
        </w:rPr>
      </w:pPr>
      <w:r>
        <w:rPr>
          <w:rFonts w:hint="eastAsia" w:ascii="Calibri" w:hAnsi="Calibri"/>
          <w:highlight w:val="none"/>
        </w:rPr>
        <w:t>②剩余合同总价款的</w:t>
      </w:r>
      <w:r>
        <w:rPr>
          <w:rFonts w:hint="eastAsia" w:ascii="Calibri" w:hAnsi="Calibri"/>
          <w:highlight w:val="none"/>
          <w:u w:val="single"/>
          <w:lang w:val="en-US" w:eastAsia="zh-CN"/>
        </w:rPr>
        <w:t xml:space="preserve"> 2</w:t>
      </w:r>
      <w:r>
        <w:rPr>
          <w:rFonts w:hint="eastAsia" w:ascii="Calibri" w:hAnsi="Calibri"/>
          <w:highlight w:val="none"/>
          <w:u w:val="single"/>
        </w:rPr>
        <w:t xml:space="preserve">0% </w:t>
      </w:r>
      <w:r>
        <w:rPr>
          <w:rFonts w:hint="eastAsia" w:ascii="Calibri" w:hAnsi="Calibri"/>
          <w:highlight w:val="none"/>
        </w:rPr>
        <w:t>作为质量保证金，质量保证金在质量保证期内不计利息。待本项目整体质量保证期</w:t>
      </w:r>
      <w:r>
        <w:rPr>
          <w:rFonts w:hint="eastAsia" w:ascii="Calibri" w:hAnsi="Calibri"/>
          <w:highlight w:val="none"/>
          <w:lang w:eastAsia="zh-CN"/>
        </w:rPr>
        <w:t>（</w:t>
      </w:r>
      <w:r>
        <w:rPr>
          <w:rFonts w:hint="eastAsia" w:ascii="Calibri" w:hAnsi="Calibri"/>
          <w:highlight w:val="none"/>
          <w:lang w:val="en-US" w:eastAsia="zh-CN"/>
        </w:rPr>
        <w:t>两</w:t>
      </w:r>
      <w:r>
        <w:rPr>
          <w:rFonts w:hint="eastAsia" w:ascii="Calibri" w:hAnsi="Calibri"/>
          <w:highlight w:val="none"/>
        </w:rPr>
        <w:t>年</w:t>
      </w:r>
      <w:r>
        <w:rPr>
          <w:rFonts w:hint="eastAsia" w:ascii="Calibri" w:hAnsi="Calibri"/>
          <w:highlight w:val="none"/>
          <w:lang w:eastAsia="zh-CN"/>
        </w:rPr>
        <w:t>）</w:t>
      </w:r>
      <w:r>
        <w:rPr>
          <w:rFonts w:hint="eastAsia" w:ascii="Calibri" w:hAnsi="Calibri"/>
          <w:highlight w:val="none"/>
        </w:rPr>
        <w:t>满无质量问题，经招标单位出具证明和必要的手续，招标方支付给</w:t>
      </w:r>
      <w:r>
        <w:rPr>
          <w:rFonts w:hint="eastAsia" w:ascii="Calibri" w:hAnsi="Calibri"/>
          <w:highlight w:val="none"/>
          <w:lang w:val="en-US" w:eastAsia="zh-CN"/>
        </w:rPr>
        <w:t>供方</w:t>
      </w:r>
      <w:r>
        <w:rPr>
          <w:rFonts w:hint="eastAsia" w:ascii="Calibri" w:hAnsi="Calibri"/>
          <w:highlight w:val="none"/>
        </w:rPr>
        <w:t>该套合同总价格的</w:t>
      </w:r>
      <w:r>
        <w:rPr>
          <w:rFonts w:hint="eastAsia" w:ascii="Calibri" w:hAnsi="Calibri"/>
          <w:highlight w:val="none"/>
          <w:u w:val="single"/>
        </w:rPr>
        <w:t xml:space="preserve"> </w:t>
      </w:r>
      <w:r>
        <w:rPr>
          <w:rFonts w:hint="eastAsia" w:ascii="Calibri" w:hAnsi="Calibri"/>
          <w:highlight w:val="none"/>
          <w:u w:val="single"/>
          <w:lang w:val="en-US" w:eastAsia="zh-CN"/>
        </w:rPr>
        <w:t>2</w:t>
      </w:r>
      <w:r>
        <w:rPr>
          <w:rFonts w:hint="eastAsia" w:ascii="Calibri" w:hAnsi="Calibri"/>
          <w:highlight w:val="none"/>
          <w:u w:val="single"/>
        </w:rPr>
        <w:t xml:space="preserve">0% </w:t>
      </w:r>
      <w:r>
        <w:rPr>
          <w:rFonts w:hint="eastAsia" w:ascii="Calibri" w:hAnsi="Calibri"/>
          <w:highlight w:val="none"/>
        </w:rPr>
        <w:t>货款（如有问题，应扣除相应部分款项）。</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lang w:val="en-US" w:eastAsia="zh-CN"/>
        </w:rPr>
      </w:pPr>
      <w:r>
        <w:rPr>
          <w:rFonts w:hint="eastAsia"/>
          <w:lang w:val="en-US" w:eastAsia="zh-CN"/>
        </w:rPr>
        <w:t>本次招标最终解释权归中国</w:t>
      </w:r>
      <w:r>
        <w:rPr>
          <w:rFonts w:hint="eastAsia" w:cs="Times New Roman"/>
          <w:lang w:val="en-US" w:eastAsia="zh-CN"/>
        </w:rPr>
        <w:t>重汽集团济南动力有限</w:t>
      </w:r>
      <w:r>
        <w:rPr>
          <w:rFonts w:hint="eastAsia"/>
          <w:lang w:val="en-US" w:eastAsia="zh-CN"/>
        </w:rPr>
        <w:t>公司。</w:t>
      </w:r>
    </w:p>
    <w:p>
      <w:pPr>
        <w:pStyle w:val="77"/>
        <w:bidi w:val="0"/>
      </w:pPr>
    </w:p>
    <w:p>
      <w:pPr>
        <w:rPr>
          <w:rFonts w:hint="eastAsia"/>
        </w:rPr>
      </w:pPr>
      <w:bookmarkStart w:id="13" w:name="_Toc47976607"/>
      <w:r>
        <w:rPr>
          <w:rFonts w:hint="eastAsia"/>
        </w:rPr>
        <w:br w:type="page"/>
      </w:r>
    </w:p>
    <w:p>
      <w:pPr>
        <w:pStyle w:val="72"/>
        <w:jc w:val="center"/>
        <w:rPr>
          <w:rFonts w:hint="default" w:eastAsia="黑体"/>
          <w:lang w:val="en-US" w:eastAsia="zh-CN"/>
        </w:rPr>
      </w:pPr>
      <w:bookmarkStart w:id="14" w:name="_Toc16839"/>
      <w:r>
        <w:rPr>
          <w:rFonts w:hint="eastAsia"/>
        </w:rPr>
        <w:t>第二部分　</w:t>
      </w:r>
      <w:bookmarkEnd w:id="13"/>
      <w:r>
        <w:rPr>
          <w:rFonts w:hint="eastAsia"/>
          <w:lang w:val="en-US" w:eastAsia="zh-CN"/>
        </w:rPr>
        <w:t>技术标</w:t>
      </w:r>
      <w:bookmarkEnd w:id="14"/>
      <w:r>
        <w:rPr>
          <w:rFonts w:hint="eastAsia" w:ascii="Arial" w:hAnsi="Arial" w:eastAsia="黑体" w:cs="Times New Roman"/>
          <w:b/>
          <w:sz w:val="36"/>
          <w:szCs w:val="36"/>
          <w:lang w:val="en-US" w:eastAsia="zh-CN"/>
        </w:rPr>
        <w:t>文件</w:t>
      </w:r>
    </w:p>
    <w:p>
      <w:pPr>
        <w:pStyle w:val="16"/>
        <w:spacing w:line="360" w:lineRule="auto"/>
        <w:outlineLvl w:val="1"/>
        <w:rPr>
          <w:rFonts w:hint="eastAsia" w:ascii="黑体" w:eastAsia="黑体"/>
          <w:b/>
          <w:bCs/>
          <w:sz w:val="28"/>
        </w:rPr>
      </w:pPr>
      <w:r>
        <w:rPr>
          <w:rFonts w:hint="eastAsia" w:ascii="黑体" w:eastAsia="黑体"/>
          <w:b/>
          <w:bCs/>
          <w:sz w:val="28"/>
        </w:rPr>
        <w:t>一、项目名称</w:t>
      </w:r>
    </w:p>
    <w:p>
      <w:pPr>
        <w:pStyle w:val="16"/>
        <w:spacing w:line="360" w:lineRule="auto"/>
        <w:ind w:firstLine="420" w:firstLineChars="200"/>
        <w:rPr>
          <w:rFonts w:hint="eastAsia" w:ascii="Times New Roman" w:hAnsi="Times New Roman" w:eastAsia="宋体" w:cs="Times New Roman"/>
          <w:kern w:val="2"/>
          <w:sz w:val="21"/>
          <w:szCs w:val="22"/>
          <w:highlight w:val="none"/>
          <w:lang w:eastAsia="zh-CN" w:bidi="ar-SA"/>
        </w:rPr>
      </w:pPr>
      <w:r>
        <w:rPr>
          <w:rFonts w:hint="eastAsia" w:ascii="Times New Roman" w:hAnsi="Times New Roman" w:eastAsia="宋体" w:cs="Times New Roman"/>
          <w:kern w:val="2"/>
          <w:sz w:val="21"/>
          <w:szCs w:val="22"/>
          <w:highlight w:val="none"/>
          <w:lang w:val="en-US" w:eastAsia="zh-CN" w:bidi="ar-SA"/>
        </w:rPr>
        <w:t>济南卡车制造公司党家庄厂区空压站冷却塔更新技改项目</w:t>
      </w:r>
      <w:r>
        <w:rPr>
          <w:rFonts w:hint="eastAsia" w:ascii="Times New Roman" w:hAnsi="Times New Roman" w:eastAsia="宋体" w:cs="Times New Roman"/>
          <w:kern w:val="2"/>
          <w:sz w:val="21"/>
          <w:szCs w:val="22"/>
          <w:highlight w:val="none"/>
          <w:lang w:eastAsia="zh-CN" w:bidi="ar-SA"/>
        </w:rPr>
        <w:t>（</w:t>
      </w:r>
      <w:r>
        <w:rPr>
          <w:rFonts w:hint="eastAsia" w:ascii="Times New Roman" w:hAnsi="Times New Roman" w:eastAsia="宋体" w:cs="Times New Roman"/>
          <w:kern w:val="2"/>
          <w:sz w:val="21"/>
          <w:szCs w:val="22"/>
          <w:highlight w:val="none"/>
          <w:lang w:val="en-US" w:eastAsia="zh-CN" w:bidi="ar-SA"/>
        </w:rPr>
        <w:t xml:space="preserve">项目编号：FSCZB2025110540 </w:t>
      </w:r>
      <w:r>
        <w:rPr>
          <w:rFonts w:hint="eastAsia" w:ascii="Times New Roman" w:hAnsi="Times New Roman" w:eastAsia="宋体" w:cs="Times New Roman"/>
          <w:kern w:val="2"/>
          <w:sz w:val="21"/>
          <w:szCs w:val="22"/>
          <w:highlight w:val="none"/>
          <w:lang w:eastAsia="zh-CN" w:bidi="ar-SA"/>
        </w:rPr>
        <w:t>）</w:t>
      </w:r>
    </w:p>
    <w:p>
      <w:pPr>
        <w:pStyle w:val="16"/>
        <w:spacing w:line="360" w:lineRule="auto"/>
        <w:ind w:firstLine="420" w:firstLineChars="200"/>
        <w:rPr>
          <w:rFonts w:hint="default"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kern w:val="2"/>
          <w:sz w:val="21"/>
          <w:szCs w:val="22"/>
          <w:highlight w:val="none"/>
          <w:lang w:val="en-US" w:eastAsia="zh-CN" w:bidi="ar-SA"/>
        </w:rPr>
        <w:t>技术联系人：</w:t>
      </w:r>
      <w:r>
        <w:rPr>
          <w:rFonts w:hint="eastAsia" w:ascii="Times New Roman" w:hAnsi="Times New Roman" w:cs="Times New Roman"/>
          <w:kern w:val="2"/>
          <w:sz w:val="21"/>
          <w:szCs w:val="22"/>
          <w:highlight w:val="none"/>
          <w:lang w:val="en-US" w:eastAsia="zh-CN" w:bidi="ar-SA"/>
        </w:rPr>
        <w:t>王艳 15964548466</w:t>
      </w:r>
    </w:p>
    <w:p>
      <w:pPr>
        <w:pStyle w:val="16"/>
        <w:numPr>
          <w:ilvl w:val="0"/>
          <w:numId w:val="0"/>
        </w:numPr>
        <w:spacing w:line="360" w:lineRule="auto"/>
        <w:ind w:leftChars="0"/>
        <w:outlineLvl w:val="1"/>
        <w:rPr>
          <w:rFonts w:hint="eastAsia" w:ascii="黑体" w:eastAsia="黑体"/>
          <w:b/>
          <w:bCs/>
          <w:sz w:val="28"/>
        </w:rPr>
      </w:pPr>
      <w:r>
        <w:rPr>
          <w:rFonts w:hint="eastAsia" w:ascii="黑体" w:eastAsia="黑体"/>
          <w:b/>
          <w:bCs/>
          <w:sz w:val="28"/>
          <w:lang w:val="en-US" w:eastAsia="zh-CN"/>
        </w:rPr>
        <w:t>二、</w:t>
      </w:r>
      <w:r>
        <w:rPr>
          <w:rFonts w:hint="eastAsia" w:ascii="黑体" w:eastAsia="黑体"/>
          <w:b/>
          <w:bCs/>
          <w:sz w:val="28"/>
        </w:rPr>
        <w:t>项目范围</w:t>
      </w:r>
      <w:r>
        <w:rPr>
          <w:rFonts w:hint="eastAsia" w:ascii="黑体" w:eastAsia="黑体"/>
          <w:b/>
          <w:bCs/>
          <w:sz w:val="28"/>
          <w:lang w:val="en-US" w:eastAsia="zh-CN"/>
        </w:rPr>
        <w:t>及技术要求</w:t>
      </w:r>
    </w:p>
    <w:p>
      <w:pPr>
        <w:pStyle w:val="16"/>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cs="Times New Roman"/>
          <w:kern w:val="2"/>
          <w:sz w:val="21"/>
          <w:szCs w:val="22"/>
          <w:lang w:eastAsia="zh-CN" w:bidi="ar-SA"/>
        </w:rPr>
      </w:pPr>
      <w:r>
        <w:rPr>
          <w:rFonts w:hint="eastAsia" w:ascii="宋体" w:hAnsi="宋体"/>
        </w:rPr>
        <w:t>（</w:t>
      </w:r>
      <w:r>
        <w:rPr>
          <w:rFonts w:hint="eastAsia" w:ascii="宋体" w:hAnsi="宋体"/>
          <w:lang w:val="en-US" w:eastAsia="zh-CN"/>
        </w:rPr>
        <w:t>一</w:t>
      </w:r>
      <w:r>
        <w:rPr>
          <w:rFonts w:hint="eastAsia" w:ascii="宋体" w:hAnsi="宋体"/>
        </w:rPr>
        <w:t>）、</w:t>
      </w:r>
      <w:r>
        <w:rPr>
          <w:rFonts w:hint="default" w:ascii="Times New Roman" w:hAnsi="Times New Roman" w:cs="Times New Roman"/>
          <w:kern w:val="2"/>
          <w:sz w:val="21"/>
          <w:szCs w:val="22"/>
          <w:lang w:eastAsia="zh-CN" w:bidi="ar-SA"/>
        </w:rPr>
        <w:t>项目范围：</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cs="Times New Roman"/>
          <w:kern w:val="2"/>
          <w:sz w:val="21"/>
          <w:szCs w:val="22"/>
          <w:lang w:val="en-US" w:eastAsia="zh-CN" w:bidi="ar-SA"/>
        </w:rPr>
      </w:pPr>
      <w:r>
        <w:rPr>
          <w:rFonts w:hint="eastAsia" w:cs="Times New Roman"/>
          <w:kern w:val="2"/>
          <w:sz w:val="21"/>
          <w:szCs w:val="22"/>
          <w:lang w:val="en-US" w:eastAsia="zh-CN" w:bidi="ar-SA"/>
        </w:rPr>
        <w:t>1、</w:t>
      </w:r>
      <w:r>
        <w:rPr>
          <w:rFonts w:hint="eastAsia" w:ascii="Times New Roman" w:hAnsi="Times New Roman" w:cs="Times New Roman"/>
          <w:kern w:val="2"/>
          <w:sz w:val="21"/>
          <w:szCs w:val="22"/>
          <w:lang w:val="en-US" w:eastAsia="zh-CN" w:bidi="ar-SA"/>
        </w:rPr>
        <w:t>建设地点：</w:t>
      </w:r>
      <w:r>
        <w:rPr>
          <w:rFonts w:hint="eastAsia" w:cs="Times New Roman"/>
          <w:kern w:val="2"/>
          <w:sz w:val="21"/>
          <w:szCs w:val="22"/>
          <w:lang w:val="en-US" w:eastAsia="zh-CN" w:bidi="ar-SA"/>
        </w:rPr>
        <w:t>山东省济南市市中区党家庄镇南首中国重汽集团济南卡车股份有限公司党家厂区空压站内。</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Times New Roman" w:eastAsia="宋体" w:cs="Times New Roman"/>
          <w:kern w:val="2"/>
          <w:sz w:val="21"/>
          <w:szCs w:val="22"/>
          <w:lang w:val="en-US" w:eastAsia="zh-CN" w:bidi="ar-SA"/>
        </w:rPr>
      </w:pPr>
      <w:r>
        <w:rPr>
          <w:rFonts w:hint="eastAsia" w:cs="Times New Roman"/>
          <w:kern w:val="2"/>
          <w:sz w:val="21"/>
          <w:szCs w:val="22"/>
          <w:lang w:val="en-US" w:eastAsia="zh-CN" w:bidi="ar-SA"/>
        </w:rPr>
        <w:t>2、建设内容：</w:t>
      </w:r>
      <w:r>
        <w:rPr>
          <w:rFonts w:hint="eastAsia" w:ascii="Times New Roman" w:hAnsi="Times New Roman" w:eastAsia="宋体" w:cs="Times New Roman"/>
          <w:kern w:val="2"/>
          <w:sz w:val="21"/>
          <w:szCs w:val="22"/>
          <w:lang w:val="en-US" w:eastAsia="zh-CN" w:bidi="ar-SA"/>
        </w:rPr>
        <w:t>拆除</w:t>
      </w:r>
      <w:r>
        <w:rPr>
          <w:rFonts w:hint="eastAsia" w:cs="Times New Roman"/>
          <w:kern w:val="2"/>
          <w:sz w:val="21"/>
          <w:szCs w:val="22"/>
          <w:lang w:val="en-US" w:eastAsia="zh-CN" w:bidi="ar-SA"/>
        </w:rPr>
        <w:t>卡车公司</w:t>
      </w:r>
      <w:r>
        <w:rPr>
          <w:rFonts w:hint="eastAsia" w:ascii="Times New Roman" w:hAnsi="Times New Roman" w:eastAsia="宋体" w:cs="Times New Roman"/>
          <w:kern w:val="2"/>
          <w:sz w:val="21"/>
          <w:szCs w:val="22"/>
          <w:lang w:val="en-US" w:eastAsia="zh-CN" w:bidi="ar-SA"/>
        </w:rPr>
        <w:t>党家庄厂区空压站一号循环水泵房侧边池体上方的两台NBLG-200型号的冷却塔。购置并安装两台高效节能型、耐腐蚀、易维护的开式冷却塔（流量200</w:t>
      </w:r>
      <w:r>
        <w:rPr>
          <w:rFonts w:hint="eastAsia" w:ascii="宋体" w:hAnsi="宋体" w:cs="宋体"/>
          <w:b w:val="0"/>
          <w:iCs w:val="0"/>
          <w:color w:val="auto"/>
          <w:sz w:val="24"/>
          <w:szCs w:val="24"/>
          <w:lang w:val="en-US" w:eastAsia="zh-CN"/>
        </w:rPr>
        <w:t>m³/h</w:t>
      </w:r>
      <w:r>
        <w:rPr>
          <w:rFonts w:hint="eastAsia" w:ascii="Times New Roman" w:hAnsi="Times New Roman" w:eastAsia="宋体" w:cs="Times New Roman"/>
          <w:kern w:val="2"/>
          <w:sz w:val="21"/>
          <w:szCs w:val="22"/>
          <w:lang w:val="en-US" w:eastAsia="zh-CN" w:bidi="ar-SA"/>
        </w:rPr>
        <w:t>），满足</w:t>
      </w:r>
      <w:r>
        <w:rPr>
          <w:rFonts w:hint="eastAsia" w:ascii="宋体" w:hAnsi="宋体" w:eastAsia="宋体" w:cs="宋体"/>
          <w:color w:val="auto"/>
          <w:sz w:val="20"/>
          <w:highlight w:val="none"/>
          <w:lang w:val="en-US" w:eastAsia="zh-CN"/>
        </w:rPr>
        <w:t>GB/T7190.1-2018中1级能效要求</w:t>
      </w:r>
      <w:r>
        <w:rPr>
          <w:rFonts w:hint="eastAsia" w:ascii="宋体" w:hAnsi="宋体" w:cs="宋体"/>
          <w:color w:val="auto"/>
          <w:sz w:val="20"/>
          <w:highlight w:val="none"/>
          <w:lang w:val="en-US" w:eastAsia="zh-CN"/>
        </w:rPr>
        <w:t>，</w:t>
      </w:r>
      <w:r>
        <w:rPr>
          <w:rFonts w:hint="eastAsia" w:ascii="Times New Roman" w:hAnsi="Times New Roman" w:eastAsia="宋体" w:cs="Times New Roman"/>
          <w:kern w:val="2"/>
          <w:sz w:val="21"/>
          <w:szCs w:val="22"/>
          <w:lang w:val="en-US" w:eastAsia="zh-CN" w:bidi="ar-SA"/>
        </w:rPr>
        <w:t>冷却能力≥95%</w:t>
      </w:r>
      <w:r>
        <w:rPr>
          <w:rFonts w:hint="eastAsia" w:cs="Times New Roman"/>
          <w:kern w:val="2"/>
          <w:sz w:val="21"/>
          <w:szCs w:val="22"/>
          <w:lang w:val="en-US" w:eastAsia="zh-CN" w:bidi="ar-SA"/>
        </w:rPr>
        <w:t>、</w:t>
      </w:r>
      <w:r>
        <w:rPr>
          <w:rFonts w:hint="eastAsia" w:ascii="Times New Roman" w:hAnsi="Times New Roman" w:eastAsia="宋体" w:cs="Times New Roman"/>
          <w:kern w:val="2"/>
          <w:sz w:val="21"/>
          <w:szCs w:val="22"/>
          <w:lang w:val="en-US" w:eastAsia="zh-CN" w:bidi="ar-SA"/>
        </w:rPr>
        <w:t>飘水率≤0.006%</w:t>
      </w:r>
      <w:r>
        <w:rPr>
          <w:rFonts w:hint="eastAsia" w:cs="Times New Roman"/>
          <w:kern w:val="2"/>
          <w:sz w:val="21"/>
          <w:szCs w:val="22"/>
          <w:lang w:val="en-US" w:eastAsia="zh-CN" w:bidi="ar-SA"/>
        </w:rPr>
        <w:t>及</w:t>
      </w:r>
      <w:r>
        <w:rPr>
          <w:rFonts w:hint="eastAsia" w:ascii="仿宋_GB2312" w:hAnsi="仿宋_GB2312" w:cs="仿宋_GB2312"/>
          <w:highlight w:val="none"/>
          <w:lang w:val="en-US" w:eastAsia="zh-CN"/>
        </w:rPr>
        <w:t>温控变频要求</w:t>
      </w:r>
      <w:r>
        <w:rPr>
          <w:rFonts w:hint="eastAsia" w:ascii="Times New Roman" w:hAnsi="Times New Roman" w:eastAsia="宋体" w:cs="Times New Roman"/>
          <w:kern w:val="2"/>
          <w:sz w:val="21"/>
          <w:szCs w:val="22"/>
          <w:lang w:val="en-US" w:eastAsia="zh-CN" w:bidi="ar-SA"/>
        </w:rPr>
        <w:t>。新设备应满足现有安装尺寸要求10m*4.4m（长*宽 ）。</w:t>
      </w:r>
    </w:p>
    <w:p>
      <w:pPr>
        <w:pStyle w:val="16"/>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cs="Times New Roman"/>
          <w:color w:val="auto"/>
          <w:kern w:val="2"/>
          <w:sz w:val="21"/>
          <w:szCs w:val="22"/>
          <w:highlight w:val="none"/>
          <w:lang w:val="en-US" w:eastAsia="zh-CN" w:bidi="ar-SA"/>
        </w:rPr>
        <w:t>（二）、技术要求</w:t>
      </w:r>
    </w:p>
    <w:p>
      <w:pPr>
        <w:pStyle w:val="1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Times New Roman" w:hAnsi="Times New Roman" w:cs="Times New Roman"/>
          <w:color w:val="auto"/>
          <w:kern w:val="2"/>
          <w:sz w:val="21"/>
          <w:szCs w:val="22"/>
          <w:highlight w:val="none"/>
          <w:lang w:val="en-US" w:eastAsia="zh-CN" w:bidi="ar-SA"/>
        </w:rPr>
      </w:pPr>
      <w:bookmarkStart w:id="15" w:name="_Toc44077687"/>
      <w:bookmarkStart w:id="16" w:name="_Toc47031006"/>
      <w:bookmarkStart w:id="17" w:name="_Toc44077636"/>
      <w:r>
        <w:rPr>
          <w:rFonts w:hint="eastAsia" w:ascii="Times New Roman" w:hAnsi="Times New Roman" w:eastAsia="宋体" w:cs="Times New Roman"/>
          <w:color w:val="auto"/>
          <w:kern w:val="2"/>
          <w:sz w:val="21"/>
          <w:szCs w:val="22"/>
          <w:highlight w:val="none"/>
          <w:lang w:val="en-US" w:eastAsia="zh-CN" w:bidi="ar-SA"/>
        </w:rPr>
        <w:t>1</w:t>
      </w:r>
      <w:r>
        <w:rPr>
          <w:rFonts w:hint="eastAsia" w:ascii="Times New Roman" w:hAnsi="Times New Roman" w:cs="Times New Roman"/>
          <w:color w:val="auto"/>
          <w:kern w:val="2"/>
          <w:sz w:val="21"/>
          <w:szCs w:val="22"/>
          <w:highlight w:val="none"/>
          <w:lang w:val="en-US" w:eastAsia="zh-CN" w:bidi="ar-SA"/>
        </w:rPr>
        <w:t>、新购的开式冷却塔的主要技术参数和数量如下：</w:t>
      </w:r>
    </w:p>
    <w:tbl>
      <w:tblPr>
        <w:tblStyle w:val="32"/>
        <w:tblW w:w="9334" w:type="dxa"/>
        <w:tblInd w:w="93" w:type="dxa"/>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1213"/>
        <w:gridCol w:w="3565"/>
        <w:gridCol w:w="1153"/>
        <w:gridCol w:w="921"/>
        <w:gridCol w:w="632"/>
        <w:gridCol w:w="617"/>
        <w:gridCol w:w="717"/>
      </w:tblGrid>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16" w:type="dxa"/>
            <w:tcBorders>
              <w:tl2br w:val="nil"/>
              <w:tr2bl w:val="nil"/>
            </w:tcBorders>
            <w:noWrap w:val="0"/>
            <w:vAlign w:val="center"/>
          </w:tcPr>
          <w:p>
            <w:pPr>
              <w:widowControl/>
              <w:adjustRightInd/>
              <w:spacing w:line="240" w:lineRule="auto"/>
              <w:jc w:val="center"/>
              <w:textAlignment w:val="auto"/>
              <w:rPr>
                <w:rFonts w:ascii="宋体" w:hAnsi="宋体" w:cs="宋体"/>
                <w:color w:val="auto"/>
                <w:sz w:val="20"/>
              </w:rPr>
            </w:pPr>
            <w:r>
              <w:rPr>
                <w:rFonts w:hint="eastAsia" w:ascii="宋体" w:hAnsi="宋体" w:cs="宋体"/>
                <w:color w:val="auto"/>
                <w:sz w:val="20"/>
              </w:rPr>
              <w:t>序号</w:t>
            </w:r>
          </w:p>
        </w:tc>
        <w:tc>
          <w:tcPr>
            <w:tcW w:w="1213" w:type="dxa"/>
            <w:tcBorders>
              <w:tl2br w:val="nil"/>
              <w:tr2bl w:val="nil"/>
            </w:tcBorders>
            <w:noWrap w:val="0"/>
            <w:vAlign w:val="center"/>
          </w:tcPr>
          <w:p>
            <w:pPr>
              <w:widowControl/>
              <w:adjustRightInd/>
              <w:spacing w:line="240" w:lineRule="auto"/>
              <w:jc w:val="center"/>
              <w:textAlignment w:val="auto"/>
              <w:rPr>
                <w:rFonts w:ascii="宋体" w:hAnsi="宋体" w:cs="宋体"/>
                <w:color w:val="auto"/>
                <w:sz w:val="20"/>
              </w:rPr>
            </w:pPr>
            <w:r>
              <w:rPr>
                <w:rFonts w:hint="eastAsia" w:ascii="宋体" w:hAnsi="宋体" w:cs="宋体"/>
                <w:color w:val="auto"/>
                <w:sz w:val="20"/>
              </w:rPr>
              <w:t>设备名称</w:t>
            </w:r>
          </w:p>
        </w:tc>
        <w:tc>
          <w:tcPr>
            <w:tcW w:w="3565" w:type="dxa"/>
            <w:tcBorders>
              <w:tl2br w:val="nil"/>
              <w:tr2bl w:val="nil"/>
            </w:tcBorders>
            <w:noWrap w:val="0"/>
            <w:vAlign w:val="center"/>
          </w:tcPr>
          <w:p>
            <w:pPr>
              <w:widowControl/>
              <w:adjustRightInd/>
              <w:spacing w:line="240" w:lineRule="auto"/>
              <w:jc w:val="center"/>
              <w:textAlignment w:val="auto"/>
              <w:rPr>
                <w:rFonts w:ascii="宋体" w:hAnsi="宋体" w:cs="宋体"/>
                <w:color w:val="auto"/>
                <w:sz w:val="20"/>
              </w:rPr>
            </w:pPr>
            <w:r>
              <w:rPr>
                <w:rFonts w:hint="eastAsia" w:ascii="宋体" w:hAnsi="宋体" w:cs="宋体"/>
                <w:color w:val="auto"/>
                <w:sz w:val="20"/>
              </w:rPr>
              <w:t>规格／型号／技术参数</w:t>
            </w:r>
          </w:p>
        </w:tc>
        <w:tc>
          <w:tcPr>
            <w:tcW w:w="1153" w:type="dxa"/>
            <w:tcBorders>
              <w:tl2br w:val="nil"/>
              <w:tr2bl w:val="nil"/>
            </w:tcBorders>
            <w:noWrap w:val="0"/>
            <w:vAlign w:val="center"/>
          </w:tcPr>
          <w:p>
            <w:pPr>
              <w:widowControl/>
              <w:adjustRightInd/>
              <w:spacing w:line="240" w:lineRule="auto"/>
              <w:jc w:val="center"/>
              <w:textAlignment w:val="auto"/>
              <w:rPr>
                <w:rFonts w:ascii="宋体" w:hAnsi="宋体" w:cs="宋体"/>
                <w:color w:val="auto"/>
                <w:sz w:val="20"/>
              </w:rPr>
            </w:pPr>
            <w:r>
              <w:rPr>
                <w:rFonts w:hint="eastAsia" w:ascii="宋体" w:hAnsi="宋体" w:cs="宋体"/>
                <w:color w:val="auto"/>
                <w:sz w:val="20"/>
              </w:rPr>
              <w:t>材质</w:t>
            </w:r>
          </w:p>
        </w:tc>
        <w:tc>
          <w:tcPr>
            <w:tcW w:w="921" w:type="dxa"/>
            <w:tcBorders>
              <w:tl2br w:val="nil"/>
              <w:tr2bl w:val="nil"/>
            </w:tcBorders>
            <w:noWrap w:val="0"/>
            <w:vAlign w:val="center"/>
          </w:tcPr>
          <w:p>
            <w:pPr>
              <w:widowControl/>
              <w:adjustRightInd/>
              <w:spacing w:line="240" w:lineRule="auto"/>
              <w:jc w:val="center"/>
              <w:textAlignment w:val="auto"/>
              <w:rPr>
                <w:rFonts w:ascii="宋体" w:hAnsi="宋体" w:cs="宋体"/>
                <w:color w:val="auto"/>
                <w:sz w:val="20"/>
              </w:rPr>
            </w:pPr>
            <w:r>
              <w:rPr>
                <w:rFonts w:hint="eastAsia" w:ascii="宋体" w:hAnsi="宋体" w:cs="宋体"/>
                <w:color w:val="auto"/>
                <w:sz w:val="20"/>
              </w:rPr>
              <w:t>安装位置</w:t>
            </w:r>
          </w:p>
        </w:tc>
        <w:tc>
          <w:tcPr>
            <w:tcW w:w="632" w:type="dxa"/>
            <w:tcBorders>
              <w:tl2br w:val="nil"/>
              <w:tr2bl w:val="nil"/>
            </w:tcBorders>
            <w:noWrap w:val="0"/>
            <w:vAlign w:val="center"/>
          </w:tcPr>
          <w:p>
            <w:pPr>
              <w:widowControl/>
              <w:adjustRightInd/>
              <w:spacing w:line="240" w:lineRule="auto"/>
              <w:jc w:val="center"/>
              <w:textAlignment w:val="auto"/>
              <w:rPr>
                <w:rFonts w:ascii="宋体" w:hAnsi="宋体" w:cs="宋体"/>
                <w:color w:val="auto"/>
                <w:sz w:val="20"/>
              </w:rPr>
            </w:pPr>
            <w:r>
              <w:rPr>
                <w:rFonts w:hint="eastAsia" w:ascii="宋体" w:hAnsi="宋体" w:cs="宋体"/>
                <w:color w:val="auto"/>
                <w:sz w:val="20"/>
              </w:rPr>
              <w:t>单位</w:t>
            </w:r>
          </w:p>
        </w:tc>
        <w:tc>
          <w:tcPr>
            <w:tcW w:w="617" w:type="dxa"/>
            <w:tcBorders>
              <w:tl2br w:val="nil"/>
              <w:tr2bl w:val="nil"/>
            </w:tcBorders>
            <w:noWrap w:val="0"/>
            <w:vAlign w:val="center"/>
          </w:tcPr>
          <w:p>
            <w:pPr>
              <w:widowControl/>
              <w:adjustRightInd/>
              <w:spacing w:line="240" w:lineRule="auto"/>
              <w:jc w:val="center"/>
              <w:textAlignment w:val="auto"/>
              <w:rPr>
                <w:rFonts w:ascii="宋体" w:hAnsi="宋体" w:cs="宋体"/>
                <w:color w:val="auto"/>
                <w:sz w:val="20"/>
              </w:rPr>
            </w:pPr>
            <w:r>
              <w:rPr>
                <w:rFonts w:hint="eastAsia" w:ascii="宋体" w:hAnsi="宋体" w:cs="宋体"/>
                <w:color w:val="auto"/>
                <w:sz w:val="20"/>
              </w:rPr>
              <w:t>数量</w:t>
            </w:r>
          </w:p>
        </w:tc>
        <w:tc>
          <w:tcPr>
            <w:tcW w:w="717" w:type="dxa"/>
            <w:tcBorders>
              <w:tl2br w:val="nil"/>
              <w:tr2bl w:val="nil"/>
            </w:tcBorders>
            <w:noWrap w:val="0"/>
            <w:vAlign w:val="center"/>
          </w:tcPr>
          <w:p>
            <w:pPr>
              <w:widowControl/>
              <w:adjustRightInd/>
              <w:spacing w:line="240" w:lineRule="auto"/>
              <w:jc w:val="center"/>
              <w:textAlignment w:val="auto"/>
              <w:rPr>
                <w:rFonts w:ascii="宋体" w:hAnsi="宋体" w:cs="宋体"/>
                <w:color w:val="auto"/>
                <w:sz w:val="20"/>
              </w:rPr>
            </w:pPr>
            <w:r>
              <w:rPr>
                <w:rFonts w:hint="eastAsia" w:ascii="宋体" w:hAnsi="宋体" w:cs="宋体"/>
                <w:color w:val="auto"/>
                <w:sz w:val="20"/>
              </w:rPr>
              <w:t>备注</w:t>
            </w: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6" w:hRule="atLeast"/>
        </w:trPr>
        <w:tc>
          <w:tcPr>
            <w:tcW w:w="516" w:type="dxa"/>
            <w:tcBorders>
              <w:tl2br w:val="nil"/>
              <w:tr2bl w:val="nil"/>
            </w:tcBorders>
            <w:noWrap w:val="0"/>
            <w:vAlign w:val="center"/>
          </w:tcPr>
          <w:p>
            <w:pPr>
              <w:widowControl/>
              <w:adjustRightInd/>
              <w:spacing w:line="240" w:lineRule="auto"/>
              <w:jc w:val="center"/>
              <w:textAlignment w:val="auto"/>
              <w:rPr>
                <w:rFonts w:hint="default" w:ascii="宋体" w:hAnsi="宋体" w:cs="宋体"/>
                <w:color w:val="auto"/>
                <w:sz w:val="20"/>
                <w:lang w:val="en-US" w:eastAsia="zh-CN" w:bidi="ar-SA"/>
              </w:rPr>
            </w:pPr>
            <w:r>
              <w:rPr>
                <w:rFonts w:hint="eastAsia" w:ascii="宋体" w:hAnsi="宋体" w:cs="宋体"/>
                <w:color w:val="auto"/>
                <w:sz w:val="20"/>
                <w:lang w:val="en-US" w:eastAsia="zh-CN" w:bidi="ar-SA"/>
              </w:rPr>
              <w:t>1</w:t>
            </w:r>
          </w:p>
        </w:tc>
        <w:tc>
          <w:tcPr>
            <w:tcW w:w="1213" w:type="dxa"/>
            <w:tcBorders>
              <w:tl2br w:val="nil"/>
              <w:tr2bl w:val="nil"/>
            </w:tcBorders>
            <w:noWrap w:val="0"/>
            <w:vAlign w:val="center"/>
          </w:tcPr>
          <w:p>
            <w:pPr>
              <w:widowControl/>
              <w:adjustRightInd/>
              <w:spacing w:line="240" w:lineRule="auto"/>
              <w:jc w:val="left"/>
              <w:textAlignment w:val="auto"/>
              <w:rPr>
                <w:rFonts w:hint="eastAsia" w:ascii="宋体" w:hAnsi="宋体" w:cs="宋体"/>
                <w:color w:val="auto"/>
                <w:sz w:val="20"/>
                <w:lang w:val="en-US" w:eastAsia="zh-CN" w:bidi="ar-SA"/>
              </w:rPr>
            </w:pPr>
            <w:r>
              <w:rPr>
                <w:rFonts w:hint="eastAsia" w:hAnsi="宋体"/>
                <w:color w:val="auto"/>
                <w:szCs w:val="24"/>
                <w:lang w:val="en-US" w:eastAsia="zh-CN"/>
              </w:rPr>
              <w:t>逆流</w:t>
            </w:r>
            <w:r>
              <w:rPr>
                <w:rFonts w:hint="eastAsia" w:hAnsi="宋体"/>
                <w:color w:val="auto"/>
                <w:szCs w:val="24"/>
              </w:rPr>
              <w:t>冷却塔</w:t>
            </w:r>
          </w:p>
        </w:tc>
        <w:tc>
          <w:tcPr>
            <w:tcW w:w="3565" w:type="dxa"/>
            <w:tcBorders>
              <w:tl2br w:val="nil"/>
              <w:tr2bl w:val="nil"/>
            </w:tcBorders>
            <w:noWrap w:val="0"/>
            <w:vAlign w:val="bottom"/>
          </w:tcPr>
          <w:p>
            <w:pPr>
              <w:widowControl/>
              <w:adjustRightInd/>
              <w:spacing w:line="240" w:lineRule="auto"/>
              <w:jc w:val="left"/>
              <w:textAlignment w:val="auto"/>
              <w:rPr>
                <w:rFonts w:hint="eastAsia" w:ascii="宋体" w:hAnsi="宋体" w:eastAsia="宋体" w:cs="宋体"/>
                <w:color w:val="auto"/>
                <w:sz w:val="20"/>
                <w:highlight w:val="none"/>
                <w:lang w:val="en-US" w:eastAsia="zh-CN"/>
              </w:rPr>
            </w:pPr>
            <w:r>
              <w:rPr>
                <w:rFonts w:hint="eastAsia" w:ascii="宋体" w:hAnsi="宋体" w:eastAsia="宋体" w:cs="宋体"/>
                <w:color w:val="auto"/>
                <w:sz w:val="20"/>
                <w:highlight w:val="none"/>
                <w:lang w:val="en-US" w:eastAsia="zh-CN"/>
              </w:rPr>
              <w:t>单台名义流量：Q=200m</w:t>
            </w:r>
            <w:r>
              <w:rPr>
                <w:rFonts w:hint="eastAsia" w:ascii="宋体" w:hAnsi="宋体" w:eastAsia="宋体" w:cs="宋体"/>
                <w:color w:val="auto"/>
                <w:sz w:val="20"/>
                <w:highlight w:val="none"/>
                <w:vertAlign w:val="superscript"/>
                <w:lang w:val="en-US" w:eastAsia="zh-CN"/>
              </w:rPr>
              <w:t>3</w:t>
            </w:r>
            <w:r>
              <w:rPr>
                <w:rFonts w:hint="eastAsia" w:ascii="宋体" w:hAnsi="宋体" w:eastAsia="宋体" w:cs="宋体"/>
                <w:color w:val="auto"/>
                <w:sz w:val="20"/>
                <w:highlight w:val="none"/>
                <w:lang w:val="en-US" w:eastAsia="zh-CN"/>
              </w:rPr>
              <w:t>/h；</w:t>
            </w:r>
            <w:r>
              <w:rPr>
                <w:rFonts w:hint="eastAsia" w:ascii="宋体" w:hAnsi="宋体" w:eastAsia="宋体" w:cs="宋体"/>
                <w:color w:val="auto"/>
                <w:sz w:val="20"/>
                <w:highlight w:val="none"/>
                <w:lang w:val="en-US" w:eastAsia="zh-CN"/>
              </w:rPr>
              <w:br w:type="textWrapping"/>
            </w:r>
            <w:r>
              <w:rPr>
                <w:rFonts w:hint="eastAsia" w:ascii="宋体" w:hAnsi="宋体" w:eastAsia="宋体" w:cs="宋体"/>
                <w:color w:val="auto"/>
                <w:sz w:val="20"/>
                <w:highlight w:val="none"/>
                <w:lang w:val="en-US" w:eastAsia="zh-CN"/>
              </w:rPr>
              <w:t>标准工况：进水温度t1=37°C，出水温度t2=32°C，湿球温度t=26.8°C。</w:t>
            </w:r>
          </w:p>
          <w:p>
            <w:pPr>
              <w:widowControl/>
              <w:adjustRightInd/>
              <w:spacing w:line="240" w:lineRule="auto"/>
              <w:jc w:val="left"/>
              <w:textAlignment w:val="auto"/>
              <w:rPr>
                <w:rFonts w:hint="default" w:ascii="宋体" w:hAnsi="宋体" w:eastAsia="宋体" w:cs="宋体"/>
                <w:color w:val="auto"/>
                <w:sz w:val="20"/>
                <w:highlight w:val="none"/>
                <w:lang w:val="en-US" w:eastAsia="zh-CN"/>
              </w:rPr>
            </w:pPr>
            <w:r>
              <w:rPr>
                <w:rFonts w:hint="eastAsia" w:ascii="宋体" w:hAnsi="宋体" w:eastAsia="宋体" w:cs="宋体"/>
                <w:color w:val="auto"/>
                <w:sz w:val="20"/>
                <w:highlight w:val="none"/>
                <w:lang w:val="en-US" w:eastAsia="zh-CN"/>
              </w:rPr>
              <w:t>节能技术参数：满足GB/T7190.1-2018中1级能效要求，冷却能力≥95%，飘水率≤0.006%</w:t>
            </w:r>
            <w:r>
              <w:rPr>
                <w:rFonts w:hint="eastAsia" w:ascii="宋体" w:hAnsi="宋体" w:cs="宋体"/>
                <w:color w:val="auto"/>
                <w:sz w:val="20"/>
                <w:highlight w:val="none"/>
                <w:lang w:val="en-US" w:eastAsia="zh-CN"/>
              </w:rPr>
              <w:t>、具备温控变频功能。</w:t>
            </w:r>
          </w:p>
        </w:tc>
        <w:tc>
          <w:tcPr>
            <w:tcW w:w="1153" w:type="dxa"/>
            <w:tcBorders>
              <w:tl2br w:val="nil"/>
              <w:tr2bl w:val="nil"/>
            </w:tcBorders>
            <w:noWrap w:val="0"/>
            <w:vAlign w:val="center"/>
          </w:tcPr>
          <w:p>
            <w:pPr>
              <w:widowControl/>
              <w:adjustRightInd/>
              <w:spacing w:line="240" w:lineRule="auto"/>
              <w:jc w:val="center"/>
              <w:textAlignment w:val="auto"/>
              <w:rPr>
                <w:rFonts w:hint="default" w:ascii="宋体" w:hAnsi="宋体" w:eastAsia="宋体" w:cs="宋体"/>
                <w:color w:val="auto"/>
                <w:sz w:val="20"/>
                <w:highlight w:val="none"/>
                <w:lang w:val="en-US" w:eastAsia="zh-CN"/>
              </w:rPr>
            </w:pPr>
            <w:r>
              <w:rPr>
                <w:rFonts w:hint="eastAsia" w:ascii="宋体" w:hAnsi="宋体" w:eastAsia="宋体" w:cs="宋体"/>
                <w:color w:val="auto"/>
                <w:sz w:val="20"/>
                <w:highlight w:val="none"/>
                <w:lang w:val="en-US" w:eastAsia="zh-CN"/>
              </w:rPr>
              <w:t>阻燃型</w:t>
            </w:r>
            <w:r>
              <w:rPr>
                <w:rFonts w:hint="eastAsia" w:ascii="宋体" w:hAnsi="宋体" w:cs="宋体"/>
                <w:color w:val="auto"/>
                <w:sz w:val="20"/>
                <w:highlight w:val="none"/>
                <w:lang w:val="en-US" w:eastAsia="zh-CN"/>
              </w:rPr>
              <w:t>复合</w:t>
            </w:r>
            <w:r>
              <w:rPr>
                <w:rFonts w:hint="eastAsia" w:ascii="宋体" w:hAnsi="宋体" w:eastAsia="宋体" w:cs="宋体"/>
                <w:color w:val="auto"/>
                <w:sz w:val="20"/>
                <w:highlight w:val="none"/>
                <w:lang w:val="en-US" w:eastAsia="zh-CN"/>
              </w:rPr>
              <w:t>材料</w:t>
            </w:r>
          </w:p>
        </w:tc>
        <w:tc>
          <w:tcPr>
            <w:tcW w:w="921" w:type="dxa"/>
            <w:tcBorders>
              <w:tl2br w:val="nil"/>
              <w:tr2bl w:val="nil"/>
            </w:tcBorders>
            <w:noWrap w:val="0"/>
            <w:vAlign w:val="center"/>
          </w:tcPr>
          <w:p>
            <w:pPr>
              <w:widowControl/>
              <w:adjustRightInd/>
              <w:spacing w:line="240" w:lineRule="auto"/>
              <w:jc w:val="center"/>
              <w:textAlignment w:val="auto"/>
              <w:rPr>
                <w:rFonts w:hint="default" w:ascii="宋体" w:hAnsi="宋体" w:eastAsia="宋体" w:cs="宋体"/>
                <w:color w:val="auto"/>
                <w:sz w:val="20"/>
                <w:highlight w:val="none"/>
                <w:lang w:val="en-US" w:eastAsia="zh-CN"/>
              </w:rPr>
            </w:pPr>
            <w:r>
              <w:rPr>
                <w:rFonts w:hint="eastAsia" w:ascii="宋体" w:hAnsi="宋体" w:eastAsia="宋体" w:cs="宋体"/>
                <w:color w:val="auto"/>
                <w:sz w:val="20"/>
                <w:highlight w:val="none"/>
                <w:lang w:val="en-US" w:eastAsia="zh-CN"/>
              </w:rPr>
              <w:t>党家厂区空压站</w:t>
            </w:r>
          </w:p>
        </w:tc>
        <w:tc>
          <w:tcPr>
            <w:tcW w:w="632" w:type="dxa"/>
            <w:tcBorders>
              <w:tl2br w:val="nil"/>
              <w:tr2bl w:val="nil"/>
            </w:tcBorders>
            <w:noWrap w:val="0"/>
            <w:vAlign w:val="center"/>
          </w:tcPr>
          <w:p>
            <w:pPr>
              <w:widowControl/>
              <w:adjustRightInd/>
              <w:spacing w:line="240" w:lineRule="auto"/>
              <w:jc w:val="center"/>
              <w:textAlignment w:val="auto"/>
              <w:rPr>
                <w:rFonts w:hint="eastAsia" w:ascii="宋体" w:hAnsi="宋体" w:eastAsia="宋体" w:cs="宋体"/>
                <w:color w:val="auto"/>
                <w:sz w:val="20"/>
                <w:highlight w:val="none"/>
                <w:lang w:val="en-US" w:eastAsia="zh-CN"/>
              </w:rPr>
            </w:pPr>
            <w:r>
              <w:rPr>
                <w:rFonts w:hint="eastAsia" w:ascii="宋体" w:hAnsi="宋体" w:eastAsia="宋体" w:cs="宋体"/>
                <w:color w:val="auto"/>
                <w:sz w:val="20"/>
                <w:highlight w:val="none"/>
                <w:lang w:val="en-US" w:eastAsia="zh-CN"/>
              </w:rPr>
              <w:t>台</w:t>
            </w:r>
          </w:p>
        </w:tc>
        <w:tc>
          <w:tcPr>
            <w:tcW w:w="617" w:type="dxa"/>
            <w:tcBorders>
              <w:tl2br w:val="nil"/>
              <w:tr2bl w:val="nil"/>
            </w:tcBorders>
            <w:noWrap w:val="0"/>
            <w:vAlign w:val="center"/>
          </w:tcPr>
          <w:p>
            <w:pPr>
              <w:widowControl/>
              <w:adjustRightInd/>
              <w:spacing w:line="240" w:lineRule="auto"/>
              <w:jc w:val="center"/>
              <w:textAlignment w:val="auto"/>
              <w:rPr>
                <w:rFonts w:hint="eastAsia" w:ascii="宋体" w:hAnsi="宋体" w:eastAsia="宋体" w:cs="宋体"/>
                <w:color w:val="auto"/>
                <w:sz w:val="20"/>
                <w:highlight w:val="none"/>
                <w:lang w:val="en-US" w:eastAsia="zh-CN"/>
              </w:rPr>
            </w:pPr>
            <w:r>
              <w:rPr>
                <w:rFonts w:hint="eastAsia" w:ascii="宋体" w:hAnsi="宋体" w:eastAsia="宋体" w:cs="宋体"/>
                <w:color w:val="auto"/>
                <w:sz w:val="20"/>
                <w:highlight w:val="none"/>
                <w:lang w:val="en-US" w:eastAsia="zh-CN"/>
              </w:rPr>
              <w:t>2</w:t>
            </w:r>
          </w:p>
        </w:tc>
        <w:tc>
          <w:tcPr>
            <w:tcW w:w="717" w:type="dxa"/>
            <w:tcBorders>
              <w:tl2br w:val="nil"/>
              <w:tr2bl w:val="nil"/>
            </w:tcBorders>
            <w:noWrap w:val="0"/>
            <w:vAlign w:val="center"/>
          </w:tcPr>
          <w:p>
            <w:pPr>
              <w:widowControl/>
              <w:adjustRightInd/>
              <w:spacing w:line="240" w:lineRule="auto"/>
              <w:jc w:val="center"/>
              <w:textAlignment w:val="auto"/>
              <w:rPr>
                <w:rFonts w:hint="eastAsia" w:ascii="宋体" w:hAnsi="宋体" w:eastAsia="宋体" w:cs="宋体"/>
                <w:color w:val="auto"/>
                <w:sz w:val="20"/>
                <w:highlight w:val="none"/>
                <w:lang w:val="en-US" w:eastAsia="zh-CN"/>
              </w:rPr>
            </w:pPr>
          </w:p>
        </w:tc>
      </w:tr>
      <w:tr>
        <w:tblPrEx>
          <w:tblBorders>
            <w:top w:val="single" w:color="auto" w:sz="4" w:space="0"/>
            <w:left w:val="single" w:color="auto" w:sz="4"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516" w:type="dxa"/>
            <w:tcBorders>
              <w:tl2br w:val="nil"/>
              <w:tr2bl w:val="nil"/>
            </w:tcBorders>
            <w:noWrap w:val="0"/>
            <w:vAlign w:val="center"/>
          </w:tcPr>
          <w:p>
            <w:pPr>
              <w:widowControl/>
              <w:adjustRightInd/>
              <w:spacing w:line="240" w:lineRule="auto"/>
              <w:jc w:val="center"/>
              <w:textAlignment w:val="auto"/>
              <w:rPr>
                <w:rFonts w:hint="eastAsia" w:ascii="宋体" w:hAnsi="宋体" w:cs="宋体"/>
                <w:color w:val="auto"/>
                <w:sz w:val="20"/>
              </w:rPr>
            </w:pPr>
          </w:p>
        </w:tc>
        <w:tc>
          <w:tcPr>
            <w:tcW w:w="1213" w:type="dxa"/>
            <w:tcBorders>
              <w:tl2br w:val="nil"/>
              <w:tr2bl w:val="nil"/>
            </w:tcBorders>
            <w:noWrap w:val="0"/>
            <w:vAlign w:val="center"/>
          </w:tcPr>
          <w:p>
            <w:pPr>
              <w:widowControl/>
              <w:adjustRightInd/>
              <w:spacing w:line="240" w:lineRule="auto"/>
              <w:jc w:val="left"/>
              <w:textAlignment w:val="auto"/>
              <w:rPr>
                <w:rFonts w:hint="eastAsia" w:hAnsi="宋体" w:eastAsia="宋体"/>
                <w:color w:val="auto"/>
                <w:szCs w:val="24"/>
                <w:lang w:eastAsia="zh-CN"/>
              </w:rPr>
            </w:pPr>
            <w:r>
              <w:rPr>
                <w:rFonts w:hint="eastAsia" w:hAnsi="宋体"/>
                <w:color w:val="auto"/>
                <w:szCs w:val="24"/>
                <w:lang w:eastAsia="zh-CN"/>
              </w:rPr>
              <w:t>合计：</w:t>
            </w:r>
          </w:p>
        </w:tc>
        <w:tc>
          <w:tcPr>
            <w:tcW w:w="3565" w:type="dxa"/>
            <w:tcBorders>
              <w:tl2br w:val="nil"/>
              <w:tr2bl w:val="nil"/>
            </w:tcBorders>
            <w:noWrap w:val="0"/>
            <w:vAlign w:val="bottom"/>
          </w:tcPr>
          <w:p>
            <w:pPr>
              <w:widowControl/>
              <w:adjustRightInd/>
              <w:spacing w:line="240" w:lineRule="auto"/>
              <w:textAlignment w:val="auto"/>
              <w:rPr>
                <w:rFonts w:hint="eastAsia" w:hAnsi="宋体"/>
                <w:color w:val="auto"/>
              </w:rPr>
            </w:pPr>
          </w:p>
        </w:tc>
        <w:tc>
          <w:tcPr>
            <w:tcW w:w="1153" w:type="dxa"/>
            <w:tcBorders>
              <w:tl2br w:val="nil"/>
              <w:tr2bl w:val="nil"/>
            </w:tcBorders>
            <w:noWrap w:val="0"/>
            <w:vAlign w:val="center"/>
          </w:tcPr>
          <w:p>
            <w:pPr>
              <w:widowControl/>
              <w:adjustRightInd/>
              <w:spacing w:line="240" w:lineRule="auto"/>
              <w:jc w:val="center"/>
              <w:textAlignment w:val="auto"/>
              <w:rPr>
                <w:rFonts w:hint="eastAsia" w:ascii="宋体" w:hAnsi="宋体" w:cs="宋体"/>
                <w:color w:val="auto"/>
                <w:sz w:val="20"/>
                <w:lang w:val="en-US" w:eastAsia="zh-CN" w:bidi="ar-SA"/>
              </w:rPr>
            </w:pPr>
          </w:p>
        </w:tc>
        <w:tc>
          <w:tcPr>
            <w:tcW w:w="921" w:type="dxa"/>
            <w:tcBorders>
              <w:tl2br w:val="nil"/>
              <w:tr2bl w:val="nil"/>
            </w:tcBorders>
            <w:noWrap w:val="0"/>
            <w:vAlign w:val="center"/>
          </w:tcPr>
          <w:p>
            <w:pPr>
              <w:widowControl/>
              <w:adjustRightInd/>
              <w:spacing w:line="240" w:lineRule="auto"/>
              <w:jc w:val="center"/>
              <w:textAlignment w:val="auto"/>
              <w:rPr>
                <w:rFonts w:hint="eastAsia" w:ascii="宋体" w:hAnsi="宋体" w:cs="宋体"/>
                <w:color w:val="auto"/>
                <w:sz w:val="20"/>
              </w:rPr>
            </w:pPr>
          </w:p>
        </w:tc>
        <w:tc>
          <w:tcPr>
            <w:tcW w:w="632" w:type="dxa"/>
            <w:tcBorders>
              <w:tl2br w:val="nil"/>
              <w:tr2bl w:val="nil"/>
            </w:tcBorders>
            <w:noWrap w:val="0"/>
            <w:vAlign w:val="center"/>
          </w:tcPr>
          <w:p>
            <w:pPr>
              <w:widowControl/>
              <w:adjustRightInd/>
              <w:spacing w:line="240" w:lineRule="auto"/>
              <w:jc w:val="center"/>
              <w:textAlignment w:val="auto"/>
              <w:rPr>
                <w:rFonts w:hint="eastAsia" w:ascii="宋体" w:hAnsi="宋体" w:cs="宋体"/>
                <w:color w:val="auto"/>
                <w:sz w:val="20"/>
              </w:rPr>
            </w:pPr>
          </w:p>
        </w:tc>
        <w:tc>
          <w:tcPr>
            <w:tcW w:w="617" w:type="dxa"/>
            <w:tcBorders>
              <w:tl2br w:val="nil"/>
              <w:tr2bl w:val="nil"/>
            </w:tcBorders>
            <w:noWrap w:val="0"/>
            <w:vAlign w:val="center"/>
          </w:tcPr>
          <w:p>
            <w:pPr>
              <w:widowControl/>
              <w:adjustRightInd/>
              <w:spacing w:line="240" w:lineRule="auto"/>
              <w:jc w:val="center"/>
              <w:textAlignment w:val="auto"/>
              <w:rPr>
                <w:rFonts w:hint="default" w:ascii="宋体" w:hAnsi="宋体" w:eastAsia="宋体" w:cs="宋体"/>
                <w:color w:val="auto"/>
                <w:sz w:val="20"/>
                <w:lang w:val="en-US" w:eastAsia="zh-CN"/>
              </w:rPr>
            </w:pPr>
            <w:r>
              <w:rPr>
                <w:rFonts w:hint="eastAsia" w:ascii="宋体" w:hAnsi="宋体" w:cs="宋体"/>
                <w:color w:val="auto"/>
                <w:sz w:val="20"/>
                <w:lang w:val="en-US" w:eastAsia="zh-CN"/>
              </w:rPr>
              <w:t>2</w:t>
            </w:r>
          </w:p>
        </w:tc>
        <w:tc>
          <w:tcPr>
            <w:tcW w:w="717" w:type="dxa"/>
            <w:tcBorders>
              <w:tl2br w:val="nil"/>
              <w:tr2bl w:val="nil"/>
            </w:tcBorders>
            <w:noWrap w:val="0"/>
            <w:vAlign w:val="center"/>
          </w:tcPr>
          <w:p>
            <w:pPr>
              <w:widowControl/>
              <w:adjustRightInd/>
              <w:spacing w:line="240" w:lineRule="auto"/>
              <w:jc w:val="center"/>
              <w:textAlignment w:val="auto"/>
              <w:rPr>
                <w:rFonts w:ascii="宋体" w:hAnsi="宋体" w:cs="宋体"/>
                <w:color w:val="auto"/>
                <w:sz w:val="20"/>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Times New Roman" w:eastAsia="宋体" w:cs="Times New Roman"/>
          <w:kern w:val="2"/>
          <w:sz w:val="21"/>
          <w:szCs w:val="22"/>
          <w:lang w:val="en-US" w:eastAsia="zh-CN" w:bidi="ar-SA"/>
        </w:rPr>
      </w:pPr>
    </w:p>
    <w:p>
      <w:pPr>
        <w:keepNext w:val="0"/>
        <w:keepLines w:val="0"/>
        <w:pageBreakBefore w:val="0"/>
        <w:widowControl w:val="0"/>
        <w:numPr>
          <w:ilvl w:val="0"/>
          <w:numId w:val="27"/>
        </w:numPr>
        <w:kinsoku/>
        <w:wordWrap/>
        <w:overflowPunct/>
        <w:topLinePunct w:val="0"/>
        <w:autoSpaceDE/>
        <w:autoSpaceDN/>
        <w:bidi w:val="0"/>
        <w:adjustRightInd/>
        <w:snapToGrid/>
        <w:spacing w:line="440" w:lineRule="exact"/>
        <w:ind w:firstLine="420" w:firstLineChars="200"/>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性能要求：</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kern w:val="2"/>
          <w:sz w:val="21"/>
          <w:szCs w:val="22"/>
          <w:lang w:val="en-US" w:eastAsia="zh-CN" w:bidi="ar-SA"/>
        </w:rPr>
        <w:t>2.1额定工作压力下的额定容积流量：200m</w:t>
      </w:r>
      <w:r>
        <w:rPr>
          <w:rFonts w:hint="eastAsia" w:ascii="Times New Roman" w:hAnsi="Times New Roman" w:eastAsia="宋体" w:cs="Times New Roman"/>
          <w:kern w:val="2"/>
          <w:sz w:val="21"/>
          <w:szCs w:val="22"/>
          <w:vertAlign w:val="superscript"/>
          <w:lang w:val="en-US" w:eastAsia="zh-CN" w:bidi="ar-SA"/>
        </w:rPr>
        <w:t>3</w:t>
      </w:r>
      <w:r>
        <w:rPr>
          <w:rFonts w:hint="eastAsia" w:ascii="Times New Roman" w:hAnsi="Times New Roman" w:eastAsia="宋体" w:cs="Times New Roman"/>
          <w:kern w:val="2"/>
          <w:sz w:val="21"/>
          <w:szCs w:val="22"/>
          <w:lang w:val="en-US" w:eastAsia="zh-CN" w:bidi="ar-SA"/>
        </w:rPr>
        <w:t>/h（软化</w:t>
      </w:r>
      <w:r>
        <w:rPr>
          <w:rFonts w:hint="eastAsia" w:ascii="Times New Roman" w:hAnsi="Times New Roman" w:eastAsia="宋体" w:cs="Times New Roman"/>
          <w:kern w:val="2"/>
          <w:sz w:val="21"/>
          <w:szCs w:val="22"/>
          <w:highlight w:val="none"/>
          <w:lang w:val="en-US" w:eastAsia="zh-CN" w:bidi="ar-SA"/>
        </w:rPr>
        <w:t>水），</w:t>
      </w:r>
      <w:r>
        <w:rPr>
          <w:rFonts w:hint="eastAsia" w:ascii="Times New Roman" w:hAnsi="Times New Roman" w:eastAsia="宋体" w:cs="Times New Roman"/>
          <w:color w:val="auto"/>
          <w:kern w:val="2"/>
          <w:sz w:val="21"/>
          <w:szCs w:val="22"/>
          <w:highlight w:val="none"/>
          <w:lang w:val="en-US" w:eastAsia="zh-CN" w:bidi="ar-SA"/>
        </w:rPr>
        <w:t>额定工作压力：0.5Mpa，使用压力0.2—0.4Mpa。</w:t>
      </w:r>
      <w:r>
        <w:rPr>
          <w:rFonts w:hint="eastAsia" w:ascii="Times New Roman" w:hAnsi="Times New Roman" w:eastAsia="宋体" w:cs="Times New Roman"/>
          <w:kern w:val="2"/>
          <w:sz w:val="21"/>
          <w:szCs w:val="22"/>
          <w:highlight w:val="none"/>
          <w:lang w:val="en-US" w:eastAsia="zh-CN" w:bidi="ar-SA"/>
        </w:rPr>
        <w:t>布水方式喷头喷淋。</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2.2</w:t>
      </w:r>
      <w:r>
        <w:rPr>
          <w:rFonts w:hint="eastAsia" w:cs="Times New Roman"/>
          <w:kern w:val="2"/>
          <w:sz w:val="21"/>
          <w:szCs w:val="22"/>
          <w:lang w:val="en-US" w:eastAsia="zh-CN" w:bidi="ar-SA"/>
        </w:rPr>
        <w:t>新购</w:t>
      </w:r>
      <w:r>
        <w:rPr>
          <w:rFonts w:hint="eastAsia" w:ascii="Times New Roman" w:hAnsi="Times New Roman" w:eastAsia="宋体" w:cs="Times New Roman"/>
          <w:kern w:val="2"/>
          <w:sz w:val="21"/>
          <w:szCs w:val="22"/>
          <w:lang w:val="en-US" w:eastAsia="zh-CN" w:bidi="ar-SA"/>
        </w:rPr>
        <w:t>冷却塔</w:t>
      </w:r>
      <w:r>
        <w:rPr>
          <w:rFonts w:hint="eastAsia"/>
          <w:highlight w:val="none"/>
          <w:lang w:val="en-US" w:eastAsia="zh-CN"/>
        </w:rPr>
        <w:t>应</w:t>
      </w:r>
      <w:r>
        <w:rPr>
          <w:rFonts w:hint="eastAsia" w:ascii="仿宋_GB2312" w:hAnsi="仿宋_GB2312" w:cs="仿宋_GB2312"/>
          <w:highlight w:val="none"/>
        </w:rPr>
        <w:t>满足GB/T7190.1-2018中1级能效要求，</w:t>
      </w:r>
      <w:r>
        <w:rPr>
          <w:rFonts w:hint="eastAsia" w:ascii="Times New Roman" w:hAnsi="Times New Roman" w:eastAsia="宋体" w:cs="Times New Roman"/>
          <w:kern w:val="2"/>
          <w:sz w:val="21"/>
          <w:szCs w:val="22"/>
          <w:lang w:val="en-US" w:eastAsia="zh-CN" w:bidi="ar-SA"/>
        </w:rPr>
        <w:t>冷却能力≥95%，飘水率≤0.006%。冷却塔中所用电机</w:t>
      </w:r>
      <w:r>
        <w:rPr>
          <w:rFonts w:hint="eastAsia" w:ascii="宋体" w:hAnsi="宋体" w:eastAsia="宋体" w:cs="宋体"/>
          <w:kern w:val="2"/>
          <w:sz w:val="21"/>
          <w:szCs w:val="21"/>
          <w:lang w:val="en-US" w:eastAsia="zh-CN" w:bidi="ar"/>
        </w:rPr>
        <w:t>采用</w:t>
      </w:r>
      <w:r>
        <w:rPr>
          <w:rFonts w:hint="eastAsia" w:ascii="宋体" w:hAnsi="宋体" w:eastAsia="宋体" w:cs="宋体"/>
          <w:kern w:val="2"/>
          <w:sz w:val="21"/>
          <w:szCs w:val="21"/>
          <w:highlight w:val="none"/>
          <w:lang w:val="en-US" w:eastAsia="zh-CN" w:bidi="ar"/>
        </w:rPr>
        <w:t>变频电机，</w:t>
      </w:r>
      <w:r>
        <w:rPr>
          <w:rFonts w:hint="eastAsia" w:ascii="宋体" w:hAnsi="宋体" w:eastAsia="宋体" w:cs="宋体"/>
          <w:kern w:val="2"/>
          <w:sz w:val="21"/>
          <w:szCs w:val="21"/>
          <w:lang w:val="en-US" w:eastAsia="zh-CN" w:bidi="ar"/>
        </w:rPr>
        <w:t>需配备相应的</w:t>
      </w:r>
      <w:r>
        <w:rPr>
          <w:rFonts w:hint="eastAsia" w:ascii="宋体" w:hAnsi="宋体" w:cs="宋体"/>
          <w:kern w:val="2"/>
          <w:sz w:val="21"/>
          <w:szCs w:val="21"/>
          <w:lang w:val="en-US" w:eastAsia="zh-CN" w:bidi="ar"/>
        </w:rPr>
        <w:t>温控系统</w:t>
      </w:r>
      <w:r>
        <w:rPr>
          <w:rFonts w:hint="eastAsia" w:ascii="宋体" w:hAnsi="宋体" w:eastAsia="宋体" w:cs="宋体"/>
          <w:kern w:val="2"/>
          <w:sz w:val="21"/>
          <w:szCs w:val="21"/>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2.3所提供的组件应采用标准化的件组件，可靠的国内或国外品牌产品，以适合用户使用时更换的需要。</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kern w:val="2"/>
          <w:sz w:val="21"/>
          <w:szCs w:val="22"/>
          <w:highlight w:val="none"/>
          <w:lang w:val="en-US" w:eastAsia="zh-CN" w:bidi="ar-SA"/>
        </w:rPr>
        <w:t>3、设备本体及其附属材料技术要求：</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kern w:val="2"/>
          <w:sz w:val="21"/>
          <w:szCs w:val="22"/>
          <w:highlight w:val="none"/>
          <w:lang w:val="en-US" w:eastAsia="zh-CN" w:bidi="ar-SA"/>
        </w:rPr>
        <w:t>3.1、冷却塔壳体：冷却塔所用材料厚度应为≥6mm阻燃型原生料，并应符合防火要求，阻燃玻璃钢件（不含胶衣层）的氧指数不低于31。要求塔体型线合理，气流平衡，材质优良，色泽均匀，</w:t>
      </w:r>
      <w:r>
        <w:rPr>
          <w:rFonts w:hint="eastAsia" w:ascii="Times New Roman" w:hAnsi="Times New Roman" w:eastAsia="宋体" w:cs="Times New Roman"/>
          <w:b/>
          <w:bCs/>
          <w:kern w:val="2"/>
          <w:sz w:val="21"/>
          <w:szCs w:val="22"/>
          <w:highlight w:val="none"/>
          <w:lang w:val="en-US" w:eastAsia="zh-CN" w:bidi="ar-SA"/>
        </w:rPr>
        <w:t>外观色标</w:t>
      </w:r>
      <w:r>
        <w:rPr>
          <w:rFonts w:hint="eastAsia" w:cs="Times New Roman"/>
          <w:b/>
          <w:bCs/>
          <w:kern w:val="2"/>
          <w:sz w:val="21"/>
          <w:szCs w:val="22"/>
          <w:highlight w:val="none"/>
          <w:lang w:val="en-US" w:eastAsia="zh-CN" w:bidi="ar-SA"/>
        </w:rPr>
        <w:t>需符合Q-ZZ 30070 设备设施颜色标识</w:t>
      </w:r>
      <w:r>
        <w:rPr>
          <w:rFonts w:hint="eastAsia" w:ascii="Times New Roman" w:hAnsi="Times New Roman" w:eastAsia="宋体" w:cs="Times New Roman"/>
          <w:color w:val="auto"/>
          <w:kern w:val="2"/>
          <w:sz w:val="21"/>
          <w:szCs w:val="22"/>
          <w:highlight w:val="none"/>
          <w:lang w:val="en-US" w:eastAsia="zh-CN" w:bidi="ar-SA"/>
        </w:rPr>
        <w:t>；表</w:t>
      </w:r>
      <w:r>
        <w:rPr>
          <w:rFonts w:hint="eastAsia" w:ascii="Times New Roman" w:hAnsi="Times New Roman" w:eastAsia="宋体" w:cs="Times New Roman"/>
          <w:kern w:val="2"/>
          <w:sz w:val="21"/>
          <w:szCs w:val="22"/>
          <w:highlight w:val="none"/>
          <w:lang w:val="en-US" w:eastAsia="zh-CN" w:bidi="ar-SA"/>
        </w:rPr>
        <w:t>面胶衣树脂加抗紫外线剂，耐老化，耐腐蚀。</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kern w:val="2"/>
          <w:sz w:val="21"/>
          <w:szCs w:val="22"/>
          <w:highlight w:val="none"/>
          <w:lang w:val="en-US" w:eastAsia="zh-CN" w:bidi="ar-SA"/>
        </w:rPr>
        <w:t>维护结构和风筒外观外表面应含有光稳定剂的光滑胶衣树脂层，内外表面不应有直径大于5mm的气泡，直径3mm~5mm的可见气泡每平方米不得多于3个；内表面应有富树脂层；所有切边应整齐平顺，厚度均匀，无分层。树脂采用不饱和树脂，纤维布采用无碱无捻脱腊熟丝布。玻璃钢件树脂含量（质量含量）不小于45%（不计胶衣层和富树脂层），对富树脂层树脂含量不小于70%。</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kern w:val="2"/>
          <w:sz w:val="21"/>
          <w:szCs w:val="22"/>
          <w:highlight w:val="none"/>
          <w:lang w:val="en-US" w:eastAsia="zh-CN" w:bidi="ar-SA"/>
        </w:rPr>
        <w:t>3.2配水系统：布水装置采用固定式布水器，水头低，布水均匀，布水装置应根据设计实际水量进行校核和改造。要求布水管道之间连接安全、稳妥可靠，热水由管道引到配水高程，通过布水管洒向填料，对水力负荷有较大的适应性，喷淋均匀、无盲区，能满足配水系统长期安全运行的需要。</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kern w:val="2"/>
          <w:sz w:val="21"/>
          <w:szCs w:val="22"/>
          <w:highlight w:val="yellow"/>
          <w:lang w:val="en-US" w:eastAsia="zh-CN" w:bidi="ar-SA"/>
        </w:rPr>
      </w:pPr>
      <w:r>
        <w:rPr>
          <w:rFonts w:hint="eastAsia" w:ascii="Times New Roman" w:hAnsi="Times New Roman" w:eastAsia="宋体" w:cs="Times New Roman"/>
          <w:kern w:val="2"/>
          <w:sz w:val="21"/>
          <w:szCs w:val="22"/>
          <w:highlight w:val="none"/>
          <w:lang w:val="en-US" w:eastAsia="zh-CN" w:bidi="ar-SA"/>
        </w:rPr>
        <w:t>3.3金属构件：冷却塔塔体结构支架均采用优质 Q235 钢材</w:t>
      </w:r>
      <w:r>
        <w:rPr>
          <w:rFonts w:hint="eastAsia" w:cs="Times New Roman"/>
          <w:kern w:val="2"/>
          <w:sz w:val="21"/>
          <w:szCs w:val="22"/>
          <w:highlight w:val="none"/>
          <w:lang w:val="en-US" w:eastAsia="zh-CN" w:bidi="ar-SA"/>
        </w:rPr>
        <w:t>/热镀锌材质</w:t>
      </w:r>
      <w:r>
        <w:rPr>
          <w:rFonts w:hint="eastAsia" w:ascii="Times New Roman" w:hAnsi="Times New Roman" w:eastAsia="宋体" w:cs="Times New Roman"/>
          <w:kern w:val="2"/>
          <w:sz w:val="21"/>
          <w:szCs w:val="22"/>
          <w:highlight w:val="none"/>
          <w:lang w:val="en-US" w:eastAsia="zh-CN" w:bidi="ar-SA"/>
        </w:rPr>
        <w:t>，采用螺栓连接而成。所有构件均进行热镀锌防腐处理。</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kern w:val="2"/>
          <w:sz w:val="21"/>
          <w:szCs w:val="22"/>
          <w:highlight w:val="none"/>
          <w:lang w:val="en-US" w:eastAsia="zh-CN" w:bidi="ar-SA"/>
        </w:rPr>
        <w:t>3.4电机、减速机：冷却塔的电机采用节能户外防水型电机，绝缘等级F级，防护等级不低于IP55，电源：380V，50Hz。具有体积小、重量轻、外型美观、实用、起动性能好、运行可靠、噪声低、振动小、经久耐用等优点，有较高效率水平，达到了节能效果。在一般户外环境的潮气、雨、雪、风沙日晒等均有良好的防护作用。</w:t>
      </w:r>
      <w:r>
        <w:rPr>
          <w:rFonts w:hint="eastAsia" w:ascii="Times New Roman" w:hAnsi="Times New Roman" w:eastAsia="宋体" w:cs="Times New Roman"/>
          <w:kern w:val="2"/>
          <w:sz w:val="21"/>
          <w:szCs w:val="22"/>
          <w:highlight w:val="yellow"/>
          <w:lang w:val="en-US" w:eastAsia="zh-CN" w:bidi="ar-SA"/>
        </w:rPr>
        <w:br w:type="textWrapping"/>
      </w:r>
      <w:r>
        <w:rPr>
          <w:rFonts w:hint="eastAsia" w:ascii="Times New Roman" w:hAnsi="Times New Roman" w:eastAsia="宋体" w:cs="Times New Roman"/>
          <w:kern w:val="2"/>
          <w:sz w:val="21"/>
          <w:szCs w:val="22"/>
          <w:highlight w:val="none"/>
          <w:lang w:val="en-US" w:eastAsia="zh-CN" w:bidi="ar-SA"/>
        </w:rPr>
        <w:t>3.5风机：冷却塔的风机要求动平衡良好。风量满足冷却塔的冷却要求，经动静平衡测试，运转平稳，振动小；并且具有风量大、全压高、效率高、传动平稳、寿命长、体积小、重量轻、维护检修方便、噪声低、 耐腐蚀、密封可靠等</w:t>
      </w:r>
      <w:r>
        <w:rPr>
          <w:rFonts w:hint="eastAsia" w:ascii="Times New Roman" w:hAnsi="Times New Roman" w:eastAsia="宋体" w:cs="Times New Roman"/>
          <w:color w:val="auto"/>
          <w:kern w:val="2"/>
          <w:sz w:val="21"/>
          <w:szCs w:val="22"/>
          <w:highlight w:val="none"/>
          <w:lang w:val="en-US" w:eastAsia="zh-CN" w:bidi="ar-SA"/>
        </w:rPr>
        <w:t>优点。</w:t>
      </w:r>
      <w:r>
        <w:rPr>
          <w:rFonts w:hint="eastAsia" w:cs="Times New Roman"/>
          <w:color w:val="auto"/>
          <w:kern w:val="2"/>
          <w:sz w:val="21"/>
          <w:szCs w:val="22"/>
          <w:highlight w:val="none"/>
          <w:lang w:val="en-US" w:eastAsia="zh-CN" w:bidi="ar-SA"/>
        </w:rPr>
        <w:t>叶片与电机减速机直连连接（不要皮带连接）</w:t>
      </w:r>
      <w:r>
        <w:rPr>
          <w:rFonts w:hint="eastAsia" w:ascii="Times New Roman" w:hAnsi="Times New Roman" w:eastAsia="宋体" w:cs="Times New Roman"/>
          <w:color w:val="auto"/>
          <w:kern w:val="2"/>
          <w:sz w:val="21"/>
          <w:szCs w:val="22"/>
          <w:highlight w:val="none"/>
          <w:lang w:val="en-US" w:eastAsia="zh-CN" w:bidi="ar-SA"/>
        </w:rPr>
        <w:t>。</w:t>
      </w:r>
      <w:r>
        <w:rPr>
          <w:rFonts w:hint="eastAsia" w:ascii="Times New Roman" w:hAnsi="Times New Roman" w:eastAsia="宋体" w:cs="Times New Roman"/>
          <w:kern w:val="2"/>
          <w:sz w:val="21"/>
          <w:szCs w:val="22"/>
          <w:highlight w:val="none"/>
          <w:lang w:val="en-US" w:eastAsia="zh-CN" w:bidi="ar-SA"/>
        </w:rPr>
        <w:br w:type="textWrapping"/>
      </w:r>
      <w:r>
        <w:rPr>
          <w:rFonts w:hint="eastAsia" w:ascii="Times New Roman" w:hAnsi="Times New Roman" w:eastAsia="宋体" w:cs="Times New Roman"/>
          <w:kern w:val="2"/>
          <w:sz w:val="21"/>
          <w:szCs w:val="22"/>
          <w:highlight w:val="none"/>
          <w:lang w:val="en-US" w:eastAsia="zh-CN" w:bidi="ar-SA"/>
        </w:rPr>
        <w:t>3.6填料：填料具有抗老化、抗紫外线等。其材料亲水性能好，形成水膜面积大，能扩大进水与空气的接触面积，减缓水流速度，延长热湿交换时间，并且降低了落水声，提高了冷却效果。要求填料具备以下特点：</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kern w:val="2"/>
          <w:sz w:val="21"/>
          <w:szCs w:val="22"/>
          <w:highlight w:val="none"/>
          <w:lang w:val="en-US" w:eastAsia="zh-CN" w:bidi="ar-SA"/>
        </w:rPr>
        <w:t xml:space="preserve">A、对水的再分配能力强，使水膜均匀分布在淋水填料的全部表面。 </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kern w:val="2"/>
          <w:sz w:val="21"/>
          <w:szCs w:val="22"/>
          <w:highlight w:val="none"/>
          <w:lang w:val="en-US" w:eastAsia="zh-CN" w:bidi="ar-SA"/>
        </w:rPr>
        <w:t xml:space="preserve">B、淋水填料的整体结构、刚度、强度，支撑处及加荷载面无明显变形，卸载后无明显残余变形，长期使用不变形、不倒伏、不塌落。 </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kern w:val="2"/>
          <w:sz w:val="21"/>
          <w:szCs w:val="22"/>
          <w:highlight w:val="none"/>
          <w:lang w:val="en-US" w:eastAsia="zh-CN" w:bidi="ar-SA"/>
        </w:rPr>
        <w:t xml:space="preserve">C、原材料耐温性能好，低温-35℃，高温 100℃。 </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kern w:val="2"/>
          <w:sz w:val="21"/>
          <w:szCs w:val="22"/>
          <w:highlight w:val="none"/>
          <w:lang w:val="en-US" w:eastAsia="zh-CN" w:bidi="ar-SA"/>
        </w:rPr>
        <w:t xml:space="preserve">D、填料通风阻力小。 </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kern w:val="2"/>
          <w:sz w:val="21"/>
          <w:szCs w:val="22"/>
          <w:highlight w:val="none"/>
          <w:lang w:val="en-US" w:eastAsia="zh-CN" w:bidi="ar-SA"/>
        </w:rPr>
        <w:t>E、重量轻、耐老化、寿命长等优点。</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kern w:val="2"/>
          <w:sz w:val="21"/>
          <w:szCs w:val="22"/>
          <w:highlight w:val="none"/>
          <w:lang w:val="en-US" w:eastAsia="zh-CN" w:bidi="ar-SA"/>
        </w:rPr>
        <w:t>F、非再生材料</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kern w:val="2"/>
          <w:sz w:val="21"/>
          <w:szCs w:val="22"/>
          <w:highlight w:val="none"/>
          <w:lang w:val="en-US" w:eastAsia="zh-CN" w:bidi="ar-SA"/>
        </w:rPr>
        <w:t>3.7</w:t>
      </w:r>
      <w:r>
        <w:rPr>
          <w:rFonts w:hint="eastAsia" w:cs="Times New Roman"/>
          <w:kern w:val="2"/>
          <w:sz w:val="21"/>
          <w:szCs w:val="22"/>
          <w:highlight w:val="none"/>
          <w:lang w:val="en-US" w:eastAsia="zh-CN" w:bidi="ar-SA"/>
        </w:rPr>
        <w:t>如供货冷却塔不带检修平台，可利用</w:t>
      </w:r>
      <w:r>
        <w:rPr>
          <w:rFonts w:hint="eastAsia" w:ascii="Times New Roman" w:hAnsi="Times New Roman" w:eastAsia="宋体" w:cs="Times New Roman"/>
          <w:kern w:val="2"/>
          <w:sz w:val="21"/>
          <w:szCs w:val="22"/>
          <w:highlight w:val="none"/>
          <w:lang w:val="en-US" w:eastAsia="zh-CN" w:bidi="ar-SA"/>
        </w:rPr>
        <w:t>现场检修平台</w:t>
      </w:r>
      <w:r>
        <w:rPr>
          <w:rFonts w:hint="eastAsia" w:cs="Times New Roman"/>
          <w:kern w:val="2"/>
          <w:sz w:val="21"/>
          <w:szCs w:val="22"/>
          <w:highlight w:val="none"/>
          <w:lang w:val="en-US" w:eastAsia="zh-CN" w:bidi="ar-SA"/>
        </w:rPr>
        <w:t>，因平台存在锈蚀</w:t>
      </w:r>
      <w:r>
        <w:rPr>
          <w:rFonts w:hint="eastAsia" w:ascii="Times New Roman" w:hAnsi="Times New Roman" w:eastAsia="宋体" w:cs="Times New Roman"/>
          <w:kern w:val="2"/>
          <w:sz w:val="21"/>
          <w:szCs w:val="22"/>
          <w:highlight w:val="none"/>
          <w:lang w:val="en-US" w:eastAsia="zh-CN" w:bidi="ar-SA"/>
        </w:rPr>
        <w:t>需</w:t>
      </w:r>
      <w:r>
        <w:rPr>
          <w:rFonts w:hint="eastAsia" w:cs="Times New Roman"/>
          <w:kern w:val="2"/>
          <w:sz w:val="21"/>
          <w:szCs w:val="22"/>
          <w:highlight w:val="none"/>
          <w:lang w:val="en-US" w:eastAsia="zh-CN" w:bidi="ar-SA"/>
        </w:rPr>
        <w:t>负责</w:t>
      </w:r>
      <w:r>
        <w:rPr>
          <w:rFonts w:hint="eastAsia" w:ascii="Times New Roman" w:hAnsi="Times New Roman" w:eastAsia="宋体" w:cs="Times New Roman"/>
          <w:kern w:val="2"/>
          <w:sz w:val="21"/>
          <w:szCs w:val="22"/>
          <w:highlight w:val="none"/>
          <w:lang w:val="en-US" w:eastAsia="zh-CN" w:bidi="ar-SA"/>
        </w:rPr>
        <w:t>加固</w:t>
      </w:r>
      <w:r>
        <w:rPr>
          <w:rFonts w:hint="eastAsia" w:cs="Times New Roman"/>
          <w:kern w:val="2"/>
          <w:sz w:val="21"/>
          <w:szCs w:val="22"/>
          <w:highlight w:val="none"/>
          <w:lang w:val="en-US" w:eastAsia="zh-CN" w:bidi="ar-SA"/>
        </w:rPr>
        <w:t>；</w:t>
      </w:r>
      <w:r>
        <w:rPr>
          <w:rFonts w:hint="eastAsia" w:ascii="Times New Roman" w:hAnsi="Times New Roman" w:eastAsia="宋体" w:cs="Times New Roman"/>
          <w:kern w:val="2"/>
          <w:sz w:val="21"/>
          <w:szCs w:val="22"/>
          <w:highlight w:val="none"/>
          <w:lang w:val="en-US" w:eastAsia="zh-CN" w:bidi="ar-SA"/>
        </w:rPr>
        <w:t>如冷却塔</w:t>
      </w:r>
      <w:r>
        <w:rPr>
          <w:rFonts w:hint="eastAsia" w:cs="Times New Roman"/>
          <w:kern w:val="2"/>
          <w:sz w:val="21"/>
          <w:szCs w:val="22"/>
          <w:highlight w:val="none"/>
          <w:lang w:val="en-US" w:eastAsia="zh-CN" w:bidi="ar-SA"/>
        </w:rPr>
        <w:t>本体</w:t>
      </w:r>
      <w:r>
        <w:rPr>
          <w:rFonts w:hint="eastAsia" w:ascii="Times New Roman" w:hAnsi="Times New Roman" w:eastAsia="宋体" w:cs="Times New Roman"/>
          <w:kern w:val="2"/>
          <w:sz w:val="21"/>
          <w:szCs w:val="22"/>
          <w:highlight w:val="none"/>
          <w:lang w:val="en-US" w:eastAsia="zh-CN" w:bidi="ar-SA"/>
        </w:rPr>
        <w:t>自带检修平台应采用防滑花纹钢板，材质热浸镀锌钢，紧固件采用镀锌螺栓，平台及其爬梯采用热镀锌材质，均应符合国家现行有关安全标准规定。</w:t>
      </w:r>
    </w:p>
    <w:p>
      <w:pPr>
        <w:keepNext w:val="0"/>
        <w:keepLines w:val="0"/>
        <w:widowControl w:val="0"/>
        <w:suppressLineNumbers w:val="0"/>
        <w:autoSpaceDE w:val="0"/>
        <w:autoSpaceDN/>
        <w:spacing w:before="0" w:beforeAutospacing="0" w:after="0" w:afterAutospacing="0" w:line="440" w:lineRule="exact"/>
        <w:ind w:left="0" w:right="0"/>
        <w:jc w:val="both"/>
        <w:rPr>
          <w:rFonts w:hint="eastAsia" w:ascii="宋体" w:hAnsi="宋体" w:eastAsia="宋体" w:cs="宋体"/>
          <w:kern w:val="2"/>
          <w:sz w:val="21"/>
          <w:szCs w:val="21"/>
          <w:lang w:val="en-US" w:eastAsia="zh-CN" w:bidi="ar"/>
        </w:rPr>
      </w:pPr>
      <w:r>
        <w:rPr>
          <w:rFonts w:hint="default" w:ascii="Times New Roman" w:hAnsi="Times New Roman" w:eastAsia="宋体" w:cs="Times New Roman"/>
          <w:kern w:val="2"/>
          <w:sz w:val="21"/>
          <w:szCs w:val="21"/>
          <w:lang w:val="en-US" w:eastAsia="zh-CN" w:bidi="ar"/>
        </w:rPr>
        <w:t>3.8</w:t>
      </w:r>
      <w:r>
        <w:rPr>
          <w:rFonts w:hint="eastAsia" w:ascii="宋体" w:hAnsi="宋体" w:eastAsia="宋体" w:cs="宋体"/>
          <w:kern w:val="2"/>
          <w:sz w:val="21"/>
          <w:szCs w:val="21"/>
          <w:lang w:val="en-US" w:eastAsia="zh-CN" w:bidi="ar"/>
        </w:rPr>
        <w:t>该项目实施中，需对冷却塔增加温控调频功能。</w:t>
      </w:r>
      <w:r>
        <w:rPr>
          <w:rFonts w:hint="eastAsia" w:ascii="宋体" w:hAnsi="宋体" w:eastAsia="宋体" w:cs="宋体"/>
          <w:kern w:val="2"/>
          <w:sz w:val="21"/>
          <w:szCs w:val="21"/>
          <w:lang w:val="en-US" w:eastAsia="zh-CN" w:bidi="ar"/>
        </w:rPr>
        <w:br w:type="textWrapping"/>
      </w:r>
      <w:r>
        <w:rPr>
          <w:rFonts w:hint="eastAsia" w:ascii="宋体" w:hAnsi="宋体" w:eastAsia="宋体" w:cs="宋体"/>
          <w:kern w:val="2"/>
          <w:sz w:val="21"/>
          <w:szCs w:val="21"/>
          <w:lang w:val="en-US" w:eastAsia="zh-CN" w:bidi="ar"/>
        </w:rPr>
        <w:t>冷却塔电机采用</w:t>
      </w:r>
      <w:r>
        <w:rPr>
          <w:rFonts w:hint="eastAsia" w:ascii="宋体" w:hAnsi="宋体" w:eastAsia="宋体" w:cs="宋体"/>
          <w:kern w:val="2"/>
          <w:sz w:val="21"/>
          <w:szCs w:val="21"/>
          <w:highlight w:val="none"/>
          <w:lang w:val="en-US" w:eastAsia="zh-CN" w:bidi="ar"/>
        </w:rPr>
        <w:t>变频电机，</w:t>
      </w:r>
      <w:r>
        <w:rPr>
          <w:rFonts w:hint="eastAsia" w:ascii="宋体" w:hAnsi="宋体" w:eastAsia="宋体" w:cs="宋体"/>
          <w:kern w:val="2"/>
          <w:sz w:val="21"/>
          <w:szCs w:val="21"/>
          <w:lang w:val="en-US" w:eastAsia="zh-CN" w:bidi="ar"/>
        </w:rPr>
        <w:t>需配备相应的变频</w:t>
      </w:r>
      <w:r>
        <w:rPr>
          <w:rFonts w:hint="eastAsia" w:ascii="宋体" w:hAnsi="宋体" w:cs="宋体"/>
          <w:kern w:val="2"/>
          <w:sz w:val="21"/>
          <w:szCs w:val="21"/>
          <w:lang w:val="en-US" w:eastAsia="zh-CN" w:bidi="ar"/>
        </w:rPr>
        <w:t>温</w:t>
      </w:r>
      <w:r>
        <w:rPr>
          <w:rFonts w:hint="eastAsia" w:ascii="宋体" w:hAnsi="宋体" w:eastAsia="宋体" w:cs="宋体"/>
          <w:kern w:val="2"/>
          <w:sz w:val="21"/>
          <w:szCs w:val="21"/>
          <w:lang w:val="en-US" w:eastAsia="zh-CN" w:bidi="ar"/>
        </w:rPr>
        <w:t>控</w:t>
      </w:r>
      <w:r>
        <w:rPr>
          <w:rFonts w:hint="eastAsia" w:ascii="宋体" w:hAnsi="宋体" w:cs="宋体"/>
          <w:kern w:val="2"/>
          <w:sz w:val="21"/>
          <w:szCs w:val="21"/>
          <w:lang w:val="en-US" w:eastAsia="zh-CN" w:bidi="ar"/>
        </w:rPr>
        <w:t>系统</w:t>
      </w:r>
      <w:r>
        <w:rPr>
          <w:rFonts w:hint="eastAsia" w:ascii="宋体" w:hAnsi="宋体" w:eastAsia="宋体" w:cs="宋体"/>
          <w:kern w:val="2"/>
          <w:sz w:val="21"/>
          <w:szCs w:val="21"/>
          <w:lang w:val="en-US" w:eastAsia="zh-CN" w:bidi="ar"/>
        </w:rPr>
        <w:t>。通过实时监测冷却塔出水管的温度，系统可自动调节风机电机的转速，在确保冷却效果的同时，最大限度地节约电能。</w:t>
      </w:r>
    </w:p>
    <w:p>
      <w:pPr>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420" w:leftChars="200" w:firstLine="0" w:firstLineChars="0"/>
        <w:textAlignment w:val="auto"/>
        <w:rPr>
          <w:rFonts w:hint="eastAsia"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kern w:val="2"/>
          <w:sz w:val="21"/>
          <w:szCs w:val="22"/>
          <w:highlight w:val="none"/>
          <w:lang w:val="en-US" w:eastAsia="zh-CN" w:bidi="ar-SA"/>
        </w:rPr>
        <w:t>通用要求：</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kern w:val="2"/>
          <w:sz w:val="21"/>
          <w:szCs w:val="22"/>
          <w:highlight w:val="none"/>
          <w:lang w:val="en-US" w:eastAsia="zh-CN" w:bidi="ar-SA"/>
        </w:rPr>
        <w:t>4.1</w:t>
      </w:r>
      <w:r>
        <w:rPr>
          <w:rFonts w:hint="eastAsia" w:cs="Times New Roman"/>
          <w:kern w:val="2"/>
          <w:sz w:val="21"/>
          <w:szCs w:val="22"/>
          <w:highlight w:val="none"/>
          <w:lang w:val="en-US" w:eastAsia="zh-CN" w:bidi="ar-SA"/>
        </w:rPr>
        <w:t>供应商</w:t>
      </w:r>
      <w:r>
        <w:rPr>
          <w:rFonts w:hint="eastAsia" w:ascii="Times New Roman" w:hAnsi="Times New Roman" w:eastAsia="宋体" w:cs="Times New Roman"/>
          <w:kern w:val="2"/>
          <w:sz w:val="21"/>
          <w:szCs w:val="22"/>
          <w:highlight w:val="none"/>
          <w:lang w:val="en-US" w:eastAsia="zh-CN" w:bidi="ar-SA"/>
        </w:rPr>
        <w:t>应提供每台冷却塔的热力性能等技术指标。</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kern w:val="2"/>
          <w:sz w:val="21"/>
          <w:szCs w:val="22"/>
          <w:highlight w:val="none"/>
          <w:lang w:val="en-US" w:eastAsia="zh-CN" w:bidi="ar-SA"/>
        </w:rPr>
        <w:t>4.2</w:t>
      </w:r>
      <w:r>
        <w:rPr>
          <w:rFonts w:hint="eastAsia" w:cs="Times New Roman"/>
          <w:kern w:val="2"/>
          <w:sz w:val="21"/>
          <w:szCs w:val="22"/>
          <w:highlight w:val="none"/>
          <w:lang w:val="en-US" w:eastAsia="zh-CN" w:bidi="ar-SA"/>
        </w:rPr>
        <w:t>供应商</w:t>
      </w:r>
      <w:r>
        <w:rPr>
          <w:rFonts w:hint="eastAsia" w:ascii="Times New Roman" w:hAnsi="Times New Roman" w:eastAsia="宋体" w:cs="Times New Roman"/>
          <w:kern w:val="2"/>
          <w:sz w:val="21"/>
          <w:szCs w:val="22"/>
          <w:highlight w:val="none"/>
          <w:lang w:val="en-US" w:eastAsia="zh-CN" w:bidi="ar-SA"/>
        </w:rPr>
        <w:t>应在所提供产品中，冷却塔整机及主要部件的品质、性能应保证产品质量。</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kern w:val="2"/>
          <w:sz w:val="21"/>
          <w:szCs w:val="22"/>
          <w:highlight w:val="none"/>
          <w:lang w:val="en-US" w:eastAsia="zh-CN" w:bidi="ar-SA"/>
        </w:rPr>
        <w:t>4.3每台冷却塔的随机文件应包含产品样本和用于指导安装、使用、维修的说明书及合格证、装箱清单。</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kern w:val="2"/>
          <w:sz w:val="21"/>
          <w:szCs w:val="22"/>
          <w:highlight w:val="none"/>
          <w:lang w:val="en-US" w:eastAsia="zh-CN" w:bidi="ar-SA"/>
        </w:rPr>
        <w:t>4.4</w:t>
      </w:r>
      <w:r>
        <w:rPr>
          <w:rFonts w:hint="eastAsia" w:cs="Times New Roman"/>
          <w:kern w:val="2"/>
          <w:sz w:val="21"/>
          <w:szCs w:val="22"/>
          <w:highlight w:val="none"/>
          <w:lang w:val="en-US" w:eastAsia="zh-CN" w:bidi="ar-SA"/>
        </w:rPr>
        <w:t>供应商</w:t>
      </w:r>
      <w:r>
        <w:rPr>
          <w:rFonts w:hint="eastAsia" w:ascii="Times New Roman" w:hAnsi="Times New Roman" w:eastAsia="宋体" w:cs="Times New Roman"/>
          <w:kern w:val="2"/>
          <w:sz w:val="21"/>
          <w:szCs w:val="22"/>
          <w:highlight w:val="none"/>
          <w:lang w:val="en-US" w:eastAsia="zh-CN" w:bidi="ar-SA"/>
        </w:rPr>
        <w:t>保证设备在质保期内正常运行，同时提供易损件、易耗品和备件清单。冷却塔质量保证期限为2年，使用寿命至少10年。</w:t>
      </w:r>
    </w:p>
    <w:p>
      <w:pPr>
        <w:spacing w:line="480" w:lineRule="exact"/>
        <w:rPr>
          <w:rFonts w:hint="eastAsia"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kern w:val="2"/>
          <w:sz w:val="21"/>
          <w:szCs w:val="22"/>
          <w:highlight w:val="none"/>
          <w:lang w:val="en-US" w:eastAsia="zh-CN" w:bidi="ar-SA"/>
        </w:rPr>
        <w:t>4.5冷却塔应是一个完整的设备，须配带必要的附配件(包括但不限于补水管浮球阀、风机的润滑油品等)，并对成套机组负全部责任。</w:t>
      </w:r>
    </w:p>
    <w:p>
      <w:pPr>
        <w:spacing w:line="480" w:lineRule="exact"/>
        <w:ind w:firstLine="105" w:firstLineChars="50"/>
        <w:rPr>
          <w:rFonts w:hint="eastAsia" w:ascii="宋体" w:hAnsi="宋体"/>
          <w:highlight w:val="none"/>
        </w:rPr>
      </w:pPr>
      <w:r>
        <w:rPr>
          <w:rFonts w:hint="eastAsia" w:ascii="宋体" w:hAnsi="宋体"/>
          <w:highlight w:val="none"/>
        </w:rPr>
        <w:t>（</w:t>
      </w:r>
      <w:r>
        <w:rPr>
          <w:rFonts w:hint="eastAsia" w:ascii="宋体" w:hAnsi="宋体"/>
          <w:highlight w:val="none"/>
          <w:lang w:val="en-US" w:eastAsia="zh-CN"/>
        </w:rPr>
        <w:t>三</w:t>
      </w:r>
      <w:r>
        <w:rPr>
          <w:rFonts w:hint="eastAsia" w:ascii="宋体" w:hAnsi="宋体"/>
          <w:highlight w:val="none"/>
        </w:rPr>
        <w:t>）、</w:t>
      </w:r>
      <w:r>
        <w:rPr>
          <w:rFonts w:hint="eastAsia" w:ascii="宋体" w:hAnsi="宋体"/>
          <w:highlight w:val="none"/>
          <w:lang w:val="en-US" w:eastAsia="zh-CN"/>
        </w:rPr>
        <w:t>施工</w:t>
      </w:r>
      <w:r>
        <w:rPr>
          <w:rFonts w:hint="eastAsia" w:ascii="宋体" w:hAnsi="宋体"/>
          <w:highlight w:val="none"/>
        </w:rPr>
        <w:t>要求：</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eastAsia="宋体" w:cs="Times New Roman"/>
          <w:kern w:val="2"/>
          <w:sz w:val="21"/>
          <w:szCs w:val="22"/>
          <w:highlight w:val="none"/>
          <w:lang w:val="en-US" w:eastAsia="zh-CN" w:bidi="ar-SA"/>
        </w:rPr>
      </w:pPr>
      <w:r>
        <w:rPr>
          <w:rFonts w:hint="eastAsia" w:eastAsia="宋体" w:cs="Times New Roman"/>
          <w:kern w:val="2"/>
          <w:sz w:val="21"/>
          <w:szCs w:val="22"/>
          <w:highlight w:val="none"/>
          <w:lang w:val="en-US" w:eastAsia="zh-CN" w:bidi="ar-SA"/>
        </w:rPr>
        <w:t>1、供应商在投标前，需对现场情况进行勘察，保证所供设备满足现场安装使用条件。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eastAsia="宋体" w:cs="Times New Roman"/>
          <w:kern w:val="2"/>
          <w:sz w:val="21"/>
          <w:szCs w:val="22"/>
          <w:highlight w:val="none"/>
          <w:lang w:val="en-US" w:eastAsia="zh-CN" w:bidi="ar-SA"/>
        </w:rPr>
      </w:pPr>
      <w:r>
        <w:rPr>
          <w:rFonts w:hint="eastAsia" w:eastAsia="宋体" w:cs="Times New Roman"/>
          <w:kern w:val="2"/>
          <w:sz w:val="21"/>
          <w:szCs w:val="22"/>
          <w:highlight w:val="none"/>
          <w:lang w:val="en-US" w:eastAsia="zh-CN" w:bidi="ar-SA"/>
        </w:rPr>
        <w:t>2、项目</w:t>
      </w:r>
      <w:r>
        <w:rPr>
          <w:rFonts w:hint="eastAsia" w:ascii="Times New Roman" w:hAnsi="Times New Roman" w:eastAsia="宋体" w:cs="Times New Roman"/>
          <w:kern w:val="2"/>
          <w:sz w:val="21"/>
          <w:szCs w:val="22"/>
          <w:highlight w:val="none"/>
          <w:lang w:val="en-US" w:eastAsia="zh-CN" w:bidi="ar-SA"/>
        </w:rPr>
        <w:t>承揽方负责在原设备位置，利用原设备基础安装及调试工作。进出水管的管径、位置</w:t>
      </w:r>
      <w:r>
        <w:rPr>
          <w:rFonts w:hint="eastAsia" w:eastAsia="宋体" w:cs="Times New Roman"/>
          <w:kern w:val="2"/>
          <w:sz w:val="21"/>
          <w:szCs w:val="22"/>
          <w:highlight w:val="none"/>
          <w:lang w:val="en-US" w:eastAsia="zh-CN" w:bidi="ar-SA"/>
        </w:rPr>
        <w:t>可</w:t>
      </w:r>
      <w:r>
        <w:rPr>
          <w:rFonts w:hint="eastAsia" w:ascii="Times New Roman" w:hAnsi="Times New Roman" w:eastAsia="宋体" w:cs="Times New Roman"/>
          <w:kern w:val="2"/>
          <w:sz w:val="21"/>
          <w:szCs w:val="22"/>
          <w:highlight w:val="none"/>
          <w:lang w:val="en-US" w:eastAsia="zh-CN" w:bidi="ar-SA"/>
        </w:rPr>
        <w:t>不变。</w:t>
      </w:r>
      <w:r>
        <w:rPr>
          <w:rFonts w:hint="eastAsia" w:eastAsia="宋体" w:cs="Times New Roman"/>
          <w:kern w:val="2"/>
          <w:sz w:val="21"/>
          <w:szCs w:val="22"/>
          <w:highlight w:val="none"/>
          <w:lang w:val="en-US" w:eastAsia="zh-CN" w:bidi="ar-SA"/>
        </w:rPr>
        <w:t>若所供货设备与现场基础不符，需对基础进行调整改造，保证管路对接良好，设备运行无误。施工费用应包含</w:t>
      </w:r>
      <w:r>
        <w:rPr>
          <w:rFonts w:hint="eastAsia" w:ascii="Times New Roman" w:hAnsi="Times New Roman" w:eastAsia="宋体" w:cs="Times New Roman"/>
          <w:kern w:val="2"/>
          <w:sz w:val="21"/>
          <w:szCs w:val="22"/>
          <w:highlight w:val="none"/>
          <w:lang w:val="en-US" w:eastAsia="zh-CN" w:bidi="ar-SA"/>
        </w:rPr>
        <w:t>设备基础土建调整工作以及维修平台的拆除和新建。</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Times New Roman" w:eastAsia="宋体" w:cs="Times New Roman"/>
          <w:kern w:val="2"/>
          <w:sz w:val="21"/>
          <w:szCs w:val="22"/>
          <w:highlight w:val="none"/>
          <w:lang w:val="en-US" w:eastAsia="zh-CN" w:bidi="ar-SA"/>
        </w:rPr>
      </w:pPr>
      <w:r>
        <w:rPr>
          <w:rFonts w:hint="eastAsia" w:eastAsia="宋体" w:cs="Times New Roman"/>
          <w:kern w:val="2"/>
          <w:sz w:val="21"/>
          <w:szCs w:val="22"/>
          <w:highlight w:val="none"/>
          <w:lang w:val="en-US" w:eastAsia="zh-CN" w:bidi="ar-SA"/>
        </w:rPr>
        <w:t>3、</w:t>
      </w:r>
      <w:r>
        <w:rPr>
          <w:rFonts w:hint="eastAsia" w:ascii="Times New Roman" w:hAnsi="Times New Roman" w:eastAsia="宋体" w:cs="Times New Roman"/>
          <w:kern w:val="2"/>
          <w:sz w:val="21"/>
          <w:szCs w:val="22"/>
          <w:highlight w:val="none"/>
          <w:lang w:val="en-US" w:eastAsia="zh-CN" w:bidi="ar-SA"/>
        </w:rPr>
        <w:t>现场设备安装时采用原拆原建，冷却塔安装基础应随新设备尺寸进行改造。项目实施时，要求逐台施工，不能影响正常生产（先拆除更新一台，新设备投运正常再拆除安装另一台）。</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Times New Roman" w:eastAsia="宋体" w:cs="Times New Roman"/>
          <w:kern w:val="2"/>
          <w:sz w:val="21"/>
          <w:szCs w:val="22"/>
          <w:highlight w:val="none"/>
          <w:lang w:val="en-US" w:eastAsia="zh-CN" w:bidi="ar-SA"/>
        </w:rPr>
      </w:pPr>
      <w:r>
        <w:rPr>
          <w:rFonts w:hint="eastAsia" w:eastAsia="宋体" w:cs="Times New Roman"/>
          <w:kern w:val="2"/>
          <w:sz w:val="21"/>
          <w:szCs w:val="22"/>
          <w:highlight w:val="none"/>
          <w:lang w:val="en-US" w:eastAsia="zh-CN" w:bidi="ar-SA"/>
        </w:rPr>
        <w:t>4、项目</w:t>
      </w:r>
      <w:r>
        <w:rPr>
          <w:rFonts w:hint="eastAsia" w:ascii="Times New Roman" w:hAnsi="Times New Roman" w:eastAsia="宋体" w:cs="Times New Roman"/>
          <w:kern w:val="2"/>
          <w:sz w:val="21"/>
          <w:szCs w:val="22"/>
          <w:highlight w:val="none"/>
          <w:lang w:val="en-US" w:eastAsia="zh-CN" w:bidi="ar-SA"/>
        </w:rPr>
        <w:t>承揽方负责拆除</w:t>
      </w:r>
      <w:r>
        <w:rPr>
          <w:rFonts w:hint="eastAsia" w:cs="Times New Roman"/>
          <w:kern w:val="2"/>
          <w:sz w:val="21"/>
          <w:szCs w:val="22"/>
          <w:highlight w:val="none"/>
          <w:lang w:val="en-US" w:eastAsia="zh-CN" w:bidi="ar-SA"/>
        </w:rPr>
        <w:t>卡车公司</w:t>
      </w:r>
      <w:r>
        <w:rPr>
          <w:rFonts w:hint="eastAsia" w:ascii="Times New Roman" w:hAnsi="Times New Roman" w:eastAsia="宋体" w:cs="Times New Roman"/>
          <w:kern w:val="2"/>
          <w:sz w:val="21"/>
          <w:szCs w:val="22"/>
          <w:highlight w:val="none"/>
          <w:lang w:val="en-US" w:eastAsia="zh-CN" w:bidi="ar-SA"/>
        </w:rPr>
        <w:t>党家庄厂区空压站一号循环水泵房侧边池体上方的两台NBLG-200型号的冷却塔并清理现场。拆除的电机、减速机</w:t>
      </w:r>
      <w:r>
        <w:rPr>
          <w:rFonts w:hint="eastAsia" w:eastAsia="宋体" w:cs="Times New Roman"/>
          <w:kern w:val="2"/>
          <w:sz w:val="21"/>
          <w:szCs w:val="22"/>
          <w:highlight w:val="none"/>
          <w:lang w:val="en-US" w:eastAsia="zh-CN" w:bidi="ar-SA"/>
        </w:rPr>
        <w:t>可作为废旧物资移交给项目使用单位（卡车公司）处置。</w:t>
      </w:r>
      <w:r>
        <w:rPr>
          <w:rFonts w:hint="eastAsia" w:eastAsia="宋体" w:cs="Times New Roman"/>
          <w:kern w:val="2"/>
          <w:sz w:val="21"/>
          <w:szCs w:val="22"/>
          <w:highlight w:val="none"/>
          <w:lang w:val="en-US" w:eastAsia="zh-CN" w:bidi="ar-SA"/>
        </w:rPr>
        <w:br w:type="textWrapping"/>
      </w:r>
      <w:r>
        <w:rPr>
          <w:rFonts w:hint="eastAsia" w:eastAsia="宋体" w:cs="Times New Roman"/>
          <w:kern w:val="2"/>
          <w:sz w:val="21"/>
          <w:szCs w:val="22"/>
          <w:highlight w:val="none"/>
          <w:lang w:val="en-US" w:eastAsia="zh-CN" w:bidi="ar-SA"/>
        </w:rPr>
        <w:t xml:space="preserve">    </w:t>
      </w:r>
      <w:r>
        <w:rPr>
          <w:rFonts w:hint="eastAsia" w:ascii="Times New Roman" w:hAnsi="Times New Roman" w:eastAsia="宋体" w:cs="Times New Roman"/>
          <w:kern w:val="2"/>
          <w:sz w:val="21"/>
          <w:szCs w:val="22"/>
          <w:highlight w:val="none"/>
          <w:lang w:val="en-US" w:eastAsia="zh-CN" w:bidi="ar-SA"/>
        </w:rPr>
        <w:t>5、</w:t>
      </w:r>
      <w:r>
        <w:rPr>
          <w:rFonts w:hint="eastAsia" w:eastAsia="宋体" w:cs="Times New Roman"/>
          <w:kern w:val="2"/>
          <w:sz w:val="21"/>
          <w:szCs w:val="22"/>
          <w:highlight w:val="none"/>
          <w:lang w:val="en-US" w:eastAsia="zh-CN" w:bidi="ar-SA"/>
        </w:rPr>
        <w:t>项目</w:t>
      </w:r>
      <w:r>
        <w:rPr>
          <w:rFonts w:hint="eastAsia" w:ascii="Times New Roman" w:hAnsi="Times New Roman" w:eastAsia="宋体" w:cs="Times New Roman"/>
          <w:kern w:val="2"/>
          <w:sz w:val="21"/>
          <w:szCs w:val="22"/>
          <w:highlight w:val="none"/>
          <w:lang w:val="en-US" w:eastAsia="zh-CN" w:bidi="ar-SA"/>
        </w:rPr>
        <w:t>承揽方负责新冷却塔安装调试运行工作。冷却塔安装前应将基础找平，确保冷却塔在一个水平面，安装时和基础连接牢固。承揽方需负责在原设备位置，完成新设备的安装以及调试工作。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kern w:val="2"/>
          <w:sz w:val="21"/>
          <w:szCs w:val="22"/>
          <w:highlight w:val="none"/>
          <w:lang w:val="en-US" w:eastAsia="zh-CN" w:bidi="ar-SA"/>
        </w:rPr>
        <w:t>6、项目内容实施完成后，承揽方需负责清理现场，并合规处置垃圾，及时清运出厂（除去电机、减速机）。</w:t>
      </w:r>
    </w:p>
    <w:p>
      <w:pPr>
        <w:keepNext w:val="0"/>
        <w:keepLines w:val="0"/>
        <w:pageBreakBefore w:val="0"/>
        <w:widowControl w:val="0"/>
        <w:kinsoku/>
        <w:wordWrap/>
        <w:overflowPunct/>
        <w:topLinePunct w:val="0"/>
        <w:autoSpaceDE/>
        <w:autoSpaceDN/>
        <w:bidi w:val="0"/>
        <w:adjustRightInd/>
        <w:snapToGrid/>
        <w:spacing w:line="440" w:lineRule="exact"/>
        <w:ind w:firstLine="422" w:firstLineChars="200"/>
        <w:textAlignment w:val="auto"/>
        <w:rPr>
          <w:rFonts w:hint="default" w:ascii="Times New Roman" w:hAnsi="Times New Roman" w:eastAsia="宋体" w:cs="Times New Roman"/>
          <w:b/>
          <w:bCs/>
          <w:kern w:val="2"/>
          <w:sz w:val="21"/>
          <w:szCs w:val="22"/>
          <w:highlight w:val="none"/>
          <w:lang w:val="en-US" w:eastAsia="zh-CN" w:bidi="ar-SA"/>
        </w:rPr>
      </w:pPr>
      <w:r>
        <w:rPr>
          <w:rFonts w:hint="default" w:ascii="Times New Roman" w:hAnsi="Times New Roman" w:eastAsia="宋体" w:cs="Times New Roman"/>
          <w:b/>
          <w:bCs/>
          <w:kern w:val="2"/>
          <w:sz w:val="21"/>
          <w:szCs w:val="22"/>
          <w:highlight w:val="none"/>
          <w:lang w:val="en-US" w:eastAsia="zh-CN" w:bidi="ar-SA"/>
        </w:rPr>
        <w:t>产生的危险废物处理途径</w:t>
      </w:r>
      <w:r>
        <w:rPr>
          <w:rFonts w:hint="eastAsia" w:cs="Times New Roman"/>
          <w:b/>
          <w:bCs/>
          <w:kern w:val="2"/>
          <w:sz w:val="21"/>
          <w:szCs w:val="22"/>
          <w:highlight w:val="none"/>
          <w:lang w:val="en-US" w:eastAsia="zh-CN" w:bidi="ar-SA"/>
        </w:rPr>
        <w:t>：项目施工期间，如产生危险废物，承揽方需委托</w:t>
      </w:r>
      <w:r>
        <w:rPr>
          <w:rFonts w:hint="default" w:ascii="Times New Roman" w:hAnsi="Times New Roman" w:eastAsia="宋体" w:cs="Times New Roman"/>
          <w:b/>
          <w:bCs/>
          <w:kern w:val="2"/>
          <w:sz w:val="21"/>
          <w:szCs w:val="22"/>
          <w:highlight w:val="none"/>
          <w:lang w:val="en-US" w:eastAsia="zh-CN" w:bidi="ar-SA"/>
        </w:rPr>
        <w:t>有资质的第三方</w:t>
      </w:r>
      <w:r>
        <w:rPr>
          <w:rFonts w:hint="eastAsia" w:cs="Times New Roman"/>
          <w:b/>
          <w:bCs/>
          <w:kern w:val="2"/>
          <w:sz w:val="21"/>
          <w:szCs w:val="22"/>
          <w:highlight w:val="none"/>
          <w:lang w:val="en-US" w:eastAsia="zh-CN" w:bidi="ar-SA"/>
        </w:rPr>
        <w:t>转运至危废处理厂进行焚烧。</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imes New Roman" w:hAnsi="Times New Roman" w:eastAsia="宋体" w:cs="Times New Roman"/>
          <w:kern w:val="2"/>
          <w:sz w:val="21"/>
          <w:szCs w:val="22"/>
          <w:highlight w:val="none"/>
          <w:lang w:val="en-US" w:eastAsia="zh-CN" w:bidi="ar-SA"/>
        </w:rPr>
      </w:pPr>
      <w:r>
        <w:rPr>
          <w:rFonts w:hint="eastAsia" w:cs="Times New Roman"/>
          <w:kern w:val="2"/>
          <w:sz w:val="21"/>
          <w:szCs w:val="22"/>
          <w:highlight w:val="none"/>
          <w:lang w:val="en-US" w:eastAsia="zh-CN" w:bidi="ar-SA"/>
        </w:rPr>
        <w:t>7</w:t>
      </w:r>
      <w:r>
        <w:rPr>
          <w:rFonts w:hint="eastAsia" w:ascii="Times New Roman" w:hAnsi="Times New Roman" w:eastAsia="宋体" w:cs="Times New Roman"/>
          <w:kern w:val="2"/>
          <w:sz w:val="21"/>
          <w:szCs w:val="22"/>
          <w:highlight w:val="none"/>
          <w:lang w:val="en-US" w:eastAsia="zh-CN" w:bidi="ar-SA"/>
        </w:rPr>
        <w:t>、按照公司制度在签订合同时与施工方签订相关方安全协议书等，明确双方职责。</w:t>
      </w:r>
    </w:p>
    <w:p>
      <w:pPr>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default" w:ascii="Times New Roman" w:hAnsi="Times New Roman" w:eastAsia="宋体" w:cs="Times New Roman"/>
          <w:kern w:val="2"/>
          <w:sz w:val="21"/>
          <w:szCs w:val="22"/>
          <w:highlight w:val="none"/>
          <w:lang w:val="en-US" w:eastAsia="zh-CN" w:bidi="ar-SA"/>
        </w:rPr>
      </w:pPr>
      <w:r>
        <w:rPr>
          <w:rFonts w:hint="eastAsia" w:cs="Times New Roman"/>
          <w:kern w:val="2"/>
          <w:sz w:val="21"/>
          <w:szCs w:val="22"/>
          <w:highlight w:val="none"/>
          <w:lang w:val="en-US" w:eastAsia="zh-CN" w:bidi="ar-SA"/>
        </w:rPr>
        <w:t>8、涉及危险作业的，制订施工方案，履行审批手续。涉及特种（设备）作业人员，持合规证件作业。</w:t>
      </w:r>
    </w:p>
    <w:p>
      <w:pPr>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ascii="Times New Roman" w:hAnsi="Times New Roman" w:eastAsia="宋体" w:cs="Times New Roman"/>
          <w:kern w:val="2"/>
          <w:sz w:val="21"/>
          <w:szCs w:val="22"/>
          <w:highlight w:val="none"/>
          <w:lang w:val="en-US" w:eastAsia="zh-CN" w:bidi="ar-SA"/>
        </w:rPr>
      </w:pPr>
      <w:r>
        <w:rPr>
          <w:rFonts w:hint="eastAsia" w:cs="Times New Roman"/>
          <w:kern w:val="2"/>
          <w:sz w:val="21"/>
          <w:szCs w:val="22"/>
          <w:highlight w:val="none"/>
          <w:lang w:val="en-US" w:eastAsia="zh-CN" w:bidi="ar-SA"/>
        </w:rPr>
        <w:t>9</w:t>
      </w:r>
      <w:r>
        <w:rPr>
          <w:rFonts w:hint="eastAsia" w:ascii="Times New Roman" w:hAnsi="Times New Roman" w:eastAsia="宋体" w:cs="Times New Roman"/>
          <w:kern w:val="2"/>
          <w:sz w:val="21"/>
          <w:szCs w:val="22"/>
          <w:highlight w:val="none"/>
          <w:lang w:val="en-US" w:eastAsia="zh-CN" w:bidi="ar-SA"/>
        </w:rPr>
        <w:t>、该项目为交钥匙方式。</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仿宋" w:hAnsi="仿宋" w:eastAsia="仿宋"/>
          <w:b/>
          <w:bCs/>
          <w:sz w:val="32"/>
          <w:szCs w:val="32"/>
        </w:rPr>
      </w:pPr>
      <w:r>
        <w:rPr>
          <w:rFonts w:hint="eastAsia" w:cs="Times New Roman"/>
          <w:kern w:val="2"/>
          <w:sz w:val="21"/>
          <w:szCs w:val="22"/>
          <w:highlight w:val="none"/>
          <w:lang w:val="en-US" w:eastAsia="zh-CN" w:bidi="ar-SA"/>
        </w:rPr>
        <w:t>10</w:t>
      </w:r>
      <w:r>
        <w:rPr>
          <w:rFonts w:hint="eastAsia" w:ascii="Times New Roman" w:hAnsi="Times New Roman" w:eastAsia="宋体" w:cs="Times New Roman"/>
          <w:kern w:val="2"/>
          <w:sz w:val="21"/>
          <w:szCs w:val="22"/>
          <w:highlight w:val="none"/>
          <w:lang w:val="en-US" w:eastAsia="zh-CN" w:bidi="ar-SA"/>
        </w:rPr>
        <w:t>、供应商接到标书后3日内查看设备安装现场，核实尺寸等工作，如因供应商核实不准或未到现场核实导致其中标价存在误差，招标方不负责。招标内容不变下，最终中标价不予调整。</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eastAsia="黑体"/>
          <w:b/>
          <w:bCs/>
          <w:sz w:val="28"/>
        </w:rPr>
      </w:pPr>
      <w:r>
        <w:rPr>
          <w:rFonts w:hint="eastAsia" w:ascii="黑体" w:eastAsia="黑体"/>
          <w:b/>
          <w:bCs/>
          <w:sz w:val="28"/>
        </w:rPr>
        <w:t>三、</w:t>
      </w:r>
      <w:bookmarkEnd w:id="15"/>
      <w:bookmarkEnd w:id="16"/>
      <w:bookmarkEnd w:id="17"/>
      <w:r>
        <w:rPr>
          <w:rFonts w:hint="eastAsia" w:ascii="黑体" w:eastAsia="黑体"/>
          <w:b/>
          <w:bCs/>
          <w:sz w:val="28"/>
        </w:rPr>
        <w:t>执行标准和规范（按现行最新版本执行，以下可做参考）</w:t>
      </w:r>
    </w:p>
    <w:p>
      <w:pPr>
        <w:spacing w:line="360" w:lineRule="auto"/>
        <w:ind w:firstLine="420" w:firstLineChars="200"/>
        <w:rPr>
          <w:rFonts w:hint="eastAsia" w:ascii="宋体" w:hAnsi="宋体" w:cs="宋体"/>
          <w:szCs w:val="21"/>
          <w:lang w:val="en-US" w:eastAsia="zh-CN"/>
        </w:rPr>
      </w:pPr>
      <w:bookmarkStart w:id="18" w:name="_Toc47031021"/>
      <w:bookmarkStart w:id="19" w:name="_Toc44077653"/>
      <w:bookmarkStart w:id="20" w:name="_Toc44077704"/>
      <w:r>
        <w:rPr>
          <w:rFonts w:hint="eastAsia" w:ascii="宋体" w:hAnsi="宋体" w:cs="宋体"/>
          <w:szCs w:val="21"/>
          <w:lang w:val="en-US" w:eastAsia="zh-CN"/>
        </w:rPr>
        <w:t xml:space="preserve">GB/T 7190.1-2018 </w:t>
      </w:r>
      <w:r>
        <w:rPr>
          <w:rFonts w:hint="eastAsia" w:ascii="宋体" w:hAnsi="宋体" w:cs="宋体"/>
          <w:szCs w:val="21"/>
        </w:rPr>
        <w:t>机械通风冷却塔 第1部分：中小型开式冷却塔</w:t>
      </w:r>
    </w:p>
    <w:p>
      <w:pPr>
        <w:spacing w:line="360" w:lineRule="auto"/>
        <w:ind w:firstLine="420" w:firstLineChars="200"/>
        <w:rPr>
          <w:rFonts w:hint="eastAsia" w:ascii="宋体" w:hAnsi="宋体" w:cs="宋体"/>
          <w:szCs w:val="21"/>
        </w:rPr>
      </w:pPr>
      <w:r>
        <w:rPr>
          <w:rFonts w:hint="eastAsia" w:ascii="宋体" w:hAnsi="宋体" w:cs="宋体"/>
          <w:szCs w:val="21"/>
          <w:lang w:val="en-US" w:eastAsia="zh-CN"/>
        </w:rPr>
        <w:t xml:space="preserve">GB/T 18870-2011 </w:t>
      </w:r>
      <w:r>
        <w:rPr>
          <w:rFonts w:hint="eastAsia" w:ascii="宋体" w:hAnsi="宋体" w:cs="宋体"/>
          <w:szCs w:val="21"/>
        </w:rPr>
        <w:t>节水型产品通用技术条件</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rPr>
        <w:fldChar w:fldCharType="begin"/>
      </w:r>
      <w:r>
        <w:rPr>
          <w:rFonts w:hint="eastAsia" w:ascii="宋体" w:hAnsi="宋体" w:cs="宋体"/>
          <w:szCs w:val="21"/>
        </w:rPr>
        <w:instrText xml:space="preserve"> HYPERLINK "javascript:void(0)" </w:instrText>
      </w:r>
      <w:r>
        <w:rPr>
          <w:rFonts w:hint="eastAsia" w:ascii="宋体" w:hAnsi="宋体" w:cs="宋体"/>
          <w:szCs w:val="21"/>
        </w:rPr>
        <w:fldChar w:fldCharType="separate"/>
      </w:r>
      <w:r>
        <w:rPr>
          <w:rFonts w:hint="default" w:ascii="宋体" w:hAnsi="宋体" w:cs="宋体"/>
          <w:szCs w:val="21"/>
        </w:rPr>
        <w:t>GB 18613-2020</w:t>
      </w:r>
      <w:r>
        <w:rPr>
          <w:rFonts w:hint="default" w:ascii="宋体" w:hAnsi="宋体" w:cs="宋体"/>
          <w:szCs w:val="21"/>
        </w:rPr>
        <w:fldChar w:fldCharType="end"/>
      </w:r>
      <w:r>
        <w:rPr>
          <w:rFonts w:hint="eastAsia" w:ascii="宋体" w:hAnsi="宋体" w:cs="宋体"/>
          <w:szCs w:val="21"/>
          <w:lang w:val="en-US" w:eastAsia="zh-CN"/>
        </w:rPr>
        <w:t xml:space="preserve"> </w:t>
      </w:r>
      <w:r>
        <w:rPr>
          <w:rFonts w:hint="eastAsia" w:ascii="宋体" w:hAnsi="宋体" w:cs="宋体"/>
          <w:szCs w:val="21"/>
        </w:rPr>
        <w:fldChar w:fldCharType="begin"/>
      </w:r>
      <w:r>
        <w:rPr>
          <w:rFonts w:hint="eastAsia" w:ascii="宋体" w:hAnsi="宋体" w:cs="宋体"/>
          <w:szCs w:val="21"/>
        </w:rPr>
        <w:instrText xml:space="preserve"> HYPERLINK "javascript:void(0)" </w:instrText>
      </w:r>
      <w:r>
        <w:rPr>
          <w:rFonts w:hint="eastAsia" w:ascii="宋体" w:hAnsi="宋体" w:cs="宋体"/>
          <w:szCs w:val="21"/>
        </w:rPr>
        <w:fldChar w:fldCharType="separate"/>
      </w:r>
      <w:r>
        <w:rPr>
          <w:rFonts w:hint="default" w:ascii="宋体" w:hAnsi="宋体" w:cs="宋体"/>
          <w:szCs w:val="21"/>
        </w:rPr>
        <w:t>电动机能效限定值及能效等级</w:t>
      </w:r>
      <w:r>
        <w:rPr>
          <w:rFonts w:hint="default" w:ascii="宋体" w:hAnsi="宋体" w:cs="宋体"/>
          <w:szCs w:val="21"/>
        </w:rPr>
        <w:fldChar w:fldCharType="end"/>
      </w:r>
    </w:p>
    <w:p>
      <w:pPr>
        <w:pStyle w:val="16"/>
        <w:spacing w:line="360" w:lineRule="auto"/>
        <w:outlineLvl w:val="1"/>
        <w:rPr>
          <w:rFonts w:hint="eastAsia" w:ascii="黑体" w:eastAsia="黑体"/>
          <w:b/>
          <w:bCs/>
          <w:sz w:val="28"/>
        </w:rPr>
      </w:pPr>
      <w:r>
        <w:rPr>
          <w:rFonts w:hint="eastAsia" w:ascii="黑体" w:eastAsia="黑体"/>
          <w:b/>
          <w:bCs/>
          <w:sz w:val="28"/>
          <w:lang w:val="en-US" w:eastAsia="zh-CN"/>
        </w:rPr>
        <w:t>四</w:t>
      </w:r>
      <w:r>
        <w:rPr>
          <w:rFonts w:hint="eastAsia" w:ascii="黑体" w:eastAsia="黑体"/>
          <w:b/>
          <w:bCs/>
          <w:sz w:val="28"/>
        </w:rPr>
        <w:t>、车辆要求</w:t>
      </w:r>
      <w:bookmarkEnd w:id="18"/>
      <w:bookmarkEnd w:id="19"/>
      <w:bookmarkEnd w:id="20"/>
    </w:p>
    <w:p>
      <w:pPr>
        <w:spacing w:line="360" w:lineRule="auto"/>
        <w:ind w:firstLine="420" w:firstLineChars="200"/>
        <w:rPr>
          <w:rFonts w:hint="eastAsia" w:ascii="宋体" w:hAnsi="宋体" w:cs="宋体"/>
          <w:szCs w:val="21"/>
        </w:rPr>
      </w:pPr>
      <w:bookmarkStart w:id="21" w:name="_Toc47031022"/>
      <w:bookmarkStart w:id="22" w:name="_Toc44077705"/>
      <w:bookmarkStart w:id="23" w:name="_Toc44077654"/>
      <w:r>
        <w:rPr>
          <w:rFonts w:ascii="宋体" w:hAnsi="宋体" w:cs="宋体"/>
          <w:szCs w:val="21"/>
        </w:rPr>
        <w:t>1</w:t>
      </w:r>
      <w:r>
        <w:rPr>
          <w:rFonts w:hint="eastAsia" w:ascii="宋体" w:hAnsi="宋体" w:cs="宋体"/>
          <w:szCs w:val="21"/>
          <w:lang w:eastAsia="zh-CN"/>
        </w:rPr>
        <w:t>、</w:t>
      </w:r>
      <w:r>
        <w:rPr>
          <w:rFonts w:hint="eastAsia" w:ascii="宋体" w:hAnsi="宋体" w:cs="宋体"/>
          <w:szCs w:val="21"/>
        </w:rPr>
        <w:t>所有的进厂运输车辆须满足中国重汽《关于对进入厂区物流车辆实施统一品牌管理的通知》相关要求。</w:t>
      </w:r>
    </w:p>
    <w:p>
      <w:pPr>
        <w:spacing w:line="360" w:lineRule="auto"/>
        <w:ind w:firstLine="420" w:firstLineChars="200"/>
        <w:rPr>
          <w:rFonts w:hint="eastAsia" w:ascii="宋体" w:hAnsi="宋体" w:cs="宋体"/>
          <w:szCs w:val="21"/>
        </w:rPr>
      </w:pPr>
      <w:r>
        <w:rPr>
          <w:rFonts w:hint="eastAsia" w:ascii="宋体" w:hAnsi="宋体" w:cs="宋体"/>
          <w:szCs w:val="21"/>
        </w:rPr>
        <w:t>2</w:t>
      </w:r>
      <w:r>
        <w:rPr>
          <w:rFonts w:hint="eastAsia" w:ascii="宋体" w:hAnsi="宋体" w:cs="宋体"/>
          <w:szCs w:val="21"/>
          <w:lang w:eastAsia="zh-CN"/>
        </w:rPr>
        <w:t>、</w:t>
      </w:r>
      <w:r>
        <w:rPr>
          <w:rFonts w:hint="eastAsia" w:ascii="宋体" w:hAnsi="宋体" w:cs="宋体"/>
          <w:szCs w:val="21"/>
        </w:rPr>
        <w:t>运输车辆：所有货车要求为重汽品牌，中重型运输货车排放标准为国Ⅴ及以上。</w:t>
      </w:r>
    </w:p>
    <w:p>
      <w:pPr>
        <w:spacing w:line="360" w:lineRule="auto"/>
        <w:ind w:firstLine="420" w:firstLineChars="200"/>
        <w:rPr>
          <w:rFonts w:hint="eastAsia" w:ascii="宋体" w:hAnsi="宋体" w:cs="宋体"/>
          <w:szCs w:val="21"/>
        </w:rPr>
      </w:pPr>
      <w:r>
        <w:rPr>
          <w:rFonts w:hint="eastAsia" w:ascii="宋体" w:hAnsi="宋体" w:cs="宋体"/>
          <w:kern w:val="0"/>
          <w:szCs w:val="21"/>
        </w:rPr>
        <w:t>3</w:t>
      </w:r>
      <w:r>
        <w:rPr>
          <w:rFonts w:hint="eastAsia" w:ascii="宋体" w:hAnsi="宋体" w:cs="宋体"/>
          <w:kern w:val="0"/>
          <w:szCs w:val="21"/>
          <w:lang w:eastAsia="zh-CN"/>
        </w:rPr>
        <w:t>、</w:t>
      </w:r>
      <w:r>
        <w:rPr>
          <w:rFonts w:hint="eastAsia" w:ascii="宋体" w:hAnsi="宋体" w:cs="宋体"/>
          <w:kern w:val="0"/>
          <w:szCs w:val="21"/>
        </w:rPr>
        <w:t>非道路移动机械（叉车及装载机等）：排放标准为国Ⅲ（具备环保编码备案）或新能源。</w:t>
      </w:r>
    </w:p>
    <w:p>
      <w:pPr>
        <w:pStyle w:val="16"/>
        <w:spacing w:line="360" w:lineRule="auto"/>
        <w:outlineLvl w:val="1"/>
        <w:rPr>
          <w:rFonts w:hint="eastAsia" w:ascii="黑体" w:eastAsia="黑体"/>
          <w:b/>
          <w:bCs/>
          <w:sz w:val="28"/>
          <w:lang w:val="en-US" w:eastAsia="zh-CN"/>
        </w:rPr>
      </w:pPr>
      <w:r>
        <w:rPr>
          <w:rFonts w:hint="eastAsia" w:ascii="黑体" w:eastAsia="黑体"/>
          <w:b/>
          <w:bCs/>
          <w:sz w:val="28"/>
          <w:lang w:val="en-US" w:eastAsia="zh-CN"/>
        </w:rPr>
        <w:t>五</w:t>
      </w:r>
      <w:r>
        <w:rPr>
          <w:rFonts w:hint="eastAsia" w:ascii="黑体" w:eastAsia="黑体"/>
          <w:b/>
          <w:bCs/>
          <w:sz w:val="28"/>
        </w:rPr>
        <w:t>、</w:t>
      </w:r>
      <w:bookmarkEnd w:id="21"/>
      <w:bookmarkEnd w:id="22"/>
      <w:bookmarkEnd w:id="23"/>
      <w:r>
        <w:rPr>
          <w:rFonts w:hint="eastAsia" w:ascii="黑体" w:eastAsia="黑体"/>
          <w:b/>
          <w:bCs/>
          <w:sz w:val="28"/>
          <w:lang w:val="en-US" w:eastAsia="zh-CN"/>
        </w:rPr>
        <w:t>供货范围及要求</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1"/>
          <w:szCs w:val="22"/>
          <w:highlight w:val="none"/>
          <w:lang w:val="en-US" w:eastAsia="zh-CN" w:bidi="ar-SA"/>
        </w:rPr>
      </w:pPr>
      <w:r>
        <w:rPr>
          <w:rFonts w:hint="eastAsia" w:ascii="Times New Roman" w:hAnsi="Times New Roman" w:eastAsia="宋体" w:cs="Times New Roman"/>
          <w:kern w:val="2"/>
          <w:sz w:val="21"/>
          <w:szCs w:val="22"/>
          <w:lang w:val="en-US" w:eastAsia="zh-CN" w:bidi="ar-SA"/>
        </w:rPr>
        <w:t>1、供货地点：</w:t>
      </w:r>
      <w:r>
        <w:rPr>
          <w:rFonts w:hint="eastAsia" w:ascii="Times New Roman" w:hAnsi="Times New Roman" w:eastAsia="宋体" w:cs="Times New Roman"/>
          <w:kern w:val="2"/>
          <w:sz w:val="21"/>
          <w:szCs w:val="22"/>
          <w:u w:val="single"/>
          <w:lang w:val="en-US" w:eastAsia="zh-CN" w:bidi="ar-SA"/>
        </w:rPr>
        <w:t xml:space="preserve"> 山东省济南市市中</w:t>
      </w:r>
      <w:r>
        <w:rPr>
          <w:rFonts w:hint="eastAsia" w:ascii="Times New Roman" w:hAnsi="Times New Roman" w:eastAsia="宋体" w:cs="Times New Roman"/>
          <w:kern w:val="2"/>
          <w:sz w:val="21"/>
          <w:szCs w:val="22"/>
          <w:highlight w:val="none"/>
          <w:u w:val="single"/>
          <w:lang w:val="en-US" w:eastAsia="zh-CN" w:bidi="ar-SA"/>
        </w:rPr>
        <w:t>区党家街道南首重汽卡车党家园区</w:t>
      </w:r>
      <w:r>
        <w:rPr>
          <w:rFonts w:hint="eastAsia" w:ascii="Times New Roman" w:hAnsi="Times New Roman" w:eastAsia="宋体" w:cs="Times New Roman"/>
          <w:kern w:val="2"/>
          <w:sz w:val="21"/>
          <w:szCs w:val="22"/>
          <w:highlight w:val="none"/>
          <w:lang w:val="en-US" w:eastAsia="zh-CN" w:bidi="ar-SA"/>
        </w:rPr>
        <w:t>。</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kern w:val="2"/>
          <w:sz w:val="21"/>
          <w:szCs w:val="22"/>
          <w:highlight w:val="none"/>
          <w:lang w:val="en-US" w:eastAsia="zh-CN" w:bidi="ar-SA"/>
        </w:rPr>
        <w:t>2、供货时间：</w:t>
      </w:r>
      <w:r>
        <w:rPr>
          <w:rFonts w:hint="eastAsia" w:ascii="Times New Roman" w:hAnsi="Times New Roman" w:cs="Times New Roman"/>
          <w:kern w:val="2"/>
          <w:sz w:val="21"/>
          <w:szCs w:val="22"/>
          <w:highlight w:val="none"/>
          <w:lang w:val="en-US" w:eastAsia="zh-CN" w:bidi="ar-SA"/>
        </w:rPr>
        <w:t>供应商</w:t>
      </w:r>
      <w:r>
        <w:rPr>
          <w:rFonts w:hint="eastAsia" w:ascii="Times New Roman" w:hAnsi="Times New Roman" w:eastAsia="宋体" w:cs="Times New Roman"/>
          <w:kern w:val="2"/>
          <w:sz w:val="21"/>
          <w:szCs w:val="22"/>
          <w:highlight w:val="none"/>
          <w:lang w:val="en-US" w:eastAsia="zh-CN" w:bidi="ar-SA"/>
        </w:rPr>
        <w:t>应自合同签订之日起，</w:t>
      </w:r>
      <w:r>
        <w:rPr>
          <w:rFonts w:hint="eastAsia" w:ascii="Times New Roman" w:hAnsi="Times New Roman" w:eastAsia="宋体" w:cs="Times New Roman"/>
          <w:kern w:val="2"/>
          <w:sz w:val="21"/>
          <w:szCs w:val="22"/>
          <w:highlight w:val="none"/>
          <w:u w:val="single"/>
          <w:lang w:val="en-US" w:eastAsia="zh-CN" w:bidi="ar-SA"/>
        </w:rPr>
        <w:t xml:space="preserve"> </w:t>
      </w:r>
      <w:r>
        <w:rPr>
          <w:rFonts w:hint="eastAsia" w:ascii="Times New Roman" w:hAnsi="Times New Roman" w:cs="Times New Roman"/>
          <w:kern w:val="2"/>
          <w:sz w:val="21"/>
          <w:szCs w:val="22"/>
          <w:highlight w:val="none"/>
          <w:u w:val="single"/>
          <w:lang w:val="en-US" w:eastAsia="zh-CN" w:bidi="ar-SA"/>
        </w:rPr>
        <w:t>10</w:t>
      </w:r>
      <w:r>
        <w:rPr>
          <w:rFonts w:hint="eastAsia" w:ascii="Times New Roman" w:hAnsi="Times New Roman" w:eastAsia="宋体" w:cs="Times New Roman"/>
          <w:kern w:val="2"/>
          <w:sz w:val="21"/>
          <w:szCs w:val="22"/>
          <w:highlight w:val="none"/>
          <w:lang w:val="en-US" w:eastAsia="zh-CN" w:bidi="ar-SA"/>
        </w:rPr>
        <w:t>个日历日之内交货至供货地点，</w:t>
      </w:r>
      <w:r>
        <w:rPr>
          <w:rFonts w:hint="eastAsia" w:ascii="Times New Roman" w:hAnsi="Times New Roman" w:eastAsia="宋体" w:cs="Times New Roman"/>
          <w:kern w:val="2"/>
          <w:sz w:val="21"/>
          <w:szCs w:val="22"/>
          <w:highlight w:val="none"/>
          <w:u w:val="single"/>
          <w:lang w:val="en-US" w:eastAsia="zh-CN" w:bidi="ar-SA"/>
        </w:rPr>
        <w:t xml:space="preserve"> </w:t>
      </w:r>
      <w:r>
        <w:rPr>
          <w:rFonts w:hint="eastAsia" w:ascii="Times New Roman" w:hAnsi="Times New Roman" w:cs="Times New Roman"/>
          <w:kern w:val="2"/>
          <w:sz w:val="21"/>
          <w:szCs w:val="22"/>
          <w:highlight w:val="none"/>
          <w:u w:val="single"/>
          <w:lang w:val="en-US" w:eastAsia="zh-CN" w:bidi="ar-SA"/>
        </w:rPr>
        <w:t>20</w:t>
      </w:r>
      <w:r>
        <w:rPr>
          <w:rFonts w:hint="eastAsia" w:ascii="Times New Roman" w:hAnsi="Times New Roman" w:eastAsia="宋体" w:cs="Times New Roman"/>
          <w:kern w:val="2"/>
          <w:sz w:val="21"/>
          <w:szCs w:val="22"/>
          <w:highlight w:val="none"/>
          <w:u w:val="single"/>
          <w:lang w:val="en-US" w:eastAsia="zh-CN" w:bidi="ar-SA"/>
        </w:rPr>
        <w:t xml:space="preserve"> </w:t>
      </w:r>
      <w:r>
        <w:rPr>
          <w:rFonts w:hint="eastAsia" w:ascii="Times New Roman" w:hAnsi="Times New Roman" w:eastAsia="宋体" w:cs="Times New Roman"/>
          <w:kern w:val="2"/>
          <w:sz w:val="21"/>
          <w:szCs w:val="22"/>
          <w:highlight w:val="none"/>
          <w:lang w:val="en-US" w:eastAsia="zh-CN" w:bidi="ar-SA"/>
        </w:rPr>
        <w:t>个日历日安装调试完成，总工期不超过</w:t>
      </w:r>
      <w:r>
        <w:rPr>
          <w:rFonts w:hint="eastAsia" w:ascii="Times New Roman" w:hAnsi="Times New Roman" w:cs="Times New Roman"/>
          <w:kern w:val="2"/>
          <w:sz w:val="21"/>
          <w:szCs w:val="22"/>
          <w:highlight w:val="none"/>
          <w:u w:val="single"/>
          <w:lang w:val="en-US" w:eastAsia="zh-CN" w:bidi="ar-SA"/>
        </w:rPr>
        <w:t>30</w:t>
      </w:r>
      <w:r>
        <w:rPr>
          <w:rFonts w:hint="eastAsia" w:ascii="Times New Roman" w:hAnsi="Times New Roman" w:eastAsia="宋体" w:cs="Times New Roman"/>
          <w:kern w:val="2"/>
          <w:sz w:val="21"/>
          <w:szCs w:val="22"/>
          <w:highlight w:val="none"/>
          <w:lang w:val="en-US" w:eastAsia="zh-CN" w:bidi="ar-SA"/>
        </w:rPr>
        <w:t>个日历日。（投标文件“</w:t>
      </w:r>
      <w:r>
        <w:rPr>
          <w:rFonts w:hint="eastAsia" w:ascii="Times New Roman" w:hAnsi="Times New Roman" w:eastAsia="宋体" w:cs="Times New Roman"/>
          <w:kern w:val="2"/>
          <w:sz w:val="21"/>
          <w:szCs w:val="22"/>
          <w:lang w:val="en-US" w:eastAsia="zh-CN" w:bidi="ar-SA"/>
        </w:rPr>
        <w:t>供货时间”中，应明确说明各阶段工作最终完成时间）。</w:t>
      </w:r>
      <w:r>
        <w:rPr>
          <w:rFonts w:hint="eastAsia" w:ascii="Times New Roman" w:hAnsi="Times New Roman" w:eastAsia="宋体" w:cs="Times New Roman"/>
          <w:color w:val="auto"/>
          <w:kern w:val="2"/>
          <w:sz w:val="21"/>
          <w:szCs w:val="22"/>
          <w:lang w:val="en-US" w:eastAsia="zh-CN" w:bidi="ar-SA"/>
        </w:rPr>
        <w:t>供应商在投标过程中可对实施工期进行优化调整。</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3、质保期：</w:t>
      </w:r>
      <w:r>
        <w:rPr>
          <w:rFonts w:hint="eastAsia" w:ascii="Times New Roman" w:hAnsi="Times New Roman" w:cs="Times New Roman"/>
          <w:kern w:val="2"/>
          <w:sz w:val="21"/>
          <w:szCs w:val="22"/>
          <w:lang w:val="en-US" w:eastAsia="zh-CN" w:bidi="ar-SA"/>
        </w:rPr>
        <w:t>供应商</w:t>
      </w:r>
      <w:r>
        <w:rPr>
          <w:rFonts w:hint="eastAsia" w:ascii="Times New Roman" w:hAnsi="Times New Roman" w:eastAsia="宋体" w:cs="Times New Roman"/>
          <w:kern w:val="2"/>
          <w:sz w:val="21"/>
          <w:szCs w:val="22"/>
          <w:lang w:val="en-US" w:eastAsia="zh-CN" w:bidi="ar-SA"/>
        </w:rPr>
        <w:t xml:space="preserve">所提供设备（或材料）涉及的全部供货范围内的设备、材料、资料、技术等，除合同特别约定外，均自设备（或材料）终验收签字生效之日起，不低于 </w:t>
      </w:r>
      <w:r>
        <w:rPr>
          <w:rFonts w:hint="eastAsia" w:ascii="Times New Roman" w:hAnsi="Times New Roman" w:cs="Times New Roman"/>
          <w:kern w:val="2"/>
          <w:sz w:val="21"/>
          <w:szCs w:val="22"/>
          <w:u w:val="single"/>
          <w:lang w:val="en-US" w:eastAsia="zh-CN" w:bidi="ar-SA"/>
        </w:rPr>
        <w:t>两</w:t>
      </w:r>
      <w:r>
        <w:rPr>
          <w:rFonts w:hint="eastAsia" w:ascii="Times New Roman" w:hAnsi="Times New Roman" w:eastAsia="宋体" w:cs="Times New Roman"/>
          <w:kern w:val="2"/>
          <w:sz w:val="21"/>
          <w:szCs w:val="22"/>
          <w:u w:val="single"/>
          <w:lang w:val="en-US" w:eastAsia="zh-CN" w:bidi="ar-SA"/>
        </w:rPr>
        <w:t>年</w:t>
      </w:r>
      <w:r>
        <w:rPr>
          <w:rFonts w:hint="eastAsia" w:ascii="Times New Roman" w:hAnsi="Times New Roman" w:eastAsia="宋体" w:cs="Times New Roman"/>
          <w:kern w:val="2"/>
          <w:sz w:val="21"/>
          <w:szCs w:val="22"/>
          <w:lang w:val="en-US" w:eastAsia="zh-CN" w:bidi="ar-SA"/>
        </w:rPr>
        <w:t>（如有更长时间质保期，可在投标文件中说明）。</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4、提供资料：不限于质量证明文件、合格证、说明书、图纸、备品备件、维护更换注意事项</w:t>
      </w:r>
      <w:r>
        <w:rPr>
          <w:rFonts w:hint="default" w:ascii="Times New Roman" w:hAnsi="Times New Roman" w:cs="Times New Roman"/>
          <w:kern w:val="2"/>
          <w:sz w:val="21"/>
          <w:szCs w:val="22"/>
          <w:lang w:eastAsia="zh-CN" w:bidi="ar-SA"/>
        </w:rPr>
        <w:t>、培训资料</w:t>
      </w:r>
      <w:r>
        <w:rPr>
          <w:rFonts w:hint="eastAsia" w:ascii="Times New Roman" w:hAnsi="Times New Roman" w:cs="Times New Roman"/>
          <w:kern w:val="2"/>
          <w:sz w:val="21"/>
          <w:szCs w:val="22"/>
          <w:lang w:val="en-US" w:eastAsia="zh-CN" w:bidi="ar-SA"/>
        </w:rPr>
        <w:t>及记录</w:t>
      </w:r>
      <w:r>
        <w:rPr>
          <w:rFonts w:hint="eastAsia" w:ascii="Times New Roman" w:hAnsi="Times New Roman" w:eastAsia="宋体" w:cs="Times New Roman"/>
          <w:kern w:val="2"/>
          <w:sz w:val="21"/>
          <w:szCs w:val="22"/>
          <w:lang w:val="en-US" w:eastAsia="zh-CN" w:bidi="ar-SA"/>
        </w:rPr>
        <w:t>等。</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4017"/>
        <w:gridCol w:w="3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vAlign w:val="bottom"/>
          </w:tcPr>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序号</w:t>
            </w:r>
          </w:p>
        </w:tc>
        <w:tc>
          <w:tcPr>
            <w:tcW w:w="2163" w:type="pct"/>
            <w:vAlign w:val="bottom"/>
          </w:tcPr>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名称</w:t>
            </w:r>
          </w:p>
        </w:tc>
        <w:tc>
          <w:tcPr>
            <w:tcW w:w="2077" w:type="pct"/>
            <w:vAlign w:val="bottom"/>
          </w:tcPr>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资料数量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vAlign w:val="bottom"/>
          </w:tcPr>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1</w:t>
            </w:r>
          </w:p>
        </w:tc>
        <w:tc>
          <w:tcPr>
            <w:tcW w:w="2163" w:type="pct"/>
            <w:vAlign w:val="bottom"/>
          </w:tcPr>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产品合格证明</w:t>
            </w:r>
          </w:p>
        </w:tc>
        <w:tc>
          <w:tcPr>
            <w:tcW w:w="2077" w:type="pct"/>
            <w:vAlign w:val="bottom"/>
          </w:tcPr>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纸质版*2份、电子版*1份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vAlign w:val="bottom"/>
          </w:tcPr>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2</w:t>
            </w:r>
          </w:p>
        </w:tc>
        <w:tc>
          <w:tcPr>
            <w:tcW w:w="2163" w:type="pct"/>
            <w:vAlign w:val="bottom"/>
          </w:tcPr>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使用说明书（含操作使用、维护保养事项）</w:t>
            </w:r>
          </w:p>
        </w:tc>
        <w:tc>
          <w:tcPr>
            <w:tcW w:w="2077" w:type="pct"/>
            <w:vAlign w:val="bottom"/>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纸质版*2份、电子版*1份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vAlign w:val="bottom"/>
          </w:tcPr>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3</w:t>
            </w:r>
          </w:p>
        </w:tc>
        <w:tc>
          <w:tcPr>
            <w:tcW w:w="2163" w:type="pct"/>
            <w:vAlign w:val="bottom"/>
          </w:tcPr>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装箱清单</w:t>
            </w:r>
          </w:p>
        </w:tc>
        <w:tc>
          <w:tcPr>
            <w:tcW w:w="2077" w:type="pct"/>
            <w:vAlign w:val="bottom"/>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纸质版*2份、电子版*1份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vAlign w:val="bottom"/>
          </w:tcPr>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4</w:t>
            </w:r>
          </w:p>
        </w:tc>
        <w:tc>
          <w:tcPr>
            <w:tcW w:w="2163" w:type="pct"/>
            <w:vAlign w:val="bottom"/>
          </w:tcPr>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备品备件清单</w:t>
            </w:r>
          </w:p>
        </w:tc>
        <w:tc>
          <w:tcPr>
            <w:tcW w:w="2077" w:type="pct"/>
            <w:vAlign w:val="bottom"/>
          </w:tcPr>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纸质版*2份、电子版*1份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vAlign w:val="bottom"/>
          </w:tcPr>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5</w:t>
            </w:r>
          </w:p>
        </w:tc>
        <w:tc>
          <w:tcPr>
            <w:tcW w:w="2163" w:type="pct"/>
            <w:vAlign w:val="bottom"/>
          </w:tcPr>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相关图纸</w:t>
            </w:r>
          </w:p>
        </w:tc>
        <w:tc>
          <w:tcPr>
            <w:tcW w:w="2077" w:type="pct"/>
            <w:vAlign w:val="bottom"/>
          </w:tcPr>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纸质版*2份、电子版*1份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vAlign w:val="bottom"/>
          </w:tcPr>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6</w:t>
            </w:r>
          </w:p>
        </w:tc>
        <w:tc>
          <w:tcPr>
            <w:tcW w:w="2163" w:type="pct"/>
            <w:vAlign w:val="bottom"/>
          </w:tcPr>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检验报告</w:t>
            </w:r>
          </w:p>
        </w:tc>
        <w:tc>
          <w:tcPr>
            <w:tcW w:w="2077" w:type="pct"/>
            <w:vAlign w:val="bottom"/>
          </w:tcPr>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纸质版*2份、电子版*1份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vAlign w:val="bottom"/>
          </w:tcPr>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7</w:t>
            </w:r>
          </w:p>
        </w:tc>
        <w:tc>
          <w:tcPr>
            <w:tcW w:w="2163" w:type="pct"/>
            <w:vAlign w:val="bottom"/>
          </w:tcPr>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培训资料</w:t>
            </w:r>
          </w:p>
        </w:tc>
        <w:tc>
          <w:tcPr>
            <w:tcW w:w="2077" w:type="pct"/>
            <w:vAlign w:val="bottom"/>
          </w:tcPr>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纸质版*1份、电子版*1份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vAlign w:val="bottom"/>
          </w:tcPr>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8</w:t>
            </w:r>
          </w:p>
        </w:tc>
        <w:tc>
          <w:tcPr>
            <w:tcW w:w="2163" w:type="pct"/>
            <w:vAlign w:val="bottom"/>
          </w:tcPr>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其他所需资料</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（安装调试、试生产、物资移交）</w:t>
            </w:r>
          </w:p>
        </w:tc>
        <w:tc>
          <w:tcPr>
            <w:tcW w:w="2077" w:type="pct"/>
            <w:vAlign w:val="bottom"/>
          </w:tcPr>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纸质版*1份、电子版*1份</w:t>
            </w:r>
          </w:p>
        </w:tc>
      </w:tr>
    </w:tbl>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1"/>
          <w:szCs w:val="22"/>
          <w:lang w:val="en-US" w:eastAsia="zh-CN" w:bidi="ar-SA"/>
        </w:rPr>
      </w:pPr>
    </w:p>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cs="Times New Roman"/>
          <w:kern w:val="2"/>
          <w:sz w:val="21"/>
          <w:szCs w:val="22"/>
          <w:lang w:val="en-US" w:eastAsia="zh-CN" w:bidi="ar-SA"/>
        </w:rPr>
        <w:t>5、</w:t>
      </w:r>
      <w:r>
        <w:rPr>
          <w:rFonts w:hint="eastAsia" w:ascii="Times New Roman" w:hAnsi="Times New Roman" w:eastAsia="宋体" w:cs="Times New Roman"/>
          <w:kern w:val="2"/>
          <w:sz w:val="21"/>
          <w:szCs w:val="22"/>
          <w:lang w:val="en-US" w:eastAsia="zh-CN" w:bidi="ar-SA"/>
        </w:rPr>
        <w:t>培训指导：供应商负责对设备使用单位的操作、维修维护等技术人员进行专项培训，培训内容包括但不限于设备介绍、操作使用、维护保养、故障分析等。</w:t>
      </w:r>
      <w:r>
        <w:rPr>
          <w:rFonts w:hint="eastAsia" w:ascii="Times New Roman" w:hAnsi="Times New Roman" w:eastAsia="宋体" w:cs="Times New Roman"/>
          <w:kern w:val="2"/>
          <w:sz w:val="21"/>
          <w:szCs w:val="22"/>
          <w:lang w:val="en-US" w:eastAsia="zh-CN" w:bidi="ar-SA"/>
        </w:rPr>
        <w:br w:type="textWrapping"/>
      </w:r>
      <w:r>
        <w:rPr>
          <w:rFonts w:hint="eastAsia" w:ascii="Times New Roman" w:hAnsi="Times New Roman" w:cs="Times New Roman"/>
          <w:kern w:val="2"/>
          <w:sz w:val="21"/>
          <w:szCs w:val="22"/>
          <w:lang w:val="en-US" w:eastAsia="zh-CN" w:bidi="ar-SA"/>
        </w:rPr>
        <w:t xml:space="preserve">    6、供应商对所承揽的项目进行必要的售后服务承诺。</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Times New Roman" w:hAnsi="Times New Roman" w:cs="Times New Roman"/>
          <w:kern w:val="2"/>
          <w:sz w:val="21"/>
          <w:szCs w:val="22"/>
          <w:lang w:val="en-US" w:eastAsia="zh-CN" w:bidi="ar-SA"/>
        </w:rPr>
      </w:pPr>
    </w:p>
    <w:p>
      <w:pPr>
        <w:pStyle w:val="16"/>
        <w:spacing w:line="360" w:lineRule="auto"/>
        <w:outlineLvl w:val="1"/>
        <w:rPr>
          <w:rFonts w:hint="eastAsia" w:ascii="黑体" w:hAnsi="Courier New" w:eastAsia="黑体" w:cs="Times New Roman"/>
          <w:b/>
          <w:bCs/>
          <w:sz w:val="28"/>
          <w:lang w:val="en-US" w:eastAsia="zh-CN"/>
        </w:rPr>
      </w:pPr>
      <w:r>
        <w:rPr>
          <w:rFonts w:hint="eastAsia" w:ascii="黑体" w:hAnsi="Courier New" w:eastAsia="黑体" w:cs="Times New Roman"/>
          <w:b/>
          <w:bCs/>
          <w:sz w:val="28"/>
          <w:lang w:val="en-US" w:eastAsia="zh-CN"/>
        </w:rPr>
        <w:t>六、验收要求</w:t>
      </w:r>
    </w:p>
    <w:p>
      <w:pPr>
        <w:spacing w:line="360" w:lineRule="auto"/>
        <w:ind w:firstLine="420" w:firstLineChars="200"/>
        <w:rPr>
          <w:rFonts w:hint="eastAsia" w:ascii="宋体" w:hAnsi="宋体" w:cs="宋体"/>
          <w:szCs w:val="21"/>
        </w:rPr>
      </w:pPr>
      <w:r>
        <w:rPr>
          <w:rFonts w:hint="eastAsia" w:ascii="宋体" w:hAnsi="宋体" w:cs="宋体"/>
          <w:szCs w:val="21"/>
        </w:rPr>
        <w:t>按照参考招标文件、投标文件、答疑文件、技术交流文件等形成并达成一致的技术协议书和合同规定验收。</w:t>
      </w:r>
    </w:p>
    <w:p>
      <w:pPr>
        <w:spacing w:line="360" w:lineRule="auto"/>
        <w:ind w:firstLine="420" w:firstLineChars="200"/>
        <w:rPr>
          <w:rFonts w:hint="eastAsia" w:ascii="宋体" w:hAnsi="宋体" w:cs="宋体"/>
          <w:szCs w:val="21"/>
        </w:rPr>
      </w:pPr>
      <w:r>
        <w:rPr>
          <w:rFonts w:hint="eastAsia" w:ascii="宋体" w:hAnsi="宋体" w:cs="宋体"/>
          <w:szCs w:val="21"/>
        </w:rPr>
        <w:t>（一）、检验</w:t>
      </w:r>
    </w:p>
    <w:p>
      <w:pPr>
        <w:spacing w:line="360" w:lineRule="auto"/>
        <w:ind w:firstLine="420" w:firstLineChars="200"/>
        <w:rPr>
          <w:rFonts w:hint="eastAsia" w:ascii="宋体" w:hAnsi="宋体" w:cs="宋体"/>
          <w:szCs w:val="21"/>
        </w:rPr>
      </w:pPr>
      <w:r>
        <w:rPr>
          <w:rFonts w:hint="eastAsia" w:ascii="宋体" w:hAnsi="宋体" w:cs="宋体"/>
          <w:szCs w:val="21"/>
        </w:rPr>
        <w:t>国产部分的货物的检验由双方按照合同要求或在制造现场进行。进口部分的货物的检验按照下述要求进行：</w:t>
      </w:r>
    </w:p>
    <w:p>
      <w:pPr>
        <w:spacing w:line="360" w:lineRule="auto"/>
        <w:ind w:firstLine="420" w:firstLineChars="200"/>
        <w:rPr>
          <w:rFonts w:hint="eastAsia" w:ascii="宋体" w:hAnsi="宋体" w:cs="宋体"/>
          <w:szCs w:val="21"/>
        </w:rPr>
      </w:pPr>
      <w:r>
        <w:rPr>
          <w:rFonts w:hint="eastAsia" w:ascii="宋体" w:hAnsi="宋体" w:cs="宋体"/>
          <w:szCs w:val="21"/>
        </w:rPr>
        <w:t>1</w:t>
      </w:r>
      <w:r>
        <w:rPr>
          <w:rFonts w:hint="eastAsia" w:ascii="宋体" w:hAnsi="宋体" w:cs="宋体"/>
          <w:szCs w:val="21"/>
          <w:lang w:eastAsia="zh-CN"/>
        </w:rPr>
        <w:t>、</w:t>
      </w:r>
      <w:r>
        <w:rPr>
          <w:rFonts w:hint="eastAsia" w:ascii="宋体" w:hAnsi="宋体" w:cs="宋体"/>
          <w:szCs w:val="21"/>
        </w:rPr>
        <w:t>进口部分的货物发货前，卖方应对设备（或材料）的质量、型号、规格、性能和数量/重量作精密、全面的检验，并出具证明书，证明所供设备（或材料）符合合同规定；</w:t>
      </w:r>
    </w:p>
    <w:p>
      <w:pPr>
        <w:spacing w:line="360" w:lineRule="auto"/>
        <w:ind w:firstLine="420" w:firstLineChars="200"/>
        <w:rPr>
          <w:rFonts w:hint="eastAsia" w:ascii="宋体" w:hAnsi="宋体" w:cs="宋体"/>
          <w:szCs w:val="21"/>
        </w:rPr>
      </w:pPr>
      <w:r>
        <w:rPr>
          <w:rFonts w:hint="eastAsia" w:ascii="宋体" w:hAnsi="宋体" w:cs="宋体"/>
          <w:szCs w:val="21"/>
        </w:rPr>
        <w:t>2</w:t>
      </w:r>
      <w:r>
        <w:rPr>
          <w:rFonts w:hint="eastAsia" w:ascii="宋体" w:hAnsi="宋体" w:cs="宋体"/>
          <w:szCs w:val="21"/>
          <w:lang w:eastAsia="zh-CN"/>
        </w:rPr>
        <w:t>、</w:t>
      </w:r>
      <w:r>
        <w:rPr>
          <w:rFonts w:hint="eastAsia" w:ascii="宋体" w:hAnsi="宋体" w:cs="宋体"/>
          <w:szCs w:val="21"/>
        </w:rPr>
        <w:t>卖方应依据合同规定的要求，提供设备（或材料）的验收标准和装箱单，作为买方检验的依据；</w:t>
      </w:r>
    </w:p>
    <w:p>
      <w:pPr>
        <w:spacing w:line="360" w:lineRule="auto"/>
        <w:ind w:firstLine="420" w:firstLineChars="200"/>
        <w:rPr>
          <w:rFonts w:hint="eastAsia" w:ascii="宋体" w:hAnsi="宋体" w:cs="宋体"/>
          <w:szCs w:val="21"/>
        </w:rPr>
      </w:pPr>
      <w:r>
        <w:rPr>
          <w:rFonts w:hint="eastAsia" w:ascii="宋体" w:hAnsi="宋体" w:cs="宋体"/>
          <w:szCs w:val="21"/>
        </w:rPr>
        <w:t>（二）、验收标准</w:t>
      </w:r>
    </w:p>
    <w:p>
      <w:pPr>
        <w:spacing w:line="360" w:lineRule="auto"/>
        <w:ind w:firstLine="420" w:firstLineChars="200"/>
        <w:rPr>
          <w:rFonts w:hint="eastAsia" w:ascii="宋体" w:hAnsi="宋体" w:cs="宋体"/>
          <w:szCs w:val="21"/>
        </w:rPr>
      </w:pPr>
      <w:r>
        <w:rPr>
          <w:rFonts w:hint="eastAsia" w:ascii="宋体" w:hAnsi="宋体" w:cs="宋体"/>
          <w:szCs w:val="21"/>
        </w:rPr>
        <w:t>验收一般分预验收和终验收两部分。预验收一般在卖方进行，终验收在安装调试完成后的买方现场进行。但是所有的项目，包括不能预验收的项目和预验收通过的项目都在终验收时重新检验，最终只以终验收为准。</w:t>
      </w:r>
    </w:p>
    <w:p>
      <w:pPr>
        <w:spacing w:line="360" w:lineRule="auto"/>
        <w:ind w:firstLine="420" w:firstLineChars="200"/>
        <w:rPr>
          <w:rFonts w:hint="eastAsia" w:ascii="宋体" w:hAnsi="宋体" w:cs="宋体"/>
          <w:szCs w:val="21"/>
        </w:rPr>
      </w:pPr>
      <w:r>
        <w:rPr>
          <w:rFonts w:hint="eastAsia" w:ascii="宋体" w:hAnsi="宋体" w:cs="宋体"/>
          <w:szCs w:val="21"/>
        </w:rPr>
        <w:t>1、终验收规程：</w:t>
      </w:r>
    </w:p>
    <w:p>
      <w:pPr>
        <w:spacing w:line="360" w:lineRule="auto"/>
        <w:ind w:firstLine="420" w:firstLineChars="200"/>
        <w:rPr>
          <w:rFonts w:hint="eastAsia" w:ascii="宋体" w:hAnsi="宋体" w:cs="宋体"/>
          <w:szCs w:val="21"/>
        </w:rPr>
      </w:pPr>
      <w:r>
        <w:rPr>
          <w:rFonts w:hint="eastAsia" w:ascii="宋体" w:hAnsi="宋体" w:cs="宋体"/>
          <w:szCs w:val="21"/>
        </w:rPr>
        <w:t>设备（或材料）允许情况下，一般连续运行</w:t>
      </w:r>
      <w:r>
        <w:rPr>
          <w:rFonts w:hint="eastAsia" w:ascii="宋体" w:hAnsi="宋体" w:cs="宋体"/>
          <w:szCs w:val="21"/>
          <w:u w:val="single"/>
        </w:rPr>
        <w:t xml:space="preserve">  </w:t>
      </w:r>
      <w:r>
        <w:rPr>
          <w:rFonts w:hint="eastAsia" w:ascii="宋体" w:hAnsi="宋体" w:cs="宋体"/>
          <w:szCs w:val="21"/>
          <w:u w:val="single"/>
          <w:lang w:val="en-US" w:eastAsia="zh-CN"/>
        </w:rPr>
        <w:t>15</w:t>
      </w:r>
      <w:r>
        <w:rPr>
          <w:rFonts w:hint="eastAsia" w:ascii="宋体" w:hAnsi="宋体" w:cs="宋体"/>
          <w:szCs w:val="21"/>
          <w:u w:val="single"/>
        </w:rPr>
        <w:t xml:space="preserve">  天，</w:t>
      </w:r>
      <w:r>
        <w:rPr>
          <w:rFonts w:hint="eastAsia" w:ascii="宋体" w:hAnsi="宋体" w:cs="宋体"/>
          <w:szCs w:val="21"/>
        </w:rPr>
        <w:t>每天连续</w:t>
      </w:r>
      <w:r>
        <w:rPr>
          <w:rFonts w:hint="eastAsia" w:ascii="宋体" w:hAnsi="宋体" w:cs="宋体"/>
          <w:szCs w:val="21"/>
          <w:u w:val="single"/>
        </w:rPr>
        <w:t xml:space="preserve">   24  </w:t>
      </w:r>
      <w:r>
        <w:rPr>
          <w:rFonts w:hint="eastAsia" w:ascii="宋体" w:hAnsi="宋体" w:cs="宋体"/>
          <w:szCs w:val="21"/>
        </w:rPr>
        <w:t>小时，除用户方面因素外，必须达到以下要求：</w:t>
      </w:r>
    </w:p>
    <w:p>
      <w:pPr>
        <w:spacing w:line="360" w:lineRule="auto"/>
        <w:ind w:firstLine="420" w:firstLineChars="200"/>
        <w:rPr>
          <w:rFonts w:hint="eastAsia" w:ascii="宋体" w:hAnsi="宋体" w:cs="宋体"/>
          <w:szCs w:val="21"/>
        </w:rPr>
      </w:pPr>
      <w:r>
        <w:rPr>
          <w:rFonts w:hint="eastAsia" w:ascii="宋体" w:hAnsi="宋体" w:cs="宋体"/>
          <w:szCs w:val="21"/>
        </w:rPr>
        <w:t>a)在整个验收过程中没有维修、更换零部件或元件行为；</w:t>
      </w:r>
    </w:p>
    <w:p>
      <w:pPr>
        <w:spacing w:line="360" w:lineRule="auto"/>
        <w:ind w:firstLine="420" w:firstLineChars="200"/>
        <w:rPr>
          <w:rFonts w:hint="eastAsia" w:ascii="宋体" w:hAnsi="宋体" w:cs="宋体"/>
          <w:szCs w:val="21"/>
        </w:rPr>
      </w:pPr>
      <w:r>
        <w:rPr>
          <w:rFonts w:hint="eastAsia" w:ascii="宋体" w:hAnsi="宋体" w:cs="宋体"/>
          <w:szCs w:val="21"/>
        </w:rPr>
        <w:t>b)终验收原则上要求一次完成。若一次验收不成功，最多允许两次；</w:t>
      </w:r>
    </w:p>
    <w:p>
      <w:pPr>
        <w:spacing w:line="360" w:lineRule="auto"/>
        <w:ind w:firstLine="420" w:firstLineChars="200"/>
        <w:rPr>
          <w:rFonts w:hint="eastAsia" w:ascii="宋体" w:hAnsi="宋体" w:cs="宋体"/>
          <w:szCs w:val="21"/>
        </w:rPr>
      </w:pPr>
      <w:r>
        <w:rPr>
          <w:rFonts w:hint="eastAsia" w:ascii="宋体" w:hAnsi="宋体" w:cs="宋体"/>
          <w:szCs w:val="21"/>
        </w:rPr>
        <w:t>c）终验收通过后双方共同签署终验收报告。</w:t>
      </w:r>
    </w:p>
    <w:p>
      <w:pPr>
        <w:spacing w:line="360" w:lineRule="auto"/>
        <w:ind w:firstLine="420" w:firstLineChars="200"/>
        <w:rPr>
          <w:rFonts w:hint="eastAsia" w:ascii="宋体" w:hAnsi="宋体" w:cs="宋体"/>
          <w:szCs w:val="21"/>
        </w:rPr>
      </w:pPr>
      <w:r>
        <w:rPr>
          <w:rFonts w:hint="eastAsia" w:ascii="宋体" w:hAnsi="宋体" w:cs="宋体"/>
          <w:szCs w:val="21"/>
        </w:rPr>
        <w:t>2、设备（或材料）验收的一般标准与要求：</w:t>
      </w:r>
    </w:p>
    <w:p>
      <w:pPr>
        <w:spacing w:line="360" w:lineRule="auto"/>
        <w:ind w:firstLine="420" w:firstLineChars="200"/>
        <w:rPr>
          <w:rFonts w:hint="eastAsia" w:ascii="宋体" w:hAnsi="宋体" w:cs="宋体"/>
          <w:szCs w:val="21"/>
        </w:rPr>
      </w:pPr>
      <w:r>
        <w:rPr>
          <w:rFonts w:hint="eastAsia" w:ascii="宋体" w:hAnsi="宋体" w:cs="宋体"/>
          <w:szCs w:val="21"/>
        </w:rPr>
        <w:t>① 预验收的一般标准与要求</w:t>
      </w:r>
    </w:p>
    <w:p>
      <w:pPr>
        <w:spacing w:line="360" w:lineRule="auto"/>
        <w:ind w:left="420" w:leftChars="200" w:firstLine="0" w:firstLineChars="0"/>
        <w:rPr>
          <w:rFonts w:hint="eastAsia" w:ascii="宋体" w:hAnsi="宋体" w:cs="宋体"/>
          <w:szCs w:val="21"/>
          <w:lang w:val="en-US" w:eastAsia="zh-CN"/>
        </w:rPr>
      </w:pPr>
      <w:r>
        <w:rPr>
          <w:rFonts w:hint="eastAsia" w:ascii="宋体" w:hAnsi="宋体" w:cs="宋体"/>
          <w:szCs w:val="21"/>
        </w:rPr>
        <w:t>a.资料齐全性、完整性和有效性</w:t>
      </w:r>
      <w:r>
        <w:rPr>
          <w:rFonts w:hint="eastAsia" w:ascii="宋体" w:hAnsi="宋体" w:cs="宋体"/>
          <w:szCs w:val="21"/>
          <w:lang w:val="en-US" w:eastAsia="zh-CN"/>
        </w:rPr>
        <w:t>；</w:t>
      </w:r>
    </w:p>
    <w:p>
      <w:pPr>
        <w:spacing w:line="360" w:lineRule="auto"/>
        <w:ind w:left="420" w:leftChars="200" w:firstLine="0" w:firstLineChars="0"/>
        <w:rPr>
          <w:rFonts w:hint="eastAsia" w:ascii="宋体" w:hAnsi="宋体" w:eastAsia="宋体" w:cs="宋体"/>
          <w:szCs w:val="21"/>
          <w:lang w:eastAsia="zh-CN"/>
        </w:rPr>
      </w:pPr>
      <w:r>
        <w:rPr>
          <w:rFonts w:hint="eastAsia" w:ascii="宋体" w:hAnsi="宋体" w:cs="宋体"/>
          <w:szCs w:val="21"/>
          <w:lang w:val="en-US" w:eastAsia="zh-CN"/>
        </w:rPr>
        <w:t>b</w:t>
      </w:r>
      <w:r>
        <w:rPr>
          <w:rFonts w:hint="eastAsia" w:ascii="宋体" w:hAnsi="宋体" w:cs="宋体"/>
          <w:szCs w:val="21"/>
        </w:rPr>
        <w:t>.设备（或材料）应运行灵活、稳定、可靠、安全，无异常声音和非正常振动。设备不允许出现漏水、漏液、漏气（汽）、漏电</w:t>
      </w:r>
      <w:r>
        <w:rPr>
          <w:rFonts w:hint="eastAsia" w:ascii="宋体" w:hAnsi="宋体" w:cs="宋体"/>
          <w:szCs w:val="21"/>
          <w:lang w:val="en-US" w:eastAsia="zh-CN"/>
        </w:rPr>
        <w:t>；</w:t>
      </w:r>
    </w:p>
    <w:p>
      <w:pPr>
        <w:spacing w:line="360" w:lineRule="auto"/>
        <w:ind w:firstLine="420" w:firstLineChars="200"/>
        <w:rPr>
          <w:rFonts w:hint="eastAsia" w:ascii="宋体" w:hAnsi="宋体" w:cs="宋体"/>
          <w:szCs w:val="21"/>
        </w:rPr>
      </w:pPr>
      <w:r>
        <w:rPr>
          <w:rFonts w:hint="eastAsia" w:ascii="宋体" w:hAnsi="宋体" w:cs="宋体"/>
          <w:szCs w:val="21"/>
        </w:rPr>
        <w:t>c.设备（或材料）外观应无损伤，应该涂满同种明亮清晰的油漆（特殊标志除外）。设备应该完整且所有的零部件应该安装牢固，所有的焊缝饱满、无残渣等缺陷；</w:t>
      </w:r>
    </w:p>
    <w:p>
      <w:pPr>
        <w:spacing w:line="360" w:lineRule="auto"/>
        <w:ind w:left="420" w:leftChars="200" w:firstLine="0" w:firstLineChars="0"/>
        <w:rPr>
          <w:rFonts w:hint="eastAsia" w:ascii="宋体" w:hAnsi="宋体" w:eastAsia="宋体" w:cs="宋体"/>
          <w:szCs w:val="21"/>
          <w:lang w:val="en-US" w:eastAsia="zh-CN"/>
        </w:rPr>
      </w:pPr>
      <w:r>
        <w:rPr>
          <w:rFonts w:hint="eastAsia" w:ascii="宋体" w:hAnsi="宋体" w:eastAsia="宋体" w:cs="宋体"/>
          <w:szCs w:val="21"/>
        </w:rPr>
        <w:t>d.设备（或材料）</w:t>
      </w:r>
      <w:r>
        <w:rPr>
          <w:rFonts w:hint="eastAsia" w:ascii="宋体" w:hAnsi="宋体" w:eastAsia="宋体" w:cs="宋体"/>
          <w:szCs w:val="21"/>
          <w:lang w:val="en-US" w:eastAsia="zh-CN"/>
        </w:rPr>
        <w:t>型号规格参数与技术要求一致；</w:t>
      </w:r>
    </w:p>
    <w:p>
      <w:pPr>
        <w:spacing w:line="360" w:lineRule="auto"/>
        <w:ind w:left="420" w:leftChars="200" w:firstLine="0" w:firstLineChars="0"/>
        <w:rPr>
          <w:rFonts w:hint="eastAsia" w:ascii="宋体" w:hAnsi="宋体" w:eastAsia="宋体" w:cs="宋体"/>
          <w:szCs w:val="21"/>
        </w:rPr>
      </w:pPr>
      <w:r>
        <w:rPr>
          <w:rFonts w:hint="eastAsia" w:ascii="宋体" w:hAnsi="宋体" w:eastAsia="宋体" w:cs="宋体"/>
          <w:szCs w:val="21"/>
        </w:rPr>
        <w:t>e.设备（或材料）应有完整的标牌，且清晰易见；</w:t>
      </w:r>
    </w:p>
    <w:p>
      <w:pPr>
        <w:spacing w:line="360" w:lineRule="auto"/>
        <w:ind w:left="420" w:leftChars="200" w:firstLine="0" w:firstLineChars="0"/>
        <w:rPr>
          <w:rFonts w:hint="eastAsia" w:ascii="宋体" w:hAnsi="宋体" w:eastAsia="宋体" w:cs="宋体"/>
          <w:szCs w:val="21"/>
        </w:rPr>
      </w:pPr>
      <w:r>
        <w:rPr>
          <w:rFonts w:hint="eastAsia" w:ascii="宋体" w:hAnsi="宋体" w:eastAsia="宋体" w:cs="宋体"/>
          <w:szCs w:val="21"/>
          <w:lang w:val="en-US" w:eastAsia="zh-CN"/>
        </w:rPr>
        <w:t>f</w:t>
      </w:r>
      <w:r>
        <w:rPr>
          <w:rFonts w:hint="eastAsia" w:ascii="宋体" w:hAnsi="宋体" w:eastAsia="宋体" w:cs="宋体"/>
          <w:szCs w:val="21"/>
        </w:rPr>
        <w:t>.设备（或材料）的安全要求符合中国最新的相关法律、法规、标准和规范以及合同要求。</w:t>
      </w:r>
    </w:p>
    <w:p>
      <w:pPr>
        <w:spacing w:line="360" w:lineRule="auto"/>
        <w:ind w:firstLine="420" w:firstLineChars="200"/>
        <w:rPr>
          <w:rFonts w:hint="eastAsia" w:ascii="宋体" w:hAnsi="宋体" w:cs="宋体"/>
          <w:szCs w:val="21"/>
        </w:rPr>
      </w:pPr>
      <w:r>
        <w:rPr>
          <w:rFonts w:hint="eastAsia" w:ascii="宋体" w:hAnsi="宋体" w:cs="宋体"/>
          <w:szCs w:val="21"/>
        </w:rPr>
        <w:t>②终验收时的一般验收标准与要求：</w:t>
      </w:r>
    </w:p>
    <w:p>
      <w:pPr>
        <w:spacing w:line="360" w:lineRule="auto"/>
        <w:ind w:firstLine="420" w:firstLineChars="200"/>
        <w:rPr>
          <w:rFonts w:hint="eastAsia" w:ascii="宋体" w:hAnsi="宋体" w:cs="宋体"/>
          <w:szCs w:val="21"/>
          <w:lang w:val="en-US" w:eastAsia="zh-CN"/>
        </w:rPr>
      </w:pPr>
      <w:r>
        <w:rPr>
          <w:rFonts w:hint="eastAsia" w:ascii="宋体" w:hAnsi="宋体" w:cs="宋体"/>
          <w:szCs w:val="21"/>
        </w:rPr>
        <w:t>a.</w:t>
      </w:r>
      <w:r>
        <w:rPr>
          <w:rFonts w:hint="eastAsia" w:ascii="宋体" w:hAnsi="宋体" w:cs="宋体"/>
          <w:szCs w:val="21"/>
          <w:lang w:val="en-US" w:eastAsia="zh-CN"/>
        </w:rPr>
        <w:t>满足预验收的一般标准与要求；</w:t>
      </w:r>
    </w:p>
    <w:p>
      <w:pPr>
        <w:spacing w:line="360" w:lineRule="auto"/>
        <w:ind w:firstLine="420" w:firstLineChars="200"/>
        <w:rPr>
          <w:rFonts w:hint="eastAsia" w:ascii="宋体" w:hAnsi="宋体" w:eastAsia="宋体" w:cs="宋体"/>
          <w:szCs w:val="21"/>
          <w:lang w:eastAsia="zh-CN"/>
        </w:rPr>
      </w:pPr>
      <w:r>
        <w:rPr>
          <w:rFonts w:hint="eastAsia" w:ascii="宋体" w:hAnsi="宋体" w:cs="宋体"/>
          <w:szCs w:val="21"/>
        </w:rPr>
        <w:t>b.</w:t>
      </w:r>
      <w:r>
        <w:rPr>
          <w:rFonts w:hint="eastAsia" w:ascii="宋体" w:hAnsi="宋体" w:cs="宋体"/>
          <w:szCs w:val="21"/>
          <w:lang w:val="en-US" w:eastAsia="zh-CN"/>
        </w:rPr>
        <w:t>符合终验收规程。</w:t>
      </w:r>
    </w:p>
    <w:p>
      <w:pPr>
        <w:spacing w:line="360" w:lineRule="auto"/>
        <w:ind w:firstLine="420" w:firstLineChars="200"/>
        <w:rPr>
          <w:rFonts w:hint="eastAsia" w:ascii="宋体" w:hAnsi="宋体" w:cs="宋体"/>
          <w:szCs w:val="21"/>
        </w:rPr>
      </w:pPr>
      <w:r>
        <w:rPr>
          <w:rFonts w:hint="eastAsia" w:ascii="宋体" w:hAnsi="宋体" w:cs="宋体"/>
          <w:szCs w:val="21"/>
        </w:rPr>
        <w:t>③ 终验收条件</w:t>
      </w:r>
    </w:p>
    <w:p>
      <w:pPr>
        <w:spacing w:line="360" w:lineRule="auto"/>
        <w:ind w:firstLine="420" w:firstLineChars="200"/>
        <w:rPr>
          <w:rFonts w:hint="eastAsia" w:ascii="宋体" w:hAnsi="宋体" w:cs="宋体"/>
          <w:szCs w:val="21"/>
        </w:rPr>
      </w:pPr>
      <w:r>
        <w:rPr>
          <w:rFonts w:hint="eastAsia" w:ascii="宋体" w:hAnsi="宋体" w:cs="宋体"/>
          <w:szCs w:val="21"/>
        </w:rPr>
        <w:t>依据招标文件、投标文件、答疑文件、技术交流文件等形成并达成一致的技术协议书和合同规定的终验收条件验收。</w:t>
      </w:r>
    </w:p>
    <w:p>
      <w:pPr>
        <w:rPr>
          <w:rFonts w:hint="eastAsia"/>
        </w:rPr>
      </w:pPr>
      <w:r>
        <w:rPr>
          <w:rFonts w:hint="eastAsia" w:ascii="宋体" w:hAnsi="宋体" w:cs="宋体"/>
          <w:szCs w:val="21"/>
        </w:rPr>
        <w:br w:type="page"/>
      </w:r>
      <w:bookmarkStart w:id="24" w:name="_Toc47976609"/>
    </w:p>
    <w:p>
      <w:pPr>
        <w:pStyle w:val="72"/>
        <w:numPr>
          <w:ilvl w:val="0"/>
          <w:numId w:val="29"/>
        </w:numPr>
        <w:rPr>
          <w:rFonts w:hint="eastAsia"/>
        </w:rPr>
      </w:pPr>
      <w:bookmarkStart w:id="25" w:name="_Toc8030"/>
      <w:r>
        <w:rPr>
          <w:rFonts w:hint="eastAsia"/>
        </w:rPr>
        <w:t>合同主要条款</w:t>
      </w:r>
      <w:bookmarkEnd w:id="24"/>
      <w:bookmarkEnd w:id="25"/>
      <w:r>
        <w:rPr>
          <w:rFonts w:hint="eastAsia"/>
        </w:rPr>
        <w:br w:type="textWrapping"/>
      </w:r>
      <w:r>
        <w:rPr>
          <w:rFonts w:hint="eastAsia"/>
          <w:color w:val="FF0000"/>
          <w:sz w:val="28"/>
          <w:szCs w:val="28"/>
          <w:lang w:eastAsia="zh-CN"/>
        </w:rPr>
        <w:t>（</w:t>
      </w:r>
      <w:r>
        <w:rPr>
          <w:rFonts w:hint="eastAsia"/>
          <w:color w:val="FF0000"/>
          <w:sz w:val="28"/>
          <w:szCs w:val="28"/>
          <w:lang w:val="en-US" w:eastAsia="zh-CN"/>
        </w:rPr>
        <w:t>以下为设备采购合同固定模板，最终合同及技术协议以签订为准）</w:t>
      </w:r>
    </w:p>
    <w:p>
      <w:pPr>
        <w:spacing w:line="360" w:lineRule="auto"/>
        <w:jc w:val="center"/>
        <w:rPr>
          <w:rFonts w:hint="eastAsia" w:ascii="方正小标宋简体" w:hAnsi="方正小标宋简体" w:eastAsia="方正小标宋简体" w:cs="方正小标宋简体"/>
          <w:w w:val="90"/>
          <w:sz w:val="44"/>
          <w:szCs w:val="44"/>
        </w:rPr>
      </w:pPr>
      <w:bookmarkStart w:id="26" w:name="_Toc283814116"/>
      <w:r>
        <w:rPr>
          <w:rFonts w:hint="eastAsia" w:ascii="仿宋_GB2312" w:hAnsi="仿宋_GB2312" w:eastAsia="仿宋_GB2312" w:cs="仿宋_GB2312"/>
          <w:w w:val="90"/>
          <w:sz w:val="24"/>
          <w:szCs w:val="24"/>
          <w:lang w:val="en-US" w:eastAsia="zh-CN"/>
        </w:rPr>
        <w:t xml:space="preserve"> </w:t>
      </w:r>
    </w:p>
    <w:p>
      <w:pPr>
        <w:spacing w:line="360" w:lineRule="auto"/>
        <w:jc w:val="center"/>
        <w:rPr>
          <w:rFonts w:hint="eastAsia" w:ascii="方正小标宋简体" w:hAnsi="方正小标宋简体" w:eastAsia="方正小标宋简体" w:cs="方正小标宋简体"/>
          <w:w w:val="90"/>
          <w:sz w:val="48"/>
          <w:szCs w:val="48"/>
        </w:rPr>
      </w:pPr>
    </w:p>
    <w:p>
      <w:pPr>
        <w:spacing w:line="360" w:lineRule="auto"/>
        <w:jc w:val="center"/>
        <w:rPr>
          <w:rFonts w:hint="eastAsia"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pPr>
        <w:spacing w:line="360" w:lineRule="auto"/>
        <w:jc w:val="center"/>
        <w:rPr>
          <w:rFonts w:hint="eastAsia" w:ascii="方正小标宋简体" w:hAnsi="方正小标宋简体" w:eastAsia="方正小标宋简体" w:cs="方正小标宋简体"/>
          <w:w w:val="90"/>
          <w:sz w:val="56"/>
          <w:szCs w:val="56"/>
          <w:lang w:eastAsia="zh-CN"/>
        </w:rPr>
      </w:pPr>
    </w:p>
    <w:p>
      <w:pPr>
        <w:spacing w:line="360" w:lineRule="auto"/>
        <w:jc w:val="center"/>
        <w:rPr>
          <w:rFonts w:hint="eastAsia" w:ascii="仿宋_GB2312" w:hAnsi="仿宋_GB2312" w:eastAsia="仿宋_GB2312" w:cs="仿宋_GB2312"/>
          <w:bCs/>
          <w:sz w:val="24"/>
          <w:szCs w:val="24"/>
        </w:rPr>
      </w:pPr>
    </w:p>
    <w:p>
      <w:pPr>
        <w:spacing w:line="360" w:lineRule="auto"/>
        <w:jc w:val="center"/>
        <w:rPr>
          <w:rFonts w:hint="eastAsia" w:ascii="仿宋_GB2312" w:hAnsi="仿宋_GB2312" w:eastAsia="仿宋_GB2312" w:cs="仿宋_GB2312"/>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
          <w:bCs w:val="0"/>
          <w:sz w:val="24"/>
          <w:szCs w:val="24"/>
          <w:u w:val="single"/>
        </w:rPr>
        <w:t>合同项目名称</w:t>
      </w: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footerReference r:id="rId7"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按****年**月**日形式据实填写</w:t>
      </w:r>
    </w:p>
    <w:p>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交货详细地址信息，除列明省市县/区外，</w:t>
      </w:r>
      <w:r>
        <w:rPr>
          <w:rFonts w:hint="eastAsia" w:ascii="仿宋_GB2312" w:eastAsia="仿宋_GB2312" w:hAnsiTheme="minorEastAsia" w:cstheme="minorEastAsia"/>
          <w:b/>
          <w:bCs/>
          <w:sz w:val="24"/>
          <w:szCs w:val="24"/>
          <w:u w:val="single"/>
          <w:lang w:val="en-US" w:eastAsia="zh-CN"/>
        </w:rPr>
        <w:t>应</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val="en-US" w:eastAsia="zh-CN"/>
        </w:rPr>
        <w:t>至不致产生歧义的</w:t>
      </w:r>
      <w:r>
        <w:rPr>
          <w:rFonts w:hint="eastAsia" w:ascii="仿宋_GB2312" w:eastAsia="仿宋_GB2312" w:hAnsiTheme="minorEastAsia" w:cstheme="minorEastAsia"/>
          <w:b/>
          <w:bCs/>
          <w:sz w:val="24"/>
          <w:szCs w:val="24"/>
          <w:u w:val="single"/>
        </w:rPr>
        <w:t>具体</w:t>
      </w:r>
      <w:r>
        <w:rPr>
          <w:rFonts w:hint="eastAsia" w:ascii="仿宋_GB2312" w:eastAsia="仿宋_GB2312" w:hAnsiTheme="minorEastAsia" w:cstheme="minorEastAsia"/>
          <w:b/>
          <w:bCs/>
          <w:sz w:val="24"/>
          <w:szCs w:val="24"/>
          <w:u w:val="single"/>
          <w:lang w:val="en-US" w:eastAsia="zh-CN"/>
        </w:rPr>
        <w:t>位置指向</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sz w:val="24"/>
          <w:szCs w:val="24"/>
        </w:rPr>
        <w:t xml:space="preserve">    </w:t>
      </w:r>
    </w:p>
    <w:p>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填写具体年月日。存在分批次到货情形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b/>
          <w:bCs/>
          <w:sz w:val="24"/>
          <w:szCs w:val="24"/>
          <w:u w:val="single"/>
          <w:lang w:eastAsia="zh-CN"/>
        </w:rPr>
        <w:t>。</w:t>
      </w:r>
    </w:p>
    <w:p>
      <w:pPr>
        <w:pStyle w:val="12"/>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rPr>
        <w:t>填写时长，单位</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日历日</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。存在分批次</w:t>
      </w:r>
      <w:r>
        <w:rPr>
          <w:rFonts w:hint="eastAsia" w:ascii="仿宋_GB2312" w:eastAsia="仿宋_GB2312" w:hAnsiTheme="minorEastAsia" w:cstheme="minorEastAsia"/>
          <w:b/>
          <w:bCs/>
          <w:sz w:val="24"/>
          <w:szCs w:val="24"/>
          <w:u w:val="single"/>
          <w:lang w:val="en-US" w:eastAsia="zh-CN"/>
        </w:rPr>
        <w:t>安装调试</w:t>
      </w:r>
      <w:r>
        <w:rPr>
          <w:rFonts w:hint="eastAsia" w:ascii="仿宋_GB2312" w:eastAsia="仿宋_GB2312" w:hAnsiTheme="minorEastAsia" w:cstheme="minorEastAsia"/>
          <w:b/>
          <w:bCs/>
          <w:sz w:val="24"/>
          <w:szCs w:val="24"/>
          <w:u w:val="single"/>
        </w:rPr>
        <w:t>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件数，不</w:t>
      </w:r>
      <w:r>
        <w:rPr>
          <w:rFonts w:hint="eastAsia" w:ascii="仿宋_GB2312" w:eastAsia="仿宋_GB2312" w:hAnsiTheme="minorEastAsia" w:cstheme="minorEastAsia"/>
          <w:b/>
          <w:bCs/>
          <w:sz w:val="24"/>
          <w:szCs w:val="24"/>
          <w:u w:val="single"/>
          <w:lang w:val="en-US" w:eastAsia="zh-CN"/>
        </w:rPr>
        <w:t>需要的</w:t>
      </w:r>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b/>
          <w:bCs/>
          <w:sz w:val="24"/>
          <w:szCs w:val="24"/>
          <w:u w:val="single"/>
          <w:lang w:val="en-US" w:eastAsia="zh-CN"/>
        </w:rPr>
        <w:t>此处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0</w:t>
      </w:r>
      <w:r>
        <w:rPr>
          <w:rFonts w:hint="eastAsia" w:ascii="仿宋_GB2312" w:eastAsia="仿宋_GB2312" w:hAnsiTheme="minorEastAsia" w:cstheme="minorEastAsia"/>
          <w:b/>
          <w:bCs/>
          <w:sz w:val="24"/>
          <w:szCs w:val="24"/>
          <w:u w:val="single"/>
          <w:lang w:eastAsia="zh-CN"/>
        </w:rPr>
        <w:t>”</w:t>
      </w:r>
      <w:r>
        <w:rPr>
          <w:rFonts w:ascii="仿宋_GB2312" w:eastAsia="仿宋_GB2312" w:hAnsiTheme="minorEastAsia" w:cstheme="minorEastAsia"/>
          <w:sz w:val="24"/>
          <w:szCs w:val="24"/>
        </w:rPr>
        <w:t>件，超出此数量部分由卖方提供，由此产生的相关费用由卖方承担。</w:t>
      </w:r>
    </w:p>
    <w:p>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pPr>
        <w:spacing w:line="360" w:lineRule="auto"/>
        <w:ind w:firstLine="480" w:firstLineChars="200"/>
        <w:rPr>
          <w:rFonts w:hint="eastAsia" w:ascii="仿宋_GB2312" w:hAnsi="黑体" w:eastAsia="仿宋_GB2312" w:cstheme="minorEastAsia"/>
          <w:b/>
          <w:bCs/>
          <w:sz w:val="24"/>
          <w:szCs w:val="24"/>
          <w:u w:val="single"/>
          <w:lang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b/>
          <w:bCs/>
          <w:sz w:val="24"/>
          <w:szCs w:val="24"/>
          <w:u w:val="single"/>
        </w:rPr>
        <w:t>填写</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转账</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财司内转</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三种方式</w:t>
      </w:r>
      <w:r>
        <w:rPr>
          <w:rFonts w:hint="eastAsia" w:ascii="仿宋_GB2312" w:hAnsi="黑体" w:eastAsia="仿宋_GB2312" w:cstheme="minorEastAsia"/>
          <w:b/>
          <w:bCs/>
          <w:sz w:val="24"/>
          <w:szCs w:val="24"/>
          <w:u w:val="single"/>
        </w:rPr>
        <w:t>任一种</w:t>
      </w:r>
      <w:r>
        <w:rPr>
          <w:rFonts w:hint="eastAsia" w:ascii="仿宋_GB2312" w:hAnsi="黑体" w:eastAsia="仿宋_GB2312" w:cstheme="minorEastAsia"/>
          <w:b/>
          <w:bCs/>
          <w:sz w:val="24"/>
          <w:szCs w:val="24"/>
          <w:u w:val="single"/>
          <w:lang w:eastAsia="zh-CN"/>
        </w:rPr>
        <w:t>。</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一</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及合同全额增值税专用发票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pPr>
        <w:spacing w:line="360" w:lineRule="auto"/>
        <w:ind w:firstLine="480" w:firstLineChars="200"/>
        <w:rPr>
          <w:rFonts w:hint="eastAsia"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pPr>
        <w:pStyle w:val="2"/>
        <w:widowControl w:val="0"/>
        <w:tabs>
          <w:tab w:val="right" w:leader="dot" w:pos="0"/>
          <w:tab w:val="right" w:leader="dot" w:pos="9061"/>
        </w:tabs>
        <w:spacing w:beforeLines="0" w:beforeAutospacing="0" w:afterLines="0" w:afterAutospacing="0" w:line="360" w:lineRule="auto"/>
        <w:ind w:left="0" w:firstLine="480" w:firstLineChars="200"/>
        <w:jc w:val="both"/>
        <w:outlineLvl w:val="0"/>
        <w:rPr>
          <w:rFonts w:hint="eastAsia" w:ascii="黑体" w:hAnsi="黑体" w:eastAsia="黑体" w:cs="黑体"/>
          <w:b w:val="0"/>
          <w:sz w:val="24"/>
        </w:rPr>
      </w:pPr>
      <w:r>
        <w:rPr>
          <w:rFonts w:hint="eastAsia" w:ascii="黑体" w:hAnsi="黑体" w:eastAsia="黑体" w:cs="黑体"/>
          <w:b w:val="0"/>
          <w:sz w:val="24"/>
          <w:szCs w:val="24"/>
        </w:rPr>
        <w:t>4.特殊约定</w:t>
      </w:r>
    </w:p>
    <w:p>
      <w:pPr>
        <w:spacing w:line="360" w:lineRule="auto"/>
        <w:ind w:firstLine="434" w:firstLineChars="200"/>
        <w:rPr>
          <w:rFonts w:hint="default" w:ascii="仿宋_GB2312" w:hAnsi="黑体" w:eastAsia="仿宋_GB2312" w:cstheme="minorEastAsia"/>
          <w:sz w:val="24"/>
          <w:szCs w:val="24"/>
          <w:u w:val="single"/>
          <w:lang w:val="en-US" w:eastAsia="zh-CN"/>
        </w:rPr>
      </w:pPr>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：4.1</w:t>
      </w:r>
      <w:r>
        <w:rPr>
          <w:rFonts w:hint="eastAsia" w:ascii="仿宋_GB2312" w:hAnsi="仿宋_GB2312" w:eastAsia="仿宋_GB2312" w:cs="仿宋_GB2312"/>
          <w:b/>
          <w:bCs/>
          <w:w w:val="90"/>
          <w:sz w:val="24"/>
          <w:szCs w:val="24"/>
          <w:u w:val="single"/>
          <w:lang w:val="en-US" w:eastAsia="zh-CN"/>
        </w:rPr>
        <w:t xml:space="preserve">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无</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专用条款、通用条款中需进行修改的部分应在此处予以体现</w:t>
      </w:r>
      <w:r>
        <w:rPr>
          <w:rFonts w:hint="eastAsia" w:ascii="仿宋_GB2312" w:eastAsia="仿宋_GB2312" w:hAnsiTheme="minorEastAsia" w:cstheme="minorEastAsia"/>
          <w:b/>
          <w:bCs/>
          <w:sz w:val="24"/>
          <w:szCs w:val="24"/>
          <w:u w:val="single"/>
          <w:lang w:eastAsia="zh-CN"/>
        </w:rPr>
        <w:t>。</w:t>
      </w:r>
    </w:p>
    <w:p>
      <w:pPr>
        <w:spacing w:line="360" w:lineRule="auto"/>
        <w:rPr>
          <w:rFonts w:ascii="宋体" w:hAnsi="宋体"/>
          <w:snapToGrid w:val="0"/>
          <w:kern w:val="0"/>
          <w:sz w:val="20"/>
          <w:szCs w:val="20"/>
          <w:lang w:eastAsia="zh-Hans"/>
        </w:rPr>
      </w:pPr>
    </w:p>
    <w:p>
      <w:pPr>
        <w:spacing w:line="360" w:lineRule="auto"/>
        <w:rPr>
          <w:rFonts w:ascii="宋体" w:hAnsi="宋体"/>
          <w:snapToGrid w:val="0"/>
          <w:kern w:val="0"/>
          <w:sz w:val="20"/>
          <w:szCs w:val="20"/>
          <w:lang w:eastAsia="zh-Hans"/>
        </w:rPr>
      </w:pPr>
    </w:p>
    <w:p>
      <w:pPr>
        <w:spacing w:line="360" w:lineRule="auto"/>
        <w:rPr>
          <w:rFonts w:ascii="宋体" w:hAnsi="宋体"/>
          <w:snapToGrid w:val="0"/>
          <w:kern w:val="0"/>
          <w:sz w:val="20"/>
          <w:szCs w:val="20"/>
          <w:lang w:eastAsia="zh-Hans"/>
        </w:rPr>
      </w:pPr>
    </w:p>
    <w:p>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8"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pPr>
        <w:pStyle w:val="2"/>
        <w:tabs>
          <w:tab w:val="right" w:leader="dot" w:pos="9061"/>
        </w:tabs>
        <w:ind w:left="0" w:firstLine="480" w:firstLineChars="200"/>
        <w:jc w:val="both"/>
        <w:rPr>
          <w:rFonts w:ascii="黑体" w:hAnsi="黑体" w:eastAsia="黑体" w:cs="黑体"/>
          <w:b w:val="0"/>
          <w:sz w:val="24"/>
          <w:szCs w:val="24"/>
        </w:rPr>
      </w:pPr>
      <w:bookmarkStart w:id="27" w:name="_Toc16330018"/>
      <w:bookmarkStart w:id="28" w:name="_Toc11930"/>
      <w:bookmarkStart w:id="29" w:name="_Toc11823"/>
      <w:bookmarkStart w:id="30" w:name="_Toc17619"/>
      <w:r>
        <w:rPr>
          <w:rFonts w:hint="eastAsia" w:ascii="黑体" w:hAnsi="黑体" w:eastAsia="黑体" w:cs="黑体"/>
          <w:b w:val="0"/>
          <w:sz w:val="24"/>
          <w:szCs w:val="24"/>
        </w:rPr>
        <w:t>1 合同设备</w:t>
      </w:r>
      <w:bookmarkEnd w:id="27"/>
      <w:bookmarkEnd w:id="28"/>
      <w:bookmarkEnd w:id="29"/>
      <w:bookmarkEnd w:id="30"/>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31" w:name="_Toc22800"/>
      <w:bookmarkStart w:id="32" w:name="_Toc32510"/>
      <w:bookmarkStart w:id="33" w:name="_Toc29026"/>
      <w:r>
        <w:rPr>
          <w:rFonts w:hint="eastAsia" w:ascii="仿宋_GB2312" w:hAnsi="仿宋_GB2312" w:eastAsia="仿宋_GB2312" w:cs="仿宋_GB2312"/>
          <w:sz w:val="24"/>
          <w:szCs w:val="24"/>
        </w:rPr>
        <w:t>本合同约定设备的技术规格详见附件二《技术协议书》。</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pPr>
        <w:pStyle w:val="2"/>
        <w:tabs>
          <w:tab w:val="right" w:leader="dot" w:pos="9061"/>
        </w:tabs>
        <w:ind w:left="0" w:firstLine="480" w:firstLineChars="200"/>
        <w:jc w:val="both"/>
        <w:rPr>
          <w:rFonts w:ascii="黑体" w:hAnsi="黑体" w:eastAsia="黑体" w:cs="黑体"/>
          <w:b w:val="0"/>
          <w:sz w:val="24"/>
          <w:szCs w:val="24"/>
        </w:rPr>
      </w:pPr>
      <w:bookmarkStart w:id="34" w:name="_Toc16330019"/>
      <w:r>
        <w:rPr>
          <w:rFonts w:hint="eastAsia" w:ascii="黑体" w:hAnsi="黑体" w:eastAsia="黑体" w:cs="黑体"/>
          <w:b w:val="0"/>
          <w:sz w:val="24"/>
          <w:szCs w:val="24"/>
        </w:rPr>
        <w:t>2 包装</w:t>
      </w:r>
      <w:bookmarkEnd w:id="31"/>
      <w:bookmarkEnd w:id="32"/>
      <w:bookmarkEnd w:id="33"/>
      <w:bookmarkEnd w:id="34"/>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pPr>
        <w:pStyle w:val="2"/>
        <w:tabs>
          <w:tab w:val="right" w:leader="dot" w:pos="9061"/>
        </w:tabs>
        <w:ind w:left="0" w:firstLine="480" w:firstLineChars="200"/>
        <w:jc w:val="both"/>
        <w:rPr>
          <w:rFonts w:ascii="黑体" w:hAnsi="黑体" w:eastAsia="黑体" w:cs="黑体"/>
          <w:b w:val="0"/>
          <w:sz w:val="24"/>
          <w:szCs w:val="24"/>
        </w:rPr>
      </w:pPr>
      <w:bookmarkStart w:id="35" w:name="_Toc16330020"/>
      <w:bookmarkStart w:id="36" w:name="_Toc2833"/>
      <w:bookmarkStart w:id="37" w:name="_Toc27453"/>
      <w:bookmarkStart w:id="38" w:name="_Toc27144"/>
      <w:r>
        <w:rPr>
          <w:rFonts w:hint="eastAsia" w:ascii="黑体" w:hAnsi="黑体" w:eastAsia="黑体" w:cs="黑体"/>
          <w:b w:val="0"/>
          <w:sz w:val="24"/>
          <w:szCs w:val="24"/>
        </w:rPr>
        <w:t>3 运输标记</w:t>
      </w:r>
      <w:bookmarkEnd w:id="35"/>
      <w:bookmarkEnd w:id="36"/>
      <w:bookmarkEnd w:id="37"/>
      <w:bookmarkEnd w:id="38"/>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2"/>
        <w:tabs>
          <w:tab w:val="right" w:leader="dot" w:pos="9061"/>
        </w:tabs>
        <w:ind w:left="0" w:firstLine="480" w:firstLineChars="200"/>
        <w:jc w:val="both"/>
        <w:rPr>
          <w:rFonts w:ascii="黑体" w:hAnsi="黑体" w:eastAsia="黑体" w:cs="黑体"/>
          <w:b w:val="0"/>
          <w:sz w:val="24"/>
          <w:szCs w:val="24"/>
        </w:rPr>
      </w:pPr>
      <w:bookmarkStart w:id="39" w:name="_Toc16330021"/>
      <w:bookmarkStart w:id="40" w:name="_Toc10630"/>
      <w:bookmarkStart w:id="41" w:name="_Toc16133"/>
      <w:bookmarkStart w:id="42" w:name="_Toc7431"/>
      <w:r>
        <w:rPr>
          <w:rFonts w:hint="eastAsia" w:ascii="黑体" w:hAnsi="黑体" w:eastAsia="黑体" w:cs="黑体"/>
          <w:b w:val="0"/>
          <w:sz w:val="24"/>
          <w:szCs w:val="24"/>
        </w:rPr>
        <w:t>4 检验</w:t>
      </w:r>
      <w:bookmarkEnd w:id="39"/>
      <w:bookmarkEnd w:id="40"/>
      <w:bookmarkEnd w:id="41"/>
      <w:bookmarkEnd w:id="42"/>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pPr>
        <w:pStyle w:val="2"/>
        <w:tabs>
          <w:tab w:val="right" w:leader="dot" w:pos="9061"/>
        </w:tabs>
        <w:ind w:left="0" w:firstLine="480" w:firstLineChars="200"/>
        <w:jc w:val="both"/>
        <w:rPr>
          <w:rFonts w:ascii="黑体" w:hAnsi="黑体" w:eastAsia="黑体" w:cs="黑体"/>
          <w:b w:val="0"/>
          <w:sz w:val="24"/>
          <w:szCs w:val="24"/>
        </w:rPr>
      </w:pPr>
      <w:bookmarkStart w:id="43" w:name="_Toc16330022"/>
      <w:bookmarkStart w:id="44" w:name="_Toc11217"/>
      <w:bookmarkStart w:id="45" w:name="_Toc24467"/>
      <w:bookmarkStart w:id="46" w:name="_Toc19850"/>
      <w:r>
        <w:rPr>
          <w:rFonts w:hint="eastAsia" w:ascii="黑体" w:hAnsi="黑体" w:eastAsia="黑体" w:cs="黑体"/>
          <w:b w:val="0"/>
          <w:sz w:val="24"/>
          <w:szCs w:val="24"/>
        </w:rPr>
        <w:t>5 权利担保</w:t>
      </w:r>
      <w:bookmarkEnd w:id="43"/>
      <w:bookmarkEnd w:id="44"/>
      <w:bookmarkEnd w:id="45"/>
      <w:bookmarkEnd w:id="46"/>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2"/>
        <w:tabs>
          <w:tab w:val="right" w:leader="dot" w:pos="9061"/>
        </w:tabs>
        <w:ind w:left="0" w:firstLine="480" w:firstLineChars="200"/>
        <w:jc w:val="both"/>
        <w:rPr>
          <w:rFonts w:ascii="黑体" w:hAnsi="黑体" w:eastAsia="黑体" w:cs="黑体"/>
          <w:b w:val="0"/>
          <w:sz w:val="24"/>
          <w:szCs w:val="24"/>
        </w:rPr>
      </w:pPr>
      <w:bookmarkStart w:id="47" w:name="_Toc16330023"/>
      <w:bookmarkStart w:id="48" w:name="_Toc11759"/>
      <w:bookmarkStart w:id="49" w:name="_Toc14809"/>
      <w:bookmarkStart w:id="50" w:name="_Toc27500"/>
      <w:r>
        <w:rPr>
          <w:rFonts w:hint="eastAsia" w:ascii="黑体" w:hAnsi="黑体" w:eastAsia="黑体" w:cs="黑体"/>
          <w:b w:val="0"/>
          <w:sz w:val="24"/>
          <w:szCs w:val="24"/>
        </w:rPr>
        <w:t>6 交货</w:t>
      </w:r>
      <w:bookmarkEnd w:id="47"/>
      <w:bookmarkEnd w:id="48"/>
      <w:bookmarkEnd w:id="49"/>
      <w:bookmarkEnd w:id="50"/>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2"/>
        <w:tabs>
          <w:tab w:val="right" w:leader="dot" w:pos="9061"/>
        </w:tabs>
        <w:ind w:left="0" w:firstLine="480" w:firstLineChars="200"/>
        <w:jc w:val="both"/>
        <w:rPr>
          <w:rFonts w:ascii="黑体" w:hAnsi="黑体" w:eastAsia="黑体" w:cs="黑体"/>
          <w:b w:val="0"/>
          <w:sz w:val="24"/>
          <w:szCs w:val="24"/>
        </w:rPr>
      </w:pPr>
      <w:bookmarkStart w:id="51" w:name="_Toc25510"/>
      <w:bookmarkStart w:id="52" w:name="_Toc2984"/>
      <w:bookmarkStart w:id="53" w:name="_Toc16330024"/>
      <w:bookmarkStart w:id="54" w:name="_Toc8024"/>
      <w:r>
        <w:rPr>
          <w:rFonts w:hint="eastAsia" w:ascii="黑体" w:hAnsi="黑体" w:eastAsia="黑体" w:cs="黑体"/>
          <w:b w:val="0"/>
          <w:sz w:val="24"/>
          <w:szCs w:val="24"/>
        </w:rPr>
        <w:t>7 安装、调试</w:t>
      </w:r>
      <w:bookmarkEnd w:id="51"/>
      <w:bookmarkEnd w:id="52"/>
      <w:bookmarkEnd w:id="53"/>
      <w:bookmarkEnd w:id="54"/>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pPr>
        <w:pStyle w:val="2"/>
        <w:tabs>
          <w:tab w:val="right" w:leader="dot" w:pos="9061"/>
        </w:tabs>
        <w:ind w:left="0" w:firstLine="480" w:firstLineChars="200"/>
        <w:jc w:val="both"/>
        <w:rPr>
          <w:rFonts w:ascii="黑体" w:hAnsi="黑体" w:eastAsia="黑体" w:cs="黑体"/>
          <w:b w:val="0"/>
          <w:sz w:val="24"/>
          <w:szCs w:val="24"/>
        </w:rPr>
      </w:pPr>
      <w:bookmarkStart w:id="55" w:name="_Toc16330025"/>
      <w:bookmarkStart w:id="56" w:name="_Toc14098"/>
      <w:bookmarkStart w:id="57" w:name="_Toc14260"/>
      <w:bookmarkStart w:id="58" w:name="_Toc6350"/>
      <w:r>
        <w:rPr>
          <w:rFonts w:hint="eastAsia" w:ascii="黑体" w:hAnsi="黑体" w:eastAsia="黑体" w:cs="黑体"/>
          <w:b w:val="0"/>
          <w:sz w:val="24"/>
          <w:szCs w:val="24"/>
        </w:rPr>
        <w:t>8 价款与支付</w:t>
      </w:r>
      <w:bookmarkEnd w:id="55"/>
      <w:bookmarkEnd w:id="56"/>
      <w:bookmarkEnd w:id="57"/>
      <w:bookmarkEnd w:id="58"/>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pPr>
        <w:pStyle w:val="2"/>
        <w:tabs>
          <w:tab w:val="right" w:leader="dot" w:pos="9061"/>
        </w:tabs>
        <w:ind w:left="0" w:firstLine="480" w:firstLineChars="200"/>
        <w:jc w:val="both"/>
        <w:rPr>
          <w:rFonts w:ascii="黑体" w:hAnsi="黑体" w:eastAsia="黑体" w:cs="黑体"/>
          <w:b w:val="0"/>
          <w:sz w:val="24"/>
          <w:szCs w:val="24"/>
        </w:rPr>
      </w:pPr>
      <w:bookmarkStart w:id="59" w:name="_Toc16330026"/>
      <w:bookmarkStart w:id="60" w:name="_Toc25708"/>
      <w:bookmarkStart w:id="61" w:name="_Toc6726"/>
      <w:bookmarkStart w:id="62" w:name="_Toc24085"/>
      <w:r>
        <w:rPr>
          <w:rFonts w:hint="eastAsia" w:ascii="黑体" w:hAnsi="黑体" w:eastAsia="黑体" w:cs="黑体"/>
          <w:b w:val="0"/>
          <w:sz w:val="24"/>
          <w:szCs w:val="24"/>
        </w:rPr>
        <w:t>9 质量保证及售后服务</w:t>
      </w:r>
      <w:bookmarkEnd w:id="59"/>
      <w:bookmarkEnd w:id="60"/>
      <w:bookmarkEnd w:id="61"/>
      <w:bookmarkEnd w:id="62"/>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pPr>
        <w:pStyle w:val="2"/>
        <w:tabs>
          <w:tab w:val="right" w:leader="dot" w:pos="9061"/>
        </w:tabs>
        <w:ind w:left="0" w:firstLine="480" w:firstLineChars="200"/>
        <w:jc w:val="both"/>
        <w:rPr>
          <w:rFonts w:hint="default" w:ascii="黑体" w:hAnsi="黑体" w:eastAsia="黑体" w:cs="黑体"/>
          <w:b w:val="0"/>
          <w:sz w:val="24"/>
          <w:szCs w:val="24"/>
          <w:lang w:val="en-US" w:eastAsia="zh-CN"/>
        </w:rPr>
      </w:pPr>
      <w:bookmarkStart w:id="63" w:name="_Toc16330027"/>
      <w:bookmarkStart w:id="64" w:name="_Toc15570"/>
      <w:bookmarkStart w:id="65" w:name="_Toc12927"/>
      <w:bookmarkStart w:id="66" w:name="_Toc10359"/>
      <w:r>
        <w:rPr>
          <w:rFonts w:hint="eastAsia" w:ascii="黑体" w:hAnsi="黑体" w:eastAsia="黑体" w:cs="黑体"/>
          <w:b w:val="0"/>
          <w:sz w:val="24"/>
          <w:szCs w:val="24"/>
        </w:rPr>
        <w:t>10法定责任</w:t>
      </w:r>
      <w:bookmarkEnd w:id="63"/>
      <w:bookmarkEnd w:id="64"/>
      <w:bookmarkEnd w:id="65"/>
      <w:bookmarkEnd w:id="66"/>
      <w:r>
        <w:rPr>
          <w:rFonts w:hint="eastAsia" w:ascii="黑体" w:hAnsi="黑体" w:eastAsia="黑体" w:cs="黑体"/>
          <w:b w:val="0"/>
          <w:sz w:val="24"/>
          <w:szCs w:val="24"/>
          <w:lang w:val="en-US" w:eastAsia="zh-CN"/>
        </w:rPr>
        <w:t>及合规责任</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pPr>
        <w:pStyle w:val="2"/>
        <w:tabs>
          <w:tab w:val="right" w:leader="dot" w:pos="9061"/>
        </w:tabs>
        <w:ind w:left="0" w:firstLine="480" w:firstLineChars="200"/>
        <w:jc w:val="both"/>
        <w:rPr>
          <w:rFonts w:ascii="黑体" w:hAnsi="黑体" w:eastAsia="黑体" w:cs="黑体"/>
          <w:b w:val="0"/>
          <w:sz w:val="24"/>
          <w:szCs w:val="24"/>
        </w:rPr>
      </w:pPr>
      <w:bookmarkStart w:id="67" w:name="_Toc9708"/>
      <w:bookmarkStart w:id="68" w:name="_Toc16330028"/>
      <w:bookmarkStart w:id="69" w:name="_Toc27314"/>
      <w:bookmarkStart w:id="70" w:name="_Toc30381"/>
      <w:r>
        <w:rPr>
          <w:rFonts w:hint="eastAsia" w:ascii="黑体" w:hAnsi="黑体" w:eastAsia="黑体" w:cs="黑体"/>
          <w:b w:val="0"/>
          <w:sz w:val="24"/>
          <w:szCs w:val="24"/>
        </w:rPr>
        <w:t>11 违约责任</w:t>
      </w:r>
      <w:bookmarkEnd w:id="67"/>
      <w:bookmarkEnd w:id="68"/>
      <w:bookmarkEnd w:id="69"/>
      <w:bookmarkEnd w:id="70"/>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2.3、2.4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pPr>
        <w:pStyle w:val="2"/>
        <w:tabs>
          <w:tab w:val="right" w:leader="dot" w:pos="9061"/>
        </w:tabs>
        <w:ind w:left="0" w:firstLine="480" w:firstLineChars="200"/>
        <w:jc w:val="both"/>
        <w:rPr>
          <w:rFonts w:ascii="黑体" w:hAnsi="黑体" w:eastAsia="黑体" w:cs="黑体"/>
          <w:b w:val="0"/>
          <w:sz w:val="24"/>
          <w:szCs w:val="24"/>
        </w:rPr>
      </w:pPr>
      <w:bookmarkStart w:id="71" w:name="_Toc1827"/>
      <w:bookmarkStart w:id="72" w:name="_Toc16330029"/>
      <w:bookmarkStart w:id="73" w:name="_Toc9172"/>
      <w:bookmarkStart w:id="74" w:name="_Toc31554"/>
      <w:r>
        <w:rPr>
          <w:rFonts w:hint="eastAsia" w:ascii="黑体" w:hAnsi="黑体" w:eastAsia="黑体" w:cs="黑体"/>
          <w:b w:val="0"/>
          <w:sz w:val="24"/>
          <w:szCs w:val="24"/>
        </w:rPr>
        <w:t>12 合同的终止与解除</w:t>
      </w:r>
      <w:bookmarkEnd w:id="71"/>
      <w:bookmarkEnd w:id="72"/>
      <w:bookmarkEnd w:id="73"/>
      <w:bookmarkEnd w:id="74"/>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pPr>
        <w:pStyle w:val="2"/>
        <w:tabs>
          <w:tab w:val="right" w:leader="dot" w:pos="9061"/>
        </w:tabs>
        <w:ind w:left="0" w:firstLine="480" w:firstLineChars="200"/>
        <w:jc w:val="both"/>
        <w:rPr>
          <w:rFonts w:ascii="黑体" w:hAnsi="黑体" w:eastAsia="黑体" w:cs="黑体"/>
          <w:b w:val="0"/>
          <w:sz w:val="24"/>
          <w:szCs w:val="24"/>
        </w:rPr>
      </w:pPr>
      <w:bookmarkStart w:id="75" w:name="_Toc8620"/>
      <w:bookmarkStart w:id="76" w:name="_Toc13671"/>
      <w:bookmarkStart w:id="77" w:name="_Toc31945"/>
      <w:bookmarkStart w:id="78" w:name="_Toc16330030"/>
      <w:r>
        <w:rPr>
          <w:rFonts w:hint="eastAsia" w:ascii="黑体" w:hAnsi="黑体" w:eastAsia="黑体" w:cs="黑体"/>
          <w:b w:val="0"/>
          <w:sz w:val="24"/>
          <w:szCs w:val="24"/>
        </w:rPr>
        <w:t>13 不可抗力</w:t>
      </w:r>
      <w:bookmarkEnd w:id="75"/>
      <w:bookmarkEnd w:id="76"/>
      <w:bookmarkEnd w:id="77"/>
      <w:bookmarkEnd w:id="78"/>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pPr>
        <w:pStyle w:val="2"/>
        <w:tabs>
          <w:tab w:val="right" w:leader="dot" w:pos="9061"/>
        </w:tabs>
        <w:ind w:left="0" w:firstLine="480" w:firstLineChars="200"/>
        <w:jc w:val="both"/>
        <w:rPr>
          <w:rFonts w:ascii="黑体" w:hAnsi="黑体" w:eastAsia="黑体" w:cs="黑体"/>
          <w:b w:val="0"/>
          <w:sz w:val="24"/>
          <w:szCs w:val="24"/>
        </w:rPr>
      </w:pPr>
      <w:bookmarkStart w:id="79" w:name="_Toc637"/>
      <w:bookmarkStart w:id="80" w:name="_Toc30389"/>
      <w:bookmarkStart w:id="81" w:name="_Toc31243"/>
      <w:bookmarkStart w:id="82" w:name="_Toc16330031"/>
      <w:r>
        <w:rPr>
          <w:rFonts w:hint="eastAsia" w:ascii="黑体" w:hAnsi="黑体" w:eastAsia="黑体" w:cs="黑体"/>
          <w:b w:val="0"/>
          <w:sz w:val="24"/>
          <w:szCs w:val="24"/>
        </w:rPr>
        <w:t>14 通讯</w:t>
      </w:r>
      <w:bookmarkEnd w:id="79"/>
      <w:bookmarkEnd w:id="80"/>
      <w:bookmarkEnd w:id="81"/>
      <w:bookmarkEnd w:id="82"/>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pPr>
        <w:pStyle w:val="2"/>
        <w:tabs>
          <w:tab w:val="right" w:leader="dot" w:pos="9061"/>
        </w:tabs>
        <w:ind w:left="0" w:firstLine="480" w:firstLineChars="200"/>
        <w:jc w:val="both"/>
        <w:rPr>
          <w:rFonts w:ascii="黑体" w:hAnsi="黑体" w:eastAsia="黑体" w:cs="黑体"/>
          <w:b w:val="0"/>
          <w:sz w:val="24"/>
          <w:szCs w:val="24"/>
        </w:rPr>
      </w:pPr>
      <w:bookmarkStart w:id="83" w:name="_Toc16330032"/>
      <w:bookmarkStart w:id="84" w:name="_Toc9915"/>
      <w:bookmarkStart w:id="85" w:name="_Toc12984"/>
      <w:bookmarkStart w:id="86" w:name="_Toc11290"/>
      <w:r>
        <w:rPr>
          <w:rFonts w:hint="eastAsia" w:ascii="黑体" w:hAnsi="黑体" w:eastAsia="黑体" w:cs="黑体"/>
          <w:b w:val="0"/>
          <w:sz w:val="24"/>
          <w:szCs w:val="24"/>
        </w:rPr>
        <w:t>15 适用法律及争议解决</w:t>
      </w:r>
      <w:bookmarkEnd w:id="83"/>
      <w:bookmarkEnd w:id="84"/>
      <w:bookmarkEnd w:id="85"/>
      <w:bookmarkEnd w:id="86"/>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2"/>
        <w:tabs>
          <w:tab w:val="right" w:leader="dot" w:pos="9061"/>
        </w:tabs>
        <w:ind w:left="0" w:firstLine="480" w:firstLineChars="200"/>
        <w:jc w:val="both"/>
        <w:rPr>
          <w:rFonts w:ascii="黑体" w:hAnsi="黑体" w:eastAsia="黑体" w:cs="黑体"/>
          <w:b w:val="0"/>
          <w:sz w:val="24"/>
          <w:szCs w:val="24"/>
        </w:rPr>
      </w:pPr>
      <w:bookmarkStart w:id="87" w:name="_Toc16330033"/>
      <w:bookmarkStart w:id="88" w:name="_Toc18207"/>
      <w:bookmarkStart w:id="89" w:name="_Toc23765"/>
      <w:bookmarkStart w:id="90" w:name="_Toc23906"/>
      <w:r>
        <w:rPr>
          <w:rFonts w:hint="eastAsia" w:ascii="黑体" w:hAnsi="黑体" w:eastAsia="黑体" w:cs="黑体"/>
          <w:b w:val="0"/>
          <w:sz w:val="24"/>
          <w:szCs w:val="24"/>
        </w:rPr>
        <w:t>16 附件</w:t>
      </w:r>
      <w:bookmarkEnd w:id="87"/>
      <w:bookmarkEnd w:id="88"/>
      <w:bookmarkEnd w:id="89"/>
      <w:bookmarkEnd w:id="90"/>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pPr>
        <w:pStyle w:val="2"/>
        <w:tabs>
          <w:tab w:val="right" w:leader="dot" w:pos="9061"/>
        </w:tabs>
        <w:ind w:left="0" w:firstLine="480" w:firstLineChars="200"/>
        <w:jc w:val="both"/>
        <w:rPr>
          <w:rFonts w:ascii="黑体" w:hAnsi="黑体" w:eastAsia="黑体" w:cs="黑体"/>
          <w:b w:val="0"/>
          <w:sz w:val="24"/>
          <w:szCs w:val="24"/>
        </w:rPr>
      </w:pPr>
      <w:bookmarkStart w:id="91" w:name="_Toc31331"/>
      <w:bookmarkStart w:id="92" w:name="_Toc17656"/>
      <w:bookmarkStart w:id="93" w:name="_Toc27202"/>
      <w:bookmarkStart w:id="94" w:name="_Toc16330034"/>
      <w:r>
        <w:rPr>
          <w:rFonts w:hint="eastAsia" w:ascii="黑体" w:hAnsi="黑体" w:eastAsia="黑体" w:cs="黑体"/>
          <w:b w:val="0"/>
          <w:sz w:val="24"/>
          <w:szCs w:val="24"/>
        </w:rPr>
        <w:t>17 其他规定</w:t>
      </w:r>
      <w:bookmarkEnd w:id="91"/>
      <w:bookmarkEnd w:id="92"/>
      <w:bookmarkEnd w:id="93"/>
      <w:bookmarkEnd w:id="94"/>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80" w:firstLineChars="200"/>
        <w:rPr>
          <w:rFonts w:ascii="仿宋_GB2312" w:hAnsi="仿宋_GB2312" w:eastAsia="仿宋_GB2312" w:cs="仿宋_GB2312"/>
          <w:sz w:val="24"/>
          <w:szCs w:val="24"/>
        </w:rPr>
      </w:pPr>
      <w:bookmarkStart w:id="95" w:name="_Toc19077"/>
      <w:bookmarkStart w:id="96" w:name="_Toc16330035"/>
      <w:bookmarkStart w:id="97" w:name="_Toc29136"/>
      <w:bookmarkStart w:id="98" w:name="_Toc17952"/>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95"/>
      <w:bookmarkEnd w:id="96"/>
      <w:bookmarkEnd w:id="97"/>
      <w:bookmarkEnd w:id="98"/>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w:t>
      </w:r>
      <w:r>
        <w:rPr>
          <w:rFonts w:hint="eastAsia" w:ascii="仿宋_GB2312" w:hAnsi="仿宋_GB2312" w:eastAsia="仿宋_GB2312" w:cs="仿宋_GB2312"/>
          <w:sz w:val="24"/>
        </w:rPr>
        <w:t>本合同所有的手写涂改、一方擅自增加、删改、篡改部分无效（个人手写签名除外）</w:t>
      </w:r>
      <w:r>
        <w:rPr>
          <w:rFonts w:hint="eastAsia" w:ascii="仿宋_GB2312" w:hAnsi="仿宋_GB2312" w:eastAsia="仿宋_GB2312" w:cs="仿宋_GB2312"/>
          <w:sz w:val="24"/>
          <w:szCs w:val="24"/>
        </w:rPr>
        <w:t>。</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pPr>
        <w:rPr>
          <w:highlight w:val="yellow"/>
        </w:rPr>
      </w:pPr>
      <w:r>
        <w:rPr>
          <w:rFonts w:hint="eastAsia" w:ascii="黑体" w:hAnsi="黑体" w:eastAsia="黑体" w:cstheme="minorEastAsia"/>
          <w:sz w:val="28"/>
          <w:szCs w:val="28"/>
        </w:rPr>
        <w:t>附件一：设备清单明细表【作为附件另附】</w:t>
      </w:r>
    </w:p>
    <w:tbl>
      <w:tblPr>
        <w:tblStyle w:val="3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pPr>
              <w:pStyle w:val="23"/>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pPr>
              <w:pStyle w:val="23"/>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pPr>
              <w:pStyle w:val="23"/>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pPr>
              <w:pStyle w:val="23"/>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pPr>
              <w:pStyle w:val="23"/>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pPr>
              <w:pStyle w:val="23"/>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pPr>
              <w:pStyle w:val="23"/>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pPr>
              <w:pStyle w:val="23"/>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pPr>
              <w:pStyle w:val="23"/>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pPr>
              <w:pStyle w:val="23"/>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pPr>
              <w:pStyle w:val="23"/>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pPr>
              <w:pStyle w:val="23"/>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pPr>
              <w:pStyle w:val="23"/>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pPr>
              <w:pStyle w:val="23"/>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pPr>
              <w:pStyle w:val="23"/>
              <w:spacing w:line="360" w:lineRule="auto"/>
              <w:ind w:left="0" w:firstLine="0" w:firstLineChars="0"/>
              <w:jc w:val="center"/>
              <w:rPr>
                <w:rFonts w:ascii="仿宋_GB2312" w:eastAsia="仿宋_GB2312" w:hAnsiTheme="minorEastAsia" w:cstheme="minorEastAsia"/>
              </w:rPr>
            </w:pPr>
          </w:p>
        </w:tc>
        <w:tc>
          <w:tcPr>
            <w:tcW w:w="790" w:type="dxa"/>
            <w:vAlign w:val="center"/>
          </w:tcPr>
          <w:p>
            <w:pPr>
              <w:pStyle w:val="23"/>
              <w:spacing w:line="360" w:lineRule="auto"/>
              <w:ind w:left="0" w:firstLine="0" w:firstLineChars="0"/>
              <w:jc w:val="center"/>
              <w:rPr>
                <w:rFonts w:ascii="仿宋_GB2312" w:eastAsia="仿宋_GB2312" w:hAnsiTheme="minorEastAsia" w:cstheme="minorEastAsia"/>
              </w:rPr>
            </w:pPr>
          </w:p>
        </w:tc>
        <w:tc>
          <w:tcPr>
            <w:tcW w:w="701" w:type="dxa"/>
            <w:vAlign w:val="center"/>
          </w:tcPr>
          <w:p>
            <w:pPr>
              <w:pStyle w:val="23"/>
              <w:spacing w:line="360" w:lineRule="auto"/>
              <w:ind w:left="0" w:firstLine="0" w:firstLineChars="0"/>
              <w:jc w:val="center"/>
              <w:rPr>
                <w:rFonts w:ascii="仿宋_GB2312" w:eastAsia="仿宋_GB2312" w:hAnsiTheme="minorEastAsia" w:cstheme="minorEastAsia"/>
              </w:rPr>
            </w:pPr>
          </w:p>
        </w:tc>
        <w:tc>
          <w:tcPr>
            <w:tcW w:w="1066" w:type="dxa"/>
            <w:vAlign w:val="center"/>
          </w:tcPr>
          <w:p>
            <w:pPr>
              <w:pStyle w:val="23"/>
              <w:spacing w:line="360" w:lineRule="auto"/>
              <w:ind w:left="0" w:firstLine="0" w:firstLineChars="0"/>
              <w:jc w:val="center"/>
              <w:rPr>
                <w:rFonts w:ascii="仿宋_GB2312" w:eastAsia="仿宋_GB2312" w:hAnsiTheme="minorEastAsia" w:cstheme="minorEastAsia"/>
              </w:rPr>
            </w:pPr>
          </w:p>
        </w:tc>
        <w:tc>
          <w:tcPr>
            <w:tcW w:w="1046" w:type="dxa"/>
            <w:vAlign w:val="center"/>
          </w:tcPr>
          <w:p>
            <w:pPr>
              <w:pStyle w:val="23"/>
              <w:spacing w:line="360" w:lineRule="auto"/>
              <w:ind w:left="0" w:firstLine="0" w:firstLineChars="0"/>
              <w:jc w:val="center"/>
              <w:rPr>
                <w:rFonts w:ascii="仿宋_GB2312" w:eastAsia="仿宋_GB2312" w:hAnsiTheme="minorEastAsia" w:cstheme="minorEastAsia"/>
              </w:rPr>
            </w:pPr>
          </w:p>
        </w:tc>
        <w:tc>
          <w:tcPr>
            <w:tcW w:w="977" w:type="dxa"/>
            <w:vAlign w:val="center"/>
          </w:tcPr>
          <w:p>
            <w:pPr>
              <w:pStyle w:val="23"/>
              <w:spacing w:line="360" w:lineRule="auto"/>
              <w:ind w:left="0" w:firstLine="0" w:firstLineChars="0"/>
              <w:jc w:val="center"/>
              <w:rPr>
                <w:rFonts w:ascii="仿宋_GB2312" w:eastAsia="仿宋_GB2312" w:hAnsiTheme="minorEastAsia" w:cstheme="minorEastAsia"/>
              </w:rPr>
            </w:pPr>
          </w:p>
        </w:tc>
        <w:tc>
          <w:tcPr>
            <w:tcW w:w="881" w:type="dxa"/>
            <w:vAlign w:val="center"/>
          </w:tcPr>
          <w:p>
            <w:pPr>
              <w:pStyle w:val="23"/>
              <w:spacing w:line="360" w:lineRule="auto"/>
              <w:ind w:left="0" w:firstLine="0" w:firstLineChars="0"/>
              <w:jc w:val="center"/>
              <w:rPr>
                <w:rFonts w:ascii="仿宋_GB2312" w:eastAsia="仿宋_GB2312" w:hAnsiTheme="minorEastAsia" w:cstheme="minorEastAsia"/>
              </w:rPr>
            </w:pPr>
          </w:p>
        </w:tc>
        <w:tc>
          <w:tcPr>
            <w:tcW w:w="997" w:type="dxa"/>
            <w:vAlign w:val="center"/>
          </w:tcPr>
          <w:p>
            <w:pPr>
              <w:pStyle w:val="23"/>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23"/>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23"/>
              <w:spacing w:line="360" w:lineRule="auto"/>
              <w:ind w:left="0" w:firstLine="0" w:firstLineChars="0"/>
              <w:jc w:val="center"/>
              <w:rPr>
                <w:rFonts w:ascii="仿宋_GB2312" w:eastAsia="仿宋_GB2312"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pPr>
              <w:pStyle w:val="23"/>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pPr>
              <w:pStyle w:val="23"/>
              <w:spacing w:line="360" w:lineRule="auto"/>
              <w:ind w:left="0" w:firstLine="0" w:firstLineChars="0"/>
              <w:jc w:val="center"/>
              <w:rPr>
                <w:rFonts w:ascii="仿宋_GB2312" w:eastAsia="仿宋_GB2312" w:hAnsiTheme="minorEastAsia" w:cstheme="minorEastAsia"/>
              </w:rPr>
            </w:pPr>
          </w:p>
        </w:tc>
        <w:tc>
          <w:tcPr>
            <w:tcW w:w="790" w:type="dxa"/>
            <w:vAlign w:val="center"/>
          </w:tcPr>
          <w:p>
            <w:pPr>
              <w:pStyle w:val="23"/>
              <w:spacing w:line="360" w:lineRule="auto"/>
              <w:ind w:left="0" w:firstLine="0" w:firstLineChars="0"/>
              <w:jc w:val="center"/>
              <w:rPr>
                <w:rFonts w:ascii="仿宋_GB2312" w:eastAsia="仿宋_GB2312" w:hAnsiTheme="minorEastAsia" w:cstheme="minorEastAsia"/>
              </w:rPr>
            </w:pPr>
          </w:p>
        </w:tc>
        <w:tc>
          <w:tcPr>
            <w:tcW w:w="701" w:type="dxa"/>
            <w:vAlign w:val="center"/>
          </w:tcPr>
          <w:p>
            <w:pPr>
              <w:pStyle w:val="23"/>
              <w:spacing w:line="360" w:lineRule="auto"/>
              <w:ind w:left="0" w:firstLine="0" w:firstLineChars="0"/>
              <w:jc w:val="center"/>
              <w:rPr>
                <w:rFonts w:ascii="仿宋_GB2312" w:eastAsia="仿宋_GB2312" w:hAnsiTheme="minorEastAsia" w:cstheme="minorEastAsia"/>
              </w:rPr>
            </w:pPr>
          </w:p>
        </w:tc>
        <w:tc>
          <w:tcPr>
            <w:tcW w:w="1066" w:type="dxa"/>
            <w:vAlign w:val="center"/>
          </w:tcPr>
          <w:p>
            <w:pPr>
              <w:pStyle w:val="23"/>
              <w:spacing w:line="360" w:lineRule="auto"/>
              <w:ind w:left="0" w:firstLine="0" w:firstLineChars="0"/>
              <w:jc w:val="center"/>
              <w:rPr>
                <w:rFonts w:ascii="仿宋_GB2312" w:eastAsia="仿宋_GB2312" w:hAnsiTheme="minorEastAsia" w:cstheme="minorEastAsia"/>
              </w:rPr>
            </w:pPr>
          </w:p>
        </w:tc>
        <w:tc>
          <w:tcPr>
            <w:tcW w:w="1046" w:type="dxa"/>
            <w:vAlign w:val="center"/>
          </w:tcPr>
          <w:p>
            <w:pPr>
              <w:pStyle w:val="23"/>
              <w:spacing w:line="360" w:lineRule="auto"/>
              <w:ind w:left="0" w:firstLine="0" w:firstLineChars="0"/>
              <w:jc w:val="center"/>
              <w:rPr>
                <w:rFonts w:ascii="仿宋_GB2312" w:eastAsia="仿宋_GB2312" w:hAnsiTheme="minorEastAsia" w:cstheme="minorEastAsia"/>
              </w:rPr>
            </w:pPr>
          </w:p>
        </w:tc>
        <w:tc>
          <w:tcPr>
            <w:tcW w:w="977" w:type="dxa"/>
            <w:vAlign w:val="center"/>
          </w:tcPr>
          <w:p>
            <w:pPr>
              <w:pStyle w:val="23"/>
              <w:spacing w:line="360" w:lineRule="auto"/>
              <w:ind w:left="0" w:firstLine="0" w:firstLineChars="0"/>
              <w:jc w:val="center"/>
              <w:rPr>
                <w:rFonts w:ascii="仿宋_GB2312" w:eastAsia="仿宋_GB2312" w:hAnsiTheme="minorEastAsia" w:cstheme="minorEastAsia"/>
              </w:rPr>
            </w:pPr>
          </w:p>
        </w:tc>
        <w:tc>
          <w:tcPr>
            <w:tcW w:w="881" w:type="dxa"/>
            <w:vAlign w:val="center"/>
          </w:tcPr>
          <w:p>
            <w:pPr>
              <w:pStyle w:val="23"/>
              <w:spacing w:line="360" w:lineRule="auto"/>
              <w:ind w:left="0" w:firstLine="0" w:firstLineChars="0"/>
              <w:jc w:val="center"/>
              <w:rPr>
                <w:rFonts w:ascii="仿宋_GB2312" w:eastAsia="仿宋_GB2312" w:hAnsiTheme="minorEastAsia" w:cstheme="minorEastAsia"/>
              </w:rPr>
            </w:pPr>
          </w:p>
        </w:tc>
        <w:tc>
          <w:tcPr>
            <w:tcW w:w="997" w:type="dxa"/>
            <w:vAlign w:val="center"/>
          </w:tcPr>
          <w:p>
            <w:pPr>
              <w:pStyle w:val="23"/>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23"/>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23"/>
              <w:spacing w:line="360" w:lineRule="auto"/>
              <w:ind w:left="0" w:firstLine="0" w:firstLineChars="0"/>
              <w:jc w:val="center"/>
              <w:rPr>
                <w:rFonts w:ascii="仿宋_GB2312" w:eastAsia="仿宋_GB2312"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pPr>
              <w:pStyle w:val="23"/>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pPr>
              <w:pStyle w:val="23"/>
              <w:spacing w:line="360" w:lineRule="auto"/>
              <w:ind w:left="0" w:firstLine="0" w:firstLineChars="0"/>
              <w:jc w:val="center"/>
              <w:rPr>
                <w:rFonts w:ascii="仿宋_GB2312" w:eastAsia="仿宋_GB2312" w:hAnsiTheme="minorEastAsia" w:cstheme="minorEastAsia"/>
              </w:rPr>
            </w:pPr>
          </w:p>
        </w:tc>
        <w:tc>
          <w:tcPr>
            <w:tcW w:w="790" w:type="dxa"/>
            <w:vAlign w:val="center"/>
          </w:tcPr>
          <w:p>
            <w:pPr>
              <w:pStyle w:val="23"/>
              <w:spacing w:line="360" w:lineRule="auto"/>
              <w:ind w:left="0" w:firstLine="0" w:firstLineChars="0"/>
              <w:jc w:val="center"/>
              <w:rPr>
                <w:rFonts w:ascii="仿宋_GB2312" w:eastAsia="仿宋_GB2312" w:hAnsiTheme="minorEastAsia" w:cstheme="minorEastAsia"/>
              </w:rPr>
            </w:pPr>
          </w:p>
        </w:tc>
        <w:tc>
          <w:tcPr>
            <w:tcW w:w="701" w:type="dxa"/>
            <w:vAlign w:val="center"/>
          </w:tcPr>
          <w:p>
            <w:pPr>
              <w:pStyle w:val="23"/>
              <w:spacing w:line="360" w:lineRule="auto"/>
              <w:ind w:left="0" w:firstLine="0" w:firstLineChars="0"/>
              <w:jc w:val="center"/>
              <w:rPr>
                <w:rFonts w:ascii="仿宋_GB2312" w:eastAsia="仿宋_GB2312" w:hAnsiTheme="minorEastAsia" w:cstheme="minorEastAsia"/>
              </w:rPr>
            </w:pPr>
          </w:p>
        </w:tc>
        <w:tc>
          <w:tcPr>
            <w:tcW w:w="1066" w:type="dxa"/>
            <w:vAlign w:val="center"/>
          </w:tcPr>
          <w:p>
            <w:pPr>
              <w:pStyle w:val="23"/>
              <w:spacing w:line="360" w:lineRule="auto"/>
              <w:ind w:left="0" w:firstLine="0" w:firstLineChars="0"/>
              <w:jc w:val="center"/>
              <w:rPr>
                <w:rFonts w:ascii="仿宋_GB2312" w:eastAsia="仿宋_GB2312" w:hAnsiTheme="minorEastAsia" w:cstheme="minorEastAsia"/>
              </w:rPr>
            </w:pPr>
          </w:p>
        </w:tc>
        <w:tc>
          <w:tcPr>
            <w:tcW w:w="1046" w:type="dxa"/>
            <w:vAlign w:val="center"/>
          </w:tcPr>
          <w:p>
            <w:pPr>
              <w:pStyle w:val="23"/>
              <w:spacing w:line="360" w:lineRule="auto"/>
              <w:ind w:left="0" w:firstLine="0" w:firstLineChars="0"/>
              <w:jc w:val="center"/>
              <w:rPr>
                <w:rFonts w:ascii="仿宋_GB2312" w:eastAsia="仿宋_GB2312" w:hAnsiTheme="minorEastAsia" w:cstheme="minorEastAsia"/>
              </w:rPr>
            </w:pPr>
          </w:p>
        </w:tc>
        <w:tc>
          <w:tcPr>
            <w:tcW w:w="977" w:type="dxa"/>
            <w:vAlign w:val="center"/>
          </w:tcPr>
          <w:p>
            <w:pPr>
              <w:pStyle w:val="23"/>
              <w:spacing w:line="360" w:lineRule="auto"/>
              <w:ind w:left="0" w:firstLine="0" w:firstLineChars="0"/>
              <w:jc w:val="center"/>
              <w:rPr>
                <w:rFonts w:ascii="仿宋_GB2312" w:eastAsia="仿宋_GB2312" w:hAnsiTheme="minorEastAsia" w:cstheme="minorEastAsia"/>
              </w:rPr>
            </w:pPr>
          </w:p>
        </w:tc>
        <w:tc>
          <w:tcPr>
            <w:tcW w:w="881" w:type="dxa"/>
            <w:vAlign w:val="center"/>
          </w:tcPr>
          <w:p>
            <w:pPr>
              <w:pStyle w:val="23"/>
              <w:spacing w:line="360" w:lineRule="auto"/>
              <w:ind w:left="0" w:firstLine="0" w:firstLineChars="0"/>
              <w:jc w:val="center"/>
              <w:rPr>
                <w:rFonts w:ascii="仿宋_GB2312" w:eastAsia="仿宋_GB2312" w:hAnsiTheme="minorEastAsia" w:cstheme="minorEastAsia"/>
              </w:rPr>
            </w:pPr>
          </w:p>
        </w:tc>
        <w:tc>
          <w:tcPr>
            <w:tcW w:w="997" w:type="dxa"/>
            <w:vAlign w:val="center"/>
          </w:tcPr>
          <w:p>
            <w:pPr>
              <w:pStyle w:val="23"/>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23"/>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23"/>
              <w:spacing w:line="360" w:lineRule="auto"/>
              <w:ind w:left="0" w:firstLine="0" w:firstLineChars="0"/>
              <w:jc w:val="center"/>
              <w:rPr>
                <w:rFonts w:ascii="仿宋_GB2312" w:eastAsia="仿宋_GB2312"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pPr>
              <w:pStyle w:val="23"/>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pPr>
              <w:pStyle w:val="23"/>
              <w:spacing w:line="360" w:lineRule="auto"/>
              <w:ind w:left="0" w:firstLine="0" w:firstLineChars="0"/>
              <w:jc w:val="center"/>
              <w:rPr>
                <w:rFonts w:ascii="仿宋_GB2312" w:eastAsia="仿宋_GB2312" w:hAnsiTheme="minorEastAsia" w:cstheme="minorEastAsia"/>
              </w:rPr>
            </w:pPr>
          </w:p>
        </w:tc>
        <w:tc>
          <w:tcPr>
            <w:tcW w:w="790" w:type="dxa"/>
            <w:vAlign w:val="center"/>
          </w:tcPr>
          <w:p>
            <w:pPr>
              <w:pStyle w:val="23"/>
              <w:spacing w:line="360" w:lineRule="auto"/>
              <w:ind w:left="0" w:firstLine="0" w:firstLineChars="0"/>
              <w:jc w:val="center"/>
              <w:rPr>
                <w:rFonts w:ascii="仿宋_GB2312" w:eastAsia="仿宋_GB2312" w:hAnsiTheme="minorEastAsia" w:cstheme="minorEastAsia"/>
              </w:rPr>
            </w:pPr>
          </w:p>
        </w:tc>
        <w:tc>
          <w:tcPr>
            <w:tcW w:w="701" w:type="dxa"/>
            <w:vAlign w:val="center"/>
          </w:tcPr>
          <w:p>
            <w:pPr>
              <w:pStyle w:val="23"/>
              <w:spacing w:line="360" w:lineRule="auto"/>
              <w:ind w:left="0" w:firstLine="0" w:firstLineChars="0"/>
              <w:jc w:val="center"/>
              <w:rPr>
                <w:rFonts w:ascii="仿宋_GB2312" w:eastAsia="仿宋_GB2312" w:hAnsiTheme="minorEastAsia" w:cstheme="minorEastAsia"/>
              </w:rPr>
            </w:pPr>
          </w:p>
        </w:tc>
        <w:tc>
          <w:tcPr>
            <w:tcW w:w="1066" w:type="dxa"/>
            <w:vAlign w:val="center"/>
          </w:tcPr>
          <w:p>
            <w:pPr>
              <w:pStyle w:val="23"/>
              <w:spacing w:line="360" w:lineRule="auto"/>
              <w:ind w:left="0" w:firstLine="0" w:firstLineChars="0"/>
              <w:jc w:val="center"/>
              <w:rPr>
                <w:rFonts w:ascii="仿宋_GB2312" w:eastAsia="仿宋_GB2312" w:hAnsiTheme="minorEastAsia" w:cstheme="minorEastAsia"/>
              </w:rPr>
            </w:pPr>
          </w:p>
        </w:tc>
        <w:tc>
          <w:tcPr>
            <w:tcW w:w="1046" w:type="dxa"/>
            <w:vAlign w:val="center"/>
          </w:tcPr>
          <w:p>
            <w:pPr>
              <w:spacing w:line="360" w:lineRule="auto"/>
              <w:jc w:val="center"/>
              <w:rPr>
                <w:rFonts w:ascii="仿宋_GB2312" w:eastAsia="仿宋_GB2312" w:hAnsiTheme="minorEastAsia" w:cstheme="minorEastAsia"/>
              </w:rPr>
            </w:pPr>
          </w:p>
        </w:tc>
        <w:tc>
          <w:tcPr>
            <w:tcW w:w="977" w:type="dxa"/>
            <w:vAlign w:val="center"/>
          </w:tcPr>
          <w:p>
            <w:pPr>
              <w:spacing w:line="360" w:lineRule="auto"/>
              <w:jc w:val="center"/>
              <w:rPr>
                <w:rFonts w:ascii="仿宋_GB2312" w:eastAsia="仿宋_GB2312" w:hAnsiTheme="minorEastAsia" w:cstheme="minorEastAsia"/>
              </w:rPr>
            </w:pPr>
          </w:p>
        </w:tc>
        <w:tc>
          <w:tcPr>
            <w:tcW w:w="881" w:type="dxa"/>
            <w:vAlign w:val="center"/>
          </w:tcPr>
          <w:p>
            <w:pPr>
              <w:spacing w:line="360" w:lineRule="auto"/>
              <w:jc w:val="center"/>
              <w:rPr>
                <w:rFonts w:ascii="仿宋_GB2312" w:eastAsia="仿宋_GB2312" w:hAnsiTheme="minorEastAsia" w:cstheme="minorEastAsia"/>
              </w:rPr>
            </w:pPr>
          </w:p>
        </w:tc>
        <w:tc>
          <w:tcPr>
            <w:tcW w:w="997" w:type="dxa"/>
            <w:vAlign w:val="center"/>
          </w:tcPr>
          <w:p>
            <w:pPr>
              <w:spacing w:line="360" w:lineRule="auto"/>
              <w:jc w:val="center"/>
              <w:rPr>
                <w:rFonts w:ascii="仿宋_GB2312" w:eastAsia="仿宋_GB2312" w:hAnsiTheme="minorEastAsia" w:cstheme="minorEastAsia"/>
              </w:rPr>
            </w:pPr>
          </w:p>
        </w:tc>
        <w:tc>
          <w:tcPr>
            <w:tcW w:w="677" w:type="dxa"/>
            <w:vAlign w:val="center"/>
          </w:tcPr>
          <w:p>
            <w:pPr>
              <w:spacing w:line="360" w:lineRule="auto"/>
              <w:jc w:val="center"/>
              <w:rPr>
                <w:rFonts w:ascii="仿宋_GB2312" w:eastAsia="仿宋_GB2312" w:hAnsiTheme="minorEastAsia" w:cstheme="minorEastAsia"/>
              </w:rPr>
            </w:pPr>
          </w:p>
        </w:tc>
        <w:tc>
          <w:tcPr>
            <w:tcW w:w="677" w:type="dxa"/>
            <w:vAlign w:val="center"/>
          </w:tcPr>
          <w:p>
            <w:pPr>
              <w:spacing w:line="360" w:lineRule="auto"/>
              <w:jc w:val="center"/>
              <w:rPr>
                <w:rFonts w:ascii="仿宋_GB2312" w:eastAsia="仿宋_GB2312" w:hAnsiTheme="minorEastAsia" w:cstheme="minorEastAsia"/>
              </w:rPr>
            </w:pPr>
          </w:p>
        </w:tc>
      </w:tr>
    </w:tbl>
    <w:p>
      <w:pPr>
        <w:pStyle w:val="2"/>
        <w:tabs>
          <w:tab w:val="right" w:leader="dot" w:pos="9061"/>
        </w:tabs>
        <w:ind w:left="0"/>
        <w:jc w:val="both"/>
        <w:rPr>
          <w:rFonts w:asciiTheme="minorEastAsia" w:hAnsiTheme="minorEastAsia" w:eastAsiaTheme="minorEastAsia" w:cstheme="minorEastAsia"/>
          <w:sz w:val="20"/>
        </w:rPr>
      </w:pPr>
    </w:p>
    <w:p>
      <w:pPr>
        <w:rPr>
          <w:rFonts w:asciiTheme="minorEastAsia" w:hAnsiTheme="minorEastAsia" w:eastAsia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val="en-US" w:eastAsia="zh-Hans"/>
        </w:rPr>
      </w:pPr>
      <w:r>
        <w:rPr>
          <w:rFonts w:hint="eastAsia" w:ascii="黑体" w:hAnsi="黑体" w:eastAsia="黑体" w:cstheme="minorEastAsia"/>
          <w:sz w:val="28"/>
          <w:szCs w:val="28"/>
        </w:rPr>
        <w:t>作为附件另附</w:t>
      </w:r>
    </w:p>
    <w:bookmarkEnd w:id="26"/>
    <w:p>
      <w:pPr>
        <w:rPr>
          <w:rFonts w:hint="eastAsia"/>
        </w:rPr>
      </w:pPr>
      <w:bookmarkStart w:id="99" w:name="_Toc47976615"/>
      <w:r>
        <w:rPr>
          <w:rFonts w:hint="eastAsia"/>
        </w:rPr>
        <w:br w:type="page"/>
      </w:r>
    </w:p>
    <w:p>
      <w:pPr>
        <w:pStyle w:val="72"/>
        <w:rPr>
          <w:rFonts w:ascii="黑体" w:hAnsi="Calibri" w:eastAsia="黑体" w:cs="Times New Roman"/>
          <w:color w:val="000000"/>
          <w:sz w:val="24"/>
          <w:szCs w:val="24"/>
        </w:rPr>
      </w:pPr>
      <w:bookmarkStart w:id="100" w:name="_Toc16500"/>
      <w:r>
        <w:rPr>
          <w:rFonts w:hint="eastAsia"/>
        </w:rPr>
        <w:t>第四部分　</w:t>
      </w:r>
      <w:bookmarkEnd w:id="99"/>
      <w:r>
        <w:rPr>
          <w:rFonts w:hint="eastAsia"/>
          <w:lang w:val="en-US" w:eastAsia="zh-CN"/>
        </w:rPr>
        <w:t>投标文件附件</w:t>
      </w:r>
      <w:bookmarkEnd w:id="100"/>
    </w:p>
    <w:p>
      <w:pPr>
        <w:jc w:val="both"/>
        <w:rPr>
          <w:rFonts w:ascii="宋体"/>
          <w:b/>
          <w:color w:val="000000"/>
          <w:szCs w:val="24"/>
        </w:rPr>
      </w:pPr>
    </w:p>
    <w:p>
      <w:pPr>
        <w:pStyle w:val="16"/>
      </w:pPr>
    </w:p>
    <w:p>
      <w:pPr>
        <w:pStyle w:val="73"/>
        <w:numPr>
          <w:ilvl w:val="0"/>
          <w:numId w:val="0"/>
        </w:numPr>
        <w:ind w:leftChars="0"/>
        <w:outlineLvl w:val="1"/>
        <w:rPr>
          <w:rFonts w:hint="default" w:ascii="宋体" w:hAnsi="宋体" w:eastAsia="宋体" w:cs="宋体"/>
          <w:sz w:val="32"/>
          <w:szCs w:val="32"/>
          <w:highlight w:val="yellow"/>
          <w:lang w:val="en-US" w:eastAsia="zh-CN"/>
        </w:rPr>
      </w:pPr>
      <w:bookmarkStart w:id="101" w:name="_Toc47976618"/>
      <w:bookmarkStart w:id="102" w:name="_Toc29366865"/>
      <w:bookmarkStart w:id="103" w:name="_Toc29366869"/>
      <w:r>
        <w:rPr>
          <w:rFonts w:hint="eastAsia" w:ascii="宋体" w:hAnsi="宋体" w:eastAsia="宋体" w:cs="宋体"/>
          <w:sz w:val="32"/>
          <w:szCs w:val="32"/>
          <w:highlight w:val="none"/>
          <w:lang w:val="en-US" w:eastAsia="zh-CN"/>
        </w:rPr>
        <w:t>附件1 法定代表人授权委托书</w:t>
      </w:r>
    </w:p>
    <w:bookmarkEnd w:id="101"/>
    <w:p>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highlight w:val="none"/>
          <w:u w:val="single"/>
          <w:lang w:val="en-US" w:eastAsia="zh-CN"/>
        </w:rPr>
        <w:t xml:space="preserve"> 济南卡车制造公司党家庄厂区空压站冷却塔更新技改项目  </w:t>
      </w:r>
      <w:r>
        <w:rPr>
          <w:rFonts w:hint="eastAsia" w:ascii="宋体" w:hAnsi="宋体" w:eastAsia="宋体" w:cs="Times New Roman"/>
          <w:color w:val="000000"/>
          <w:sz w:val="24"/>
          <w:szCs w:val="24"/>
          <w:highlight w:val="none"/>
        </w:rPr>
        <w:t>现授权委托</w:t>
      </w:r>
      <w:r>
        <w:rPr>
          <w:rFonts w:hint="eastAsia" w:ascii="宋体" w:hAnsi="宋体" w:eastAsia="宋体" w:cs="Times New Roman"/>
          <w:color w:val="000000"/>
          <w:sz w:val="24"/>
          <w:szCs w:val="24"/>
        </w:rPr>
        <w:t>＿＿＿＿＿＿（单位名称）的＿＿＿＿＿＿＿＿（姓名、职务）为我公司全权代表，全权代表在投标文件、评标过程中的书面承诺、合同等所签署的一切文件和处理与之有关的一切事务，我均予以承认。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spacing w:line="460" w:lineRule="exact"/>
        <w:ind w:firstLine="5520" w:firstLineChars="2300"/>
        <w:rPr>
          <w:rFonts w:ascii="宋体" w:hAnsi="Calibri" w:eastAsia="宋体" w:cs="Times New Roman"/>
          <w:sz w:val="24"/>
          <w:szCs w:val="20"/>
          <w:u w:val="single"/>
        </w:rPr>
      </w:pPr>
    </w:p>
    <w:p>
      <w:pPr>
        <w:pStyle w:val="16"/>
        <w:rPr>
          <w:rFonts w:ascii="Calibri" w:hAnsi="Calibri" w:eastAsia="黑体" w:cs="Times New Roman"/>
          <w:b/>
          <w:bCs/>
          <w:color w:val="000000"/>
          <w:sz w:val="28"/>
          <w:szCs w:val="20"/>
        </w:rPr>
        <w:sectPr>
          <w:footerReference r:id="rId11" w:type="first"/>
          <w:headerReference r:id="rId9" w:type="default"/>
          <w:footerReference r:id="rId10" w:type="default"/>
          <w:pgSz w:w="11906" w:h="16838"/>
          <w:pgMar w:top="1588" w:right="1418" w:bottom="1134" w:left="1418" w:header="851" w:footer="992" w:gutter="0"/>
          <w:cols w:space="720" w:num="1"/>
          <w:titlePg/>
          <w:docGrid w:type="lines" w:linePitch="312" w:charSpace="0"/>
        </w:sectPr>
      </w:pPr>
    </w:p>
    <w:bookmarkEnd w:id="102"/>
    <w:bookmarkEnd w:id="103"/>
    <w:p>
      <w:pPr>
        <w:pStyle w:val="73"/>
        <w:numPr>
          <w:ilvl w:val="0"/>
          <w:numId w:val="0"/>
        </w:numPr>
        <w:ind w:leftChars="0"/>
        <w:rPr>
          <w:rFonts w:hint="default" w:ascii="宋体" w:hAnsi="宋体" w:eastAsia="宋体" w:cs="宋体"/>
          <w:sz w:val="32"/>
          <w:szCs w:val="32"/>
          <w:highlight w:val="none"/>
          <w:lang w:val="en-US" w:eastAsia="zh-CN"/>
        </w:rPr>
      </w:pPr>
      <w:r>
        <w:rPr>
          <w:rFonts w:hint="default" w:ascii="宋体" w:hAnsi="宋体" w:eastAsia="宋体" w:cs="宋体"/>
          <w:sz w:val="32"/>
          <w:szCs w:val="32"/>
          <w:highlight w:val="none"/>
          <w:lang w:val="en-US" w:eastAsia="zh-CN"/>
        </w:rPr>
        <w:t>附件</w:t>
      </w:r>
      <w:r>
        <w:rPr>
          <w:rFonts w:hint="eastAsia" w:ascii="宋体" w:hAnsi="宋体" w:eastAsia="宋体" w:cs="宋体"/>
          <w:sz w:val="32"/>
          <w:szCs w:val="32"/>
          <w:highlight w:val="none"/>
          <w:lang w:val="en-US" w:eastAsia="zh-CN"/>
        </w:rPr>
        <w:t>2</w:t>
      </w:r>
      <w:r>
        <w:rPr>
          <w:rFonts w:hint="default" w:ascii="宋体" w:hAnsi="宋体" w:eastAsia="宋体" w:cs="宋体"/>
          <w:sz w:val="32"/>
          <w:szCs w:val="32"/>
          <w:highlight w:val="none"/>
          <w:lang w:val="en-US" w:eastAsia="zh-CN"/>
        </w:rPr>
        <w:t xml:space="preserve"> </w:t>
      </w:r>
      <w:r>
        <w:rPr>
          <w:rFonts w:hint="eastAsia" w:ascii="宋体" w:hAnsi="宋体" w:eastAsia="宋体" w:cs="宋体"/>
          <w:sz w:val="32"/>
          <w:szCs w:val="32"/>
          <w:highlight w:val="none"/>
          <w:lang w:val="en-US" w:eastAsia="zh-CN"/>
        </w:rPr>
        <w:t>相关条款</w:t>
      </w:r>
      <w:r>
        <w:rPr>
          <w:rFonts w:hint="default" w:ascii="宋体" w:hAnsi="宋体" w:eastAsia="宋体" w:cs="宋体"/>
          <w:sz w:val="32"/>
          <w:szCs w:val="32"/>
          <w:highlight w:val="none"/>
          <w:lang w:val="en-US" w:eastAsia="zh-CN"/>
        </w:rPr>
        <w:t>偏离表</w:t>
      </w:r>
    </w:p>
    <w:p>
      <w:pPr>
        <w:rPr>
          <w:rFonts w:hint="eastAsia" w:ascii="宋体" w:hAnsi="宋体"/>
        </w:rPr>
      </w:pPr>
      <w:r>
        <w:rPr>
          <w:rFonts w:hint="eastAsia" w:ascii="宋体" w:hAnsi="宋体"/>
        </w:rPr>
        <w:t>项目名称：济南卡车制造公司党家庄厂区空压站冷却塔更新技改项目</w:t>
      </w:r>
    </w:p>
    <w:p>
      <w:pPr>
        <w:rPr>
          <w:rFonts w:ascii="宋体" w:hAnsi="宋体"/>
          <w:szCs w:val="21"/>
        </w:rPr>
      </w:pPr>
      <w:r>
        <w:rPr>
          <w:rFonts w:hint="eastAsia" w:ascii="宋体" w:hAnsi="宋体"/>
          <w:szCs w:val="21"/>
        </w:rPr>
        <w:t>日期：  年   月   日</w:t>
      </w:r>
    </w:p>
    <w:p>
      <w:pPr>
        <w:jc w:val="center"/>
        <w:rPr>
          <w:rFonts w:eastAsia="黑体"/>
          <w:b/>
          <w:bCs/>
          <w:sz w:val="28"/>
        </w:rPr>
      </w:pPr>
    </w:p>
    <w:p>
      <w:pPr>
        <w:jc w:val="center"/>
        <w:rPr>
          <w:rFonts w:eastAsia="黑体"/>
          <w:b/>
          <w:bCs/>
          <w:sz w:val="28"/>
        </w:rPr>
      </w:pPr>
      <w:r>
        <w:rPr>
          <w:rFonts w:hint="eastAsia" w:eastAsia="黑体"/>
          <w:b/>
          <w:bCs/>
          <w:sz w:val="28"/>
          <w:lang w:val="en-US" w:eastAsia="zh-CN"/>
        </w:rPr>
        <w:t xml:space="preserve">      </w:t>
      </w:r>
      <w:r>
        <w:rPr>
          <w:rFonts w:hint="eastAsia" w:eastAsia="黑体"/>
          <w:b/>
          <w:bCs/>
          <w:sz w:val="28"/>
        </w:rPr>
        <w:t>相关条款偏离表（含商务偏离及技术偏离）</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pPr>
              <w:jc w:val="center"/>
              <w:rPr>
                <w:rFonts w:ascii="宋体" w:hAnsi="宋体"/>
                <w:sz w:val="24"/>
              </w:rPr>
            </w:pPr>
            <w:r>
              <w:rPr>
                <w:rFonts w:hint="eastAsia" w:ascii="宋体" w:hAnsi="宋体"/>
                <w:sz w:val="24"/>
              </w:rPr>
              <w:t>序号</w:t>
            </w:r>
          </w:p>
        </w:tc>
        <w:tc>
          <w:tcPr>
            <w:tcW w:w="4140" w:type="dxa"/>
            <w:gridSpan w:val="2"/>
            <w:noWrap w:val="0"/>
            <w:vAlign w:val="center"/>
          </w:tcPr>
          <w:p>
            <w:pPr>
              <w:jc w:val="center"/>
              <w:rPr>
                <w:rFonts w:ascii="宋体" w:hAnsi="宋体"/>
                <w:sz w:val="24"/>
              </w:rPr>
            </w:pPr>
            <w:r>
              <w:rPr>
                <w:rFonts w:hint="eastAsia" w:ascii="宋体" w:hAnsi="宋体"/>
                <w:sz w:val="24"/>
              </w:rPr>
              <w:t>招标文件条款</w:t>
            </w:r>
          </w:p>
        </w:tc>
        <w:tc>
          <w:tcPr>
            <w:tcW w:w="3554" w:type="dxa"/>
            <w:vMerge w:val="restart"/>
            <w:noWrap w:val="0"/>
            <w:vAlign w:val="center"/>
          </w:tcPr>
          <w:p>
            <w:pPr>
              <w:jc w:val="center"/>
              <w:rPr>
                <w:rFonts w:ascii="宋体" w:hAnsi="宋体"/>
                <w:sz w:val="24"/>
              </w:rPr>
            </w:pPr>
            <w:r>
              <w:rPr>
                <w:rFonts w:hint="eastAsia" w:ascii="宋体" w:hAnsi="宋体"/>
                <w:sz w:val="24"/>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pPr>
              <w:rPr>
                <w:rFonts w:ascii="宋体" w:hAnsi="宋体"/>
                <w:sz w:val="24"/>
              </w:rPr>
            </w:pPr>
          </w:p>
        </w:tc>
        <w:tc>
          <w:tcPr>
            <w:tcW w:w="1080" w:type="dxa"/>
            <w:noWrap w:val="0"/>
            <w:vAlign w:val="center"/>
          </w:tcPr>
          <w:p>
            <w:pPr>
              <w:jc w:val="center"/>
              <w:rPr>
                <w:rFonts w:ascii="宋体" w:hAnsi="宋体"/>
                <w:sz w:val="24"/>
              </w:rPr>
            </w:pPr>
            <w:r>
              <w:rPr>
                <w:rFonts w:hint="eastAsia" w:ascii="宋体" w:hAnsi="宋体"/>
                <w:sz w:val="24"/>
              </w:rPr>
              <w:t>条款号</w:t>
            </w:r>
          </w:p>
        </w:tc>
        <w:tc>
          <w:tcPr>
            <w:tcW w:w="3060" w:type="dxa"/>
            <w:noWrap w:val="0"/>
            <w:vAlign w:val="center"/>
          </w:tcPr>
          <w:p>
            <w:pPr>
              <w:jc w:val="center"/>
              <w:rPr>
                <w:rFonts w:ascii="宋体" w:hAnsi="宋体"/>
                <w:sz w:val="24"/>
              </w:rPr>
            </w:pPr>
            <w:r>
              <w:rPr>
                <w:rFonts w:hint="eastAsia" w:ascii="宋体" w:hAnsi="宋体"/>
                <w:sz w:val="24"/>
              </w:rPr>
              <w:t>条款要求</w:t>
            </w:r>
          </w:p>
        </w:tc>
        <w:tc>
          <w:tcPr>
            <w:tcW w:w="3554" w:type="dxa"/>
            <w:vMerge w:val="continue"/>
            <w:noWrap w:val="0"/>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1</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2</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3</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4</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5</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6</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7</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8</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9</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10</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bl>
    <w:p>
      <w:pPr>
        <w:rPr>
          <w:rFonts w:ascii="宋体" w:hAnsi="宋体"/>
          <w:sz w:val="24"/>
        </w:rPr>
      </w:pPr>
    </w:p>
    <w:p>
      <w:pPr>
        <w:rPr>
          <w:rFonts w:ascii="宋体" w:hAnsi="宋体"/>
          <w:sz w:val="24"/>
        </w:rPr>
      </w:pPr>
      <w:r>
        <w:rPr>
          <w:rFonts w:hint="eastAsia" w:ascii="仿宋_GB2312" w:hAnsi="宋体" w:eastAsia="仿宋_GB2312"/>
          <w:sz w:val="24"/>
        </w:rPr>
        <w:t>投标人名称（盖章）：              法定代表人或授权代表签字：</w:t>
      </w:r>
    </w:p>
    <w:p>
      <w:pPr>
        <w:rPr>
          <w:rFonts w:ascii="宋体" w:hAnsi="宋体"/>
          <w:sz w:val="24"/>
        </w:rPr>
      </w:pPr>
    </w:p>
    <w:p>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pPr>
        <w:pStyle w:val="73"/>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开标一览表</w:t>
      </w:r>
    </w:p>
    <w:p>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开标一览表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hint="eastAsia" w:ascii="宋体" w:hAnsi="宋体" w:cs="Times New Roman"/>
          <w:b/>
          <w:bCs/>
          <w:color w:val="000000"/>
          <w:sz w:val="24"/>
          <w:szCs w:val="24"/>
          <w:highlight w:val="none"/>
          <w:u w:val="single"/>
          <w:lang w:val="en-US" w:eastAsia="zh-CN"/>
        </w:rPr>
        <w:t>济南卡车制造公司党家庄厂区空压站冷却塔更新技改项目</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2"/>
        <w:tblW w:w="9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322"/>
        <w:gridCol w:w="1044"/>
        <w:gridCol w:w="2270"/>
        <w:gridCol w:w="1011"/>
        <w:gridCol w:w="1037"/>
        <w:gridCol w:w="1000"/>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322"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1044"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011" w:type="dxa"/>
            <w:vAlign w:val="center"/>
          </w:tcPr>
          <w:p>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质保期</w:t>
            </w:r>
          </w:p>
        </w:tc>
        <w:tc>
          <w:tcPr>
            <w:tcW w:w="103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rPr>
              <w:t>时间</w:t>
            </w:r>
          </w:p>
        </w:tc>
        <w:tc>
          <w:tcPr>
            <w:tcW w:w="1000" w:type="dxa"/>
            <w:vAlign w:val="center"/>
          </w:tcPr>
          <w:p>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付款方式及比例如何响应</w:t>
            </w:r>
          </w:p>
        </w:tc>
        <w:tc>
          <w:tcPr>
            <w:tcW w:w="875" w:type="dxa"/>
            <w:vAlign w:val="center"/>
          </w:tcPr>
          <w:p>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p>
        </w:tc>
        <w:tc>
          <w:tcPr>
            <w:tcW w:w="1322" w:type="dxa"/>
            <w:vAlign w:val="center"/>
          </w:tcPr>
          <w:p>
            <w:pPr>
              <w:jc w:val="center"/>
              <w:rPr>
                <w:rFonts w:hint="eastAsia" w:ascii="Times New Roman" w:hAnsi="Times New Roman" w:eastAsia="宋体" w:cs="Times New Roman"/>
                <w:b/>
                <w:szCs w:val="20"/>
                <w:lang w:eastAsia="zh-CN"/>
              </w:rPr>
            </w:pPr>
          </w:p>
        </w:tc>
        <w:tc>
          <w:tcPr>
            <w:tcW w:w="1044" w:type="dxa"/>
            <w:vAlign w:val="center"/>
          </w:tcPr>
          <w:p>
            <w:pPr>
              <w:jc w:val="center"/>
              <w:rPr>
                <w:rFonts w:hint="eastAsia" w:ascii="Times New Roman" w:hAnsi="Times New Roman" w:eastAsia="宋体" w:cs="Times New Roman"/>
                <w:b/>
                <w:szCs w:val="20"/>
                <w:lang w:val="en-US" w:eastAsia="zh-CN"/>
              </w:rPr>
            </w:pPr>
          </w:p>
        </w:tc>
        <w:tc>
          <w:tcPr>
            <w:tcW w:w="2270" w:type="dxa"/>
            <w:vAlign w:val="center"/>
          </w:tcPr>
          <w:p>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011" w:type="dxa"/>
            <w:vAlign w:val="center"/>
          </w:tcPr>
          <w:p>
            <w:pPr>
              <w:jc w:val="center"/>
              <w:rPr>
                <w:rFonts w:ascii="Times New Roman" w:hAnsi="Times New Roman" w:eastAsia="宋体" w:cs="Times New Roman"/>
                <w:b/>
                <w:szCs w:val="20"/>
              </w:rPr>
            </w:pPr>
          </w:p>
        </w:tc>
        <w:tc>
          <w:tcPr>
            <w:tcW w:w="1037" w:type="dxa"/>
            <w:vAlign w:val="center"/>
          </w:tcPr>
          <w:p>
            <w:pPr>
              <w:jc w:val="center"/>
              <w:rPr>
                <w:rFonts w:ascii="Times New Roman" w:hAnsi="Times New Roman" w:eastAsia="宋体" w:cs="Times New Roman"/>
                <w:b/>
                <w:szCs w:val="20"/>
              </w:rPr>
            </w:pPr>
          </w:p>
        </w:tc>
        <w:tc>
          <w:tcPr>
            <w:tcW w:w="1000" w:type="dxa"/>
            <w:vAlign w:val="center"/>
          </w:tcPr>
          <w:p>
            <w:pPr>
              <w:jc w:val="center"/>
              <w:rPr>
                <w:rFonts w:ascii="Times New Roman" w:hAnsi="Times New Roman" w:eastAsia="宋体" w:cs="Times New Roman"/>
                <w:b/>
                <w:szCs w:val="20"/>
              </w:rPr>
            </w:pPr>
          </w:p>
        </w:tc>
        <w:tc>
          <w:tcPr>
            <w:tcW w:w="875"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hint="eastAsia"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pPr>
        <w:spacing w:line="300" w:lineRule="auto"/>
        <w:rPr>
          <w:rFonts w:hint="eastAsia" w:ascii="宋体" w:hAnsi="宋体" w:eastAsia="宋体" w:cs="宋体"/>
          <w:b/>
          <w:szCs w:val="20"/>
          <w:lang w:val="en-US" w:eastAsia="zh-CN"/>
        </w:rPr>
      </w:pPr>
      <w:r>
        <w:rPr>
          <w:rFonts w:hint="eastAsia" w:ascii="宋体" w:hAnsi="宋体" w:eastAsia="宋体" w:cs="宋体"/>
          <w:b/>
          <w:szCs w:val="20"/>
          <w:lang w:val="en-US" w:eastAsia="zh-CN"/>
        </w:rPr>
        <w:t>3</w:t>
      </w:r>
      <w:r>
        <w:rPr>
          <w:rFonts w:hint="eastAsia" w:ascii="宋体" w:hAnsi="宋体" w:eastAsia="宋体" w:cs="宋体"/>
          <w:b/>
          <w:szCs w:val="20"/>
        </w:rPr>
        <w:t>.投标总价包括设备费、调试费、备品备件、特殊工具、运杂费、装卸费、技术服务费、保险费及增值税和其它税费。</w:t>
      </w:r>
    </w:p>
    <w:p>
      <w:pPr>
        <w:pStyle w:val="16"/>
        <w:rPr>
          <w:rFonts w:hint="eastAsia" w:hAnsi="宋体" w:eastAsia="宋体" w:cs="Times New Roman"/>
          <w:b/>
          <w:bCs/>
          <w:szCs w:val="21"/>
          <w:highlight w:val="yellow"/>
        </w:rPr>
      </w:pPr>
    </w:p>
    <w:p>
      <w:pPr>
        <w:pStyle w:val="16"/>
        <w:rPr>
          <w:rFonts w:hint="eastAsia" w:hAnsi="宋体" w:eastAsia="宋体" w:cs="Times New Roman"/>
          <w:b/>
          <w:bCs/>
          <w:szCs w:val="21"/>
          <w:highlight w:val="yellow"/>
        </w:rPr>
      </w:pPr>
    </w:p>
    <w:p>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pStyle w:val="77"/>
        <w:bidi w:val="0"/>
      </w:pPr>
      <w:r>
        <w:t xml:space="preserve"> </w:t>
      </w:r>
    </w:p>
    <w:p>
      <w:pPr>
        <w:pStyle w:val="77"/>
        <w:bidi w:val="0"/>
      </w:pPr>
    </w:p>
    <w:p>
      <w:pPr>
        <w:pStyle w:val="77"/>
        <w:bidi w:val="0"/>
      </w:pPr>
    </w:p>
    <w:p>
      <w:pPr>
        <w:rPr>
          <w:rFonts w:hint="eastAsia" w:ascii="宋体" w:hAnsi="宋体" w:eastAsia="宋体" w:cs="宋体"/>
          <w:sz w:val="32"/>
          <w:szCs w:val="32"/>
          <w:highlight w:val="none"/>
          <w:lang w:val="en-US" w:eastAsia="zh-CN"/>
        </w:rPr>
      </w:pPr>
      <w:bookmarkStart w:id="104" w:name="_Toc47976616"/>
      <w:bookmarkStart w:id="105" w:name="_Toc4225"/>
      <w:r>
        <w:rPr>
          <w:rFonts w:hint="eastAsia" w:ascii="宋体" w:hAnsi="宋体" w:eastAsia="宋体" w:cs="宋体"/>
          <w:sz w:val="32"/>
          <w:szCs w:val="32"/>
          <w:highlight w:val="none"/>
          <w:lang w:val="en-US" w:eastAsia="zh-CN"/>
        </w:rPr>
        <w:br w:type="page"/>
      </w:r>
    </w:p>
    <w:p>
      <w:pPr>
        <w:pStyle w:val="73"/>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w:t>
      </w:r>
      <w:bookmarkEnd w:id="104"/>
      <w:bookmarkEnd w:id="105"/>
      <w:r>
        <w:rPr>
          <w:rFonts w:hint="eastAsia" w:ascii="宋体" w:hAnsi="宋体" w:eastAsia="宋体" w:cs="宋体"/>
          <w:sz w:val="32"/>
          <w:szCs w:val="32"/>
          <w:highlight w:val="none"/>
          <w:lang w:val="en-US" w:eastAsia="zh-CN"/>
        </w:rPr>
        <w:t>4 投标函</w:t>
      </w:r>
    </w:p>
    <w:p>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lang w:val="en-US" w:eastAsia="zh-CN"/>
        </w:rPr>
        <w:t>济南动力</w:t>
      </w:r>
      <w:r>
        <w:rPr>
          <w:rFonts w:hint="eastAsia" w:ascii="宋体" w:hAnsi="宋体" w:eastAsia="宋体" w:cs="Times New Roman"/>
          <w:color w:val="000000"/>
          <w:sz w:val="24"/>
          <w:szCs w:val="24"/>
        </w:rPr>
        <w:t>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u w:val="single"/>
        </w:rPr>
        <w:t>济南卡车制造公司党家庄厂区空压站冷却塔更新技改项目</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cs="Times New Roman"/>
          <w:color w:val="000000"/>
          <w:sz w:val="24"/>
          <w:szCs w:val="24"/>
          <w:lang w:val="en-US" w:eastAsia="zh-CN"/>
        </w:rPr>
        <w:t>电子版</w:t>
      </w:r>
      <w:r>
        <w:rPr>
          <w:rFonts w:hint="eastAsia" w:ascii="宋体" w:hAnsi="宋体" w:eastAsia="宋体" w:cs="Times New Roman"/>
          <w:color w:val="000000"/>
          <w:sz w:val="24"/>
          <w:szCs w:val="24"/>
        </w:rPr>
        <w:t>投标文件：资质证明文件、商务文件和技术文件。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lang w:eastAsia="zh-CN"/>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hint="eastAsia" w:ascii="宋体" w:hAnsi="宋体" w:cs="Times New Roman"/>
          <w:bCs/>
          <w:color w:val="000000"/>
          <w:sz w:val="24"/>
          <w:szCs w:val="24"/>
          <w:highlight w:val="none"/>
          <w:u w:val="none"/>
          <w:lang w:val="en-US" w:eastAsia="zh-CN"/>
        </w:rPr>
        <w:t>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pStyle w:val="77"/>
        <w:bidi w:val="0"/>
      </w:pPr>
    </w:p>
    <w:p>
      <w:pPr>
        <w:pStyle w:val="77"/>
        <w:bidi w:val="0"/>
      </w:pPr>
    </w:p>
    <w:p>
      <w:pPr>
        <w:pStyle w:val="77"/>
        <w:bidi w:val="0"/>
      </w:pPr>
    </w:p>
    <w:p>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pPr>
        <w:pStyle w:val="73"/>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附件5 商务条款偏离表</w:t>
      </w:r>
    </w:p>
    <w:p>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商务条款偏离表</w:t>
      </w:r>
    </w:p>
    <w:tbl>
      <w:tblPr>
        <w:tblStyle w:val="32"/>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
                <w:szCs w:val="20"/>
                <w:lang w:val="en-US" w:eastAsia="zh-CN"/>
              </w:rPr>
            </w:pPr>
            <w:r>
              <w:rPr>
                <w:rFonts w:hint="eastAsia" w:cs="Times New Roman"/>
                <w:b/>
                <w:szCs w:val="20"/>
                <w:lang w:val="en-US" w:eastAsia="zh-CN"/>
              </w:rPr>
              <w:t>名称</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pStyle w:val="13"/>
        <w:rPr>
          <w:rFonts w:hint="default"/>
          <w:lang w:val="en-US" w:eastAsia="zh-CN"/>
        </w:rPr>
      </w:pPr>
    </w:p>
    <w:p>
      <w:pPr>
        <w:pStyle w:val="77"/>
        <w:rPr>
          <w:rFonts w:hint="default" w:hAnsi="宋体"/>
          <w:sz w:val="24"/>
          <w:lang w:val="en-US"/>
        </w:rPr>
      </w:pPr>
    </w:p>
    <w:p>
      <w:pPr>
        <w:pStyle w:val="77"/>
        <w:rPr>
          <w:rFonts w:hint="default" w:hAnsi="宋体"/>
          <w:sz w:val="24"/>
          <w:lang w:val="en-US"/>
        </w:rPr>
      </w:pPr>
    </w:p>
    <w:p>
      <w:pPr>
        <w:pStyle w:val="77"/>
        <w:rPr>
          <w:rFonts w:hint="default" w:hAnsi="宋体"/>
          <w:sz w:val="24"/>
          <w:lang w:val="en-US"/>
        </w:rPr>
      </w:pPr>
    </w:p>
    <w:p>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pPr>
        <w:pStyle w:val="73"/>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附件6 分项报价表</w:t>
      </w:r>
    </w:p>
    <w:p>
      <w:pPr>
        <w:wordWrap w:val="0"/>
        <w:spacing w:line="360" w:lineRule="auto"/>
        <w:jc w:val="center"/>
        <w:rPr>
          <w:rFonts w:hint="eastAsia" w:ascii="宋体" w:hAnsi="宋体" w:eastAsia="宋体" w:cs="Times New Roman"/>
          <w:color w:val="000000"/>
          <w:sz w:val="24"/>
          <w:szCs w:val="24"/>
        </w:rPr>
      </w:pPr>
      <w:r>
        <w:rPr>
          <w:rFonts w:hint="eastAsia" w:ascii="宋体" w:hAnsi="宋体" w:cs="Times New Roman"/>
          <w:color w:val="000000"/>
          <w:sz w:val="24"/>
          <w:szCs w:val="24"/>
          <w:lang w:val="en-US" w:eastAsia="zh-CN"/>
        </w:rPr>
        <w:t xml:space="preserve">                                               </w:t>
      </w:r>
      <w:r>
        <w:rPr>
          <w:rFonts w:hint="eastAsia" w:ascii="宋体" w:hAnsi="宋体" w:eastAsia="宋体" w:cs="Times New Roman"/>
          <w:color w:val="000000"/>
          <w:sz w:val="24"/>
          <w:szCs w:val="24"/>
        </w:rPr>
        <w:t>招标编号：</w:t>
      </w:r>
    </w:p>
    <w:tbl>
      <w:tblPr>
        <w:tblStyle w:val="32"/>
        <w:tblW w:w="5073" w:type="pct"/>
        <w:jc w:val="center"/>
        <w:tblLayout w:type="fixed"/>
        <w:tblCellMar>
          <w:top w:w="0" w:type="dxa"/>
          <w:left w:w="108" w:type="dxa"/>
          <w:bottom w:w="0" w:type="dxa"/>
          <w:right w:w="108" w:type="dxa"/>
        </w:tblCellMar>
      </w:tblPr>
      <w:tblGrid>
        <w:gridCol w:w="576"/>
        <w:gridCol w:w="870"/>
        <w:gridCol w:w="1387"/>
        <w:gridCol w:w="1259"/>
        <w:gridCol w:w="713"/>
        <w:gridCol w:w="912"/>
        <w:gridCol w:w="835"/>
        <w:gridCol w:w="1223"/>
        <w:gridCol w:w="1076"/>
        <w:gridCol w:w="571"/>
      </w:tblGrid>
      <w:tr>
        <w:tblPrEx>
          <w:tblCellMar>
            <w:top w:w="0" w:type="dxa"/>
            <w:left w:w="108" w:type="dxa"/>
            <w:bottom w:w="0" w:type="dxa"/>
            <w:right w:w="108" w:type="dxa"/>
          </w:tblCellMar>
        </w:tblPrEx>
        <w:trPr>
          <w:trHeight w:val="270" w:hRule="atLeast"/>
          <w:jc w:val="center"/>
        </w:trPr>
        <w:tc>
          <w:tcPr>
            <w:tcW w:w="5000" w:type="pct"/>
            <w:gridSpan w:val="10"/>
            <w:tcBorders>
              <w:top w:val="nil"/>
              <w:left w:val="nil"/>
              <w:bottom w:val="nil"/>
              <w:right w:val="nil"/>
            </w:tcBorders>
            <w:noWrap/>
            <w:vAlign w:val="center"/>
          </w:tcPr>
          <w:p>
            <w:pPr>
              <w:spacing w:line="360" w:lineRule="auto"/>
              <w:jc w:val="center"/>
              <w:rPr>
                <w:rFonts w:hint="default" w:ascii="宋体" w:hAnsi="宋体" w:eastAsia="宋体" w:cs="宋体"/>
                <w:color w:val="000000"/>
                <w:kern w:val="0"/>
                <w:sz w:val="22"/>
                <w:szCs w:val="22"/>
                <w:lang w:val="en-US" w:eastAsia="zh-CN"/>
              </w:rPr>
            </w:pPr>
            <w:r>
              <w:rPr>
                <w:rFonts w:hint="eastAsia" w:ascii="宋体" w:hAnsi="宋体" w:cs="宋体"/>
                <w:b/>
                <w:bCs/>
                <w:color w:val="000000"/>
                <w:sz w:val="22"/>
                <w:szCs w:val="22"/>
                <w:lang w:val="en-US" w:eastAsia="zh-CN"/>
              </w:rPr>
              <w:t>表1：分项报价明细表</w:t>
            </w:r>
          </w:p>
        </w:tc>
      </w:tr>
      <w:tr>
        <w:tblPrEx>
          <w:tblCellMar>
            <w:top w:w="0" w:type="dxa"/>
            <w:left w:w="108" w:type="dxa"/>
            <w:bottom w:w="0" w:type="dxa"/>
            <w:right w:w="108" w:type="dxa"/>
          </w:tblCellMar>
        </w:tblPrEx>
        <w:trPr>
          <w:trHeight w:val="450" w:hRule="atLeast"/>
          <w:jc w:val="center"/>
        </w:trPr>
        <w:tc>
          <w:tcPr>
            <w:tcW w:w="30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宋体" w:hAnsi="宋体" w:cs="宋体"/>
                <w:b/>
                <w:bCs/>
                <w:color w:val="000000"/>
                <w:kern w:val="0"/>
                <w:sz w:val="22"/>
                <w:szCs w:val="22"/>
                <w:lang w:val="en-US" w:eastAsia="zh-CN"/>
              </w:rPr>
            </w:pPr>
            <w:r>
              <w:rPr>
                <w:rFonts w:hint="eastAsia" w:ascii="宋体" w:hAnsi="宋体" w:cs="宋体"/>
                <w:b/>
                <w:bCs/>
                <w:color w:val="000000"/>
                <w:kern w:val="0"/>
                <w:sz w:val="22"/>
                <w:szCs w:val="22"/>
                <w:lang w:val="en-US" w:eastAsia="zh-CN"/>
              </w:rPr>
              <w:t>序号</w:t>
            </w:r>
          </w:p>
        </w:tc>
        <w:tc>
          <w:tcPr>
            <w:tcW w:w="461"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宋体" w:hAnsi="宋体" w:eastAsia="宋体" w:cs="宋体"/>
                <w:b/>
                <w:bCs/>
                <w:color w:val="000000"/>
                <w:kern w:val="0"/>
                <w:sz w:val="22"/>
                <w:szCs w:val="22"/>
                <w:lang w:val="en-US" w:eastAsia="zh-CN"/>
              </w:rPr>
            </w:pPr>
            <w:r>
              <w:rPr>
                <w:rFonts w:hint="eastAsia" w:ascii="宋体" w:hAnsi="宋体" w:cs="宋体"/>
                <w:b/>
                <w:bCs/>
                <w:color w:val="000000"/>
                <w:kern w:val="0"/>
                <w:sz w:val="22"/>
                <w:szCs w:val="22"/>
                <w:lang w:val="en-US" w:eastAsia="zh-CN"/>
              </w:rPr>
              <w:t>大类</w:t>
            </w:r>
          </w:p>
        </w:tc>
        <w:tc>
          <w:tcPr>
            <w:tcW w:w="736"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bCs/>
                <w:color w:val="000000"/>
                <w:kern w:val="0"/>
                <w:sz w:val="22"/>
                <w:szCs w:val="22"/>
                <w:lang w:val="en-US" w:eastAsia="zh-CN"/>
              </w:rPr>
            </w:pPr>
            <w:r>
              <w:rPr>
                <w:rFonts w:hint="eastAsia" w:ascii="宋体" w:hAnsi="宋体" w:cs="宋体"/>
                <w:b/>
                <w:bCs/>
                <w:color w:val="000000"/>
                <w:kern w:val="0"/>
                <w:sz w:val="22"/>
                <w:szCs w:val="22"/>
              </w:rPr>
              <w:t>项目</w:t>
            </w:r>
            <w:r>
              <w:rPr>
                <w:rFonts w:hint="eastAsia" w:ascii="宋体" w:hAnsi="宋体" w:cs="宋体"/>
                <w:b/>
                <w:bCs/>
                <w:color w:val="000000"/>
                <w:kern w:val="0"/>
                <w:sz w:val="22"/>
                <w:szCs w:val="22"/>
                <w:lang w:val="en-US" w:eastAsia="zh-CN"/>
              </w:rPr>
              <w:t>名称</w:t>
            </w:r>
          </w:p>
        </w:tc>
        <w:tc>
          <w:tcPr>
            <w:tcW w:w="667"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cs="宋体"/>
                <w:b/>
                <w:bCs/>
                <w:color w:val="000000"/>
                <w:kern w:val="0"/>
                <w:sz w:val="22"/>
                <w:szCs w:val="22"/>
                <w:lang w:val="en-US" w:eastAsia="zh-CN"/>
              </w:rPr>
            </w:pPr>
            <w:r>
              <w:rPr>
                <w:rFonts w:hint="eastAsia" w:ascii="宋体" w:hAnsi="宋体" w:cs="宋体"/>
                <w:b/>
                <w:bCs/>
                <w:color w:val="000000"/>
                <w:kern w:val="0"/>
                <w:sz w:val="22"/>
                <w:szCs w:val="22"/>
                <w:lang w:val="en-US" w:eastAsia="zh-CN"/>
              </w:rPr>
              <w:t>规格型号</w:t>
            </w:r>
          </w:p>
        </w:tc>
        <w:tc>
          <w:tcPr>
            <w:tcW w:w="378" w:type="pct"/>
            <w:tcBorders>
              <w:top w:val="single" w:color="auto" w:sz="4" w:space="0"/>
              <w:left w:val="nil"/>
              <w:bottom w:val="single" w:color="auto" w:sz="4" w:space="0"/>
              <w:right w:val="single" w:color="auto" w:sz="4" w:space="0"/>
            </w:tcBorders>
            <w:noWrap/>
            <w:vAlign w:val="center"/>
          </w:tcPr>
          <w:p>
            <w:pPr>
              <w:widowControl/>
              <w:jc w:val="center"/>
              <w:rPr>
                <w:rFonts w:hint="default" w:ascii="宋体" w:hAnsi="宋体" w:eastAsia="宋体" w:cs="宋体"/>
                <w:b/>
                <w:bCs/>
                <w:color w:val="000000"/>
                <w:kern w:val="0"/>
                <w:sz w:val="22"/>
                <w:szCs w:val="22"/>
                <w:lang w:val="en-US" w:eastAsia="zh-CN"/>
              </w:rPr>
            </w:pPr>
            <w:r>
              <w:rPr>
                <w:rFonts w:hint="eastAsia" w:ascii="宋体" w:hAnsi="宋体" w:cs="宋体"/>
                <w:b/>
                <w:bCs/>
                <w:color w:val="000000"/>
                <w:kern w:val="0"/>
                <w:sz w:val="22"/>
                <w:szCs w:val="22"/>
                <w:lang w:val="en-US" w:eastAsia="zh-CN"/>
              </w:rPr>
              <w:t>品牌</w:t>
            </w:r>
          </w:p>
        </w:tc>
        <w:tc>
          <w:tcPr>
            <w:tcW w:w="484" w:type="pct"/>
            <w:tcBorders>
              <w:top w:val="single" w:color="auto" w:sz="4" w:space="0"/>
              <w:left w:val="nil"/>
              <w:bottom w:val="single" w:color="auto" w:sz="4" w:space="0"/>
              <w:right w:val="single" w:color="auto" w:sz="4" w:space="0"/>
            </w:tcBorders>
            <w:noWrap/>
            <w:vAlign w:val="center"/>
          </w:tcPr>
          <w:p>
            <w:pPr>
              <w:widowControl/>
              <w:jc w:val="center"/>
              <w:rPr>
                <w:rFonts w:hint="default" w:ascii="宋体" w:hAnsi="宋体" w:cs="宋体"/>
                <w:b/>
                <w:bCs/>
                <w:color w:val="000000"/>
                <w:kern w:val="0"/>
                <w:sz w:val="22"/>
                <w:szCs w:val="22"/>
                <w:lang w:val="en-US" w:eastAsia="zh-CN"/>
              </w:rPr>
            </w:pPr>
            <w:r>
              <w:rPr>
                <w:rFonts w:hint="eastAsia" w:ascii="宋体" w:hAnsi="宋体" w:cs="宋体"/>
                <w:b/>
                <w:bCs/>
                <w:color w:val="000000"/>
                <w:kern w:val="0"/>
                <w:sz w:val="22"/>
                <w:szCs w:val="22"/>
                <w:lang w:val="en-US" w:eastAsia="zh-CN"/>
              </w:rPr>
              <w:t>单位</w:t>
            </w:r>
          </w:p>
        </w:tc>
        <w:tc>
          <w:tcPr>
            <w:tcW w:w="443" w:type="pct"/>
            <w:tcBorders>
              <w:top w:val="single" w:color="auto" w:sz="4" w:space="0"/>
              <w:left w:val="nil"/>
              <w:bottom w:val="single" w:color="auto" w:sz="4" w:space="0"/>
              <w:right w:val="single" w:color="auto" w:sz="4" w:space="0"/>
            </w:tcBorders>
            <w:noWrap/>
            <w:vAlign w:val="center"/>
          </w:tcPr>
          <w:p>
            <w:pPr>
              <w:widowControl/>
              <w:jc w:val="center"/>
              <w:rPr>
                <w:rFonts w:hint="default" w:ascii="宋体" w:hAnsi="宋体" w:cs="宋体"/>
                <w:b/>
                <w:bCs/>
                <w:color w:val="000000"/>
                <w:kern w:val="0"/>
                <w:sz w:val="22"/>
                <w:szCs w:val="22"/>
                <w:lang w:val="en-US" w:eastAsia="zh-CN"/>
              </w:rPr>
            </w:pPr>
            <w:r>
              <w:rPr>
                <w:rFonts w:hint="eastAsia" w:ascii="宋体" w:hAnsi="宋体" w:cs="宋体"/>
                <w:b/>
                <w:bCs/>
                <w:color w:val="000000"/>
                <w:kern w:val="0"/>
                <w:sz w:val="22"/>
                <w:szCs w:val="22"/>
                <w:lang w:val="en-US" w:eastAsia="zh-CN"/>
              </w:rPr>
              <w:t>数量</w:t>
            </w:r>
          </w:p>
        </w:tc>
        <w:tc>
          <w:tcPr>
            <w:tcW w:w="649" w:type="pct"/>
            <w:tcBorders>
              <w:top w:val="single" w:color="auto" w:sz="4" w:space="0"/>
              <w:left w:val="nil"/>
              <w:bottom w:val="single" w:color="auto" w:sz="4" w:space="0"/>
              <w:right w:val="single" w:color="auto" w:sz="4" w:space="0"/>
            </w:tcBorders>
            <w:noWrap/>
            <w:vAlign w:val="center"/>
          </w:tcPr>
          <w:p>
            <w:pPr>
              <w:widowControl/>
              <w:jc w:val="center"/>
              <w:rPr>
                <w:rFonts w:hint="default" w:ascii="宋体" w:hAnsi="宋体" w:eastAsia="宋体" w:cs="宋体"/>
                <w:b/>
                <w:bCs/>
                <w:color w:val="000000"/>
                <w:kern w:val="0"/>
                <w:sz w:val="22"/>
                <w:szCs w:val="22"/>
                <w:lang w:val="en-US" w:eastAsia="zh-CN"/>
              </w:rPr>
            </w:pPr>
            <w:r>
              <w:rPr>
                <w:rFonts w:hint="eastAsia" w:ascii="宋体" w:hAnsi="宋体" w:cs="宋体"/>
                <w:b/>
                <w:bCs/>
                <w:color w:val="000000"/>
                <w:kern w:val="0"/>
                <w:sz w:val="22"/>
                <w:szCs w:val="22"/>
                <w:lang w:val="en-US" w:eastAsia="zh-CN"/>
              </w:rPr>
              <w:t>单价/元（未税）</w:t>
            </w:r>
          </w:p>
        </w:tc>
        <w:tc>
          <w:tcPr>
            <w:tcW w:w="571" w:type="pct"/>
            <w:tcBorders>
              <w:top w:val="single" w:color="auto" w:sz="4" w:space="0"/>
              <w:left w:val="nil"/>
              <w:bottom w:val="single" w:color="auto" w:sz="4" w:space="0"/>
              <w:right w:val="single" w:color="auto" w:sz="4" w:space="0"/>
            </w:tcBorders>
            <w:noWrap w:val="0"/>
            <w:vAlign w:val="center"/>
          </w:tcPr>
          <w:p>
            <w:pPr>
              <w:widowControl/>
              <w:jc w:val="both"/>
              <w:rPr>
                <w:rFonts w:ascii="宋体" w:hAnsi="宋体" w:cs="宋体"/>
                <w:b/>
                <w:bCs/>
                <w:color w:val="000000"/>
                <w:kern w:val="0"/>
                <w:sz w:val="22"/>
                <w:szCs w:val="22"/>
              </w:rPr>
            </w:pPr>
            <w:r>
              <w:rPr>
                <w:rFonts w:hint="eastAsia" w:ascii="宋体" w:hAnsi="宋体" w:cs="宋体"/>
                <w:b/>
                <w:bCs/>
                <w:color w:val="000000"/>
                <w:kern w:val="0"/>
                <w:sz w:val="22"/>
                <w:szCs w:val="22"/>
                <w:lang w:val="en-US" w:eastAsia="zh-CN"/>
              </w:rPr>
              <w:t>小计/元（未税）</w:t>
            </w:r>
          </w:p>
        </w:tc>
        <w:tc>
          <w:tcPr>
            <w:tcW w:w="302" w:type="pct"/>
            <w:tcBorders>
              <w:top w:val="single" w:color="auto" w:sz="4" w:space="0"/>
              <w:left w:val="nil"/>
              <w:bottom w:val="single" w:color="auto" w:sz="4" w:space="0"/>
              <w:right w:val="single" w:color="auto" w:sz="4" w:space="0"/>
            </w:tcBorders>
            <w:noWrap w:val="0"/>
            <w:vAlign w:val="center"/>
          </w:tcPr>
          <w:p>
            <w:pPr>
              <w:widowControl/>
              <w:jc w:val="center"/>
              <w:rPr>
                <w:rFonts w:hint="default" w:ascii="宋体" w:hAnsi="宋体" w:eastAsia="宋体" w:cs="宋体"/>
                <w:b/>
                <w:bCs/>
                <w:color w:val="000000"/>
                <w:kern w:val="0"/>
                <w:sz w:val="22"/>
                <w:szCs w:val="22"/>
                <w:lang w:val="en-US" w:eastAsia="zh-CN"/>
              </w:rPr>
            </w:pPr>
            <w:r>
              <w:rPr>
                <w:rFonts w:hint="eastAsia" w:ascii="宋体" w:hAnsi="宋体" w:eastAsia="宋体" w:cs="宋体"/>
                <w:b/>
                <w:bCs/>
                <w:color w:val="000000"/>
                <w:kern w:val="0"/>
                <w:sz w:val="22"/>
                <w:szCs w:val="22"/>
                <w:lang w:val="en-US" w:eastAsia="zh-CN"/>
              </w:rPr>
              <w:t>备注</w:t>
            </w:r>
          </w:p>
        </w:tc>
      </w:tr>
      <w:tr>
        <w:tblPrEx>
          <w:tblCellMar>
            <w:top w:w="0" w:type="dxa"/>
            <w:left w:w="108" w:type="dxa"/>
            <w:bottom w:w="0" w:type="dxa"/>
            <w:right w:w="108" w:type="dxa"/>
          </w:tblCellMar>
        </w:tblPrEx>
        <w:trPr>
          <w:trHeight w:val="480" w:hRule="atLeast"/>
          <w:jc w:val="center"/>
        </w:trPr>
        <w:tc>
          <w:tcPr>
            <w:tcW w:w="305" w:type="pct"/>
            <w:vMerge w:val="restart"/>
            <w:tcBorders>
              <w:top w:val="nil"/>
              <w:left w:val="single" w:color="auto" w:sz="4" w:space="0"/>
              <w:right w:val="single" w:color="auto" w:sz="4" w:space="0"/>
            </w:tcBorders>
            <w:noWrap/>
            <w:vAlign w:val="center"/>
          </w:tcPr>
          <w:p>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1</w:t>
            </w:r>
          </w:p>
        </w:tc>
        <w:tc>
          <w:tcPr>
            <w:tcW w:w="461" w:type="pct"/>
            <w:vMerge w:val="restart"/>
            <w:tcBorders>
              <w:top w:val="nil"/>
              <w:left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材料/备件</w:t>
            </w:r>
          </w:p>
        </w:tc>
        <w:tc>
          <w:tcPr>
            <w:tcW w:w="736" w:type="pct"/>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000000"/>
                <w:kern w:val="0"/>
                <w:sz w:val="22"/>
                <w:szCs w:val="22"/>
              </w:rPr>
            </w:pPr>
          </w:p>
        </w:tc>
        <w:tc>
          <w:tcPr>
            <w:tcW w:w="667"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378"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484"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443"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649"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571" w:type="pct"/>
            <w:tcBorders>
              <w:top w:val="nil"/>
              <w:left w:val="nil"/>
              <w:bottom w:val="single" w:color="auto" w:sz="4" w:space="0"/>
              <w:right w:val="single" w:color="auto" w:sz="4" w:space="0"/>
            </w:tcBorders>
            <w:noWrap/>
            <w:vAlign w:val="center"/>
          </w:tcPr>
          <w:p>
            <w:pPr>
              <w:widowControl/>
              <w:jc w:val="left"/>
              <w:rPr>
                <w:rFonts w:ascii="Calibri" w:hAnsi="Calibri" w:cs="Calibri"/>
                <w:color w:val="000000"/>
                <w:kern w:val="0"/>
                <w:szCs w:val="21"/>
              </w:rPr>
            </w:pPr>
            <w:r>
              <w:rPr>
                <w:rFonts w:ascii="Calibri" w:hAnsi="Calibri" w:cs="Calibri"/>
                <w:color w:val="000000"/>
                <w:kern w:val="0"/>
                <w:szCs w:val="21"/>
              </w:rPr>
              <w:t>　</w:t>
            </w:r>
          </w:p>
        </w:tc>
        <w:tc>
          <w:tcPr>
            <w:tcW w:w="302" w:type="pct"/>
            <w:tcBorders>
              <w:top w:val="nil"/>
              <w:left w:val="nil"/>
              <w:bottom w:val="single" w:color="auto" w:sz="4" w:space="0"/>
              <w:right w:val="single" w:color="auto" w:sz="4" w:space="0"/>
            </w:tcBorders>
            <w:noWrap/>
            <w:vAlign w:val="center"/>
          </w:tcPr>
          <w:p>
            <w:pPr>
              <w:widowControl/>
              <w:jc w:val="left"/>
              <w:rPr>
                <w:rFonts w:ascii="Calibri" w:hAnsi="Calibri" w:cs="Calibri"/>
                <w:color w:val="000000"/>
                <w:kern w:val="0"/>
                <w:szCs w:val="21"/>
              </w:rPr>
            </w:pPr>
          </w:p>
        </w:tc>
      </w:tr>
      <w:tr>
        <w:tblPrEx>
          <w:tblCellMar>
            <w:top w:w="0" w:type="dxa"/>
            <w:left w:w="108" w:type="dxa"/>
            <w:bottom w:w="0" w:type="dxa"/>
            <w:right w:w="108" w:type="dxa"/>
          </w:tblCellMar>
        </w:tblPrEx>
        <w:trPr>
          <w:trHeight w:val="480" w:hRule="atLeast"/>
          <w:jc w:val="center"/>
        </w:trPr>
        <w:tc>
          <w:tcPr>
            <w:tcW w:w="305" w:type="pct"/>
            <w:vMerge w:val="continue"/>
            <w:tcBorders>
              <w:left w:val="single" w:color="auto" w:sz="4" w:space="0"/>
              <w:right w:val="single" w:color="auto" w:sz="4" w:space="0"/>
            </w:tcBorders>
            <w:noWrap w:val="0"/>
            <w:vAlign w:val="center"/>
          </w:tcPr>
          <w:p>
            <w:pPr>
              <w:widowControl/>
              <w:jc w:val="center"/>
              <w:rPr>
                <w:rFonts w:ascii="宋体" w:hAnsi="宋体" w:cs="宋体"/>
                <w:color w:val="000000"/>
                <w:kern w:val="0"/>
                <w:sz w:val="22"/>
                <w:szCs w:val="22"/>
              </w:rPr>
            </w:pPr>
          </w:p>
        </w:tc>
        <w:tc>
          <w:tcPr>
            <w:tcW w:w="461" w:type="pct"/>
            <w:vMerge w:val="continue"/>
            <w:tcBorders>
              <w:left w:val="single" w:color="auto" w:sz="4" w:space="0"/>
              <w:right w:val="single" w:color="auto" w:sz="4" w:space="0"/>
            </w:tcBorders>
            <w:noWrap w:val="0"/>
            <w:vAlign w:val="center"/>
          </w:tcPr>
          <w:p>
            <w:pPr>
              <w:widowControl/>
              <w:jc w:val="center"/>
              <w:rPr>
                <w:rFonts w:ascii="宋体" w:hAnsi="宋体" w:cs="宋体"/>
                <w:color w:val="000000"/>
                <w:kern w:val="0"/>
                <w:sz w:val="22"/>
                <w:szCs w:val="22"/>
              </w:rPr>
            </w:pPr>
          </w:p>
        </w:tc>
        <w:tc>
          <w:tcPr>
            <w:tcW w:w="73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color w:val="000000"/>
                <w:kern w:val="0"/>
                <w:sz w:val="22"/>
                <w:szCs w:val="22"/>
              </w:rPr>
            </w:pPr>
          </w:p>
        </w:tc>
        <w:tc>
          <w:tcPr>
            <w:tcW w:w="667"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378"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484"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443"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649"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571" w:type="pct"/>
            <w:tcBorders>
              <w:top w:val="nil"/>
              <w:left w:val="nil"/>
              <w:bottom w:val="single" w:color="auto" w:sz="4" w:space="0"/>
              <w:right w:val="single" w:color="auto" w:sz="4" w:space="0"/>
            </w:tcBorders>
            <w:noWrap/>
            <w:vAlign w:val="center"/>
          </w:tcPr>
          <w:p>
            <w:pPr>
              <w:widowControl/>
              <w:jc w:val="left"/>
              <w:rPr>
                <w:rFonts w:ascii="Calibri" w:hAnsi="Calibri" w:cs="Calibri"/>
                <w:color w:val="000000"/>
                <w:kern w:val="0"/>
                <w:szCs w:val="21"/>
              </w:rPr>
            </w:pPr>
            <w:r>
              <w:rPr>
                <w:rFonts w:ascii="Calibri" w:hAnsi="Calibri" w:cs="Calibri"/>
                <w:color w:val="000000"/>
                <w:kern w:val="0"/>
                <w:szCs w:val="21"/>
              </w:rPr>
              <w:t>　</w:t>
            </w:r>
          </w:p>
        </w:tc>
        <w:tc>
          <w:tcPr>
            <w:tcW w:w="302" w:type="pct"/>
            <w:tcBorders>
              <w:top w:val="nil"/>
              <w:left w:val="nil"/>
              <w:bottom w:val="single" w:color="auto" w:sz="4" w:space="0"/>
              <w:right w:val="single" w:color="auto" w:sz="4" w:space="0"/>
            </w:tcBorders>
            <w:noWrap/>
            <w:vAlign w:val="center"/>
          </w:tcPr>
          <w:p>
            <w:pPr>
              <w:widowControl/>
              <w:jc w:val="left"/>
              <w:rPr>
                <w:rFonts w:ascii="Calibri" w:hAnsi="Calibri" w:cs="Calibri"/>
                <w:color w:val="000000"/>
                <w:kern w:val="0"/>
                <w:szCs w:val="21"/>
              </w:rPr>
            </w:pPr>
          </w:p>
        </w:tc>
      </w:tr>
      <w:tr>
        <w:tblPrEx>
          <w:tblCellMar>
            <w:top w:w="0" w:type="dxa"/>
            <w:left w:w="108" w:type="dxa"/>
            <w:bottom w:w="0" w:type="dxa"/>
            <w:right w:w="108" w:type="dxa"/>
          </w:tblCellMar>
        </w:tblPrEx>
        <w:trPr>
          <w:trHeight w:val="405" w:hRule="atLeast"/>
          <w:jc w:val="center"/>
        </w:trPr>
        <w:tc>
          <w:tcPr>
            <w:tcW w:w="305" w:type="pct"/>
            <w:vMerge w:val="continue"/>
            <w:tcBorders>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461" w:type="pct"/>
            <w:vMerge w:val="continue"/>
            <w:tcBorders>
              <w:left w:val="single" w:color="auto" w:sz="4" w:space="0"/>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736" w:type="pct"/>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000000"/>
                <w:kern w:val="0"/>
                <w:sz w:val="22"/>
                <w:szCs w:val="22"/>
              </w:rPr>
            </w:pPr>
          </w:p>
        </w:tc>
        <w:tc>
          <w:tcPr>
            <w:tcW w:w="667"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378"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484"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443"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649"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571" w:type="pct"/>
            <w:tcBorders>
              <w:top w:val="nil"/>
              <w:left w:val="nil"/>
              <w:bottom w:val="single" w:color="auto" w:sz="4" w:space="0"/>
              <w:right w:val="single" w:color="auto" w:sz="4" w:space="0"/>
            </w:tcBorders>
            <w:noWrap/>
            <w:vAlign w:val="center"/>
          </w:tcPr>
          <w:p>
            <w:pPr>
              <w:widowControl/>
              <w:jc w:val="left"/>
              <w:rPr>
                <w:rFonts w:ascii="Calibri" w:hAnsi="Calibri" w:cs="Calibri"/>
                <w:color w:val="000000"/>
                <w:kern w:val="0"/>
                <w:szCs w:val="21"/>
              </w:rPr>
            </w:pPr>
            <w:r>
              <w:rPr>
                <w:rFonts w:ascii="Calibri" w:hAnsi="Calibri" w:cs="Calibri"/>
                <w:color w:val="000000"/>
                <w:kern w:val="0"/>
                <w:szCs w:val="21"/>
              </w:rPr>
              <w:t>　</w:t>
            </w:r>
          </w:p>
        </w:tc>
        <w:tc>
          <w:tcPr>
            <w:tcW w:w="302" w:type="pct"/>
            <w:tcBorders>
              <w:top w:val="nil"/>
              <w:left w:val="nil"/>
              <w:bottom w:val="single" w:color="auto" w:sz="4" w:space="0"/>
              <w:right w:val="single" w:color="auto" w:sz="4" w:space="0"/>
            </w:tcBorders>
            <w:noWrap/>
            <w:vAlign w:val="center"/>
          </w:tcPr>
          <w:p>
            <w:pPr>
              <w:widowControl/>
              <w:jc w:val="left"/>
              <w:rPr>
                <w:rFonts w:ascii="Calibri" w:hAnsi="Calibri" w:cs="Calibri"/>
                <w:color w:val="000000"/>
                <w:kern w:val="0"/>
                <w:szCs w:val="21"/>
              </w:rPr>
            </w:pPr>
          </w:p>
        </w:tc>
      </w:tr>
      <w:tr>
        <w:tblPrEx>
          <w:tblCellMar>
            <w:top w:w="0" w:type="dxa"/>
            <w:left w:w="108" w:type="dxa"/>
            <w:bottom w:w="0" w:type="dxa"/>
            <w:right w:w="108" w:type="dxa"/>
          </w:tblCellMar>
        </w:tblPrEx>
        <w:trPr>
          <w:trHeight w:val="405" w:hRule="atLeast"/>
          <w:jc w:val="center"/>
        </w:trPr>
        <w:tc>
          <w:tcPr>
            <w:tcW w:w="305" w:type="pct"/>
            <w:vMerge w:val="restart"/>
            <w:tcBorders>
              <w:top w:val="single" w:color="auto" w:sz="4" w:space="0"/>
              <w:left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2</w:t>
            </w:r>
          </w:p>
        </w:tc>
        <w:tc>
          <w:tcPr>
            <w:tcW w:w="461" w:type="pct"/>
            <w:vMerge w:val="restart"/>
            <w:tcBorders>
              <w:top w:val="single" w:color="auto" w:sz="4" w:space="0"/>
              <w:left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人工费用</w:t>
            </w:r>
          </w:p>
        </w:tc>
        <w:tc>
          <w:tcPr>
            <w:tcW w:w="73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eastAsia="宋体" w:cs="宋体"/>
                <w:color w:val="000000"/>
                <w:kern w:val="0"/>
                <w:sz w:val="22"/>
                <w:szCs w:val="22"/>
              </w:rPr>
            </w:pPr>
          </w:p>
        </w:tc>
        <w:tc>
          <w:tcPr>
            <w:tcW w:w="667"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378"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484"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443"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649"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w:t>
            </w:r>
          </w:p>
        </w:tc>
        <w:tc>
          <w:tcPr>
            <w:tcW w:w="571" w:type="pct"/>
            <w:tcBorders>
              <w:top w:val="nil"/>
              <w:left w:val="nil"/>
              <w:bottom w:val="single" w:color="auto" w:sz="4" w:space="0"/>
              <w:right w:val="single" w:color="auto" w:sz="4" w:space="0"/>
            </w:tcBorders>
            <w:noWrap/>
            <w:vAlign w:val="center"/>
          </w:tcPr>
          <w:p>
            <w:pPr>
              <w:widowControl/>
              <w:jc w:val="left"/>
              <w:rPr>
                <w:rFonts w:ascii="Calibri" w:hAnsi="Calibri" w:cs="Calibri"/>
                <w:color w:val="000000"/>
                <w:kern w:val="0"/>
                <w:szCs w:val="21"/>
              </w:rPr>
            </w:pPr>
          </w:p>
        </w:tc>
        <w:tc>
          <w:tcPr>
            <w:tcW w:w="302" w:type="pct"/>
            <w:tcBorders>
              <w:top w:val="nil"/>
              <w:left w:val="nil"/>
              <w:bottom w:val="single" w:color="auto" w:sz="4" w:space="0"/>
              <w:right w:val="single" w:color="auto" w:sz="4" w:space="0"/>
            </w:tcBorders>
            <w:noWrap/>
            <w:vAlign w:val="center"/>
          </w:tcPr>
          <w:p>
            <w:pPr>
              <w:widowControl/>
              <w:jc w:val="left"/>
              <w:rPr>
                <w:rFonts w:ascii="Calibri" w:hAnsi="Calibri" w:cs="Calibri"/>
                <w:color w:val="000000"/>
                <w:kern w:val="0"/>
                <w:szCs w:val="21"/>
              </w:rPr>
            </w:pPr>
          </w:p>
        </w:tc>
      </w:tr>
      <w:tr>
        <w:tblPrEx>
          <w:tblCellMar>
            <w:top w:w="0" w:type="dxa"/>
            <w:left w:w="108" w:type="dxa"/>
            <w:bottom w:w="0" w:type="dxa"/>
            <w:right w:w="108" w:type="dxa"/>
          </w:tblCellMar>
        </w:tblPrEx>
        <w:trPr>
          <w:trHeight w:val="390" w:hRule="atLeast"/>
          <w:jc w:val="center"/>
        </w:trPr>
        <w:tc>
          <w:tcPr>
            <w:tcW w:w="305" w:type="pct"/>
            <w:vMerge w:val="continue"/>
            <w:tcBorders>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p>
        </w:tc>
        <w:tc>
          <w:tcPr>
            <w:tcW w:w="461" w:type="pct"/>
            <w:vMerge w:val="continue"/>
            <w:tcBorders>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p>
        </w:tc>
        <w:tc>
          <w:tcPr>
            <w:tcW w:w="736"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eastAsia="宋体" w:cs="宋体"/>
                <w:color w:val="000000"/>
                <w:kern w:val="0"/>
                <w:sz w:val="22"/>
                <w:szCs w:val="22"/>
              </w:rPr>
            </w:pPr>
          </w:p>
        </w:tc>
        <w:tc>
          <w:tcPr>
            <w:tcW w:w="667"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378"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484"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443"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649"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571" w:type="pct"/>
            <w:tcBorders>
              <w:top w:val="nil"/>
              <w:left w:val="nil"/>
              <w:bottom w:val="single" w:color="auto" w:sz="4" w:space="0"/>
              <w:right w:val="single" w:color="auto" w:sz="4" w:space="0"/>
            </w:tcBorders>
            <w:noWrap/>
            <w:vAlign w:val="center"/>
          </w:tcPr>
          <w:p>
            <w:pPr>
              <w:widowControl/>
              <w:jc w:val="left"/>
              <w:rPr>
                <w:rFonts w:ascii="Calibri" w:hAnsi="Calibri" w:cs="Calibri"/>
                <w:color w:val="000000"/>
                <w:kern w:val="0"/>
                <w:szCs w:val="21"/>
              </w:rPr>
            </w:pPr>
            <w:r>
              <w:rPr>
                <w:rFonts w:ascii="Calibri" w:hAnsi="Calibri" w:cs="Calibri"/>
                <w:color w:val="000000"/>
                <w:kern w:val="0"/>
                <w:szCs w:val="21"/>
              </w:rPr>
              <w:t>　</w:t>
            </w:r>
          </w:p>
        </w:tc>
        <w:tc>
          <w:tcPr>
            <w:tcW w:w="302" w:type="pct"/>
            <w:tcBorders>
              <w:top w:val="nil"/>
              <w:left w:val="nil"/>
              <w:bottom w:val="single" w:color="auto" w:sz="4" w:space="0"/>
              <w:right w:val="single" w:color="auto" w:sz="4" w:space="0"/>
            </w:tcBorders>
            <w:noWrap/>
            <w:vAlign w:val="center"/>
          </w:tcPr>
          <w:p>
            <w:pPr>
              <w:widowControl/>
              <w:jc w:val="left"/>
              <w:rPr>
                <w:rFonts w:ascii="Calibri" w:hAnsi="Calibri" w:cs="Calibri"/>
                <w:color w:val="000000"/>
                <w:kern w:val="0"/>
                <w:szCs w:val="21"/>
              </w:rPr>
            </w:pPr>
          </w:p>
        </w:tc>
      </w:tr>
      <w:tr>
        <w:tblPrEx>
          <w:tblCellMar>
            <w:top w:w="0" w:type="dxa"/>
            <w:left w:w="108" w:type="dxa"/>
            <w:bottom w:w="0" w:type="dxa"/>
            <w:right w:w="108" w:type="dxa"/>
          </w:tblCellMar>
        </w:tblPrEx>
        <w:trPr>
          <w:trHeight w:val="408" w:hRule="atLeast"/>
          <w:jc w:val="center"/>
        </w:trPr>
        <w:tc>
          <w:tcPr>
            <w:tcW w:w="305" w:type="pct"/>
            <w:vMerge w:val="restart"/>
            <w:tcBorders>
              <w:top w:val="single" w:color="auto" w:sz="4" w:space="0"/>
              <w:left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3</w:t>
            </w:r>
          </w:p>
        </w:tc>
        <w:tc>
          <w:tcPr>
            <w:tcW w:w="461" w:type="pct"/>
            <w:vMerge w:val="restart"/>
            <w:tcBorders>
              <w:top w:val="single" w:color="auto" w:sz="4" w:space="0"/>
              <w:left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其他费用</w:t>
            </w:r>
          </w:p>
        </w:tc>
        <w:tc>
          <w:tcPr>
            <w:tcW w:w="73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p>
        </w:tc>
        <w:tc>
          <w:tcPr>
            <w:tcW w:w="667"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378"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484"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443"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649"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571" w:type="pct"/>
            <w:tcBorders>
              <w:top w:val="nil"/>
              <w:left w:val="nil"/>
              <w:bottom w:val="single" w:color="auto" w:sz="4" w:space="0"/>
              <w:right w:val="single" w:color="auto" w:sz="4" w:space="0"/>
            </w:tcBorders>
            <w:noWrap/>
            <w:vAlign w:val="center"/>
          </w:tcPr>
          <w:p>
            <w:pPr>
              <w:widowControl/>
              <w:jc w:val="left"/>
              <w:rPr>
                <w:rFonts w:ascii="Calibri" w:hAnsi="Calibri" w:cs="Calibri"/>
                <w:color w:val="000000"/>
                <w:kern w:val="0"/>
                <w:szCs w:val="21"/>
              </w:rPr>
            </w:pPr>
            <w:r>
              <w:rPr>
                <w:rFonts w:ascii="Calibri" w:hAnsi="Calibri" w:cs="Calibri"/>
                <w:color w:val="000000"/>
                <w:kern w:val="0"/>
                <w:szCs w:val="21"/>
              </w:rPr>
              <w:t>　</w:t>
            </w:r>
          </w:p>
        </w:tc>
        <w:tc>
          <w:tcPr>
            <w:tcW w:w="302" w:type="pct"/>
            <w:tcBorders>
              <w:top w:val="nil"/>
              <w:left w:val="nil"/>
              <w:bottom w:val="single" w:color="auto" w:sz="4" w:space="0"/>
              <w:right w:val="single" w:color="auto" w:sz="4" w:space="0"/>
            </w:tcBorders>
            <w:noWrap/>
            <w:vAlign w:val="center"/>
          </w:tcPr>
          <w:p>
            <w:pPr>
              <w:widowControl/>
              <w:jc w:val="left"/>
              <w:rPr>
                <w:rFonts w:ascii="Calibri" w:hAnsi="Calibri" w:cs="Calibri"/>
                <w:color w:val="000000"/>
                <w:kern w:val="0"/>
                <w:szCs w:val="21"/>
              </w:rPr>
            </w:pPr>
          </w:p>
        </w:tc>
      </w:tr>
      <w:tr>
        <w:tblPrEx>
          <w:tblCellMar>
            <w:top w:w="0" w:type="dxa"/>
            <w:left w:w="108" w:type="dxa"/>
            <w:bottom w:w="0" w:type="dxa"/>
            <w:right w:w="108" w:type="dxa"/>
          </w:tblCellMar>
        </w:tblPrEx>
        <w:trPr>
          <w:trHeight w:val="420" w:hRule="atLeast"/>
          <w:jc w:val="center"/>
        </w:trPr>
        <w:tc>
          <w:tcPr>
            <w:tcW w:w="305" w:type="pct"/>
            <w:vMerge w:val="continue"/>
            <w:tcBorders>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p>
        </w:tc>
        <w:tc>
          <w:tcPr>
            <w:tcW w:w="461" w:type="pct"/>
            <w:vMerge w:val="continue"/>
            <w:tcBorders>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p>
        </w:tc>
        <w:tc>
          <w:tcPr>
            <w:tcW w:w="73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p>
        </w:tc>
        <w:tc>
          <w:tcPr>
            <w:tcW w:w="667"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378"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484"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443"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649"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w:t>
            </w:r>
          </w:p>
        </w:tc>
        <w:tc>
          <w:tcPr>
            <w:tcW w:w="571" w:type="pct"/>
            <w:tcBorders>
              <w:top w:val="nil"/>
              <w:left w:val="nil"/>
              <w:bottom w:val="single" w:color="auto" w:sz="4" w:space="0"/>
              <w:right w:val="single" w:color="auto" w:sz="4" w:space="0"/>
            </w:tcBorders>
            <w:noWrap/>
            <w:vAlign w:val="center"/>
          </w:tcPr>
          <w:p>
            <w:pPr>
              <w:widowControl/>
              <w:jc w:val="left"/>
              <w:rPr>
                <w:rFonts w:ascii="Calibri" w:hAnsi="Calibri" w:cs="Calibri"/>
                <w:color w:val="000000"/>
                <w:kern w:val="0"/>
                <w:szCs w:val="21"/>
              </w:rPr>
            </w:pPr>
            <w:r>
              <w:rPr>
                <w:rFonts w:hint="eastAsia" w:ascii="Calibri" w:hAnsi="Calibri" w:cs="Calibri"/>
                <w:color w:val="000000"/>
                <w:kern w:val="0"/>
                <w:szCs w:val="21"/>
              </w:rPr>
              <w:t xml:space="preserve">   </w:t>
            </w:r>
          </w:p>
        </w:tc>
        <w:tc>
          <w:tcPr>
            <w:tcW w:w="302" w:type="pct"/>
            <w:tcBorders>
              <w:top w:val="nil"/>
              <w:left w:val="nil"/>
              <w:bottom w:val="single" w:color="auto" w:sz="4" w:space="0"/>
              <w:right w:val="single" w:color="auto" w:sz="4" w:space="0"/>
            </w:tcBorders>
            <w:noWrap/>
            <w:vAlign w:val="center"/>
          </w:tcPr>
          <w:p>
            <w:pPr>
              <w:widowControl/>
              <w:jc w:val="left"/>
              <w:rPr>
                <w:rFonts w:hint="eastAsia" w:ascii="Calibri" w:hAnsi="Calibri" w:cs="Calibri"/>
                <w:color w:val="000000"/>
                <w:kern w:val="0"/>
                <w:szCs w:val="21"/>
              </w:rPr>
            </w:pPr>
          </w:p>
        </w:tc>
      </w:tr>
      <w:tr>
        <w:tblPrEx>
          <w:tblCellMar>
            <w:top w:w="0" w:type="dxa"/>
            <w:left w:w="108" w:type="dxa"/>
            <w:bottom w:w="0" w:type="dxa"/>
            <w:right w:w="108" w:type="dxa"/>
          </w:tblCellMar>
        </w:tblPrEx>
        <w:trPr>
          <w:trHeight w:val="420" w:hRule="atLeast"/>
          <w:jc w:val="center"/>
        </w:trPr>
        <w:tc>
          <w:tcPr>
            <w:tcW w:w="305" w:type="pct"/>
            <w:tcBorders>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4</w:t>
            </w:r>
          </w:p>
        </w:tc>
        <w:tc>
          <w:tcPr>
            <w:tcW w:w="461" w:type="pct"/>
            <w:tcBorders>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w:t>
            </w:r>
          </w:p>
        </w:tc>
        <w:tc>
          <w:tcPr>
            <w:tcW w:w="736"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p>
        </w:tc>
        <w:tc>
          <w:tcPr>
            <w:tcW w:w="667"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378"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484"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443"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649" w:type="pct"/>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571" w:type="pct"/>
            <w:tcBorders>
              <w:top w:val="nil"/>
              <w:left w:val="nil"/>
              <w:bottom w:val="single" w:color="auto" w:sz="4" w:space="0"/>
              <w:right w:val="single" w:color="auto" w:sz="4" w:space="0"/>
            </w:tcBorders>
            <w:noWrap/>
            <w:vAlign w:val="center"/>
          </w:tcPr>
          <w:p>
            <w:pPr>
              <w:widowControl/>
              <w:jc w:val="left"/>
              <w:rPr>
                <w:rFonts w:hint="eastAsia" w:ascii="Calibri" w:hAnsi="Calibri" w:cs="Calibri"/>
                <w:color w:val="000000"/>
                <w:kern w:val="0"/>
                <w:szCs w:val="21"/>
              </w:rPr>
            </w:pPr>
          </w:p>
        </w:tc>
        <w:tc>
          <w:tcPr>
            <w:tcW w:w="302" w:type="pct"/>
            <w:tcBorders>
              <w:top w:val="nil"/>
              <w:left w:val="nil"/>
              <w:bottom w:val="single" w:color="auto" w:sz="4" w:space="0"/>
              <w:right w:val="single" w:color="auto" w:sz="4" w:space="0"/>
            </w:tcBorders>
            <w:noWrap/>
            <w:vAlign w:val="center"/>
          </w:tcPr>
          <w:p>
            <w:pPr>
              <w:widowControl/>
              <w:jc w:val="left"/>
              <w:rPr>
                <w:rFonts w:hint="eastAsia" w:ascii="Calibri" w:hAnsi="Calibri" w:cs="Calibri"/>
                <w:color w:val="000000"/>
                <w:kern w:val="0"/>
                <w:szCs w:val="21"/>
              </w:rPr>
            </w:pPr>
          </w:p>
        </w:tc>
      </w:tr>
      <w:tr>
        <w:tblPrEx>
          <w:tblCellMar>
            <w:top w:w="0" w:type="dxa"/>
            <w:left w:w="108" w:type="dxa"/>
            <w:bottom w:w="0" w:type="dxa"/>
            <w:right w:w="108" w:type="dxa"/>
          </w:tblCellMar>
        </w:tblPrEx>
        <w:trPr>
          <w:trHeight w:val="435" w:hRule="atLeast"/>
          <w:jc w:val="center"/>
        </w:trPr>
        <w:tc>
          <w:tcPr>
            <w:tcW w:w="305" w:type="pct"/>
            <w:tcBorders>
              <w:top w:val="nil"/>
              <w:left w:val="single" w:color="auto" w:sz="4" w:space="0"/>
              <w:bottom w:val="single" w:color="auto" w:sz="4" w:space="0"/>
              <w:right w:val="single" w:color="auto" w:sz="4" w:space="0"/>
            </w:tcBorders>
            <w:noWrap/>
            <w:vAlign w:val="center"/>
          </w:tcPr>
          <w:p>
            <w:pPr>
              <w:widowControl/>
              <w:jc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5</w:t>
            </w:r>
          </w:p>
        </w:tc>
        <w:tc>
          <w:tcPr>
            <w:tcW w:w="1197" w:type="pct"/>
            <w:gridSpan w:val="2"/>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税费</w:t>
            </w:r>
          </w:p>
        </w:tc>
        <w:tc>
          <w:tcPr>
            <w:tcW w:w="1973" w:type="pct"/>
            <w:gridSpan w:val="4"/>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lang w:val="en-US" w:eastAsia="zh-CN"/>
              </w:rPr>
              <w:t>税率？</w:t>
            </w:r>
          </w:p>
        </w:tc>
        <w:tc>
          <w:tcPr>
            <w:tcW w:w="1220" w:type="pct"/>
            <w:gridSpan w:val="2"/>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c>
          <w:tcPr>
            <w:tcW w:w="302"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435" w:hRule="atLeast"/>
          <w:jc w:val="center"/>
        </w:trPr>
        <w:tc>
          <w:tcPr>
            <w:tcW w:w="1503" w:type="pct"/>
            <w:gridSpan w:val="3"/>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lang w:val="en-US" w:eastAsia="zh-CN"/>
              </w:rPr>
              <w:t>总计/元（含税）</w:t>
            </w:r>
          </w:p>
        </w:tc>
        <w:tc>
          <w:tcPr>
            <w:tcW w:w="1973" w:type="pct"/>
            <w:gridSpan w:val="4"/>
            <w:tcBorders>
              <w:top w:val="single" w:color="auto" w:sz="4" w:space="0"/>
              <w:left w:val="nil"/>
              <w:bottom w:val="single" w:color="auto" w:sz="4" w:space="0"/>
              <w:right w:val="single" w:color="auto" w:sz="4" w:space="0"/>
            </w:tcBorders>
            <w:noWrap/>
            <w:vAlign w:val="center"/>
          </w:tcPr>
          <w:p>
            <w:pPr>
              <w:widowControl/>
              <w:jc w:val="center"/>
              <w:rPr>
                <w:rFonts w:hint="default" w:ascii="宋体" w:hAnsi="宋体" w:eastAsia="宋体" w:cs="宋体"/>
                <w:color w:val="000000"/>
                <w:kern w:val="0"/>
                <w:sz w:val="22"/>
                <w:szCs w:val="22"/>
                <w:lang w:val="en-US" w:eastAsia="zh-CN"/>
              </w:rPr>
            </w:pPr>
          </w:p>
        </w:tc>
        <w:tc>
          <w:tcPr>
            <w:tcW w:w="1220" w:type="pct"/>
            <w:gridSpan w:val="2"/>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302"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420" w:hRule="atLeast"/>
          <w:jc w:val="center"/>
        </w:trPr>
        <w:tc>
          <w:tcPr>
            <w:tcW w:w="5000" w:type="pct"/>
            <w:gridSpan w:val="10"/>
            <w:tcBorders>
              <w:top w:val="nil"/>
              <w:left w:val="nil"/>
              <w:bottom w:val="nil"/>
              <w:right w:val="nil"/>
            </w:tcBorders>
            <w:noWrap/>
            <w:vAlign w:val="center"/>
          </w:tcPr>
          <w:p>
            <w:pPr>
              <w:widowControl/>
              <w:jc w:val="left"/>
              <w:rPr>
                <w:rFonts w:hint="eastAsia" w:ascii="宋体" w:hAnsi="宋体" w:cs="宋体"/>
                <w:color w:val="000000"/>
                <w:kern w:val="0"/>
                <w:sz w:val="22"/>
                <w:szCs w:val="22"/>
              </w:rPr>
            </w:pPr>
            <w:r>
              <w:rPr>
                <w:rFonts w:hint="eastAsia" w:ascii="宋体" w:hAnsi="宋体" w:cs="宋体"/>
                <w:color w:val="000000"/>
                <w:kern w:val="0"/>
                <w:sz w:val="22"/>
                <w:szCs w:val="22"/>
              </w:rPr>
              <w:t>注：该表可根据实际情况做适当调整或增加附件说明。</w:t>
            </w:r>
          </w:p>
          <w:p>
            <w:pPr>
              <w:widowControl/>
              <w:jc w:val="center"/>
              <w:rPr>
                <w:rFonts w:ascii="宋体" w:hAnsi="宋体" w:cs="宋体"/>
                <w:color w:val="000000"/>
                <w:kern w:val="0"/>
                <w:sz w:val="22"/>
                <w:szCs w:val="22"/>
              </w:rPr>
            </w:pPr>
          </w:p>
        </w:tc>
      </w:tr>
    </w:tbl>
    <w:p>
      <w:pPr>
        <w:keepNext w:val="0"/>
        <w:keepLines w:val="0"/>
        <w:pageBreakBefore w:val="0"/>
        <w:widowControl w:val="0"/>
        <w:kinsoku/>
        <w:wordWrap/>
        <w:overflowPunct/>
        <w:topLinePunct w:val="0"/>
        <w:autoSpaceDE/>
        <w:autoSpaceDN/>
        <w:bidi w:val="0"/>
        <w:adjustRightInd/>
        <w:snapToGrid/>
        <w:spacing w:before="78" w:line="440" w:lineRule="exact"/>
        <w:jc w:val="left"/>
        <w:textAlignment w:val="auto"/>
        <w:rPr>
          <w:rFonts w:hint="default" w:ascii="Times New Roman" w:hAnsi="Times New Roman" w:eastAsia="宋体" w:cs="Times New Roman"/>
          <w:spacing w:val="-6"/>
          <w:szCs w:val="21"/>
        </w:rPr>
      </w:pPr>
      <w:r>
        <w:rPr>
          <w:rFonts w:hint="eastAsia" w:ascii="宋体" w:hAnsi="宋体" w:eastAsia="宋体" w:cs="宋体"/>
          <w:i w:val="0"/>
          <w:iCs w:val="0"/>
          <w:color w:val="000000"/>
          <w:kern w:val="0"/>
          <w:sz w:val="24"/>
          <w:szCs w:val="24"/>
          <w:u w:val="none"/>
          <w:lang w:val="en-US" w:eastAsia="zh-CN" w:bidi="ar"/>
        </w:rPr>
        <w:t>注：项目主要包含</w:t>
      </w:r>
      <w:r>
        <w:rPr>
          <w:rFonts w:hint="eastAsia" w:ascii="宋体" w:hAnsi="宋体" w:cs="宋体"/>
          <w:i w:val="0"/>
          <w:iCs w:val="0"/>
          <w:color w:val="000000"/>
          <w:kern w:val="0"/>
          <w:sz w:val="24"/>
          <w:szCs w:val="24"/>
          <w:u w:val="none"/>
          <w:lang w:val="en-US" w:eastAsia="zh-CN" w:bidi="ar"/>
        </w:rPr>
        <w:t>旧塔拆除、新塔</w:t>
      </w:r>
      <w:r>
        <w:rPr>
          <w:rFonts w:hint="eastAsia" w:ascii="宋体" w:hAnsi="宋体" w:eastAsia="宋体" w:cs="宋体"/>
          <w:i w:val="0"/>
          <w:iCs w:val="0"/>
          <w:color w:val="000000"/>
          <w:kern w:val="0"/>
          <w:sz w:val="24"/>
          <w:szCs w:val="24"/>
          <w:u w:val="none"/>
          <w:lang w:val="en-US" w:eastAsia="zh-CN" w:bidi="ar"/>
        </w:rPr>
        <w:t>采购供货、装卸运输、</w:t>
      </w:r>
      <w:r>
        <w:rPr>
          <w:rFonts w:hint="eastAsia" w:ascii="宋体" w:hAnsi="宋体" w:cs="宋体"/>
          <w:i w:val="0"/>
          <w:iCs w:val="0"/>
          <w:color w:val="000000"/>
          <w:kern w:val="0"/>
          <w:sz w:val="24"/>
          <w:szCs w:val="24"/>
          <w:u w:val="none"/>
          <w:lang w:val="en-US" w:eastAsia="zh-CN" w:bidi="ar"/>
        </w:rPr>
        <w:t>安装调试，涉及土建基础调整、管路对接</w:t>
      </w:r>
      <w:r>
        <w:rPr>
          <w:rFonts w:hint="eastAsia" w:ascii="宋体" w:hAnsi="宋体" w:eastAsia="宋体" w:cs="宋体"/>
          <w:i w:val="0"/>
          <w:iCs w:val="0"/>
          <w:color w:val="000000"/>
          <w:kern w:val="0"/>
          <w:sz w:val="24"/>
          <w:szCs w:val="24"/>
          <w:u w:val="none"/>
          <w:lang w:val="en-US" w:eastAsia="zh-CN" w:bidi="ar"/>
        </w:rPr>
        <w:t>等。</w:t>
      </w:r>
    </w:p>
    <w:p>
      <w:pPr>
        <w:spacing w:line="360" w:lineRule="auto"/>
        <w:jc w:val="right"/>
        <w:rPr>
          <w:rFonts w:hint="default"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年</w:t>
      </w:r>
      <w:r>
        <w:rPr>
          <w:rFonts w:hint="eastAsia" w:ascii="宋体" w:hAnsi="宋体" w:cs="Times New Roman"/>
          <w:color w:val="000000"/>
          <w:sz w:val="24"/>
          <w:szCs w:val="24"/>
          <w:lang w:val="en-US" w:eastAsia="zh-CN"/>
        </w:rPr>
        <w:t xml:space="preserve">   </w:t>
      </w:r>
      <w:r>
        <w:rPr>
          <w:rFonts w:hint="eastAsia" w:ascii="宋体" w:hAnsi="宋体" w:eastAsia="宋体" w:cs="Times New Roman"/>
          <w:color w:val="000000"/>
          <w:sz w:val="24"/>
          <w:szCs w:val="24"/>
          <w:lang w:val="en-US" w:eastAsia="zh-CN"/>
        </w:rPr>
        <w:t>月</w:t>
      </w:r>
      <w:r>
        <w:rPr>
          <w:rFonts w:hint="eastAsia" w:ascii="宋体" w:hAnsi="宋体" w:cs="Times New Roman"/>
          <w:color w:val="000000"/>
          <w:sz w:val="24"/>
          <w:szCs w:val="24"/>
          <w:lang w:val="en-US" w:eastAsia="zh-CN"/>
        </w:rPr>
        <w:t xml:space="preserve">   </w:t>
      </w:r>
      <w:r>
        <w:rPr>
          <w:rFonts w:hint="eastAsia" w:ascii="宋体" w:hAnsi="宋体" w:eastAsia="宋体" w:cs="Times New Roman"/>
          <w:color w:val="000000"/>
          <w:sz w:val="24"/>
          <w:szCs w:val="24"/>
          <w:lang w:val="en-US" w:eastAsia="zh-CN"/>
        </w:rPr>
        <w:t>日</w:t>
      </w:r>
    </w:p>
    <w:p>
      <w:pPr>
        <w:jc w:val="left"/>
        <w:rPr>
          <w:rFonts w:hint="default" w:hAnsi="宋体"/>
          <w:sz w:val="24"/>
          <w:lang w:val="en-US"/>
        </w:rPr>
      </w:pPr>
    </w:p>
    <w:p>
      <w:pPr>
        <w:keepNext w:val="0"/>
        <w:keepLines w:val="0"/>
        <w:pageBreakBefore w:val="0"/>
        <w:widowControl w:val="0"/>
        <w:kinsoku/>
        <w:wordWrap/>
        <w:overflowPunct/>
        <w:topLinePunct w:val="0"/>
        <w:autoSpaceDE/>
        <w:autoSpaceDN/>
        <w:bidi w:val="0"/>
        <w:adjustRightInd/>
        <w:snapToGrid/>
        <w:spacing w:before="58" w:line="440" w:lineRule="exact"/>
        <w:ind w:left="0"/>
        <w:jc w:val="both"/>
        <w:textAlignment w:val="auto"/>
        <w:rPr>
          <w:rFonts w:hint="default" w:ascii="Times New Roman" w:hAnsi="Times New Roman" w:eastAsia="宋体" w:cs="Times New Roman"/>
          <w:szCs w:val="21"/>
        </w:rPr>
      </w:pPr>
      <w:r>
        <w:rPr>
          <w:rFonts w:hint="eastAsia" w:ascii="Times New Roman" w:hAnsi="Times New Roman" w:cs="Times New Roman"/>
          <w:spacing w:val="-8"/>
          <w:szCs w:val="21"/>
          <w:lang w:val="en-US" w:eastAsia="zh-CN"/>
        </w:rPr>
        <w:t>注：</w:t>
      </w:r>
      <w:r>
        <w:rPr>
          <w:rFonts w:hint="eastAsia" w:cs="Times New Roman"/>
          <w:spacing w:val="-6"/>
          <w:szCs w:val="21"/>
          <w:lang w:val="en-US" w:eastAsia="zh-CN"/>
        </w:rPr>
        <w:t>1</w:t>
      </w:r>
      <w:r>
        <w:rPr>
          <w:rFonts w:hint="default" w:ascii="Times New Roman" w:hAnsi="Times New Roman" w:eastAsia="宋体" w:cs="Times New Roman"/>
          <w:spacing w:val="-6"/>
          <w:szCs w:val="21"/>
        </w:rPr>
        <w:t>.如果按单</w:t>
      </w:r>
      <w:r>
        <w:rPr>
          <w:rFonts w:hint="default" w:ascii="Times New Roman" w:hAnsi="Times New Roman" w:eastAsia="宋体" w:cs="Times New Roman"/>
          <w:spacing w:val="-5"/>
          <w:szCs w:val="21"/>
        </w:rPr>
        <w:t>价</w:t>
      </w:r>
      <w:r>
        <w:rPr>
          <w:rFonts w:hint="default" w:ascii="Times New Roman" w:hAnsi="Times New Roman" w:eastAsia="宋体" w:cs="Times New Roman"/>
          <w:spacing w:val="-3"/>
          <w:szCs w:val="21"/>
        </w:rPr>
        <w:t>计算的结果与总价不一致，以单价为准修正总价。</w:t>
      </w:r>
    </w:p>
    <w:p>
      <w:pPr>
        <w:keepNext w:val="0"/>
        <w:keepLines w:val="0"/>
        <w:pageBreakBefore w:val="0"/>
        <w:widowControl w:val="0"/>
        <w:kinsoku/>
        <w:wordWrap/>
        <w:overflowPunct/>
        <w:topLinePunct w:val="0"/>
        <w:autoSpaceDE/>
        <w:autoSpaceDN/>
        <w:bidi w:val="0"/>
        <w:adjustRightInd/>
        <w:snapToGrid/>
        <w:spacing w:before="85" w:line="440" w:lineRule="exact"/>
        <w:ind w:left="351" w:leftChars="0"/>
        <w:jc w:val="both"/>
        <w:textAlignment w:val="auto"/>
        <w:rPr>
          <w:rFonts w:hint="default" w:ascii="Times New Roman" w:hAnsi="Times New Roman" w:eastAsia="宋体" w:cs="Times New Roman"/>
        </w:rPr>
      </w:pPr>
      <w:r>
        <w:rPr>
          <w:rFonts w:hint="eastAsia" w:cs="Times New Roman"/>
          <w:spacing w:val="-4"/>
          <w:szCs w:val="21"/>
          <w:lang w:val="en-US" w:eastAsia="zh-CN"/>
        </w:rPr>
        <w:t>2</w:t>
      </w:r>
      <w:r>
        <w:rPr>
          <w:rFonts w:hint="default" w:ascii="Times New Roman" w:hAnsi="Times New Roman" w:eastAsia="宋体" w:cs="Times New Roman"/>
          <w:spacing w:val="-4"/>
          <w:szCs w:val="21"/>
        </w:rPr>
        <w:t>.此分项报价，仅是为</w:t>
      </w:r>
      <w:r>
        <w:rPr>
          <w:rFonts w:hint="default" w:ascii="Times New Roman" w:hAnsi="Times New Roman" w:eastAsia="宋体" w:cs="Times New Roman"/>
          <w:spacing w:val="-2"/>
          <w:szCs w:val="21"/>
        </w:rPr>
        <w:t>了方便招标人对投标文件进行分析比较，不作为限制订立合同的条件</w:t>
      </w:r>
      <w:r>
        <w:rPr>
          <w:rFonts w:hint="default" w:ascii="Times New Roman" w:hAnsi="Times New Roman" w:eastAsia="宋体" w:cs="Times New Roman"/>
          <w:spacing w:val="-2"/>
          <w:sz w:val="24"/>
          <w:szCs w:val="24"/>
        </w:rPr>
        <w:t>。</w:t>
      </w:r>
    </w:p>
    <w:p>
      <w:pPr>
        <w:keepNext w:val="0"/>
        <w:keepLines w:val="0"/>
        <w:pageBreakBefore w:val="0"/>
        <w:widowControl w:val="0"/>
        <w:kinsoku/>
        <w:wordWrap/>
        <w:overflowPunct/>
        <w:topLinePunct w:val="0"/>
        <w:autoSpaceDE/>
        <w:autoSpaceDN/>
        <w:bidi w:val="0"/>
        <w:adjustRightInd/>
        <w:snapToGrid/>
        <w:spacing w:before="78" w:line="440" w:lineRule="exact"/>
        <w:ind w:left="351" w:leftChars="0"/>
        <w:jc w:val="both"/>
        <w:textAlignment w:val="auto"/>
        <w:rPr>
          <w:rFonts w:hint="default" w:ascii="Times New Roman" w:hAnsi="Times New Roman" w:eastAsia="宋体" w:cs="Times New Roman"/>
          <w:spacing w:val="-6"/>
          <w:szCs w:val="21"/>
        </w:rPr>
      </w:pPr>
      <w:r>
        <w:rPr>
          <w:rFonts w:hint="eastAsia" w:cs="Times New Roman"/>
          <w:spacing w:val="-6"/>
          <w:szCs w:val="21"/>
          <w:lang w:val="en-US" w:eastAsia="zh-CN"/>
        </w:rPr>
        <w:t>3</w:t>
      </w:r>
      <w:r>
        <w:rPr>
          <w:rFonts w:hint="default" w:ascii="Times New Roman" w:hAnsi="Times New Roman" w:eastAsia="宋体" w:cs="Times New Roman"/>
          <w:spacing w:val="-6"/>
          <w:szCs w:val="21"/>
        </w:rPr>
        <w:t>.如上表中的有关费用投标人免费提供，请注明“免费”字样。</w:t>
      </w:r>
    </w:p>
    <w:p>
      <w:pPr>
        <w:keepNext w:val="0"/>
        <w:keepLines w:val="0"/>
        <w:pageBreakBefore w:val="0"/>
        <w:widowControl w:val="0"/>
        <w:kinsoku/>
        <w:wordWrap/>
        <w:overflowPunct/>
        <w:topLinePunct w:val="0"/>
        <w:autoSpaceDE/>
        <w:autoSpaceDN/>
        <w:bidi w:val="0"/>
        <w:adjustRightInd/>
        <w:snapToGrid/>
        <w:spacing w:before="78" w:line="440" w:lineRule="exact"/>
        <w:ind w:left="351" w:leftChars="0"/>
        <w:jc w:val="both"/>
        <w:textAlignment w:val="auto"/>
        <w:rPr>
          <w:rFonts w:hint="default" w:ascii="Times New Roman" w:hAnsi="Times New Roman" w:eastAsia="宋体" w:cs="Times New Roman"/>
          <w:spacing w:val="-6"/>
          <w:szCs w:val="21"/>
        </w:rPr>
      </w:pPr>
      <w:r>
        <w:rPr>
          <w:rFonts w:hint="eastAsia" w:cs="Times New Roman"/>
          <w:spacing w:val="-6"/>
          <w:szCs w:val="21"/>
          <w:lang w:val="en-US" w:eastAsia="zh-CN"/>
        </w:rPr>
        <w:t>4</w:t>
      </w:r>
      <w:r>
        <w:rPr>
          <w:rFonts w:hint="default" w:ascii="Times New Roman" w:hAnsi="Times New Roman" w:eastAsia="宋体" w:cs="Times New Roman"/>
          <w:spacing w:val="-6"/>
          <w:szCs w:val="21"/>
        </w:rPr>
        <w:t>.该明细表所有信息均为必填项，不得删减，价格部分不得合并，</w:t>
      </w:r>
      <w:r>
        <w:rPr>
          <w:rFonts w:hint="default" w:ascii="Times New Roman" w:hAnsi="Times New Roman" w:eastAsia="宋体" w:cs="Times New Roman"/>
          <w:b/>
          <w:bCs/>
          <w:spacing w:val="-6"/>
          <w:szCs w:val="21"/>
        </w:rPr>
        <w:t>可细化可增加</w:t>
      </w:r>
      <w:r>
        <w:rPr>
          <w:rFonts w:hint="default" w:ascii="Times New Roman" w:hAnsi="Times New Roman" w:eastAsia="宋体" w:cs="Times New Roman"/>
          <w:spacing w:val="-6"/>
          <w:szCs w:val="21"/>
        </w:rPr>
        <w:t>。</w:t>
      </w:r>
    </w:p>
    <w:p>
      <w:pPr>
        <w:keepNext w:val="0"/>
        <w:keepLines w:val="0"/>
        <w:pageBreakBefore w:val="0"/>
        <w:widowControl w:val="0"/>
        <w:kinsoku/>
        <w:wordWrap/>
        <w:overflowPunct/>
        <w:topLinePunct w:val="0"/>
        <w:autoSpaceDE/>
        <w:autoSpaceDN/>
        <w:bidi w:val="0"/>
        <w:adjustRightInd/>
        <w:snapToGrid/>
        <w:spacing w:before="78" w:line="440" w:lineRule="exact"/>
        <w:ind w:left="351" w:leftChars="0"/>
        <w:jc w:val="both"/>
        <w:textAlignment w:val="auto"/>
        <w:rPr>
          <w:rFonts w:hint="default" w:ascii="Times New Roman" w:hAnsi="Times New Roman" w:eastAsia="宋体" w:cs="Times New Roman"/>
          <w:spacing w:val="-6"/>
          <w:szCs w:val="21"/>
        </w:rPr>
      </w:pPr>
      <w:r>
        <w:rPr>
          <w:rFonts w:hint="eastAsia" w:cs="Times New Roman"/>
          <w:spacing w:val="-6"/>
          <w:szCs w:val="21"/>
          <w:lang w:val="en-US" w:eastAsia="zh-CN"/>
        </w:rPr>
        <w:t>5</w:t>
      </w:r>
      <w:r>
        <w:rPr>
          <w:rFonts w:hint="default" w:ascii="Times New Roman" w:hAnsi="Times New Roman" w:eastAsia="宋体" w:cs="Times New Roman"/>
          <w:spacing w:val="-6"/>
          <w:szCs w:val="21"/>
        </w:rPr>
        <w:t>.因填写不规范造成废标及终止招标的，责任由投标人自负。</w:t>
      </w:r>
    </w:p>
    <w:p>
      <w:pPr>
        <w:outlineLvl w:val="9"/>
        <w:rPr>
          <w:rFonts w:hint="default"/>
        </w:rPr>
      </w:pPr>
    </w:p>
    <w:p>
      <w:pPr>
        <w:keepNext w:val="0"/>
        <w:keepLines w:val="0"/>
        <w:pageBreakBefore w:val="0"/>
        <w:widowControl w:val="0"/>
        <w:kinsoku/>
        <w:wordWrap/>
        <w:overflowPunct/>
        <w:topLinePunct w:val="0"/>
        <w:autoSpaceDE/>
        <w:autoSpaceDN/>
        <w:bidi w:val="0"/>
        <w:adjustRightInd/>
        <w:snapToGrid/>
        <w:spacing w:before="78" w:line="440" w:lineRule="exact"/>
        <w:ind w:left="351" w:leftChars="0"/>
        <w:jc w:val="left"/>
        <w:textAlignment w:val="auto"/>
        <w:rPr>
          <w:rFonts w:hint="eastAsia" w:ascii="Times New Roman" w:hAnsi="Times New Roman" w:eastAsia="宋体" w:cs="Times New Roman"/>
          <w:spacing w:val="-6"/>
          <w:szCs w:val="21"/>
        </w:rPr>
      </w:pPr>
      <w:r>
        <w:rPr>
          <w:rFonts w:hint="eastAsia" w:ascii="Times New Roman" w:hAnsi="Times New Roman" w:eastAsia="宋体" w:cs="Times New Roman"/>
          <w:spacing w:val="-6"/>
          <w:szCs w:val="21"/>
        </w:rPr>
        <w:t xml:space="preserve">投标人名称（盖章）：  </w:t>
      </w:r>
      <w:r>
        <w:rPr>
          <w:rFonts w:hint="eastAsia" w:ascii="Times New Roman" w:hAnsi="Times New Roman" w:cs="Times New Roman"/>
          <w:spacing w:val="-6"/>
          <w:szCs w:val="21"/>
          <w:lang w:val="en-US" w:eastAsia="zh-CN"/>
        </w:rPr>
        <w:t xml:space="preserve">                </w:t>
      </w:r>
      <w:r>
        <w:rPr>
          <w:rFonts w:hint="eastAsia" w:ascii="Times New Roman" w:hAnsi="Times New Roman" w:eastAsia="宋体" w:cs="Times New Roman"/>
          <w:spacing w:val="-6"/>
          <w:szCs w:val="21"/>
        </w:rPr>
        <w:t xml:space="preserve">      法定代表人或授权代表签字：</w:t>
      </w:r>
    </w:p>
    <w:p>
      <w:pPr>
        <w:rPr>
          <w:rFonts w:hint="eastAsia" w:ascii="Times New Roman" w:hAnsi="Times New Roman" w:eastAsia="宋体" w:cs="Times New Roman"/>
          <w:spacing w:val="-6"/>
          <w:szCs w:val="21"/>
        </w:rPr>
      </w:pPr>
      <w:r>
        <w:rPr>
          <w:rFonts w:hint="eastAsia" w:ascii="Times New Roman" w:hAnsi="Times New Roman" w:eastAsia="宋体" w:cs="Times New Roman"/>
          <w:spacing w:val="-6"/>
          <w:szCs w:val="21"/>
        </w:rPr>
        <w:br w:type="page"/>
      </w:r>
    </w:p>
    <w:p>
      <w:pPr>
        <w:spacing w:line="660" w:lineRule="exact"/>
        <w:rPr>
          <w:rFonts w:hint="eastAsia" w:ascii="宋体" w:hAnsi="宋体"/>
          <w:sz w:val="24"/>
        </w:rPr>
      </w:pPr>
      <w:r>
        <w:rPr>
          <w:rFonts w:hint="eastAsia" w:ascii="宋体" w:hAnsi="宋体" w:cs="宋体"/>
          <w:color w:val="000000"/>
          <w:kern w:val="0"/>
          <w:sz w:val="22"/>
          <w:szCs w:val="22"/>
        </w:rPr>
        <w:t>表</w:t>
      </w:r>
      <w:r>
        <w:rPr>
          <w:rFonts w:hint="eastAsia" w:ascii="宋体" w:hAnsi="宋体" w:cs="宋体"/>
          <w:color w:val="000000"/>
          <w:kern w:val="0"/>
          <w:sz w:val="22"/>
          <w:szCs w:val="22"/>
          <w:lang w:val="en-US" w:eastAsia="zh-CN"/>
        </w:rPr>
        <w:t>2</w:t>
      </w:r>
      <w:r>
        <w:rPr>
          <w:rFonts w:hint="eastAsia" w:ascii="宋体" w:hAnsi="宋体" w:cs="宋体"/>
          <w:color w:val="000000"/>
          <w:kern w:val="0"/>
          <w:sz w:val="22"/>
          <w:szCs w:val="22"/>
        </w:rPr>
        <w:t>：主要耗材及备件报价清单</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 w:type="dxa"/>
          <w:bottom w:w="0" w:type="dxa"/>
          <w:right w:w="3" w:type="dxa"/>
        </w:tblCellMar>
      </w:tblPr>
      <w:tblGrid>
        <w:gridCol w:w="628"/>
        <w:gridCol w:w="1553"/>
        <w:gridCol w:w="955"/>
        <w:gridCol w:w="1745"/>
        <w:gridCol w:w="703"/>
        <w:gridCol w:w="1006"/>
        <w:gridCol w:w="1091"/>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76" w:hRule="atLeast"/>
          <w:jc w:val="center"/>
        </w:trPr>
        <w:tc>
          <w:tcPr>
            <w:tcW w:w="346" w:type="pct"/>
            <w:noWrap w:val="0"/>
            <w:vAlign w:val="center"/>
          </w:tcPr>
          <w:p>
            <w:pPr>
              <w:widowControl/>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序号</w:t>
            </w:r>
          </w:p>
        </w:tc>
        <w:tc>
          <w:tcPr>
            <w:tcW w:w="855" w:type="pct"/>
            <w:noWrap w:val="0"/>
            <w:vAlign w:val="center"/>
          </w:tcPr>
          <w:p>
            <w:pPr>
              <w:widowControl/>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常用耗材、备件部件名称</w:t>
            </w:r>
          </w:p>
        </w:tc>
        <w:tc>
          <w:tcPr>
            <w:tcW w:w="526" w:type="pct"/>
            <w:noWrap w:val="0"/>
            <w:vAlign w:val="center"/>
          </w:tcPr>
          <w:p>
            <w:pPr>
              <w:widowControl/>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规格型号</w:t>
            </w:r>
          </w:p>
        </w:tc>
        <w:tc>
          <w:tcPr>
            <w:tcW w:w="961" w:type="pct"/>
            <w:noWrap w:val="0"/>
            <w:vAlign w:val="center"/>
          </w:tcPr>
          <w:p>
            <w:pPr>
              <w:widowControl/>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生产厂商名称</w:t>
            </w:r>
          </w:p>
        </w:tc>
        <w:tc>
          <w:tcPr>
            <w:tcW w:w="387" w:type="pct"/>
            <w:noWrap w:val="0"/>
            <w:vAlign w:val="center"/>
          </w:tcPr>
          <w:p>
            <w:pPr>
              <w:widowControl/>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单价</w:t>
            </w:r>
          </w:p>
        </w:tc>
        <w:tc>
          <w:tcPr>
            <w:tcW w:w="554" w:type="pct"/>
            <w:noWrap w:val="0"/>
            <w:vAlign w:val="center"/>
          </w:tcPr>
          <w:p>
            <w:pPr>
              <w:widowControl/>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单次使用数量</w:t>
            </w:r>
          </w:p>
        </w:tc>
        <w:tc>
          <w:tcPr>
            <w:tcW w:w="601" w:type="pct"/>
            <w:noWrap w:val="0"/>
            <w:vAlign w:val="center"/>
          </w:tcPr>
          <w:p>
            <w:pPr>
              <w:widowControl/>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单次费用</w:t>
            </w:r>
          </w:p>
        </w:tc>
        <w:tc>
          <w:tcPr>
            <w:tcW w:w="767" w:type="pct"/>
            <w:noWrap w:val="0"/>
            <w:vAlign w:val="center"/>
          </w:tcPr>
          <w:p>
            <w:pPr>
              <w:widowControl/>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更换周期（耗材）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46" w:type="pct"/>
            <w:noWrap w:val="0"/>
            <w:vAlign w:val="center"/>
          </w:tcPr>
          <w:p>
            <w:pPr>
              <w:pStyle w:val="115"/>
              <w:rPr>
                <w:rFonts w:hint="eastAsia"/>
                <w:sz w:val="18"/>
                <w:szCs w:val="18"/>
              </w:rPr>
            </w:pPr>
          </w:p>
        </w:tc>
        <w:tc>
          <w:tcPr>
            <w:tcW w:w="855" w:type="pct"/>
            <w:noWrap w:val="0"/>
            <w:vAlign w:val="center"/>
          </w:tcPr>
          <w:p>
            <w:pPr>
              <w:pStyle w:val="115"/>
              <w:rPr>
                <w:rFonts w:hint="eastAsia"/>
                <w:sz w:val="18"/>
                <w:szCs w:val="18"/>
              </w:rPr>
            </w:pPr>
          </w:p>
        </w:tc>
        <w:tc>
          <w:tcPr>
            <w:tcW w:w="526" w:type="pct"/>
            <w:noWrap w:val="0"/>
            <w:vAlign w:val="center"/>
          </w:tcPr>
          <w:p>
            <w:pPr>
              <w:pStyle w:val="115"/>
              <w:rPr>
                <w:rFonts w:hint="eastAsia"/>
                <w:sz w:val="18"/>
                <w:szCs w:val="18"/>
              </w:rPr>
            </w:pPr>
          </w:p>
        </w:tc>
        <w:tc>
          <w:tcPr>
            <w:tcW w:w="961" w:type="pct"/>
            <w:noWrap w:val="0"/>
            <w:vAlign w:val="center"/>
          </w:tcPr>
          <w:p>
            <w:pPr>
              <w:pStyle w:val="115"/>
              <w:rPr>
                <w:rFonts w:hint="eastAsia"/>
                <w:sz w:val="18"/>
                <w:szCs w:val="18"/>
              </w:rPr>
            </w:pPr>
          </w:p>
        </w:tc>
        <w:tc>
          <w:tcPr>
            <w:tcW w:w="387" w:type="pct"/>
            <w:noWrap w:val="0"/>
            <w:vAlign w:val="center"/>
          </w:tcPr>
          <w:p>
            <w:pPr>
              <w:pStyle w:val="115"/>
              <w:rPr>
                <w:rFonts w:hint="eastAsia"/>
                <w:sz w:val="18"/>
                <w:szCs w:val="18"/>
              </w:rPr>
            </w:pPr>
          </w:p>
        </w:tc>
        <w:tc>
          <w:tcPr>
            <w:tcW w:w="554" w:type="pct"/>
            <w:noWrap w:val="0"/>
            <w:vAlign w:val="center"/>
          </w:tcPr>
          <w:p>
            <w:pPr>
              <w:pStyle w:val="115"/>
              <w:rPr>
                <w:rFonts w:hint="eastAsia"/>
                <w:sz w:val="18"/>
                <w:szCs w:val="18"/>
              </w:rPr>
            </w:pPr>
          </w:p>
        </w:tc>
        <w:tc>
          <w:tcPr>
            <w:tcW w:w="601" w:type="pct"/>
            <w:noWrap w:val="0"/>
            <w:vAlign w:val="center"/>
          </w:tcPr>
          <w:p>
            <w:pPr>
              <w:pStyle w:val="115"/>
              <w:rPr>
                <w:rFonts w:hint="eastAsia"/>
                <w:sz w:val="18"/>
                <w:szCs w:val="18"/>
              </w:rPr>
            </w:pPr>
          </w:p>
        </w:tc>
        <w:tc>
          <w:tcPr>
            <w:tcW w:w="767" w:type="pct"/>
            <w:noWrap w:val="0"/>
            <w:vAlign w:val="center"/>
          </w:tcPr>
          <w:p>
            <w:pPr>
              <w:pStyle w:val="115"/>
              <w:rPr>
                <w:rFonts w:hint="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46" w:type="pct"/>
            <w:noWrap w:val="0"/>
            <w:vAlign w:val="center"/>
          </w:tcPr>
          <w:p>
            <w:pPr>
              <w:pStyle w:val="115"/>
              <w:rPr>
                <w:rFonts w:hint="eastAsia"/>
              </w:rPr>
            </w:pPr>
          </w:p>
        </w:tc>
        <w:tc>
          <w:tcPr>
            <w:tcW w:w="855" w:type="pct"/>
            <w:noWrap w:val="0"/>
            <w:vAlign w:val="center"/>
          </w:tcPr>
          <w:p>
            <w:pPr>
              <w:pStyle w:val="115"/>
              <w:rPr>
                <w:rFonts w:hint="eastAsia"/>
              </w:rPr>
            </w:pPr>
          </w:p>
        </w:tc>
        <w:tc>
          <w:tcPr>
            <w:tcW w:w="526" w:type="pct"/>
            <w:noWrap w:val="0"/>
            <w:vAlign w:val="center"/>
          </w:tcPr>
          <w:p>
            <w:pPr>
              <w:pStyle w:val="115"/>
              <w:rPr>
                <w:rFonts w:hint="eastAsia"/>
              </w:rPr>
            </w:pPr>
          </w:p>
        </w:tc>
        <w:tc>
          <w:tcPr>
            <w:tcW w:w="961" w:type="pct"/>
            <w:noWrap w:val="0"/>
            <w:vAlign w:val="center"/>
          </w:tcPr>
          <w:p>
            <w:pPr>
              <w:pStyle w:val="115"/>
              <w:rPr>
                <w:rFonts w:hint="eastAsia"/>
              </w:rPr>
            </w:pPr>
          </w:p>
        </w:tc>
        <w:tc>
          <w:tcPr>
            <w:tcW w:w="387" w:type="pct"/>
            <w:noWrap w:val="0"/>
            <w:vAlign w:val="center"/>
          </w:tcPr>
          <w:p>
            <w:pPr>
              <w:pStyle w:val="115"/>
              <w:rPr>
                <w:rFonts w:hint="eastAsia"/>
              </w:rPr>
            </w:pPr>
          </w:p>
        </w:tc>
        <w:tc>
          <w:tcPr>
            <w:tcW w:w="554" w:type="pct"/>
            <w:noWrap w:val="0"/>
            <w:vAlign w:val="center"/>
          </w:tcPr>
          <w:p>
            <w:pPr>
              <w:pStyle w:val="115"/>
              <w:rPr>
                <w:rFonts w:hint="eastAsia"/>
              </w:rPr>
            </w:pPr>
          </w:p>
        </w:tc>
        <w:tc>
          <w:tcPr>
            <w:tcW w:w="601" w:type="pct"/>
            <w:noWrap w:val="0"/>
            <w:vAlign w:val="center"/>
          </w:tcPr>
          <w:p>
            <w:pPr>
              <w:pStyle w:val="115"/>
              <w:rPr>
                <w:rFonts w:hint="eastAsia"/>
              </w:rPr>
            </w:pPr>
          </w:p>
        </w:tc>
        <w:tc>
          <w:tcPr>
            <w:tcW w:w="767" w:type="pct"/>
            <w:noWrap w:val="0"/>
            <w:vAlign w:val="center"/>
          </w:tcPr>
          <w:p>
            <w:pPr>
              <w:pStyle w:val="115"/>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46" w:type="pct"/>
            <w:noWrap w:val="0"/>
            <w:vAlign w:val="center"/>
          </w:tcPr>
          <w:p>
            <w:pPr>
              <w:pStyle w:val="115"/>
              <w:rPr>
                <w:rFonts w:hint="eastAsia"/>
              </w:rPr>
            </w:pPr>
          </w:p>
        </w:tc>
        <w:tc>
          <w:tcPr>
            <w:tcW w:w="855" w:type="pct"/>
            <w:noWrap w:val="0"/>
            <w:vAlign w:val="center"/>
          </w:tcPr>
          <w:p>
            <w:pPr>
              <w:pStyle w:val="115"/>
              <w:rPr>
                <w:rFonts w:hint="eastAsia"/>
              </w:rPr>
            </w:pPr>
          </w:p>
        </w:tc>
        <w:tc>
          <w:tcPr>
            <w:tcW w:w="526" w:type="pct"/>
            <w:noWrap w:val="0"/>
            <w:vAlign w:val="center"/>
          </w:tcPr>
          <w:p>
            <w:pPr>
              <w:pStyle w:val="115"/>
              <w:rPr>
                <w:rFonts w:hint="eastAsia"/>
              </w:rPr>
            </w:pPr>
          </w:p>
        </w:tc>
        <w:tc>
          <w:tcPr>
            <w:tcW w:w="961" w:type="pct"/>
            <w:noWrap w:val="0"/>
            <w:vAlign w:val="center"/>
          </w:tcPr>
          <w:p>
            <w:pPr>
              <w:pStyle w:val="115"/>
              <w:rPr>
                <w:rFonts w:hint="eastAsia"/>
              </w:rPr>
            </w:pPr>
          </w:p>
        </w:tc>
        <w:tc>
          <w:tcPr>
            <w:tcW w:w="387" w:type="pct"/>
            <w:noWrap w:val="0"/>
            <w:vAlign w:val="center"/>
          </w:tcPr>
          <w:p>
            <w:pPr>
              <w:pStyle w:val="115"/>
              <w:rPr>
                <w:rFonts w:hint="eastAsia"/>
              </w:rPr>
            </w:pPr>
          </w:p>
        </w:tc>
        <w:tc>
          <w:tcPr>
            <w:tcW w:w="554" w:type="pct"/>
            <w:noWrap w:val="0"/>
            <w:vAlign w:val="center"/>
          </w:tcPr>
          <w:p>
            <w:pPr>
              <w:pStyle w:val="115"/>
              <w:rPr>
                <w:rFonts w:hint="eastAsia"/>
              </w:rPr>
            </w:pPr>
          </w:p>
        </w:tc>
        <w:tc>
          <w:tcPr>
            <w:tcW w:w="601" w:type="pct"/>
            <w:noWrap w:val="0"/>
            <w:vAlign w:val="center"/>
          </w:tcPr>
          <w:p>
            <w:pPr>
              <w:pStyle w:val="115"/>
              <w:rPr>
                <w:rFonts w:hint="eastAsia"/>
              </w:rPr>
            </w:pPr>
          </w:p>
        </w:tc>
        <w:tc>
          <w:tcPr>
            <w:tcW w:w="767" w:type="pct"/>
            <w:noWrap w:val="0"/>
            <w:vAlign w:val="center"/>
          </w:tcPr>
          <w:p>
            <w:pPr>
              <w:pStyle w:val="115"/>
              <w:rPr>
                <w:rFonts w:hint="eastAsia"/>
              </w:rPr>
            </w:pPr>
          </w:p>
        </w:tc>
      </w:tr>
    </w:tbl>
    <w:p>
      <w:pPr>
        <w:spacing w:line="360" w:lineRule="auto"/>
        <w:jc w:val="left"/>
        <w:outlineLvl w:val="1"/>
        <w:rPr>
          <w:rFonts w:ascii="宋体" w:hAnsi="宋体"/>
          <w:b/>
          <w:bCs/>
          <w:szCs w:val="21"/>
        </w:rPr>
      </w:pPr>
      <w:r>
        <w:rPr>
          <w:rFonts w:hint="eastAsia" w:ascii="宋体" w:hAnsi="宋体"/>
          <w:b/>
          <w:bCs/>
          <w:szCs w:val="21"/>
        </w:rPr>
        <w:t>注： 投标人须按本表规定及招标文件要求进行报价，已填写内容不得擅自改变，未填写内容由投标人自行填报。</w:t>
      </w:r>
    </w:p>
    <w:p>
      <w:pPr>
        <w:spacing w:line="660" w:lineRule="exact"/>
        <w:rPr>
          <w:rFonts w:hint="eastAsia" w:ascii="宋体" w:hAnsi="宋体" w:cs="宋体"/>
          <w:color w:val="000000"/>
          <w:kern w:val="0"/>
          <w:sz w:val="22"/>
          <w:szCs w:val="22"/>
        </w:rPr>
      </w:pPr>
    </w:p>
    <w:p>
      <w:pPr>
        <w:spacing w:line="660" w:lineRule="exact"/>
        <w:rPr>
          <w:rFonts w:hint="default" w:ascii="宋体" w:hAnsi="宋体" w:eastAsia="宋体"/>
          <w:sz w:val="24"/>
          <w:lang w:val="en-US" w:eastAsia="zh-CN"/>
        </w:rPr>
      </w:pPr>
      <w:r>
        <w:rPr>
          <w:rFonts w:hint="eastAsia" w:ascii="宋体" w:hAnsi="宋体" w:cs="宋体"/>
          <w:color w:val="000000"/>
          <w:kern w:val="0"/>
          <w:sz w:val="22"/>
          <w:szCs w:val="22"/>
        </w:rPr>
        <w:t>表</w:t>
      </w:r>
      <w:r>
        <w:rPr>
          <w:rFonts w:hint="eastAsia" w:ascii="宋体" w:hAnsi="宋体" w:cs="宋体"/>
          <w:color w:val="000000"/>
          <w:kern w:val="0"/>
          <w:sz w:val="22"/>
          <w:szCs w:val="22"/>
          <w:lang w:val="en-US" w:eastAsia="zh-CN"/>
        </w:rPr>
        <w:t>3</w:t>
      </w:r>
      <w:r>
        <w:rPr>
          <w:rFonts w:hint="eastAsia" w:ascii="宋体" w:hAnsi="宋体" w:cs="宋体"/>
          <w:color w:val="000000"/>
          <w:kern w:val="0"/>
          <w:sz w:val="22"/>
          <w:szCs w:val="22"/>
        </w:rPr>
        <w:t>：</w:t>
      </w:r>
      <w:r>
        <w:rPr>
          <w:rFonts w:hint="eastAsia" w:ascii="宋体" w:hAnsi="宋体" w:cs="宋体"/>
          <w:color w:val="000000"/>
          <w:kern w:val="0"/>
          <w:sz w:val="22"/>
          <w:szCs w:val="22"/>
          <w:lang w:val="en-US" w:eastAsia="zh-CN"/>
        </w:rPr>
        <w:t>设备清单明细表（合同签约时需提供）</w:t>
      </w:r>
    </w:p>
    <w:p>
      <w:pPr>
        <w:rPr>
          <w:rFonts w:ascii="仿宋_GB2312" w:hAnsi="宋体" w:eastAsia="仿宋_GB2312"/>
          <w:sz w:val="24"/>
        </w:rPr>
      </w:pPr>
    </w:p>
    <w:tbl>
      <w:tblPr>
        <w:tblStyle w:val="3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141"/>
        <w:gridCol w:w="1414"/>
        <w:gridCol w:w="661"/>
        <w:gridCol w:w="584"/>
        <w:gridCol w:w="894"/>
        <w:gridCol w:w="740"/>
        <w:gridCol w:w="764"/>
        <w:gridCol w:w="997"/>
        <w:gridCol w:w="677"/>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01" w:type="dxa"/>
            <w:noWrap w:val="0"/>
            <w:vAlign w:val="center"/>
          </w:tcPr>
          <w:p>
            <w:pPr>
              <w:pStyle w:val="23"/>
              <w:spacing w:line="360" w:lineRule="auto"/>
              <w:ind w:left="0" w:firstLine="0" w:firstLineChars="0"/>
              <w:jc w:val="center"/>
              <w:rPr>
                <w:rFonts w:ascii="仿宋_GB2312" w:hAnsi="宋体" w:eastAsia="仿宋_GB2312" w:cs="宋体"/>
                <w:b/>
                <w:bCs/>
              </w:rPr>
            </w:pPr>
            <w:r>
              <w:rPr>
                <w:rFonts w:hint="eastAsia" w:ascii="仿宋_GB2312" w:hAnsi="宋体" w:eastAsia="仿宋_GB2312" w:cs="宋体"/>
                <w:b/>
                <w:bCs/>
              </w:rPr>
              <w:t>序号</w:t>
            </w:r>
          </w:p>
        </w:tc>
        <w:tc>
          <w:tcPr>
            <w:tcW w:w="1100" w:type="dxa"/>
            <w:noWrap w:val="0"/>
            <w:vAlign w:val="center"/>
          </w:tcPr>
          <w:p>
            <w:pPr>
              <w:pStyle w:val="23"/>
              <w:spacing w:line="360" w:lineRule="auto"/>
              <w:ind w:left="0" w:firstLine="0" w:firstLineChars="0"/>
              <w:jc w:val="center"/>
              <w:rPr>
                <w:rFonts w:ascii="仿宋_GB2312" w:hAnsi="宋体" w:eastAsia="仿宋_GB2312" w:cs="宋体"/>
                <w:b/>
                <w:bCs/>
              </w:rPr>
            </w:pPr>
            <w:r>
              <w:rPr>
                <w:rFonts w:hint="eastAsia" w:ascii="仿宋_GB2312" w:hAnsi="宋体" w:eastAsia="仿宋_GB2312" w:cs="宋体"/>
                <w:b/>
                <w:bCs/>
              </w:rPr>
              <w:t>产品及部件名称</w:t>
            </w:r>
          </w:p>
        </w:tc>
        <w:tc>
          <w:tcPr>
            <w:tcW w:w="1363" w:type="dxa"/>
            <w:noWrap w:val="0"/>
            <w:vAlign w:val="center"/>
          </w:tcPr>
          <w:p>
            <w:pPr>
              <w:pStyle w:val="23"/>
              <w:spacing w:line="360" w:lineRule="auto"/>
              <w:ind w:left="0" w:firstLine="0" w:firstLineChars="0"/>
              <w:jc w:val="center"/>
              <w:rPr>
                <w:rFonts w:ascii="仿宋_GB2312" w:hAnsi="宋体" w:eastAsia="仿宋_GB2312" w:cs="宋体"/>
                <w:b/>
                <w:bCs/>
              </w:rPr>
            </w:pPr>
            <w:r>
              <w:rPr>
                <w:rFonts w:hint="eastAsia" w:ascii="仿宋_GB2312" w:hAnsi="宋体" w:eastAsia="仿宋_GB2312" w:cs="宋体"/>
                <w:b/>
                <w:bCs/>
              </w:rPr>
              <w:t>规格型号及技术参数</w:t>
            </w:r>
          </w:p>
        </w:tc>
        <w:tc>
          <w:tcPr>
            <w:tcW w:w="637" w:type="dxa"/>
            <w:noWrap w:val="0"/>
            <w:vAlign w:val="center"/>
          </w:tcPr>
          <w:p>
            <w:pPr>
              <w:pStyle w:val="23"/>
              <w:spacing w:line="360" w:lineRule="auto"/>
              <w:ind w:left="0" w:firstLine="0" w:firstLineChars="0"/>
              <w:jc w:val="center"/>
              <w:rPr>
                <w:rFonts w:ascii="仿宋_GB2312" w:hAnsi="宋体" w:eastAsia="仿宋_GB2312" w:cs="宋体"/>
                <w:b/>
                <w:bCs/>
              </w:rPr>
            </w:pPr>
            <w:r>
              <w:rPr>
                <w:rFonts w:hint="eastAsia" w:ascii="仿宋_GB2312" w:hAnsi="宋体" w:eastAsia="仿宋_GB2312" w:cs="宋体"/>
                <w:b/>
                <w:bCs/>
              </w:rPr>
              <w:t>单位</w:t>
            </w:r>
          </w:p>
        </w:tc>
        <w:tc>
          <w:tcPr>
            <w:tcW w:w="563" w:type="dxa"/>
            <w:noWrap w:val="0"/>
            <w:vAlign w:val="center"/>
          </w:tcPr>
          <w:p>
            <w:pPr>
              <w:pStyle w:val="23"/>
              <w:spacing w:line="360" w:lineRule="auto"/>
              <w:ind w:left="0" w:firstLine="0" w:firstLineChars="0"/>
              <w:jc w:val="center"/>
              <w:rPr>
                <w:rFonts w:ascii="仿宋_GB2312" w:hAnsi="宋体" w:eastAsia="仿宋_GB2312" w:cs="宋体"/>
                <w:b/>
                <w:bCs/>
              </w:rPr>
            </w:pPr>
            <w:r>
              <w:rPr>
                <w:rFonts w:hint="eastAsia" w:ascii="仿宋_GB2312" w:hAnsi="宋体" w:eastAsia="仿宋_GB2312" w:cs="宋体"/>
                <w:b/>
                <w:bCs/>
              </w:rPr>
              <w:t>数量</w:t>
            </w:r>
          </w:p>
        </w:tc>
        <w:tc>
          <w:tcPr>
            <w:tcW w:w="862" w:type="dxa"/>
            <w:noWrap w:val="0"/>
            <w:vAlign w:val="center"/>
          </w:tcPr>
          <w:p>
            <w:pPr>
              <w:pStyle w:val="23"/>
              <w:spacing w:line="360" w:lineRule="auto"/>
              <w:ind w:left="0" w:firstLine="0" w:firstLineChars="0"/>
              <w:jc w:val="center"/>
              <w:rPr>
                <w:rFonts w:ascii="仿宋_GB2312" w:hAnsi="宋体" w:eastAsia="仿宋_GB2312" w:cs="宋体"/>
                <w:b/>
                <w:bCs/>
              </w:rPr>
            </w:pPr>
            <w:r>
              <w:rPr>
                <w:rFonts w:hint="eastAsia" w:ascii="仿宋_GB2312" w:hAnsi="宋体" w:eastAsia="仿宋_GB2312" w:cs="宋体"/>
                <w:b/>
                <w:bCs/>
              </w:rPr>
              <w:t>不含税</w:t>
            </w:r>
          </w:p>
          <w:p>
            <w:pPr>
              <w:pStyle w:val="23"/>
              <w:spacing w:line="360" w:lineRule="auto"/>
              <w:ind w:left="0" w:firstLine="0" w:firstLineChars="0"/>
              <w:jc w:val="center"/>
              <w:rPr>
                <w:rFonts w:ascii="仿宋_GB2312" w:hAnsi="宋体" w:eastAsia="仿宋_GB2312" w:cs="宋体"/>
                <w:b/>
                <w:bCs/>
              </w:rPr>
            </w:pPr>
            <w:r>
              <w:rPr>
                <w:rFonts w:hint="eastAsia" w:ascii="仿宋_GB2312" w:hAnsi="宋体" w:eastAsia="仿宋_GB2312" w:cs="宋体"/>
                <w:b/>
                <w:bCs/>
              </w:rPr>
              <w:t>单价</w:t>
            </w:r>
          </w:p>
        </w:tc>
        <w:tc>
          <w:tcPr>
            <w:tcW w:w="713" w:type="dxa"/>
            <w:noWrap w:val="0"/>
            <w:vAlign w:val="center"/>
          </w:tcPr>
          <w:p>
            <w:pPr>
              <w:pStyle w:val="23"/>
              <w:spacing w:line="360" w:lineRule="auto"/>
              <w:ind w:left="0" w:firstLine="0" w:firstLineChars="0"/>
              <w:jc w:val="center"/>
              <w:rPr>
                <w:rFonts w:ascii="仿宋_GB2312" w:hAnsi="宋体" w:eastAsia="仿宋_GB2312" w:cs="宋体"/>
                <w:b/>
                <w:bCs/>
              </w:rPr>
            </w:pPr>
            <w:r>
              <w:rPr>
                <w:rFonts w:hint="eastAsia" w:ascii="仿宋_GB2312" w:hAnsi="宋体" w:eastAsia="仿宋_GB2312" w:cs="宋体"/>
                <w:b/>
                <w:bCs/>
              </w:rPr>
              <w:t>税率</w:t>
            </w:r>
          </w:p>
        </w:tc>
        <w:tc>
          <w:tcPr>
            <w:tcW w:w="736" w:type="dxa"/>
            <w:noWrap w:val="0"/>
            <w:vAlign w:val="center"/>
          </w:tcPr>
          <w:p>
            <w:pPr>
              <w:pStyle w:val="23"/>
              <w:spacing w:line="360" w:lineRule="auto"/>
              <w:ind w:left="0" w:firstLine="0" w:firstLineChars="0"/>
              <w:jc w:val="center"/>
              <w:rPr>
                <w:rFonts w:ascii="仿宋_GB2312" w:hAnsi="宋体" w:eastAsia="仿宋_GB2312" w:cs="宋体"/>
                <w:b/>
                <w:bCs/>
              </w:rPr>
            </w:pPr>
            <w:r>
              <w:rPr>
                <w:rFonts w:hint="eastAsia" w:ascii="仿宋_GB2312" w:hAnsi="宋体" w:eastAsia="仿宋_GB2312" w:cs="宋体"/>
                <w:b/>
                <w:bCs/>
              </w:rPr>
              <w:t>税额</w:t>
            </w:r>
          </w:p>
        </w:tc>
        <w:tc>
          <w:tcPr>
            <w:tcW w:w="961" w:type="dxa"/>
            <w:noWrap w:val="0"/>
            <w:vAlign w:val="center"/>
          </w:tcPr>
          <w:p>
            <w:pPr>
              <w:pStyle w:val="23"/>
              <w:spacing w:line="360" w:lineRule="auto"/>
              <w:ind w:left="0" w:firstLine="0" w:firstLineChars="0"/>
              <w:jc w:val="center"/>
              <w:rPr>
                <w:rFonts w:ascii="仿宋_GB2312" w:hAnsi="宋体" w:eastAsia="仿宋_GB2312" w:cs="宋体"/>
                <w:b/>
                <w:bCs/>
              </w:rPr>
            </w:pPr>
            <w:r>
              <w:rPr>
                <w:rFonts w:hint="eastAsia" w:ascii="仿宋_GB2312" w:hAnsi="宋体" w:eastAsia="仿宋_GB2312" w:cs="宋体"/>
                <w:b/>
                <w:bCs/>
              </w:rPr>
              <w:t>含税</w:t>
            </w:r>
          </w:p>
          <w:p>
            <w:pPr>
              <w:pStyle w:val="23"/>
              <w:spacing w:line="360" w:lineRule="auto"/>
              <w:ind w:left="0" w:firstLine="0" w:firstLineChars="0"/>
              <w:jc w:val="center"/>
              <w:rPr>
                <w:rFonts w:ascii="仿宋_GB2312" w:hAnsi="宋体" w:eastAsia="仿宋_GB2312" w:cs="宋体"/>
                <w:b/>
                <w:bCs/>
              </w:rPr>
            </w:pPr>
            <w:r>
              <w:rPr>
                <w:rFonts w:hint="eastAsia" w:ascii="仿宋_GB2312" w:hAnsi="宋体" w:eastAsia="仿宋_GB2312" w:cs="宋体"/>
                <w:b/>
                <w:bCs/>
              </w:rPr>
              <w:t>单价</w:t>
            </w:r>
          </w:p>
        </w:tc>
        <w:tc>
          <w:tcPr>
            <w:tcW w:w="652" w:type="dxa"/>
            <w:noWrap w:val="0"/>
            <w:vAlign w:val="center"/>
          </w:tcPr>
          <w:p>
            <w:pPr>
              <w:pStyle w:val="23"/>
              <w:spacing w:line="360" w:lineRule="auto"/>
              <w:ind w:left="0" w:firstLine="0" w:firstLineChars="0"/>
              <w:jc w:val="center"/>
              <w:rPr>
                <w:rFonts w:ascii="仿宋_GB2312" w:hAnsi="宋体" w:eastAsia="仿宋_GB2312" w:cs="宋体"/>
                <w:b/>
                <w:bCs/>
              </w:rPr>
            </w:pPr>
            <w:r>
              <w:rPr>
                <w:rFonts w:hint="eastAsia" w:ascii="仿宋_GB2312" w:hAnsi="宋体" w:eastAsia="仿宋_GB2312" w:cs="宋体"/>
                <w:b/>
                <w:bCs/>
              </w:rPr>
              <w:t>品牌</w:t>
            </w:r>
          </w:p>
        </w:tc>
        <w:tc>
          <w:tcPr>
            <w:tcW w:w="652" w:type="dxa"/>
            <w:noWrap w:val="0"/>
            <w:vAlign w:val="center"/>
          </w:tcPr>
          <w:p>
            <w:pPr>
              <w:pStyle w:val="23"/>
              <w:spacing w:line="360" w:lineRule="auto"/>
              <w:ind w:left="0" w:firstLine="0" w:firstLineChars="0"/>
              <w:jc w:val="center"/>
              <w:rPr>
                <w:rFonts w:ascii="仿宋_GB2312" w:hAnsi="宋体" w:eastAsia="仿宋_GB2312" w:cs="宋体"/>
                <w:b/>
                <w:bCs/>
              </w:rPr>
            </w:pPr>
            <w:r>
              <w:rPr>
                <w:rFonts w:hint="eastAsia" w:ascii="仿宋_GB2312" w:hAnsi="宋体" w:eastAsia="仿宋_GB2312" w:cs="宋体"/>
                <w:b/>
                <w:bCs/>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01" w:type="dxa"/>
            <w:noWrap w:val="0"/>
            <w:vAlign w:val="center"/>
          </w:tcPr>
          <w:p>
            <w:pPr>
              <w:pStyle w:val="23"/>
              <w:spacing w:line="360" w:lineRule="auto"/>
              <w:ind w:left="420" w:hanging="420"/>
              <w:jc w:val="center"/>
              <w:rPr>
                <w:rFonts w:ascii="仿宋_GB2312" w:hAnsi="宋体" w:eastAsia="仿宋_GB2312" w:cs="宋体"/>
              </w:rPr>
            </w:pPr>
            <w:r>
              <w:rPr>
                <w:rFonts w:hint="eastAsia" w:ascii="仿宋_GB2312" w:hAnsi="宋体" w:eastAsia="仿宋_GB2312" w:cs="宋体"/>
              </w:rPr>
              <w:t>1</w:t>
            </w:r>
          </w:p>
        </w:tc>
        <w:tc>
          <w:tcPr>
            <w:tcW w:w="1100" w:type="dxa"/>
            <w:noWrap w:val="0"/>
            <w:vAlign w:val="center"/>
          </w:tcPr>
          <w:p>
            <w:pPr>
              <w:pStyle w:val="23"/>
              <w:spacing w:line="360" w:lineRule="auto"/>
              <w:ind w:left="0" w:firstLine="0" w:firstLineChars="0"/>
              <w:jc w:val="center"/>
              <w:rPr>
                <w:rFonts w:ascii="仿宋_GB2312" w:hAnsi="宋体" w:eastAsia="仿宋_GB2312" w:cs="宋体"/>
              </w:rPr>
            </w:pPr>
          </w:p>
        </w:tc>
        <w:tc>
          <w:tcPr>
            <w:tcW w:w="1363" w:type="dxa"/>
            <w:noWrap w:val="0"/>
            <w:vAlign w:val="center"/>
          </w:tcPr>
          <w:p>
            <w:pPr>
              <w:pStyle w:val="23"/>
              <w:spacing w:line="360" w:lineRule="auto"/>
              <w:ind w:left="0" w:firstLine="0" w:firstLineChars="0"/>
              <w:jc w:val="center"/>
              <w:rPr>
                <w:rFonts w:ascii="仿宋_GB2312" w:hAnsi="宋体" w:eastAsia="仿宋_GB2312" w:cs="宋体"/>
              </w:rPr>
            </w:pPr>
          </w:p>
        </w:tc>
        <w:tc>
          <w:tcPr>
            <w:tcW w:w="637" w:type="dxa"/>
            <w:noWrap w:val="0"/>
            <w:vAlign w:val="center"/>
          </w:tcPr>
          <w:p>
            <w:pPr>
              <w:pStyle w:val="23"/>
              <w:spacing w:line="360" w:lineRule="auto"/>
              <w:ind w:left="0" w:firstLine="0" w:firstLineChars="0"/>
              <w:jc w:val="center"/>
              <w:rPr>
                <w:rFonts w:ascii="仿宋_GB2312" w:hAnsi="宋体" w:eastAsia="仿宋_GB2312" w:cs="宋体"/>
              </w:rPr>
            </w:pPr>
          </w:p>
        </w:tc>
        <w:tc>
          <w:tcPr>
            <w:tcW w:w="563" w:type="dxa"/>
            <w:noWrap w:val="0"/>
            <w:vAlign w:val="center"/>
          </w:tcPr>
          <w:p>
            <w:pPr>
              <w:pStyle w:val="23"/>
              <w:spacing w:line="360" w:lineRule="auto"/>
              <w:ind w:left="0" w:firstLine="0" w:firstLineChars="0"/>
              <w:jc w:val="center"/>
              <w:rPr>
                <w:rFonts w:ascii="仿宋_GB2312" w:hAnsi="宋体" w:eastAsia="仿宋_GB2312" w:cs="宋体"/>
              </w:rPr>
            </w:pPr>
          </w:p>
        </w:tc>
        <w:tc>
          <w:tcPr>
            <w:tcW w:w="862" w:type="dxa"/>
            <w:noWrap w:val="0"/>
            <w:vAlign w:val="center"/>
          </w:tcPr>
          <w:p>
            <w:pPr>
              <w:pStyle w:val="23"/>
              <w:spacing w:line="360" w:lineRule="auto"/>
              <w:ind w:left="0" w:firstLine="0" w:firstLineChars="0"/>
              <w:jc w:val="center"/>
              <w:rPr>
                <w:rFonts w:ascii="仿宋_GB2312" w:hAnsi="宋体" w:eastAsia="仿宋_GB2312" w:cs="宋体"/>
              </w:rPr>
            </w:pPr>
          </w:p>
        </w:tc>
        <w:tc>
          <w:tcPr>
            <w:tcW w:w="713" w:type="dxa"/>
            <w:noWrap w:val="0"/>
            <w:vAlign w:val="center"/>
          </w:tcPr>
          <w:p>
            <w:pPr>
              <w:pStyle w:val="23"/>
              <w:spacing w:line="360" w:lineRule="auto"/>
              <w:ind w:left="0" w:firstLine="0" w:firstLineChars="0"/>
              <w:jc w:val="center"/>
              <w:rPr>
                <w:rFonts w:ascii="仿宋_GB2312" w:hAnsi="宋体" w:eastAsia="仿宋_GB2312" w:cs="宋体"/>
              </w:rPr>
            </w:pPr>
          </w:p>
        </w:tc>
        <w:tc>
          <w:tcPr>
            <w:tcW w:w="736" w:type="dxa"/>
            <w:noWrap w:val="0"/>
            <w:vAlign w:val="center"/>
          </w:tcPr>
          <w:p>
            <w:pPr>
              <w:pStyle w:val="23"/>
              <w:spacing w:line="360" w:lineRule="auto"/>
              <w:ind w:left="0" w:firstLine="0" w:firstLineChars="0"/>
              <w:jc w:val="center"/>
              <w:rPr>
                <w:rFonts w:ascii="仿宋_GB2312" w:hAnsi="宋体" w:eastAsia="仿宋_GB2312" w:cs="宋体"/>
              </w:rPr>
            </w:pPr>
          </w:p>
        </w:tc>
        <w:tc>
          <w:tcPr>
            <w:tcW w:w="961" w:type="dxa"/>
            <w:noWrap w:val="0"/>
            <w:vAlign w:val="center"/>
          </w:tcPr>
          <w:p>
            <w:pPr>
              <w:pStyle w:val="23"/>
              <w:spacing w:line="360" w:lineRule="auto"/>
              <w:ind w:left="0" w:firstLine="0" w:firstLineChars="0"/>
              <w:jc w:val="center"/>
              <w:rPr>
                <w:rFonts w:ascii="仿宋_GB2312" w:hAnsi="宋体" w:eastAsia="仿宋_GB2312" w:cs="宋体"/>
              </w:rPr>
            </w:pPr>
          </w:p>
        </w:tc>
        <w:tc>
          <w:tcPr>
            <w:tcW w:w="652" w:type="dxa"/>
            <w:noWrap w:val="0"/>
            <w:vAlign w:val="center"/>
          </w:tcPr>
          <w:p>
            <w:pPr>
              <w:pStyle w:val="23"/>
              <w:spacing w:line="360" w:lineRule="auto"/>
              <w:ind w:left="0" w:firstLine="0" w:firstLineChars="0"/>
              <w:jc w:val="center"/>
              <w:rPr>
                <w:rFonts w:ascii="仿宋_GB2312" w:hAnsi="宋体" w:eastAsia="仿宋_GB2312" w:cs="宋体"/>
              </w:rPr>
            </w:pPr>
          </w:p>
        </w:tc>
        <w:tc>
          <w:tcPr>
            <w:tcW w:w="652" w:type="dxa"/>
            <w:noWrap w:val="0"/>
            <w:vAlign w:val="center"/>
          </w:tcPr>
          <w:p>
            <w:pPr>
              <w:pStyle w:val="23"/>
              <w:spacing w:line="360" w:lineRule="auto"/>
              <w:ind w:left="0" w:firstLine="0" w:firstLineChars="0"/>
              <w:jc w:val="center"/>
              <w:rPr>
                <w:rFonts w:ascii="仿宋_GB2312" w:hAnsi="宋体" w:eastAsia="仿宋_GB2312"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01" w:type="dxa"/>
            <w:noWrap w:val="0"/>
            <w:vAlign w:val="center"/>
          </w:tcPr>
          <w:p>
            <w:pPr>
              <w:pStyle w:val="23"/>
              <w:spacing w:line="360" w:lineRule="auto"/>
              <w:ind w:left="420" w:hanging="420"/>
              <w:jc w:val="center"/>
              <w:rPr>
                <w:rFonts w:ascii="仿宋_GB2312" w:hAnsi="宋体" w:eastAsia="仿宋_GB2312" w:cs="宋体"/>
              </w:rPr>
            </w:pPr>
            <w:r>
              <w:rPr>
                <w:rFonts w:hint="eastAsia" w:ascii="仿宋_GB2312" w:hAnsi="宋体" w:eastAsia="仿宋_GB2312" w:cs="宋体"/>
              </w:rPr>
              <w:t>2</w:t>
            </w:r>
          </w:p>
        </w:tc>
        <w:tc>
          <w:tcPr>
            <w:tcW w:w="1100" w:type="dxa"/>
            <w:noWrap w:val="0"/>
            <w:vAlign w:val="center"/>
          </w:tcPr>
          <w:p>
            <w:pPr>
              <w:pStyle w:val="23"/>
              <w:spacing w:line="360" w:lineRule="auto"/>
              <w:ind w:left="0" w:firstLine="0" w:firstLineChars="0"/>
              <w:jc w:val="center"/>
              <w:rPr>
                <w:rFonts w:ascii="仿宋_GB2312" w:hAnsi="宋体" w:eastAsia="仿宋_GB2312" w:cs="宋体"/>
              </w:rPr>
            </w:pPr>
          </w:p>
        </w:tc>
        <w:tc>
          <w:tcPr>
            <w:tcW w:w="1363" w:type="dxa"/>
            <w:noWrap w:val="0"/>
            <w:vAlign w:val="center"/>
          </w:tcPr>
          <w:p>
            <w:pPr>
              <w:pStyle w:val="23"/>
              <w:spacing w:line="360" w:lineRule="auto"/>
              <w:ind w:left="0" w:firstLine="0" w:firstLineChars="0"/>
              <w:jc w:val="center"/>
              <w:rPr>
                <w:rFonts w:ascii="仿宋_GB2312" w:hAnsi="宋体" w:eastAsia="仿宋_GB2312" w:cs="宋体"/>
              </w:rPr>
            </w:pPr>
          </w:p>
        </w:tc>
        <w:tc>
          <w:tcPr>
            <w:tcW w:w="637" w:type="dxa"/>
            <w:noWrap w:val="0"/>
            <w:vAlign w:val="center"/>
          </w:tcPr>
          <w:p>
            <w:pPr>
              <w:pStyle w:val="23"/>
              <w:spacing w:line="360" w:lineRule="auto"/>
              <w:ind w:left="0" w:firstLine="0" w:firstLineChars="0"/>
              <w:jc w:val="center"/>
              <w:rPr>
                <w:rFonts w:ascii="仿宋_GB2312" w:hAnsi="宋体" w:eastAsia="仿宋_GB2312" w:cs="宋体"/>
              </w:rPr>
            </w:pPr>
          </w:p>
        </w:tc>
        <w:tc>
          <w:tcPr>
            <w:tcW w:w="563" w:type="dxa"/>
            <w:noWrap w:val="0"/>
            <w:vAlign w:val="center"/>
          </w:tcPr>
          <w:p>
            <w:pPr>
              <w:pStyle w:val="23"/>
              <w:spacing w:line="360" w:lineRule="auto"/>
              <w:ind w:left="0" w:firstLine="0" w:firstLineChars="0"/>
              <w:jc w:val="center"/>
              <w:rPr>
                <w:rFonts w:ascii="仿宋_GB2312" w:hAnsi="宋体" w:eastAsia="仿宋_GB2312" w:cs="宋体"/>
              </w:rPr>
            </w:pPr>
          </w:p>
        </w:tc>
        <w:tc>
          <w:tcPr>
            <w:tcW w:w="862" w:type="dxa"/>
            <w:noWrap w:val="0"/>
            <w:vAlign w:val="center"/>
          </w:tcPr>
          <w:p>
            <w:pPr>
              <w:pStyle w:val="23"/>
              <w:spacing w:line="360" w:lineRule="auto"/>
              <w:ind w:left="0" w:firstLine="0" w:firstLineChars="0"/>
              <w:jc w:val="center"/>
              <w:rPr>
                <w:rFonts w:ascii="仿宋_GB2312" w:hAnsi="宋体" w:eastAsia="仿宋_GB2312" w:cs="宋体"/>
              </w:rPr>
            </w:pPr>
          </w:p>
        </w:tc>
        <w:tc>
          <w:tcPr>
            <w:tcW w:w="713" w:type="dxa"/>
            <w:noWrap w:val="0"/>
            <w:vAlign w:val="center"/>
          </w:tcPr>
          <w:p>
            <w:pPr>
              <w:pStyle w:val="23"/>
              <w:spacing w:line="360" w:lineRule="auto"/>
              <w:ind w:left="0" w:firstLine="0" w:firstLineChars="0"/>
              <w:jc w:val="center"/>
              <w:rPr>
                <w:rFonts w:ascii="仿宋_GB2312" w:hAnsi="宋体" w:eastAsia="仿宋_GB2312" w:cs="宋体"/>
              </w:rPr>
            </w:pPr>
          </w:p>
        </w:tc>
        <w:tc>
          <w:tcPr>
            <w:tcW w:w="736" w:type="dxa"/>
            <w:noWrap w:val="0"/>
            <w:vAlign w:val="center"/>
          </w:tcPr>
          <w:p>
            <w:pPr>
              <w:pStyle w:val="23"/>
              <w:spacing w:line="360" w:lineRule="auto"/>
              <w:ind w:left="0" w:firstLine="0" w:firstLineChars="0"/>
              <w:jc w:val="center"/>
              <w:rPr>
                <w:rFonts w:ascii="仿宋_GB2312" w:hAnsi="宋体" w:eastAsia="仿宋_GB2312" w:cs="宋体"/>
              </w:rPr>
            </w:pPr>
          </w:p>
        </w:tc>
        <w:tc>
          <w:tcPr>
            <w:tcW w:w="961" w:type="dxa"/>
            <w:noWrap w:val="0"/>
            <w:vAlign w:val="center"/>
          </w:tcPr>
          <w:p>
            <w:pPr>
              <w:pStyle w:val="23"/>
              <w:spacing w:line="360" w:lineRule="auto"/>
              <w:ind w:left="0" w:firstLine="0" w:firstLineChars="0"/>
              <w:jc w:val="center"/>
              <w:rPr>
                <w:rFonts w:ascii="仿宋_GB2312" w:hAnsi="宋体" w:eastAsia="仿宋_GB2312" w:cs="宋体"/>
              </w:rPr>
            </w:pPr>
          </w:p>
        </w:tc>
        <w:tc>
          <w:tcPr>
            <w:tcW w:w="652" w:type="dxa"/>
            <w:noWrap w:val="0"/>
            <w:vAlign w:val="center"/>
          </w:tcPr>
          <w:p>
            <w:pPr>
              <w:pStyle w:val="23"/>
              <w:spacing w:line="360" w:lineRule="auto"/>
              <w:ind w:left="0" w:firstLine="0" w:firstLineChars="0"/>
              <w:jc w:val="center"/>
              <w:rPr>
                <w:rFonts w:ascii="仿宋_GB2312" w:hAnsi="宋体" w:eastAsia="仿宋_GB2312" w:cs="宋体"/>
              </w:rPr>
            </w:pPr>
          </w:p>
        </w:tc>
        <w:tc>
          <w:tcPr>
            <w:tcW w:w="652" w:type="dxa"/>
            <w:noWrap w:val="0"/>
            <w:vAlign w:val="center"/>
          </w:tcPr>
          <w:p>
            <w:pPr>
              <w:pStyle w:val="23"/>
              <w:spacing w:line="360" w:lineRule="auto"/>
              <w:ind w:left="0" w:firstLine="0" w:firstLineChars="0"/>
              <w:jc w:val="center"/>
              <w:rPr>
                <w:rFonts w:ascii="仿宋_GB2312" w:hAnsi="宋体" w:eastAsia="仿宋_GB2312"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01" w:type="dxa"/>
            <w:noWrap w:val="0"/>
            <w:vAlign w:val="center"/>
          </w:tcPr>
          <w:p>
            <w:pPr>
              <w:pStyle w:val="23"/>
              <w:spacing w:line="360" w:lineRule="auto"/>
              <w:ind w:left="420" w:hanging="420"/>
              <w:jc w:val="center"/>
              <w:rPr>
                <w:rFonts w:ascii="仿宋_GB2312" w:hAnsi="宋体" w:eastAsia="仿宋_GB2312" w:cs="宋体"/>
              </w:rPr>
            </w:pPr>
            <w:r>
              <w:rPr>
                <w:rFonts w:hint="eastAsia" w:ascii="仿宋_GB2312" w:hAnsi="宋体" w:eastAsia="仿宋_GB2312" w:cs="宋体"/>
              </w:rPr>
              <w:t>…</w:t>
            </w:r>
          </w:p>
        </w:tc>
        <w:tc>
          <w:tcPr>
            <w:tcW w:w="1100" w:type="dxa"/>
            <w:noWrap w:val="0"/>
            <w:vAlign w:val="center"/>
          </w:tcPr>
          <w:p>
            <w:pPr>
              <w:pStyle w:val="23"/>
              <w:spacing w:line="360" w:lineRule="auto"/>
              <w:ind w:left="0" w:firstLine="0" w:firstLineChars="0"/>
              <w:jc w:val="center"/>
              <w:rPr>
                <w:rFonts w:ascii="仿宋_GB2312" w:hAnsi="宋体" w:eastAsia="仿宋_GB2312" w:cs="宋体"/>
              </w:rPr>
            </w:pPr>
          </w:p>
        </w:tc>
        <w:tc>
          <w:tcPr>
            <w:tcW w:w="1363" w:type="dxa"/>
            <w:noWrap w:val="0"/>
            <w:vAlign w:val="center"/>
          </w:tcPr>
          <w:p>
            <w:pPr>
              <w:pStyle w:val="23"/>
              <w:spacing w:line="360" w:lineRule="auto"/>
              <w:ind w:left="0" w:firstLine="0" w:firstLineChars="0"/>
              <w:jc w:val="center"/>
              <w:rPr>
                <w:rFonts w:ascii="仿宋_GB2312" w:hAnsi="宋体" w:eastAsia="仿宋_GB2312" w:cs="宋体"/>
              </w:rPr>
            </w:pPr>
          </w:p>
        </w:tc>
        <w:tc>
          <w:tcPr>
            <w:tcW w:w="637" w:type="dxa"/>
            <w:noWrap w:val="0"/>
            <w:vAlign w:val="center"/>
          </w:tcPr>
          <w:p>
            <w:pPr>
              <w:pStyle w:val="23"/>
              <w:spacing w:line="360" w:lineRule="auto"/>
              <w:ind w:left="0" w:firstLine="0" w:firstLineChars="0"/>
              <w:jc w:val="center"/>
              <w:rPr>
                <w:rFonts w:ascii="仿宋_GB2312" w:hAnsi="宋体" w:eastAsia="仿宋_GB2312" w:cs="宋体"/>
              </w:rPr>
            </w:pPr>
          </w:p>
        </w:tc>
        <w:tc>
          <w:tcPr>
            <w:tcW w:w="563" w:type="dxa"/>
            <w:noWrap w:val="0"/>
            <w:vAlign w:val="center"/>
          </w:tcPr>
          <w:p>
            <w:pPr>
              <w:pStyle w:val="23"/>
              <w:spacing w:line="360" w:lineRule="auto"/>
              <w:ind w:left="0" w:firstLine="0" w:firstLineChars="0"/>
              <w:jc w:val="center"/>
              <w:rPr>
                <w:rFonts w:ascii="仿宋_GB2312" w:hAnsi="宋体" w:eastAsia="仿宋_GB2312" w:cs="宋体"/>
              </w:rPr>
            </w:pPr>
          </w:p>
        </w:tc>
        <w:tc>
          <w:tcPr>
            <w:tcW w:w="862" w:type="dxa"/>
            <w:noWrap w:val="0"/>
            <w:vAlign w:val="center"/>
          </w:tcPr>
          <w:p>
            <w:pPr>
              <w:pStyle w:val="23"/>
              <w:spacing w:line="360" w:lineRule="auto"/>
              <w:ind w:left="0" w:firstLine="0" w:firstLineChars="0"/>
              <w:jc w:val="center"/>
              <w:rPr>
                <w:rFonts w:ascii="仿宋_GB2312" w:hAnsi="宋体" w:eastAsia="仿宋_GB2312" w:cs="宋体"/>
              </w:rPr>
            </w:pPr>
          </w:p>
        </w:tc>
        <w:tc>
          <w:tcPr>
            <w:tcW w:w="713" w:type="dxa"/>
            <w:noWrap w:val="0"/>
            <w:vAlign w:val="center"/>
          </w:tcPr>
          <w:p>
            <w:pPr>
              <w:pStyle w:val="23"/>
              <w:spacing w:line="360" w:lineRule="auto"/>
              <w:ind w:left="0" w:firstLine="0" w:firstLineChars="0"/>
              <w:jc w:val="center"/>
              <w:rPr>
                <w:rFonts w:ascii="仿宋_GB2312" w:hAnsi="宋体" w:eastAsia="仿宋_GB2312" w:cs="宋体"/>
              </w:rPr>
            </w:pPr>
          </w:p>
        </w:tc>
        <w:tc>
          <w:tcPr>
            <w:tcW w:w="736" w:type="dxa"/>
            <w:noWrap w:val="0"/>
            <w:vAlign w:val="center"/>
          </w:tcPr>
          <w:p>
            <w:pPr>
              <w:pStyle w:val="23"/>
              <w:spacing w:line="360" w:lineRule="auto"/>
              <w:ind w:left="0" w:firstLine="0" w:firstLineChars="0"/>
              <w:jc w:val="center"/>
              <w:rPr>
                <w:rFonts w:ascii="仿宋_GB2312" w:hAnsi="宋体" w:eastAsia="仿宋_GB2312" w:cs="宋体"/>
              </w:rPr>
            </w:pPr>
          </w:p>
        </w:tc>
        <w:tc>
          <w:tcPr>
            <w:tcW w:w="961" w:type="dxa"/>
            <w:noWrap w:val="0"/>
            <w:vAlign w:val="center"/>
          </w:tcPr>
          <w:p>
            <w:pPr>
              <w:pStyle w:val="23"/>
              <w:spacing w:line="360" w:lineRule="auto"/>
              <w:ind w:left="0" w:firstLine="0" w:firstLineChars="0"/>
              <w:jc w:val="center"/>
              <w:rPr>
                <w:rFonts w:ascii="仿宋_GB2312" w:hAnsi="宋体" w:eastAsia="仿宋_GB2312" w:cs="宋体"/>
              </w:rPr>
            </w:pPr>
          </w:p>
        </w:tc>
        <w:tc>
          <w:tcPr>
            <w:tcW w:w="652" w:type="dxa"/>
            <w:noWrap w:val="0"/>
            <w:vAlign w:val="center"/>
          </w:tcPr>
          <w:p>
            <w:pPr>
              <w:pStyle w:val="23"/>
              <w:spacing w:line="360" w:lineRule="auto"/>
              <w:ind w:left="0" w:firstLine="0" w:firstLineChars="0"/>
              <w:jc w:val="center"/>
              <w:rPr>
                <w:rFonts w:ascii="仿宋_GB2312" w:hAnsi="宋体" w:eastAsia="仿宋_GB2312" w:cs="宋体"/>
              </w:rPr>
            </w:pPr>
          </w:p>
        </w:tc>
        <w:tc>
          <w:tcPr>
            <w:tcW w:w="652" w:type="dxa"/>
            <w:noWrap w:val="0"/>
            <w:vAlign w:val="center"/>
          </w:tcPr>
          <w:p>
            <w:pPr>
              <w:pStyle w:val="23"/>
              <w:spacing w:line="360" w:lineRule="auto"/>
              <w:ind w:left="0" w:firstLine="0" w:firstLineChars="0"/>
              <w:jc w:val="center"/>
              <w:rPr>
                <w:rFonts w:ascii="仿宋_GB2312" w:hAnsi="宋体" w:eastAsia="仿宋_GB2312"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01" w:type="dxa"/>
            <w:noWrap w:val="0"/>
            <w:vAlign w:val="center"/>
          </w:tcPr>
          <w:p>
            <w:pPr>
              <w:pStyle w:val="23"/>
              <w:spacing w:line="360" w:lineRule="auto"/>
              <w:ind w:left="420" w:hanging="420"/>
              <w:jc w:val="center"/>
              <w:rPr>
                <w:rFonts w:ascii="仿宋_GB2312" w:hAnsi="宋体" w:eastAsia="仿宋_GB2312" w:cs="宋体"/>
              </w:rPr>
            </w:pPr>
            <w:r>
              <w:rPr>
                <w:rFonts w:hint="eastAsia" w:ascii="仿宋_GB2312" w:hAnsi="宋体" w:eastAsia="仿宋_GB2312" w:cs="宋体"/>
              </w:rPr>
              <w:t>合计</w:t>
            </w:r>
          </w:p>
        </w:tc>
        <w:tc>
          <w:tcPr>
            <w:tcW w:w="1100" w:type="dxa"/>
            <w:noWrap w:val="0"/>
            <w:vAlign w:val="center"/>
          </w:tcPr>
          <w:p>
            <w:pPr>
              <w:pStyle w:val="23"/>
              <w:spacing w:line="360" w:lineRule="auto"/>
              <w:ind w:left="0" w:firstLine="0" w:firstLineChars="0"/>
              <w:jc w:val="center"/>
              <w:rPr>
                <w:rFonts w:ascii="仿宋_GB2312" w:hAnsi="宋体" w:eastAsia="仿宋_GB2312" w:cs="宋体"/>
              </w:rPr>
            </w:pPr>
          </w:p>
        </w:tc>
        <w:tc>
          <w:tcPr>
            <w:tcW w:w="1363" w:type="dxa"/>
            <w:noWrap w:val="0"/>
            <w:vAlign w:val="center"/>
          </w:tcPr>
          <w:p>
            <w:pPr>
              <w:pStyle w:val="23"/>
              <w:spacing w:line="360" w:lineRule="auto"/>
              <w:ind w:left="0" w:firstLine="0" w:firstLineChars="0"/>
              <w:jc w:val="center"/>
              <w:rPr>
                <w:rFonts w:ascii="仿宋_GB2312" w:hAnsi="宋体" w:eastAsia="仿宋_GB2312" w:cs="宋体"/>
              </w:rPr>
            </w:pPr>
          </w:p>
        </w:tc>
        <w:tc>
          <w:tcPr>
            <w:tcW w:w="637" w:type="dxa"/>
            <w:noWrap w:val="0"/>
            <w:vAlign w:val="center"/>
          </w:tcPr>
          <w:p>
            <w:pPr>
              <w:pStyle w:val="23"/>
              <w:spacing w:line="360" w:lineRule="auto"/>
              <w:ind w:left="0" w:firstLine="0" w:firstLineChars="0"/>
              <w:jc w:val="center"/>
              <w:rPr>
                <w:rFonts w:ascii="仿宋_GB2312" w:hAnsi="宋体" w:eastAsia="仿宋_GB2312" w:cs="宋体"/>
              </w:rPr>
            </w:pPr>
          </w:p>
        </w:tc>
        <w:tc>
          <w:tcPr>
            <w:tcW w:w="563" w:type="dxa"/>
            <w:noWrap w:val="0"/>
            <w:vAlign w:val="center"/>
          </w:tcPr>
          <w:p>
            <w:pPr>
              <w:pStyle w:val="23"/>
              <w:spacing w:line="360" w:lineRule="auto"/>
              <w:ind w:left="0" w:firstLine="0" w:firstLineChars="0"/>
              <w:jc w:val="center"/>
              <w:rPr>
                <w:rFonts w:ascii="仿宋_GB2312" w:hAnsi="宋体" w:eastAsia="仿宋_GB2312" w:cs="宋体"/>
              </w:rPr>
            </w:pPr>
          </w:p>
        </w:tc>
        <w:tc>
          <w:tcPr>
            <w:tcW w:w="862" w:type="dxa"/>
            <w:noWrap w:val="0"/>
            <w:vAlign w:val="center"/>
          </w:tcPr>
          <w:p>
            <w:pPr>
              <w:spacing w:line="360" w:lineRule="auto"/>
              <w:jc w:val="center"/>
              <w:rPr>
                <w:rFonts w:ascii="仿宋_GB2312" w:hAnsi="宋体" w:eastAsia="仿宋_GB2312" w:cs="宋体"/>
              </w:rPr>
            </w:pPr>
          </w:p>
        </w:tc>
        <w:tc>
          <w:tcPr>
            <w:tcW w:w="713" w:type="dxa"/>
            <w:noWrap w:val="0"/>
            <w:vAlign w:val="center"/>
          </w:tcPr>
          <w:p>
            <w:pPr>
              <w:spacing w:line="360" w:lineRule="auto"/>
              <w:jc w:val="center"/>
              <w:rPr>
                <w:rFonts w:ascii="仿宋_GB2312" w:hAnsi="宋体" w:eastAsia="仿宋_GB2312" w:cs="宋体"/>
              </w:rPr>
            </w:pPr>
          </w:p>
        </w:tc>
        <w:tc>
          <w:tcPr>
            <w:tcW w:w="736" w:type="dxa"/>
            <w:noWrap w:val="0"/>
            <w:vAlign w:val="center"/>
          </w:tcPr>
          <w:p>
            <w:pPr>
              <w:spacing w:line="360" w:lineRule="auto"/>
              <w:jc w:val="center"/>
              <w:rPr>
                <w:rFonts w:ascii="仿宋_GB2312" w:hAnsi="宋体" w:eastAsia="仿宋_GB2312" w:cs="宋体"/>
              </w:rPr>
            </w:pPr>
          </w:p>
        </w:tc>
        <w:tc>
          <w:tcPr>
            <w:tcW w:w="961" w:type="dxa"/>
            <w:noWrap w:val="0"/>
            <w:vAlign w:val="center"/>
          </w:tcPr>
          <w:p>
            <w:pPr>
              <w:spacing w:line="360" w:lineRule="auto"/>
              <w:jc w:val="center"/>
              <w:rPr>
                <w:rFonts w:ascii="仿宋_GB2312" w:hAnsi="宋体" w:eastAsia="仿宋_GB2312" w:cs="宋体"/>
              </w:rPr>
            </w:pPr>
          </w:p>
        </w:tc>
        <w:tc>
          <w:tcPr>
            <w:tcW w:w="652" w:type="dxa"/>
            <w:noWrap w:val="0"/>
            <w:vAlign w:val="center"/>
          </w:tcPr>
          <w:p>
            <w:pPr>
              <w:spacing w:line="360" w:lineRule="auto"/>
              <w:jc w:val="center"/>
              <w:rPr>
                <w:rFonts w:ascii="仿宋_GB2312" w:hAnsi="宋体" w:eastAsia="仿宋_GB2312" w:cs="宋体"/>
              </w:rPr>
            </w:pPr>
          </w:p>
        </w:tc>
        <w:tc>
          <w:tcPr>
            <w:tcW w:w="652" w:type="dxa"/>
            <w:noWrap w:val="0"/>
            <w:vAlign w:val="center"/>
          </w:tcPr>
          <w:p>
            <w:pPr>
              <w:spacing w:line="360" w:lineRule="auto"/>
              <w:jc w:val="center"/>
              <w:rPr>
                <w:rFonts w:ascii="仿宋_GB2312" w:hAnsi="宋体" w:eastAsia="仿宋_GB2312" w:cs="宋体"/>
              </w:rPr>
            </w:pPr>
          </w:p>
        </w:tc>
      </w:tr>
    </w:tbl>
    <w:p>
      <w:pPr>
        <w:rPr>
          <w:rFonts w:ascii="仿宋_GB2312" w:hAnsi="宋体" w:eastAsia="仿宋_GB2312"/>
          <w:sz w:val="24"/>
        </w:rPr>
      </w:pPr>
    </w:p>
    <w:p>
      <w:pPr>
        <w:keepNext w:val="0"/>
        <w:keepLines w:val="0"/>
        <w:pageBreakBefore w:val="0"/>
        <w:widowControl w:val="0"/>
        <w:kinsoku/>
        <w:wordWrap/>
        <w:overflowPunct/>
        <w:topLinePunct w:val="0"/>
        <w:autoSpaceDE/>
        <w:autoSpaceDN/>
        <w:bidi w:val="0"/>
        <w:adjustRightInd/>
        <w:snapToGrid/>
        <w:spacing w:before="78" w:line="440" w:lineRule="exact"/>
        <w:ind w:left="351" w:leftChars="0"/>
        <w:jc w:val="left"/>
        <w:textAlignment w:val="auto"/>
        <w:rPr>
          <w:rFonts w:hint="eastAsia" w:ascii="Times New Roman" w:hAnsi="Times New Roman" w:eastAsia="宋体" w:cs="Times New Roman"/>
          <w:spacing w:val="-6"/>
          <w:szCs w:val="21"/>
        </w:rPr>
      </w:pPr>
      <w:r>
        <w:rPr>
          <w:rFonts w:hint="eastAsia" w:ascii="仿宋_GB2312" w:hAnsi="宋体" w:eastAsia="仿宋_GB2312"/>
          <w:sz w:val="24"/>
        </w:rPr>
        <w:t>投标人名称（盖章）：                   法定代表人或授权代表签字：</w:t>
      </w:r>
      <w:r>
        <w:rPr>
          <w:rFonts w:hint="eastAsia" w:ascii="仿宋_GB2312" w:hAnsi="宋体" w:eastAsia="仿宋_GB2312"/>
          <w:sz w:val="24"/>
        </w:rPr>
        <w:br w:type="textWrapping"/>
      </w:r>
    </w:p>
    <w:p>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pPr>
        <w:pStyle w:val="73"/>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附件7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default" w:ascii="宋体" w:hAnsi="宋体" w:eastAsia="宋体" w:cs="宋体"/>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cs="宋体"/>
          <w:b/>
          <w:bCs/>
          <w:sz w:val="24"/>
          <w:szCs w:val="24"/>
          <w:lang w:val="en-US" w:eastAsia="zh-CN"/>
        </w:rPr>
        <w:t>注：登录页面可下载《供应商用户手册》</w:t>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pPr>
        <w:numPr>
          <w:ilvl w:val="0"/>
          <w:numId w:val="30"/>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pPr>
        <w:pStyle w:val="16"/>
        <w:numPr>
          <w:ilvl w:val="0"/>
          <w:numId w:val="0"/>
        </w:numPr>
      </w:pPr>
    </w:p>
    <w:p>
      <w:pPr>
        <w:rPr>
          <w:rFonts w:ascii="宋体" w:hAnsi="宋体" w:eastAsia="宋体" w:cs="宋体"/>
          <w:color w:val="000000"/>
        </w:rPr>
      </w:pPr>
    </w:p>
    <w:p>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pPr>
        <w:pStyle w:val="16"/>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2" cstate="print"/>
                    <a:srcRect/>
                    <a:stretch>
                      <a:fillRect/>
                    </a:stretch>
                  </pic:blipFill>
                  <pic:spPr>
                    <a:xfrm>
                      <a:off x="0" y="0"/>
                      <a:ext cx="5760085" cy="2820035"/>
                    </a:xfrm>
                    <a:prstGeom prst="rect">
                      <a:avLst/>
                    </a:prstGeom>
                  </pic:spPr>
                </pic:pic>
              </a:graphicData>
            </a:graphic>
          </wp:inline>
        </w:drawing>
      </w:r>
    </w:p>
    <w:p>
      <w:pPr>
        <w:pStyle w:val="16"/>
      </w:pPr>
    </w:p>
    <w:p>
      <w:pPr>
        <w:pStyle w:val="16"/>
      </w:pPr>
    </w:p>
    <w:p>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pPr>
        <w:rPr>
          <w:rFonts w:hint="eastAsia" w:ascii="宋体" w:hAnsi="Courier New" w:eastAsia="宋体" w:cs="Times New Roman"/>
          <w:b/>
          <w:bCs/>
          <w:kern w:val="2"/>
          <w:sz w:val="21"/>
          <w:lang w:val="en-US" w:eastAsia="zh-CN" w:bidi="ar-SA"/>
        </w:rPr>
      </w:pPr>
      <w:r>
        <w:rPr>
          <w:rFonts w:hint="eastAsia" w:ascii="宋体" w:hAnsi="宋体" w:eastAsia="宋体" w:cs="宋体"/>
          <w:b/>
          <w:bCs/>
          <w:color w:val="000000"/>
          <w:sz w:val="24"/>
          <w:szCs w:val="28"/>
          <w:highlight w:val="none"/>
        </w:rPr>
        <w:t>1.</w:t>
      </w:r>
      <w:r>
        <w:rPr>
          <w:rFonts w:hint="eastAsia" w:ascii="宋体" w:hAnsi="Courier New" w:eastAsia="宋体" w:cs="Times New Roman"/>
          <w:b/>
          <w:bCs/>
          <w:kern w:val="2"/>
          <w:sz w:val="21"/>
          <w:lang w:val="en-US" w:eastAsia="zh-CN" w:bidi="ar-SA"/>
        </w:rPr>
        <w:t>“项目名称”和“采购形式编号”见第一部分的“项目介绍”；</w:t>
      </w:r>
    </w:p>
    <w:p>
      <w:pPr>
        <w:rPr>
          <w:rFonts w:hint="eastAsia" w:ascii="宋体" w:hAnsi="Courier New" w:eastAsia="宋体" w:cs="Times New Roman"/>
          <w:b/>
          <w:bCs/>
          <w:kern w:val="2"/>
          <w:sz w:val="21"/>
          <w:highlight w:val="none"/>
          <w:lang w:val="en-US" w:eastAsia="zh-CN" w:bidi="ar-SA"/>
        </w:rPr>
      </w:pPr>
      <w:r>
        <w:rPr>
          <w:rFonts w:hint="eastAsia" w:ascii="宋体" w:hAnsi="Courier New" w:eastAsia="宋体" w:cs="Times New Roman"/>
          <w:b/>
          <w:bCs/>
          <w:kern w:val="2"/>
          <w:sz w:val="21"/>
          <w:lang w:val="en-US" w:eastAsia="zh-CN" w:bidi="ar-SA"/>
        </w:rPr>
        <w:t>2.配套能力“供货类别”填“直管单位非生产招标 / 货物</w:t>
      </w:r>
      <w:r>
        <w:rPr>
          <w:rFonts w:hint="eastAsia" w:ascii="宋体" w:hAnsi="Courier New" w:eastAsia="宋体" w:cs="Times New Roman"/>
          <w:b/>
          <w:bCs/>
          <w:kern w:val="2"/>
          <w:sz w:val="21"/>
          <w:highlight w:val="none"/>
          <w:lang w:val="en-US" w:eastAsia="zh-CN" w:bidi="ar-SA"/>
        </w:rPr>
        <w:t xml:space="preserve"> /</w:t>
      </w:r>
      <w:r>
        <w:rPr>
          <w:rFonts w:hint="eastAsia" w:ascii="宋体" w:hAnsi="Courier New" w:cs="Times New Roman"/>
          <w:b/>
          <w:bCs/>
          <w:kern w:val="2"/>
          <w:sz w:val="21"/>
          <w:highlight w:val="none"/>
          <w:lang w:val="en-US" w:eastAsia="zh-CN" w:bidi="ar-SA"/>
        </w:rPr>
        <w:t xml:space="preserve"> 能源设备  </w:t>
      </w:r>
      <w:r>
        <w:rPr>
          <w:rFonts w:hint="eastAsia" w:ascii="宋体" w:hAnsi="Courier New" w:eastAsia="宋体" w:cs="Times New Roman"/>
          <w:b/>
          <w:bCs/>
          <w:kern w:val="2"/>
          <w:sz w:val="21"/>
          <w:highlight w:val="none"/>
          <w:lang w:val="en-US" w:eastAsia="zh-CN" w:bidi="ar-SA"/>
        </w:rPr>
        <w:t>”，业务主管部门选择“</w:t>
      </w:r>
      <w:r>
        <w:rPr>
          <w:rFonts w:hint="eastAsia" w:ascii="宋体" w:hAnsi="Courier New" w:cs="Times New Roman"/>
          <w:b/>
          <w:bCs/>
          <w:kern w:val="2"/>
          <w:sz w:val="21"/>
          <w:highlight w:val="none"/>
          <w:lang w:val="en-US" w:eastAsia="zh-CN" w:bidi="ar-SA"/>
        </w:rPr>
        <w:t xml:space="preserve">工艺工匠研究院   </w:t>
      </w:r>
      <w:r>
        <w:rPr>
          <w:rFonts w:hint="eastAsia" w:ascii="宋体" w:hAnsi="Courier New" w:eastAsia="宋体" w:cs="Times New Roman"/>
          <w:b/>
          <w:bCs/>
          <w:kern w:val="2"/>
          <w:sz w:val="21"/>
          <w:highlight w:val="none"/>
          <w:lang w:val="en-US" w:eastAsia="zh-CN" w:bidi="ar-SA"/>
        </w:rPr>
        <w:t>”。</w:t>
      </w:r>
    </w:p>
    <w:p>
      <w:pPr>
        <w:pStyle w:val="16"/>
        <w:bidi w:val="0"/>
        <w:rPr>
          <w:rFonts w:hint="eastAsia"/>
          <w:b/>
          <w:bCs/>
          <w:lang w:val="en-US" w:eastAsia="zh-CN"/>
        </w:rPr>
      </w:pPr>
    </w:p>
    <w:p>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pPr>
        <w:pStyle w:val="73"/>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附件8 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9"/>
          <w:rFonts w:hint="eastAsia" w:ascii="宋体" w:hAnsi="宋体" w:eastAsia="宋体" w:cs="宋体"/>
          <w:sz w:val="24"/>
          <w:szCs w:val="24"/>
        </w:rPr>
        <w:fldChar w:fldCharType="begin"/>
      </w:r>
      <w:r>
        <w:rPr>
          <w:rStyle w:val="39"/>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9"/>
          <w:rFonts w:hint="eastAsia" w:ascii="宋体" w:hAnsi="宋体" w:eastAsia="宋体" w:cs="宋体"/>
          <w:sz w:val="24"/>
          <w:szCs w:val="24"/>
        </w:rPr>
        <w:fldChar w:fldCharType="separate"/>
      </w:r>
      <w:r>
        <w:rPr>
          <w:rStyle w:val="39"/>
          <w:rFonts w:hint="eastAsia" w:ascii="宋体" w:hAnsi="宋体" w:eastAsia="宋体" w:cs="宋体"/>
          <w:sz w:val="24"/>
          <w:szCs w:val="24"/>
        </w:rPr>
        <w:t>http</w:t>
      </w:r>
      <w:r>
        <w:rPr>
          <w:rStyle w:val="39"/>
          <w:rFonts w:hint="eastAsia" w:ascii="宋体" w:hAnsi="宋体" w:eastAsia="宋体" w:cs="宋体"/>
          <w:sz w:val="24"/>
          <w:szCs w:val="24"/>
          <w:lang w:val="en-US" w:eastAsia="zh-CN"/>
        </w:rPr>
        <w:t>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3"/>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4"/>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16"/>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pPr>
        <w:pStyle w:val="7"/>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5"/>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6"/>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7"/>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7"/>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8"/>
                    <a:stretch>
                      <a:fillRect/>
                    </a:stretch>
                  </pic:blipFill>
                  <pic:spPr>
                    <a:xfrm>
                      <a:off x="0" y="0"/>
                      <a:ext cx="5760085" cy="1956600"/>
                    </a:xfrm>
                    <a:prstGeom prst="rect">
                      <a:avLst/>
                    </a:prstGeom>
                  </pic:spPr>
                </pic:pic>
              </a:graphicData>
            </a:graphic>
          </wp:inline>
        </w:drawing>
      </w:r>
    </w:p>
    <w:p>
      <w:pPr>
        <w:pStyle w:val="77"/>
        <w:rPr>
          <w:rFonts w:hint="default" w:hAnsi="宋体"/>
          <w:sz w:val="24"/>
          <w:lang w:val="en-US"/>
        </w:rPr>
      </w:pPr>
    </w:p>
    <w:sectPr>
      <w:headerReference r:id="rId12" w:type="first"/>
      <w:footerReference r:id="rId14" w:type="first"/>
      <w:footerReference r:id="rId13"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altName w:val="仿宋_GB2312"/>
    <w:panose1 w:val="02000000000000000000"/>
    <w:charset w:val="86"/>
    <w:family w:val="script"/>
    <w:pitch w:val="default"/>
    <w:sig w:usb0="00000000" w:usb1="00000000" w:usb2="00000012" w:usb3="00000000" w:csb0="0004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6"/>
      </w:rPr>
    </w:pPr>
    <w:r>
      <w:fldChar w:fldCharType="begin"/>
    </w:r>
    <w:r>
      <w:rPr>
        <w:rStyle w:val="36"/>
      </w:rPr>
      <w:instrText xml:space="preserve">PAGE  </w:instrText>
    </w:r>
    <w:r>
      <w:fldChar w:fldCharType="end"/>
    </w:r>
  </w:p>
  <w:p>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7REg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tESDICAABjBAAADgAAAAAAAAABACAAAAAfAQAAZHJzL2Uyb0RvYy54bWxQSwUG&#10;AAAAAAYABgBZAQAAwwUAAAAA&#10;">
              <v:fill on="f" focussize="0,0"/>
              <v:stroke on="f" weight="0.5pt"/>
              <v:imagedata o:title=""/>
              <o:lock v:ext="edit" aspectratio="f"/>
              <v:textbox inset="0mm,0mm,0mm,0mm" style="mso-fit-shape-to-text:t;">
                <w:txbxContent>
                  <w:p>
                    <w:pPr>
                      <w:pStyle w:val="20"/>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4WAcyAgAAY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XhYBzICAABhBAAADgAAAAAAAAABACAAAAAfAQAAZHJzL2Uyb0RvYy54bWxQSwUG&#10;AAAAAAYABgBZAQAAwwUAAAAA&#10;">
              <v:fill on="f" focussize="0,0"/>
              <v:stroke on="f" weight="0.5pt"/>
              <v:imagedata o:title=""/>
              <o:lock v:ext="edit" aspectratio="f"/>
              <v:textbox inset="0mm,0mm,0mm,0mm" style="mso-fit-shape-to-text:t;">
                <w:txbxContent>
                  <w:p>
                    <w:pPr>
                      <w:pStyle w:val="20"/>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junIsAgAAVQ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6SO6ciwCAABVBAAADgAAAAAAAAABACAAAAAfAQAAZHJzL2Uyb0RvYy54bWxQSwUGAAAAAAYA&#10;BgBZAQAAvQUAAAAA&#10;">
              <v:fill on="f" focussize="0,0"/>
              <v:stroke on="f" weight="0.5pt"/>
              <v:imagedata o:title=""/>
              <o:lock v:ext="edit" aspectratio="f"/>
              <v:textbox inset="0mm,0mm,0mm,0mm" style="mso-fit-shape-to-text:t;">
                <w:txbxContent>
                  <w:p>
                    <w:pPr>
                      <w:pStyle w:val="20"/>
                    </w:pP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61312;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GqX5bIzAgAAVQQAAA4AAAAAAAAAAQAgAAAAJQEAAGRycy9lMm9Eb2Mu&#10;eG1sUEsFBgAAAAAGAAYAWQEAAMoFAAAAAA==&#10;">
              <v:fill on="f" focussize="0,0"/>
              <v:stroke on="f" weight="0.5pt"/>
              <v:imagedata o:title=""/>
              <o:lock v:ext="edit" aspectratio="f"/>
              <v:textbox inset="0mm,0mm,0mm,0mm">
                <w:txbxContent>
                  <w:p>
                    <w:pPr>
                      <w:pStyle w:val="20"/>
                    </w:pPr>
                  </w:p>
                </w:txbxContent>
              </v:textbox>
            </v:shape>
          </w:pict>
        </mc:Fallback>
      </mc:AlternateContent>
    </w:r>
  </w:p>
  <w:p>
    <w:pPr>
      <w:pStyle w:val="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dRswyAgAAY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d1GzDICAABhBAAADgAAAAAAAAABACAAAAAfAQAAZHJzL2Uyb0RvYy54bWxQSwUG&#10;AAAAAAYABgBZAQAAwwUAAAAA&#10;">
              <v:fill on="f" focussize="0,0"/>
              <v:stroke on="f" weight="0.5pt"/>
              <v:imagedata o:title=""/>
              <o:lock v:ext="edit" aspectratio="f"/>
              <v:textbox inset="0mm,0mm,0mm,0mm" style="mso-fit-shape-to-text:t;">
                <w:txbxContent>
                  <w:p>
                    <w:pPr>
                      <w:pStyle w:val="2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a+YMw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ba+YMwAgAAYQQAAA4AAAAAAAAAAQAgAAAAHwEAAGRycy9lMm9Eb2MueG1sUEsFBgAA&#10;AAAGAAYAWQEAAMEFAAAAAA==&#10;">
              <v:fill on="f" focussize="0,0"/>
              <v:stroke on="f" weight="0.5pt"/>
              <v:imagedata o:title=""/>
              <o:lock v:ext="edit" aspectratio="f"/>
              <v:textbox inset="0mm,0mm,0mm,0mm" style="mso-fit-shape-to-text:t;">
                <w:txbxContent>
                  <w:p>
                    <w:pPr>
                      <w:pStyle w:val="20"/>
                    </w:pP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zTn0sAgAAVQ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hRDOFgp++fzv9&#10;+HX6+ZVcRXla62eIerCIC91b06FphnOPw8i6q5yKX/Ah8EPc40Vc0QXC46XpZDrN4eLwDRvgZ4/X&#10;rfPhnTCKRKOgDtVLorLDxoc+dAiJ2bRZN1KmCkpN2oJeX73O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BnNOfSwCAABVBAAADgAAAAAAAAABACAAAAAfAQAAZHJzL2Uyb0RvYy54bWxQSwUGAAAAAAYA&#10;BgBZAQAAvQUAAAAA&#10;">
              <v:fill on="f" focussize="0,0"/>
              <v:stroke on="f" weight="0.5pt"/>
              <v:imagedata o:title=""/>
              <o:lock v:ext="edit" aspectratio="f"/>
              <v:textbox inset="0mm,0mm,0mm,0mm" style="mso-fit-shape-to-text:t;">
                <w:txbxContent>
                  <w:p>
                    <w:pPr>
                      <w:pStyle w:val="20"/>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8"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438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p8xeS1gAAAAcBAAAPAAAAAAAAAAEAIAAAACIAAABkcnMvZG93bnJldi54bWxQ&#10;SwECFAAUAAAACACHTuJAgGWwFzICAABVBAAADgAAAAAAAAABACAAAAAlAQAAZHJzL2Uyb0RvYy54&#10;bWxQSwUGAAAAAAYABgBZAQAAyQUAAAAA&#10;">
              <v:fill on="f" focussize="0,0"/>
              <v:stroke on="f" weight="0.5pt"/>
              <v:imagedata o:title=""/>
              <o:lock v:ext="edit" aspectratio="f"/>
              <v:textbox inset="0mm,0mm,0mm,0mm">
                <w:txbxContent>
                  <w:p>
                    <w:pPr>
                      <w:pStyle w:val="20"/>
                    </w:pPr>
                  </w:p>
                </w:txbxContent>
              </v:textbox>
            </v:shape>
          </w:pict>
        </mc:Fallback>
      </mc:AlternateContent>
    </w:r>
  </w:p>
  <w:p>
    <w:pPr>
      <w:pStyle w:val="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pPr>
              <w:pStyle w:val="20"/>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pPr>
      <w:pStyle w:val="20"/>
      <w:jc w:val="center"/>
    </w:pPr>
  </w:p>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right"/>
    </w:pPr>
    <w:r>
      <w:rPr>
        <w:rFonts w:hint="eastAsia"/>
      </w:rPr>
      <w:t>中国重型汽车集团</w:t>
    </w:r>
    <w:r>
      <w:rPr>
        <w:rFonts w:hint="eastAsia"/>
        <w:lang w:val="en-US" w:eastAsia="zh-CN"/>
      </w:rPr>
      <w:t>卡车公司党家庄厂区空压站冷却塔更新技改</w:t>
    </w:r>
    <w:r>
      <w:rPr>
        <w:rFonts w:hint="eastAsia"/>
      </w:rPr>
      <w:t>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BD4C6742"/>
    <w:multiLevelType w:val="singleLevel"/>
    <w:tmpl w:val="BD4C6742"/>
    <w:lvl w:ilvl="0" w:tentative="0">
      <w:start w:val="1"/>
      <w:numFmt w:val="decimal"/>
      <w:lvlText w:val="%1."/>
      <w:lvlJc w:val="left"/>
      <w:pPr>
        <w:ind w:left="425" w:hanging="425"/>
      </w:pPr>
      <w:rPr>
        <w:rFonts w:hint="default"/>
      </w:rPr>
    </w:lvl>
  </w:abstractNum>
  <w:abstractNum w:abstractNumId="5">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8">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9">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0">
    <w:nsid w:val="00000003"/>
    <w:multiLevelType w:val="singleLevel"/>
    <w:tmpl w:val="00000003"/>
    <w:lvl w:ilvl="0" w:tentative="0">
      <w:start w:val="5"/>
      <w:numFmt w:val="decimal"/>
      <w:lvlText w:val="%1."/>
      <w:lvlJc w:val="left"/>
      <w:pPr>
        <w:tabs>
          <w:tab w:val="left" w:pos="312"/>
        </w:tabs>
      </w:pPr>
    </w:lvl>
  </w:abstractNum>
  <w:abstractNum w:abstractNumId="11">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080D2180"/>
    <w:multiLevelType w:val="singleLevel"/>
    <w:tmpl w:val="080D2180"/>
    <w:lvl w:ilvl="0" w:tentative="0">
      <w:start w:val="1"/>
      <w:numFmt w:val="bullet"/>
      <w:lvlText w:val=""/>
      <w:lvlJc w:val="left"/>
      <w:pPr>
        <w:ind w:left="378" w:hanging="420"/>
      </w:pPr>
      <w:rPr>
        <w:rFonts w:hint="default" w:ascii="Wingdings" w:hAnsi="Wingdings"/>
      </w:rPr>
    </w:lvl>
  </w:abstractNum>
  <w:abstractNum w:abstractNumId="13">
    <w:nsid w:val="12D9A626"/>
    <w:multiLevelType w:val="singleLevel"/>
    <w:tmpl w:val="12D9A626"/>
    <w:lvl w:ilvl="0" w:tentative="0">
      <w:start w:val="3"/>
      <w:numFmt w:val="chineseCounting"/>
      <w:suff w:val="nothing"/>
      <w:lvlText w:val="第%1部分　"/>
      <w:lvlJc w:val="left"/>
      <w:rPr>
        <w:rFonts w:hint="eastAsia"/>
      </w:rPr>
    </w:lvl>
  </w:abstractNum>
  <w:abstractNum w:abstractNumId="14">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99F58C0"/>
    <w:multiLevelType w:val="multilevel"/>
    <w:tmpl w:val="199F58C0"/>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6">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1FAF6D12"/>
    <w:multiLevelType w:val="singleLevel"/>
    <w:tmpl w:val="1FAF6D12"/>
    <w:lvl w:ilvl="0" w:tentative="0">
      <w:start w:val="2"/>
      <w:numFmt w:val="decimal"/>
      <w:suff w:val="nothing"/>
      <w:lvlText w:val="%1、"/>
      <w:lvlJc w:val="left"/>
    </w:lvl>
  </w:abstractNum>
  <w:abstractNum w:abstractNumId="18">
    <w:nsid w:val="2B8672BE"/>
    <w:multiLevelType w:val="singleLevel"/>
    <w:tmpl w:val="2B8672BE"/>
    <w:lvl w:ilvl="0" w:tentative="0">
      <w:start w:val="1"/>
      <w:numFmt w:val="decimal"/>
      <w:lvlText w:val="%1."/>
      <w:lvlJc w:val="left"/>
      <w:pPr>
        <w:ind w:left="425" w:hanging="425"/>
      </w:pPr>
      <w:rPr>
        <w:rFonts w:hint="default"/>
      </w:rPr>
    </w:lvl>
  </w:abstractNum>
  <w:abstractNum w:abstractNumId="19">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0">
    <w:nsid w:val="4CB32FC8"/>
    <w:multiLevelType w:val="multilevel"/>
    <w:tmpl w:val="4CB32FC8"/>
    <w:lvl w:ilvl="0" w:tentative="0">
      <w:start w:val="1"/>
      <w:numFmt w:val="upperLetter"/>
      <w:pStyle w:val="8"/>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AD2577"/>
    <w:multiLevelType w:val="singleLevel"/>
    <w:tmpl w:val="59AD2577"/>
    <w:lvl w:ilvl="0" w:tentative="0">
      <w:start w:val="4"/>
      <w:numFmt w:val="decimal"/>
      <w:suff w:val="nothing"/>
      <w:lvlText w:val="%1、"/>
      <w:lvlJc w:val="left"/>
    </w:lvl>
  </w:abstractNum>
  <w:abstractNum w:abstractNumId="25">
    <w:nsid w:val="5A6836EF"/>
    <w:multiLevelType w:val="singleLevel"/>
    <w:tmpl w:val="5A6836EF"/>
    <w:lvl w:ilvl="0" w:tentative="0">
      <w:start w:val="1"/>
      <w:numFmt w:val="decimal"/>
      <w:suff w:val="nothing"/>
      <w:lvlText w:val="%1."/>
      <w:lvlJc w:val="left"/>
      <w:pPr>
        <w:ind w:left="0" w:firstLine="0"/>
      </w:pPr>
    </w:lvl>
  </w:abstractNum>
  <w:abstractNum w:abstractNumId="26">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7">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8">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9">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num w:numId="1">
    <w:abstractNumId w:val="20"/>
  </w:num>
  <w:num w:numId="2">
    <w:abstractNumId w:val="28"/>
  </w:num>
  <w:num w:numId="3">
    <w:abstractNumId w:val="23"/>
  </w:num>
  <w:num w:numId="4">
    <w:abstractNumId w:val="21"/>
  </w:num>
  <w:num w:numId="5">
    <w:abstractNumId w:val="11"/>
  </w:num>
  <w:num w:numId="6">
    <w:abstractNumId w:val="14"/>
  </w:num>
  <w:num w:numId="7">
    <w:abstractNumId w:val="16"/>
  </w:num>
  <w:num w:numId="8">
    <w:abstractNumId w:val="22"/>
  </w:num>
  <w:num w:numId="9">
    <w:abstractNumId w:val="4"/>
  </w:num>
  <w:num w:numId="10">
    <w:abstractNumId w:val="8"/>
  </w:num>
  <w:num w:numId="11">
    <w:abstractNumId w:val="29"/>
  </w:num>
  <w:num w:numId="12">
    <w:abstractNumId w:val="0"/>
  </w:num>
  <w:num w:numId="13">
    <w:abstractNumId w:val="5"/>
  </w:num>
  <w:num w:numId="14">
    <w:abstractNumId w:val="6"/>
  </w:num>
  <w:num w:numId="15">
    <w:abstractNumId w:val="3"/>
  </w:num>
  <w:num w:numId="16">
    <w:abstractNumId w:val="12"/>
  </w:num>
  <w:num w:numId="17">
    <w:abstractNumId w:val="15"/>
  </w:num>
  <w:num w:numId="18">
    <w:abstractNumId w:val="2"/>
  </w:num>
  <w:num w:numId="19">
    <w:abstractNumId w:val="27"/>
  </w:num>
  <w:num w:numId="20">
    <w:abstractNumId w:val="7"/>
  </w:num>
  <w:num w:numId="21">
    <w:abstractNumId w:val="26"/>
  </w:num>
  <w:num w:numId="22">
    <w:abstractNumId w:val="9"/>
  </w:num>
  <w:num w:numId="23">
    <w:abstractNumId w:val="1"/>
  </w:num>
  <w:num w:numId="24">
    <w:abstractNumId w:val="19"/>
  </w:num>
  <w:num w:numId="25">
    <w:abstractNumId w:val="25"/>
  </w:num>
  <w:num w:numId="26">
    <w:abstractNumId w:val="18"/>
  </w:num>
  <w:num w:numId="27">
    <w:abstractNumId w:val="17"/>
  </w:num>
  <w:num w:numId="28">
    <w:abstractNumId w:val="24"/>
  </w:num>
  <w:num w:numId="29">
    <w:abstractNumId w:val="13"/>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17436F9"/>
    <w:rsid w:val="01F7372E"/>
    <w:rsid w:val="02335A74"/>
    <w:rsid w:val="02CC3DCA"/>
    <w:rsid w:val="02FE76EF"/>
    <w:rsid w:val="03F033B0"/>
    <w:rsid w:val="04C75D62"/>
    <w:rsid w:val="057C1D39"/>
    <w:rsid w:val="05891259"/>
    <w:rsid w:val="0609792D"/>
    <w:rsid w:val="0654565B"/>
    <w:rsid w:val="08633479"/>
    <w:rsid w:val="09630A6C"/>
    <w:rsid w:val="0A63147A"/>
    <w:rsid w:val="0ADB2EF0"/>
    <w:rsid w:val="0ADD4CBE"/>
    <w:rsid w:val="0B415BB4"/>
    <w:rsid w:val="0C83309C"/>
    <w:rsid w:val="0CB51572"/>
    <w:rsid w:val="0CF30C82"/>
    <w:rsid w:val="0D003A52"/>
    <w:rsid w:val="0D01045C"/>
    <w:rsid w:val="0DC43F13"/>
    <w:rsid w:val="0DCB2BAB"/>
    <w:rsid w:val="0DE73E36"/>
    <w:rsid w:val="0E4D31E3"/>
    <w:rsid w:val="0E530E38"/>
    <w:rsid w:val="102932C0"/>
    <w:rsid w:val="10693CC9"/>
    <w:rsid w:val="10DC2AA3"/>
    <w:rsid w:val="10FA7C8C"/>
    <w:rsid w:val="11634B94"/>
    <w:rsid w:val="12F64B6E"/>
    <w:rsid w:val="130B198F"/>
    <w:rsid w:val="13FA68E0"/>
    <w:rsid w:val="15B618C1"/>
    <w:rsid w:val="15BB1367"/>
    <w:rsid w:val="16580924"/>
    <w:rsid w:val="16A918E4"/>
    <w:rsid w:val="179A72D2"/>
    <w:rsid w:val="17A513B0"/>
    <w:rsid w:val="17D966D6"/>
    <w:rsid w:val="183D0CD8"/>
    <w:rsid w:val="19112AFE"/>
    <w:rsid w:val="19517BDA"/>
    <w:rsid w:val="19E33213"/>
    <w:rsid w:val="1A463A67"/>
    <w:rsid w:val="1A8208C3"/>
    <w:rsid w:val="1B481CDF"/>
    <w:rsid w:val="1BA3160C"/>
    <w:rsid w:val="1BC71D3B"/>
    <w:rsid w:val="1C59115B"/>
    <w:rsid w:val="1D48051B"/>
    <w:rsid w:val="1D596BD7"/>
    <w:rsid w:val="1DC926ED"/>
    <w:rsid w:val="1E296445"/>
    <w:rsid w:val="1EFD1680"/>
    <w:rsid w:val="1FB23E60"/>
    <w:rsid w:val="1FBA79B4"/>
    <w:rsid w:val="212F23EA"/>
    <w:rsid w:val="21D56090"/>
    <w:rsid w:val="21F50ADF"/>
    <w:rsid w:val="226A2E83"/>
    <w:rsid w:val="227640E7"/>
    <w:rsid w:val="227F2CA6"/>
    <w:rsid w:val="22C5630B"/>
    <w:rsid w:val="23316172"/>
    <w:rsid w:val="23AC6DFA"/>
    <w:rsid w:val="23EC0BA6"/>
    <w:rsid w:val="2406365D"/>
    <w:rsid w:val="243D7784"/>
    <w:rsid w:val="24701A48"/>
    <w:rsid w:val="24E946FD"/>
    <w:rsid w:val="25EC6AF8"/>
    <w:rsid w:val="268B0052"/>
    <w:rsid w:val="26CF6817"/>
    <w:rsid w:val="27743C90"/>
    <w:rsid w:val="27B358EA"/>
    <w:rsid w:val="283931F7"/>
    <w:rsid w:val="289266E8"/>
    <w:rsid w:val="28B1694E"/>
    <w:rsid w:val="28B55739"/>
    <w:rsid w:val="29CA2459"/>
    <w:rsid w:val="2AE12B8F"/>
    <w:rsid w:val="2B271A58"/>
    <w:rsid w:val="2B45218A"/>
    <w:rsid w:val="2B6304A7"/>
    <w:rsid w:val="2BC2370B"/>
    <w:rsid w:val="2C642D3E"/>
    <w:rsid w:val="2C9E14C2"/>
    <w:rsid w:val="2CF6734C"/>
    <w:rsid w:val="2D4D284A"/>
    <w:rsid w:val="2D5C1F43"/>
    <w:rsid w:val="2D663463"/>
    <w:rsid w:val="2DB02A9D"/>
    <w:rsid w:val="2E112A52"/>
    <w:rsid w:val="2EF96EE4"/>
    <w:rsid w:val="2FF10008"/>
    <w:rsid w:val="30460577"/>
    <w:rsid w:val="30A239DD"/>
    <w:rsid w:val="31685E42"/>
    <w:rsid w:val="317E4255"/>
    <w:rsid w:val="31E37A09"/>
    <w:rsid w:val="32C207BF"/>
    <w:rsid w:val="32C3489C"/>
    <w:rsid w:val="3380787D"/>
    <w:rsid w:val="33822A0F"/>
    <w:rsid w:val="33CA2CB1"/>
    <w:rsid w:val="34F565DC"/>
    <w:rsid w:val="35D271A0"/>
    <w:rsid w:val="36254FE4"/>
    <w:rsid w:val="36AA39B8"/>
    <w:rsid w:val="372F61E0"/>
    <w:rsid w:val="39322FCA"/>
    <w:rsid w:val="3A307305"/>
    <w:rsid w:val="3A503E1E"/>
    <w:rsid w:val="3AB90991"/>
    <w:rsid w:val="3AFD268F"/>
    <w:rsid w:val="3B706131"/>
    <w:rsid w:val="3BF833EC"/>
    <w:rsid w:val="3C8E02FC"/>
    <w:rsid w:val="3CC359F0"/>
    <w:rsid w:val="3D3D6F88"/>
    <w:rsid w:val="3DE11DF4"/>
    <w:rsid w:val="3E6F041E"/>
    <w:rsid w:val="3E846635"/>
    <w:rsid w:val="3F9D2397"/>
    <w:rsid w:val="41007633"/>
    <w:rsid w:val="41A5482C"/>
    <w:rsid w:val="4275481E"/>
    <w:rsid w:val="428B617A"/>
    <w:rsid w:val="42CE288A"/>
    <w:rsid w:val="433D7BDC"/>
    <w:rsid w:val="43712793"/>
    <w:rsid w:val="437E1813"/>
    <w:rsid w:val="43A427AA"/>
    <w:rsid w:val="43E96A97"/>
    <w:rsid w:val="444E2202"/>
    <w:rsid w:val="45354CBC"/>
    <w:rsid w:val="45BD47FC"/>
    <w:rsid w:val="45CC5FB2"/>
    <w:rsid w:val="46B75BA8"/>
    <w:rsid w:val="46E91D19"/>
    <w:rsid w:val="48C97955"/>
    <w:rsid w:val="48D805C0"/>
    <w:rsid w:val="48F425B5"/>
    <w:rsid w:val="49287389"/>
    <w:rsid w:val="49880C8F"/>
    <w:rsid w:val="4A2007F8"/>
    <w:rsid w:val="4A8835F7"/>
    <w:rsid w:val="4B592E71"/>
    <w:rsid w:val="4DF75369"/>
    <w:rsid w:val="4EA23B01"/>
    <w:rsid w:val="4EB0217D"/>
    <w:rsid w:val="4F8B220C"/>
    <w:rsid w:val="504F4EAF"/>
    <w:rsid w:val="516C4BAA"/>
    <w:rsid w:val="51D51447"/>
    <w:rsid w:val="52B9239A"/>
    <w:rsid w:val="52D52A7F"/>
    <w:rsid w:val="533E127B"/>
    <w:rsid w:val="541D2F0E"/>
    <w:rsid w:val="54954DC8"/>
    <w:rsid w:val="54BD78FD"/>
    <w:rsid w:val="550A5435"/>
    <w:rsid w:val="552A3C28"/>
    <w:rsid w:val="555A2DA3"/>
    <w:rsid w:val="558B6D83"/>
    <w:rsid w:val="56901A99"/>
    <w:rsid w:val="569C6F00"/>
    <w:rsid w:val="56D46D2B"/>
    <w:rsid w:val="571B2939"/>
    <w:rsid w:val="58A86DDE"/>
    <w:rsid w:val="58DC58FF"/>
    <w:rsid w:val="59154AD7"/>
    <w:rsid w:val="594C608F"/>
    <w:rsid w:val="5A542AB4"/>
    <w:rsid w:val="5ADF548D"/>
    <w:rsid w:val="5BF95104"/>
    <w:rsid w:val="5C4627AE"/>
    <w:rsid w:val="5C9249CA"/>
    <w:rsid w:val="5D5C60B4"/>
    <w:rsid w:val="5DA23E51"/>
    <w:rsid w:val="5E7E0692"/>
    <w:rsid w:val="5F4F714B"/>
    <w:rsid w:val="60651FB9"/>
    <w:rsid w:val="614E12EC"/>
    <w:rsid w:val="616D6769"/>
    <w:rsid w:val="62BD60DC"/>
    <w:rsid w:val="63503F39"/>
    <w:rsid w:val="63F04A69"/>
    <w:rsid w:val="64623D7C"/>
    <w:rsid w:val="646A3D0C"/>
    <w:rsid w:val="64A82747"/>
    <w:rsid w:val="64CE7428"/>
    <w:rsid w:val="65336B29"/>
    <w:rsid w:val="65CB5384"/>
    <w:rsid w:val="668B64F1"/>
    <w:rsid w:val="66A50B1E"/>
    <w:rsid w:val="67095CF1"/>
    <w:rsid w:val="674E3DF4"/>
    <w:rsid w:val="67B2063C"/>
    <w:rsid w:val="67B53206"/>
    <w:rsid w:val="67C97AC3"/>
    <w:rsid w:val="67E30EC1"/>
    <w:rsid w:val="685A1974"/>
    <w:rsid w:val="693626D9"/>
    <w:rsid w:val="6A4E3B2B"/>
    <w:rsid w:val="6AC838A9"/>
    <w:rsid w:val="6B481C3B"/>
    <w:rsid w:val="6B875383"/>
    <w:rsid w:val="6BC46CDD"/>
    <w:rsid w:val="6C1331A3"/>
    <w:rsid w:val="6C765676"/>
    <w:rsid w:val="6C845EBC"/>
    <w:rsid w:val="6CA84BC1"/>
    <w:rsid w:val="6D170ADE"/>
    <w:rsid w:val="6D24429C"/>
    <w:rsid w:val="6D3E4756"/>
    <w:rsid w:val="6F12155D"/>
    <w:rsid w:val="6FC523EB"/>
    <w:rsid w:val="6FE22646"/>
    <w:rsid w:val="70825D63"/>
    <w:rsid w:val="71D93F26"/>
    <w:rsid w:val="71FE41EB"/>
    <w:rsid w:val="72895F2E"/>
    <w:rsid w:val="72C02EBE"/>
    <w:rsid w:val="72C507AD"/>
    <w:rsid w:val="72D028D8"/>
    <w:rsid w:val="745D47C3"/>
    <w:rsid w:val="75341FA7"/>
    <w:rsid w:val="764F7753"/>
    <w:rsid w:val="76AC3757"/>
    <w:rsid w:val="77BA09E4"/>
    <w:rsid w:val="77D4005C"/>
    <w:rsid w:val="78292927"/>
    <w:rsid w:val="78D62583"/>
    <w:rsid w:val="7A824444"/>
    <w:rsid w:val="7C6021A7"/>
    <w:rsid w:val="7CAB4D9F"/>
    <w:rsid w:val="7CB93F8E"/>
    <w:rsid w:val="7CF66B46"/>
    <w:rsid w:val="7D4A0A5C"/>
    <w:rsid w:val="7D5510BC"/>
    <w:rsid w:val="7D97125D"/>
    <w:rsid w:val="7DB618B0"/>
    <w:rsid w:val="7DBD28BA"/>
    <w:rsid w:val="7E736B66"/>
    <w:rsid w:val="7EEE33A0"/>
    <w:rsid w:val="7F030E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qFormat="1" w:unhideWhenUsed="0" w:uiPriority="0" w:semiHidden="0"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3"/>
    <w:next w:val="1"/>
    <w:link w:val="68"/>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82"/>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6"/>
    <w:link w:val="112"/>
    <w:semiHidden/>
    <w:qFormat/>
    <w:uiPriority w:val="0"/>
    <w:pPr>
      <w:keepNext/>
      <w:keepLines/>
      <w:spacing w:line="416" w:lineRule="auto"/>
      <w:outlineLvl w:val="2"/>
    </w:pPr>
    <w:rPr>
      <w:b/>
      <w:bCs/>
      <w:sz w:val="32"/>
      <w:szCs w:val="32"/>
    </w:rPr>
  </w:style>
  <w:style w:type="paragraph" w:styleId="7">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8">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semiHidden/>
    <w:qFormat/>
    <w:uiPriority w:val="39"/>
    <w:pPr>
      <w:adjustRightInd w:val="0"/>
      <w:spacing w:line="312" w:lineRule="atLeast"/>
      <w:ind w:left="840" w:leftChars="400"/>
      <w:textAlignment w:val="baseline"/>
    </w:pPr>
    <w:rPr>
      <w:kern w:val="0"/>
      <w:sz w:val="24"/>
    </w:rPr>
  </w:style>
  <w:style w:type="paragraph" w:styleId="6">
    <w:name w:val="Normal Indent"/>
    <w:basedOn w:val="1"/>
    <w:qFormat/>
    <w:uiPriority w:val="0"/>
    <w:pPr>
      <w:ind w:firstLine="420" w:firstLineChars="200"/>
    </w:pPr>
  </w:style>
  <w:style w:type="paragraph" w:styleId="9">
    <w:name w:val="E-mail Signature"/>
    <w:basedOn w:val="1"/>
    <w:link w:val="105"/>
    <w:semiHidden/>
    <w:qFormat/>
    <w:uiPriority w:val="99"/>
    <w:pPr>
      <w:spacing w:after="200" w:line="276" w:lineRule="auto"/>
      <w:jc w:val="left"/>
    </w:pPr>
    <w:rPr>
      <w:rFonts w:ascii="Calibri" w:hAnsi="Calibri"/>
      <w:kern w:val="0"/>
      <w:szCs w:val="21"/>
    </w:rPr>
  </w:style>
  <w:style w:type="paragraph" w:styleId="10">
    <w:name w:val="caption"/>
    <w:basedOn w:val="1"/>
    <w:next w:val="1"/>
    <w:semiHidden/>
    <w:qFormat/>
    <w:uiPriority w:val="98"/>
    <w:pPr>
      <w:spacing w:before="152" w:after="160"/>
    </w:pPr>
    <w:rPr>
      <w:rFonts w:ascii="Arial" w:hAnsi="Arial" w:eastAsia="黑体" w:cs="Arial"/>
      <w:sz w:val="20"/>
    </w:rPr>
  </w:style>
  <w:style w:type="paragraph" w:styleId="11">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2">
    <w:name w:val="annotation text"/>
    <w:basedOn w:val="1"/>
    <w:link w:val="47"/>
    <w:qFormat/>
    <w:uiPriority w:val="99"/>
    <w:pPr>
      <w:jc w:val="left"/>
    </w:pPr>
  </w:style>
  <w:style w:type="paragraph" w:styleId="13">
    <w:name w:val="Body Text"/>
    <w:basedOn w:val="1"/>
    <w:next w:val="14"/>
    <w:link w:val="43"/>
    <w:semiHidden/>
    <w:qFormat/>
    <w:uiPriority w:val="98"/>
    <w:rPr>
      <w:rFonts w:ascii="仿宋_GB2312" w:eastAsia="仿宋_GB2312"/>
      <w:sz w:val="32"/>
    </w:rPr>
  </w:style>
  <w:style w:type="paragraph" w:customStyle="1" w:styleId="1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5">
    <w:name w:val="Body Text Indent"/>
    <w:basedOn w:val="1"/>
    <w:link w:val="50"/>
    <w:semiHidden/>
    <w:qFormat/>
    <w:uiPriority w:val="0"/>
    <w:pPr>
      <w:spacing w:after="120"/>
      <w:ind w:left="420" w:leftChars="200"/>
    </w:pPr>
    <w:rPr>
      <w:rFonts w:ascii="Calibri" w:hAnsi="Calibri"/>
      <w:szCs w:val="22"/>
    </w:rPr>
  </w:style>
  <w:style w:type="paragraph" w:styleId="16">
    <w:name w:val="Plain Text"/>
    <w:basedOn w:val="1"/>
    <w:link w:val="52"/>
    <w:qFormat/>
    <w:uiPriority w:val="0"/>
    <w:rPr>
      <w:rFonts w:ascii="宋体" w:hAnsi="Courier New"/>
    </w:rPr>
  </w:style>
  <w:style w:type="paragraph" w:styleId="17">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9"/>
    <w:semiHidden/>
    <w:qFormat/>
    <w:uiPriority w:val="0"/>
    <w:rPr>
      <w:sz w:val="18"/>
      <w:szCs w:val="18"/>
    </w:rPr>
  </w:style>
  <w:style w:type="paragraph" w:styleId="20">
    <w:name w:val="footer"/>
    <w:basedOn w:val="1"/>
    <w:link w:val="44"/>
    <w:semiHidden/>
    <w:qFormat/>
    <w:uiPriority w:val="0"/>
    <w:pPr>
      <w:tabs>
        <w:tab w:val="center" w:pos="4153"/>
        <w:tab w:val="right" w:pos="8306"/>
      </w:tabs>
      <w:snapToGrid w:val="0"/>
      <w:jc w:val="left"/>
    </w:pPr>
    <w:rPr>
      <w:sz w:val="18"/>
      <w:szCs w:val="18"/>
    </w:rPr>
  </w:style>
  <w:style w:type="paragraph" w:styleId="21">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semiHidden/>
    <w:qFormat/>
    <w:uiPriority w:val="98"/>
    <w:pPr>
      <w:ind w:left="1600" w:leftChars="1600"/>
    </w:pPr>
  </w:style>
  <w:style w:type="paragraph" w:styleId="26">
    <w:name w:val="toc 2"/>
    <w:basedOn w:val="1"/>
    <w:next w:val="1"/>
    <w:qFormat/>
    <w:uiPriority w:val="39"/>
    <w:pPr>
      <w:ind w:left="420" w:leftChars="200"/>
    </w:pPr>
  </w:style>
  <w:style w:type="paragraph" w:styleId="27">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8">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9">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30">
    <w:name w:val="annotation subject"/>
    <w:basedOn w:val="12"/>
    <w:next w:val="12"/>
    <w:link w:val="55"/>
    <w:semiHidden/>
    <w:qFormat/>
    <w:uiPriority w:val="98"/>
    <w:rPr>
      <w:b/>
      <w:bCs/>
    </w:rPr>
  </w:style>
  <w:style w:type="paragraph" w:styleId="31">
    <w:name w:val="Body Text First Indent 2"/>
    <w:basedOn w:val="15"/>
    <w:next w:val="1"/>
    <w:qFormat/>
    <w:uiPriority w:val="0"/>
    <w:pPr>
      <w:spacing w:line="276" w:lineRule="auto"/>
      <w:ind w:left="200" w:firstLine="200" w:firstLineChars="200"/>
      <w:jc w:val="left"/>
    </w:p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semiHidden/>
    <w:qFormat/>
    <w:uiPriority w:val="98"/>
    <w:rPr>
      <w:b/>
    </w:rPr>
  </w:style>
  <w:style w:type="character" w:styleId="36">
    <w:name w:val="page number"/>
    <w:basedOn w:val="34"/>
    <w:semiHidden/>
    <w:qFormat/>
    <w:uiPriority w:val="0"/>
  </w:style>
  <w:style w:type="character" w:styleId="37">
    <w:name w:val="FollowedHyperlink"/>
    <w:semiHidden/>
    <w:qFormat/>
    <w:uiPriority w:val="98"/>
    <w:rPr>
      <w:color w:val="800080"/>
      <w:u w:val="single"/>
    </w:rPr>
  </w:style>
  <w:style w:type="character" w:styleId="38">
    <w:name w:val="Emphasis"/>
    <w:semiHidden/>
    <w:qFormat/>
    <w:uiPriority w:val="98"/>
    <w:rPr>
      <w:i/>
      <w:iCs/>
    </w:rPr>
  </w:style>
  <w:style w:type="character" w:styleId="39">
    <w:name w:val="Hyperlink"/>
    <w:basedOn w:val="34"/>
    <w:qFormat/>
    <w:uiPriority w:val="99"/>
    <w:rPr>
      <w:rFonts w:cs="Times New Roman"/>
      <w:color w:val="1F4F88"/>
      <w:u w:val="none"/>
    </w:rPr>
  </w:style>
  <w:style w:type="character" w:styleId="40">
    <w:name w:val="annotation reference"/>
    <w:semiHidden/>
    <w:qFormat/>
    <w:uiPriority w:val="98"/>
    <w:rPr>
      <w:sz w:val="21"/>
      <w:szCs w:val="21"/>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13"/>
    <w:semiHidden/>
    <w:qFormat/>
    <w:uiPriority w:val="98"/>
    <w:rPr>
      <w:rFonts w:ascii="仿宋_GB2312" w:eastAsia="仿宋_GB2312"/>
      <w:kern w:val="2"/>
      <w:sz w:val="32"/>
    </w:rPr>
  </w:style>
  <w:style w:type="character" w:customStyle="1" w:styleId="44">
    <w:name w:val="页脚 字符"/>
    <w:link w:val="20"/>
    <w:semiHidden/>
    <w:qFormat/>
    <w:uiPriority w:val="0"/>
    <w:rPr>
      <w:kern w:val="2"/>
      <w:sz w:val="18"/>
      <w:szCs w:val="18"/>
    </w:rPr>
  </w:style>
  <w:style w:type="character" w:customStyle="1" w:styleId="45">
    <w:name w:val="标题 3 字符"/>
    <w:link w:val="5"/>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2"/>
    <w:qFormat/>
    <w:uiPriority w:val="99"/>
    <w:rPr>
      <w:kern w:val="2"/>
      <w:sz w:val="21"/>
    </w:rPr>
  </w:style>
  <w:style w:type="character" w:customStyle="1" w:styleId="48">
    <w:name w:val="apple-converted-space"/>
    <w:basedOn w:val="34"/>
    <w:semiHidden/>
    <w:qFormat/>
    <w:uiPriority w:val="98"/>
  </w:style>
  <w:style w:type="character" w:customStyle="1" w:styleId="49">
    <w:name w:val="批注框文本 字符"/>
    <w:link w:val="19"/>
    <w:semiHidden/>
    <w:qFormat/>
    <w:uiPriority w:val="98"/>
    <w:rPr>
      <w:kern w:val="2"/>
      <w:sz w:val="18"/>
      <w:szCs w:val="18"/>
    </w:rPr>
  </w:style>
  <w:style w:type="character" w:customStyle="1" w:styleId="50">
    <w:name w:val="正文文本缩进 字符"/>
    <w:link w:val="15"/>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16"/>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21"/>
    <w:semiHidden/>
    <w:qFormat/>
    <w:uiPriority w:val="0"/>
    <w:rPr>
      <w:kern w:val="2"/>
      <w:sz w:val="18"/>
      <w:szCs w:val="18"/>
    </w:rPr>
  </w:style>
  <w:style w:type="character" w:customStyle="1" w:styleId="55">
    <w:name w:val="批注主题 字符"/>
    <w:link w:val="30"/>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character" w:customStyle="1" w:styleId="67">
    <w:name w:val="style61"/>
    <w:semiHidden/>
    <w:qFormat/>
    <w:uiPriority w:val="98"/>
  </w:style>
  <w:style w:type="character" w:customStyle="1" w:styleId="68">
    <w:name w:val="标题 1 字符"/>
    <w:basedOn w:val="34"/>
    <w:link w:val="2"/>
    <w:semiHidden/>
    <w:qFormat/>
    <w:uiPriority w:val="0"/>
    <w:rPr>
      <w:b/>
      <w:bCs/>
      <w:kern w:val="44"/>
      <w:sz w:val="44"/>
      <w:szCs w:val="44"/>
    </w:rPr>
  </w:style>
  <w:style w:type="paragraph" w:customStyle="1" w:styleId="69">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4"/>
    <w:link w:val="4"/>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4"/>
    <w:link w:val="29"/>
    <w:semiHidden/>
    <w:qFormat/>
    <w:uiPriority w:val="0"/>
    <w:rPr>
      <w:rFonts w:eastAsia="黑体" w:asciiTheme="majorHAnsi" w:hAnsiTheme="majorHAnsi" w:cstheme="majorBidi"/>
      <w:b/>
      <w:bCs/>
      <w:kern w:val="2"/>
      <w:sz w:val="36"/>
      <w:szCs w:val="32"/>
    </w:rPr>
  </w:style>
  <w:style w:type="paragraph" w:customStyle="1" w:styleId="72">
    <w:name w:val="章节"/>
    <w:basedOn w:val="16"/>
    <w:qFormat/>
    <w:uiPriority w:val="0"/>
    <w:pPr>
      <w:spacing w:line="360" w:lineRule="auto"/>
      <w:jc w:val="center"/>
      <w:outlineLvl w:val="0"/>
    </w:pPr>
    <w:rPr>
      <w:rFonts w:ascii="黑体" w:eastAsia="黑体"/>
      <w:b/>
      <w:bCs/>
      <w:sz w:val="36"/>
      <w:szCs w:val="36"/>
    </w:rPr>
  </w:style>
  <w:style w:type="paragraph" w:customStyle="1" w:styleId="73">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6"/>
    <w:qFormat/>
    <w:uiPriority w:val="2"/>
    <w:pPr>
      <w:numPr>
        <w:ilvl w:val="0"/>
        <w:numId w:val="3"/>
      </w:numPr>
      <w:spacing w:line="360" w:lineRule="auto"/>
      <w:outlineLvl w:val="2"/>
    </w:pPr>
    <w:rPr>
      <w:b/>
    </w:rPr>
  </w:style>
  <w:style w:type="paragraph" w:customStyle="1" w:styleId="75">
    <w:name w:val="3级标题"/>
    <w:basedOn w:val="16"/>
    <w:link w:val="103"/>
    <w:qFormat/>
    <w:uiPriority w:val="3"/>
    <w:pPr>
      <w:numPr>
        <w:ilvl w:val="0"/>
        <w:numId w:val="4"/>
      </w:numPr>
      <w:spacing w:line="360" w:lineRule="auto"/>
      <w:outlineLvl w:val="3"/>
    </w:pPr>
    <w:rPr>
      <w:b/>
    </w:rPr>
  </w:style>
  <w:style w:type="paragraph" w:customStyle="1" w:styleId="76">
    <w:name w:val="（4）级标题"/>
    <w:basedOn w:val="16"/>
    <w:qFormat/>
    <w:uiPriority w:val="8"/>
    <w:pPr>
      <w:numPr>
        <w:ilvl w:val="0"/>
        <w:numId w:val="5"/>
      </w:numPr>
      <w:spacing w:line="360" w:lineRule="auto"/>
      <w:outlineLvl w:val="4"/>
    </w:pPr>
  </w:style>
  <w:style w:type="paragraph" w:customStyle="1" w:styleId="77">
    <w:name w:val="标书正文"/>
    <w:basedOn w:val="16"/>
    <w:link w:val="98"/>
    <w:qFormat/>
    <w:uiPriority w:val="9"/>
    <w:pPr>
      <w:spacing w:line="360" w:lineRule="auto"/>
      <w:jc w:val="left"/>
    </w:pPr>
  </w:style>
  <w:style w:type="character" w:customStyle="1" w:styleId="78">
    <w:name w:val="标题 4 字符"/>
    <w:basedOn w:val="34"/>
    <w:link w:val="7"/>
    <w:semiHidden/>
    <w:qFormat/>
    <w:uiPriority w:val="0"/>
    <w:rPr>
      <w:rFonts w:ascii="Arial" w:hAnsi="Arial"/>
      <w:b/>
      <w:bCs/>
      <w:kern w:val="2"/>
      <w:sz w:val="21"/>
      <w:szCs w:val="28"/>
    </w:rPr>
  </w:style>
  <w:style w:type="character" w:customStyle="1" w:styleId="79">
    <w:name w:val="标题 5 字符"/>
    <w:basedOn w:val="34"/>
    <w:link w:val="8"/>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link w:val="4"/>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4"/>
    <w:link w:val="24"/>
    <w:semiHidden/>
    <w:qFormat/>
    <w:uiPriority w:val="0"/>
    <w:rPr>
      <w:rFonts w:ascii="宋体" w:hAnsi="宋体"/>
      <w:color w:val="FF0000"/>
      <w:kern w:val="2"/>
      <w:sz w:val="24"/>
      <w:szCs w:val="24"/>
    </w:rPr>
  </w:style>
  <w:style w:type="paragraph" w:customStyle="1" w:styleId="85">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4"/>
    <w:link w:val="18"/>
    <w:semiHidden/>
    <w:qFormat/>
    <w:uiPriority w:val="0"/>
    <w:rPr>
      <w:sz w:val="24"/>
    </w:rPr>
  </w:style>
  <w:style w:type="character" w:customStyle="1" w:styleId="88">
    <w:name w:val="日期 字符"/>
    <w:basedOn w:val="34"/>
    <w:link w:val="17"/>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4"/>
    <w:semiHidden/>
    <w:qFormat/>
    <w:uiPriority w:val="98"/>
    <w:rPr>
      <w:rFonts w:ascii="Microsoft YaHei UI" w:eastAsia="Microsoft YaHei UI"/>
      <w:kern w:val="2"/>
      <w:sz w:val="18"/>
      <w:szCs w:val="18"/>
    </w:rPr>
  </w:style>
  <w:style w:type="character" w:customStyle="1" w:styleId="94">
    <w:name w:val="文档结构图 字符1"/>
    <w:basedOn w:val="34"/>
    <w:link w:val="11"/>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4"/>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2"/>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4"/>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2"/>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9"/>
    <w:semiHidden/>
    <w:qFormat/>
    <w:locked/>
    <w:uiPriority w:val="99"/>
    <w:rPr>
      <w:sz w:val="21"/>
      <w:szCs w:val="21"/>
    </w:rPr>
  </w:style>
  <w:style w:type="character" w:customStyle="1" w:styleId="106">
    <w:name w:val="电子邮件签名 字符1"/>
    <w:basedOn w:val="34"/>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7"/>
    <w:semiHidden/>
    <w:qFormat/>
    <w:locked/>
    <w:uiPriority w:val="99"/>
    <w:rPr>
      <w:rFonts w:ascii="Cambria" w:hAnsi="Cambria" w:cs="Cambria"/>
      <w:sz w:val="24"/>
      <w:szCs w:val="24"/>
      <w:shd w:val="pct20" w:color="auto" w:fill="auto"/>
    </w:rPr>
  </w:style>
  <w:style w:type="character" w:customStyle="1" w:styleId="110">
    <w:name w:val="信息标题 字符1"/>
    <w:basedOn w:val="34"/>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character" w:customStyle="1" w:styleId="112">
    <w:name w:val="标题 3 Char"/>
    <w:link w:val="5"/>
    <w:qFormat/>
    <w:uiPriority w:val="0"/>
    <w:rPr>
      <w:b/>
      <w:sz w:val="32"/>
    </w:rPr>
  </w:style>
  <w:style w:type="paragraph" w:customStyle="1" w:styleId="113">
    <w:name w:val="Table Paragraph"/>
    <w:basedOn w:val="1"/>
    <w:qFormat/>
    <w:uiPriority w:val="1"/>
    <w:rPr>
      <w:rFonts w:ascii="宋体" w:hAnsi="宋体" w:eastAsia="宋体" w:cs="宋体"/>
    </w:rPr>
  </w:style>
  <w:style w:type="table" w:customStyle="1" w:styleId="114">
    <w:name w:val="Table Normal"/>
    <w:qFormat/>
    <w:uiPriority w:val="0"/>
    <w:tblPr>
      <w:tblCellMar>
        <w:top w:w="0" w:type="dxa"/>
        <w:left w:w="0" w:type="dxa"/>
        <w:bottom w:w="0" w:type="dxa"/>
        <w:right w:w="0" w:type="dxa"/>
      </w:tblCellMar>
    </w:tblPr>
  </w:style>
  <w:style w:type="paragraph" w:customStyle="1" w:styleId="115">
    <w:name w:val="标书表格"/>
    <w:basedOn w:val="1"/>
    <w:qFormat/>
    <w:uiPriority w:val="0"/>
    <w:pPr>
      <w:jc w:val="center"/>
    </w:pPr>
    <w:rPr>
      <w:b/>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46</Pages>
  <Words>6304</Words>
  <Characters>6696</Characters>
  <Lines>127</Lines>
  <Paragraphs>35</Paragraphs>
  <TotalTime>1</TotalTime>
  <ScaleCrop>false</ScaleCrop>
  <LinksUpToDate>false</LinksUpToDate>
  <CharactersWithSpaces>6796</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轻途</cp:lastModifiedBy>
  <cp:lastPrinted>2020-06-28T02:28:00Z</cp:lastPrinted>
  <dcterms:modified xsi:type="dcterms:W3CDTF">2025-12-01T00:47:18Z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CF5D404BF589413AAAAF9FD0A72E4217_13</vt:lpwstr>
  </property>
  <property fmtid="{D5CDD505-2E9C-101B-9397-08002B2CF9AE}" pid="4" name="KSOTemplateDocerSaveRecord">
    <vt:lpwstr>eyJoZGlkIjoiNDk2NWZkNzEyODc5ZDMzYjE2MzBhOGI0OTQ4NDBjYTkiLCJ1c2VySWQiOiIzOTQ1MDg5MjAifQ==</vt:lpwstr>
  </property>
</Properties>
</file>