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消防设施维护保养服务项目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中国重汽集团济宁商用车有限公司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消防设施维护保养服务项目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中国重汽集团济宁商用车有限公司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152045514"/>
      <w:bookmarkEnd w:id="6"/>
      <w:bookmarkStart w:id="7" w:name="_Toc179632530"/>
      <w:bookmarkEnd w:id="7"/>
      <w:bookmarkStart w:id="8" w:name="_Toc285809451"/>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消防设施维护保养服务项目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FSCZB2025110269</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中国重汽集团济宁商用车有限公司</w:t>
      </w:r>
      <w:r>
        <w:rPr>
          <w:rFonts w:hint="eastAsia" w:asciiTheme="minorEastAsia" w:hAnsiTheme="minorEastAsia" w:eastAsiaTheme="minorEastAsia" w:cstheme="minorEastAsia"/>
          <w:kern w:val="0"/>
          <w:sz w:val="24"/>
          <w:szCs w:val="24"/>
          <w:highlight w:val="green"/>
          <w:u w:val="single"/>
          <w:lang w:bidi="en-US"/>
        </w:rPr>
        <w:t>，</w:t>
      </w:r>
      <w:r>
        <w:rPr>
          <w:rFonts w:hint="eastAsia" w:asciiTheme="minorEastAsia" w:hAnsiTheme="minorEastAsia" w:eastAsiaTheme="minorEastAsia" w:cstheme="minorEastAsia"/>
          <w:kern w:val="0"/>
          <w:sz w:val="24"/>
          <w:szCs w:val="24"/>
          <w:highlight w:val="green"/>
          <w:u w:val="single"/>
          <w:lang w:val="en-US" w:eastAsia="zh-CN" w:bidi="en-US"/>
        </w:rPr>
        <w:t>山东省济宁</w:t>
      </w:r>
      <w:r>
        <w:rPr>
          <w:rFonts w:hint="eastAsia" w:asciiTheme="minorEastAsia" w:hAnsiTheme="minorEastAsia" w:eastAsiaTheme="minorEastAsia" w:cstheme="minorEastAsia"/>
          <w:kern w:val="0"/>
          <w:sz w:val="24"/>
          <w:szCs w:val="24"/>
          <w:highlight w:val="green"/>
          <w:u w:val="single"/>
          <w:lang w:bidi="en-US"/>
        </w:rPr>
        <w:t>市济宁市诗仙路369号</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为完善公司消防安全相关责任制度，按照消防法及职能部门相关要求，委托第三方服务机构对公司进行年度消防设施维护保养、年度消防设施检测、消防安全评估、电气防火检测项目并出具相关技术性报告。</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6E8051BF">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参加投标的单位，必须是在中华人民共和国合法注册，具有独立法人资格的公司，且成立三年以上（含三年，以注册日期开始计算，至开标之日不少于三年），具有有效的营业执照。且注册资金500万元及以上必须具备在社会消防技术服务系统中注册成达标的消防技术服务机构；</w:t>
      </w:r>
    </w:p>
    <w:p w14:paraId="6BF5DE6D">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2、具有良好的企业信誉和健全的财务会计制度；</w:t>
      </w:r>
    </w:p>
    <w:p w14:paraId="199E8FE7">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3、具有履行合同必需的设备、专业技术、资质能力；</w:t>
      </w:r>
    </w:p>
    <w:p w14:paraId="1FAC0AE8">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4、有依法缴纳税收和社会保障金的良好纪录；</w:t>
      </w:r>
    </w:p>
    <w:p w14:paraId="6117EB2D">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5、投标单位应具备并提供近三年济宁地区相同或类似项目规模维保业绩。</w:t>
      </w:r>
    </w:p>
    <w:p w14:paraId="6FB1F42C">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6、投标人近三年内在经营活动中无与本项目有关的违法及重大违规情况；</w:t>
      </w:r>
    </w:p>
    <w:p w14:paraId="55935458">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7、投标单位在国家市场监督管理总局的《国家企业信用信息公示系统》中无行政处罚及失信记录等信息，无招标违规、谎报年度报告信息、提供虚假资质资料等行为或其他行政处罚记录；</w:t>
      </w:r>
    </w:p>
    <w:p w14:paraId="45400739">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8、在中国重型汽车集团有限公司服务期间无不良记录或无因服务质量不到位提前终止合同的情况；</w:t>
      </w:r>
    </w:p>
    <w:p w14:paraId="3EB92773">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9、未被中国重型汽车集团有限公司列入黑名单（含山东重工集团）；</w:t>
      </w:r>
    </w:p>
    <w:p w14:paraId="57D5F1B4">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10、供方的直接或间接股东、法定代表人、董事、监事、高管非重汽员工及其亲属；</w:t>
      </w:r>
    </w:p>
    <w:p w14:paraId="76352F78">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11、如有投标单位资料造假，一经发现，5年内不得参与集团内所有消防器材、应急物资及维保类项目投标资格；</w:t>
      </w:r>
    </w:p>
    <w:p w14:paraId="77974CD7">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12、相关法律法规对合格投标单位的其他要求；</w:t>
      </w:r>
    </w:p>
    <w:p w14:paraId="7454AE3B">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13、具有消防设施工程专业承包二级资质；</w:t>
      </w:r>
    </w:p>
    <w:p w14:paraId="6B1BEA1A">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14、具有电子与智能化工程专业承包二级资质；</w:t>
      </w:r>
    </w:p>
    <w:p w14:paraId="6C03BD06">
      <w:pPr>
        <w:pStyle w:val="24"/>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15、具有消电检和消防安全评估资质。</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报名截止时间：2025年12月6日17：00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3"/>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3"/>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92F3C2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公司简介；营业执照副本复印件；投标函；法人代表授权书原件；投标单位需提供近三年审计报告；投标单位消防维保实施方案介绍；投标单位类似消防维保管理案例介绍；其他业主方对投标单位消防维保管理项目评价；投标单位三年内无违法及重大违规记录证明；投标认为需提供的其他资质证明；企业最近半年完税证明、信用证明材料（征信报告）；年度纳税信用评价信息（可从电子税务局查询截图，需加盖公章）；企业对外担保说明（写明贵单位对外有无对外担保和质押业务，需加盖公章）；</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（3）企业业绩：扫描版相关业绩合同；</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（4）其他：投标报名表、诺帝菲尔厂家、大华及相关品牌授权书、现场踏勘表。</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 xml:space="preserve">卜老师 </w:t>
      </w:r>
      <w:r>
        <w:rPr>
          <w:rFonts w:hint="eastAsia" w:asciiTheme="minorEastAsia" w:hAnsiTheme="minorEastAsia" w:eastAsiaTheme="minorEastAsia" w:cstheme="minorEastAsia"/>
          <w:sz w:val="24"/>
          <w:szCs w:val="24"/>
          <w:highlight w:val="none"/>
          <w:lang w:val="en-US" w:eastAsia="zh-CN"/>
        </w:rPr>
        <w:t>15542226228</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highlight w:val="none"/>
          <w:lang w:val="en-US" w:eastAsia="zh-CN"/>
        </w:rPr>
        <w:t>bujianfeng@sinotruk.com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王老师 18815376698 878110094@qq.com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6DC95413">
      <w:pPr>
        <w:spacing w:line="360" w:lineRule="auto"/>
        <w:ind w:right="2" w:firstLine="480" w:firstLineChars="200"/>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sz w:val="24"/>
          <w:szCs w:val="24"/>
        </w:rPr>
        <w:t>本项目</w:t>
      </w: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r>
        <w:rPr>
          <w:rFonts w:hint="eastAsia" w:ascii="宋体" w:hAnsi="宋体" w:cs="宋体"/>
          <w:color w:val="000000"/>
          <w:sz w:val="24"/>
          <w:szCs w:val="24"/>
          <w:highlight w:val="none"/>
          <w:lang w:val="en-US" w:eastAsia="zh-CN"/>
        </w:rPr>
        <w:t>，</w:t>
      </w: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由招标人组成的评标委员会负责，进行商务谈判，本着公平、公正、公开、有序的原则，在最大限度地满足招标文件实质性要求的前提下，磋商项目价格，满足要求后，最终确定中标人。</w:t>
      </w:r>
    </w:p>
    <w:p w14:paraId="3734E7A5">
      <w:pPr>
        <w:adjustRightInd w:val="0"/>
        <w:snapToGrid w:val="0"/>
        <w:spacing w:line="360" w:lineRule="auto"/>
        <w:ind w:firstLine="480" w:firstLineChars="200"/>
        <w:rPr>
          <w:rFonts w:hint="eastAsia" w:asciiTheme="minorEastAsia" w:hAnsiTheme="minorEastAsia" w:eastAsiaTheme="minorEastAsia" w:cstheme="minorEastAsia"/>
          <w:sz w:val="24"/>
          <w:szCs w:val="24"/>
        </w:rPr>
      </w:pP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（1）公司简介；</w:t>
      </w:r>
    </w:p>
    <w:p w14:paraId="03DD066E">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（2）营业执照副本复印件；</w:t>
      </w:r>
    </w:p>
    <w:p w14:paraId="69B145A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（3）法人代表授权书原件；</w:t>
      </w:r>
    </w:p>
    <w:p w14:paraId="0C1F41E2">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（4）投标单位需提供近三年审计报告；</w:t>
      </w:r>
    </w:p>
    <w:p w14:paraId="646CA5FB">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（5）投标单位三年内无违法及重大违规记录证明；</w:t>
      </w:r>
    </w:p>
    <w:p w14:paraId="18DC7F5C">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（6）投标认为需提供的其他资质证明；</w:t>
      </w:r>
    </w:p>
    <w:p w14:paraId="75B89FBD">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（7）企业最近半年完税证明、信用证明材料（征信报告）；</w:t>
      </w:r>
    </w:p>
    <w:p w14:paraId="1A6BB283">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（8）年度纳税信用评价信息（可从电子税务局查询截图，需加盖公章）；</w:t>
      </w:r>
    </w:p>
    <w:p w14:paraId="21B0F14F">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（9）企业对外担保说明（写明贵单位对外有无对外担保和质押业务，需加盖公章）；</w:t>
      </w:r>
    </w:p>
    <w:p w14:paraId="62666C4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(10)投标保证金缴纳凭证（应标时不做要求，投标时需随资质文件一同上传）。</w:t>
      </w:r>
    </w:p>
    <w:p w14:paraId="358CF421">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（1）投标单位消防维保实施方案介绍；</w:t>
      </w:r>
    </w:p>
    <w:p w14:paraId="24AFADF8">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（2）投标单位类似消防维保管理案例介绍；</w:t>
      </w:r>
    </w:p>
    <w:p w14:paraId="130C72F9">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（3）其他业主方对投标单位消防维保管理项目评价；</w:t>
      </w:r>
    </w:p>
    <w:p w14:paraId="7C0D743F">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（4）相关条款偏离表；</w:t>
      </w:r>
    </w:p>
    <w:p w14:paraId="58196F81">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（5）投标单位认为其他需要提供的材料。</w:t>
      </w:r>
    </w:p>
    <w:p w14:paraId="28487276">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（3）投标报价明细表；</w:t>
      </w:r>
    </w:p>
    <w:p w14:paraId="62C45B2F">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（4）相关条款偏离表；</w:t>
      </w:r>
    </w:p>
    <w:p w14:paraId="1B79BBE5">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（5）其他需要说明的事项。</w:t>
      </w:r>
    </w:p>
    <w:p w14:paraId="22E389DD">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bCs/>
          <w:sz w:val="24"/>
          <w:szCs w:val="24"/>
          <w:highlight w:val="green"/>
          <w:lang w:val="en-US"/>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47C9794E">
      <w:pPr>
        <w:pStyle w:val="24"/>
        <w:spacing w:line="360" w:lineRule="auto"/>
        <w:ind w:firstLine="480" w:firstLineChars="200"/>
        <w:rPr>
          <w:rFonts w:hint="eastAsia"/>
          <w:highlight w:val="green"/>
          <w:u w:val="single"/>
        </w:rPr>
      </w:pPr>
      <w:r>
        <w:rPr>
          <w:rFonts w:hint="eastAsia" w:hAnsi="宋体"/>
          <w:highlight w:val="none"/>
        </w:rPr>
        <w:t>⑶付款</w:t>
      </w:r>
      <w:r>
        <w:rPr>
          <w:rFonts w:hint="eastAsia"/>
          <w:highlight w:val="none"/>
        </w:rPr>
        <w:t>结算方式：</w:t>
      </w:r>
      <w:r>
        <w:rPr>
          <w:rFonts w:hint="eastAsia"/>
          <w:highlight w:val="yellow"/>
          <w:u w:val="single"/>
        </w:rPr>
        <w:t>电汇转账</w:t>
      </w:r>
    </w:p>
    <w:p w14:paraId="3FD7B980">
      <w:pPr>
        <w:pStyle w:val="24"/>
        <w:spacing w:line="360" w:lineRule="auto"/>
        <w:ind w:firstLine="480" w:firstLineChars="200"/>
        <w:rPr>
          <w:rFonts w:hint="eastAsia" w:cs="Times New Roman"/>
          <w:highlight w:val="none"/>
        </w:rPr>
      </w:pPr>
      <w:r>
        <w:rPr>
          <w:rFonts w:hint="eastAsia" w:cs="Times New Roman"/>
          <w:highlight w:val="none"/>
          <w:lang w:val="en-US" w:eastAsia="zh-CN"/>
        </w:rPr>
        <w:t>乙方</w:t>
      </w:r>
      <w:r>
        <w:rPr>
          <w:rFonts w:hint="eastAsia" w:cs="Times New Roman"/>
          <w:highlight w:val="none"/>
        </w:rPr>
        <w:t>每月度出消防维保报告，消检、电检和消防安全评估年度一评并出具相关报告，</w:t>
      </w:r>
      <w:r>
        <w:rPr>
          <w:rFonts w:hint="eastAsia" w:cs="Times New Roman"/>
          <w:highlight w:val="none"/>
          <w:lang w:val="en-US" w:eastAsia="zh-CN"/>
        </w:rPr>
        <w:t>每半年</w:t>
      </w:r>
      <w:r>
        <w:rPr>
          <w:rFonts w:hint="eastAsia" w:cs="Times New Roman"/>
          <w:highlight w:val="none"/>
        </w:rPr>
        <w:t>开具100%增值税专用发票（税率</w:t>
      </w:r>
      <w:r>
        <w:rPr>
          <w:rFonts w:hint="eastAsia" w:cs="Times New Roman"/>
          <w:highlight w:val="none"/>
          <w:lang w:val="en-US" w:eastAsia="zh-CN"/>
        </w:rPr>
        <w:t>3</w:t>
      </w:r>
      <w:r>
        <w:rPr>
          <w:rFonts w:hint="eastAsia" w:cs="Times New Roman"/>
          <w:highlight w:val="none"/>
        </w:rPr>
        <w:t>%）</w:t>
      </w:r>
      <w:r>
        <w:rPr>
          <w:rFonts w:hint="eastAsia" w:cs="Times New Roman"/>
          <w:highlight w:val="none"/>
          <w:lang w:val="en-US" w:eastAsia="zh-CN"/>
        </w:rPr>
        <w:t>进行付款</w:t>
      </w:r>
      <w:r>
        <w:rPr>
          <w:rFonts w:hint="eastAsia" w:cs="Times New Roman"/>
          <w:highlight w:val="none"/>
        </w:rPr>
        <w:t>。</w:t>
      </w:r>
    </w:p>
    <w:p w14:paraId="32CDA1E3">
      <w:pPr>
        <w:pStyle w:val="24"/>
        <w:numPr>
          <w:ilvl w:val="0"/>
          <w:numId w:val="6"/>
        </w:numPr>
        <w:spacing w:line="360" w:lineRule="auto"/>
        <w:ind w:firstLine="480" w:firstLineChars="200"/>
        <w:rPr>
          <w:rFonts w:hint="default" w:cs="Times New Roman"/>
          <w:highlight w:val="none"/>
          <w:lang w:val="en-US" w:eastAsia="zh-CN"/>
        </w:rPr>
      </w:pPr>
      <w:r>
        <w:rPr>
          <w:rFonts w:hint="eastAsia" w:hAnsi="宋体"/>
          <w:highlight w:val="none"/>
          <w:lang w:val="en-US" w:eastAsia="zh-CN"/>
        </w:rPr>
        <w:t>项目限价</w:t>
      </w:r>
      <w:r>
        <w:rPr>
          <w:rFonts w:hint="eastAsia" w:cs="Times New Roman"/>
          <w:highlight w:val="none"/>
          <w:lang w:val="en-US" w:eastAsia="zh-CN"/>
        </w:rPr>
        <w:t>：含税9.8万元，超过</w:t>
      </w:r>
      <w:r>
        <w:rPr>
          <w:rFonts w:hint="eastAsia" w:hAnsi="宋体"/>
          <w:highlight w:val="none"/>
          <w:lang w:val="en-US" w:eastAsia="zh-CN"/>
        </w:rPr>
        <w:t>投标限价无法投标。</w:t>
      </w:r>
    </w:p>
    <w:p w14:paraId="188B1AA6">
      <w:pPr>
        <w:pStyle w:val="24"/>
        <w:numPr>
          <w:ilvl w:val="0"/>
          <w:numId w:val="6"/>
        </w:numPr>
        <w:spacing w:line="360" w:lineRule="auto"/>
        <w:ind w:firstLine="480" w:firstLineChars="200"/>
        <w:rPr>
          <w:rFonts w:hint="default" w:cs="Times New Roman"/>
          <w:highlight w:val="none"/>
          <w:lang w:val="en-US" w:eastAsia="zh-CN"/>
        </w:rPr>
      </w:pPr>
      <w:r>
        <w:rPr>
          <w:rFonts w:hint="eastAsia" w:cs="Times New Roman"/>
          <w:highlight w:val="none"/>
          <w:lang w:val="en-US" w:eastAsia="zh-CN"/>
        </w:rPr>
        <w:t>合同签订期限为签订之</w:t>
      </w:r>
      <w:bookmarkStart w:id="19" w:name="_GoBack"/>
      <w:bookmarkEnd w:id="19"/>
      <w:r>
        <w:rPr>
          <w:rFonts w:hint="eastAsia" w:cs="Times New Roman"/>
          <w:highlight w:val="none"/>
          <w:lang w:val="en-US" w:eastAsia="zh-CN"/>
        </w:rPr>
        <w:t>日起一年。</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7"/>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w:t>
      </w:r>
      <w:r>
        <w:rPr>
          <w:rFonts w:hint="eastAsia" w:ascii="宋体" w:hAnsi="宋体" w:cs="宋体"/>
          <w:b/>
          <w:bCs/>
          <w:sz w:val="24"/>
          <w:szCs w:val="24"/>
          <w:highlight w:val="yellow"/>
          <w:lang w:val="en-US" w:eastAsia="zh-CN"/>
        </w:rPr>
        <w:t>中</w:t>
      </w:r>
      <w:r>
        <w:rPr>
          <w:rFonts w:hint="eastAsia" w:ascii="宋体" w:hAnsi="宋体" w:eastAsia="宋体" w:cs="宋体"/>
          <w:b/>
          <w:bCs/>
          <w:sz w:val="24"/>
          <w:szCs w:val="24"/>
          <w:highlight w:val="yellow"/>
        </w:rPr>
        <w:t>国重汽集团济宁商用车有限公司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231202725157</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中国银行股份有限公司济宁分行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104461000020</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9"/>
      <w:bookmarkStart w:id="12" w:name="OLE_LINK26"/>
      <w:bookmarkStart w:id="13" w:name="OLE_LINK25"/>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2"/>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223EB2C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一、项目背景</w:t>
      </w:r>
    </w:p>
    <w:p w14:paraId="5BC1B6D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中国重汽集团济宁商用车有限公司园区在济宁市高新区诗仙路369号，建筑面积12万平方米。共有海湾火灾自动消防报警系统主机共1台（消防控制室），系统报警联动合计共约650个报警联动点；视频监控报警系统一套；可燃气体探测报警系统一套；防火卷帘系统两套；室内消火栓约318套；手提二氧化碳灭火器200具；手提干粉灭火器1000具；气体灭火系统2套（车身涂装）；自动喷淋灭火系统一套（车身涂装）等各类消防设施。目前此项目消防设备设施已完成消防验收，需对消防相关设备设施进行专业化维保管理，通过日常巡检维护、日常保养、设备维修、应急故障处理，消防系统梳理及资料备案、消防系统维护过程中协助甲方优化该系统，以达到降低设备故障率的要求。</w:t>
      </w:r>
    </w:p>
    <w:p w14:paraId="73AEE27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二、投标单位要求</w:t>
      </w:r>
    </w:p>
    <w:p w14:paraId="1B02865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1、投标单位必须独立参加投标，不得以任何形式授权他人或组织联合体形式参加投标。投标单位中标后，不得以任何形式进行转包和分包。</w:t>
      </w:r>
    </w:p>
    <w:p w14:paraId="10CDAC1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2、投标单位需根据此项目系统工作量及专业性，出具科学性、合理性的维保管理方案。</w:t>
      </w:r>
    </w:p>
    <w:p w14:paraId="15F80F8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3、投标单位需依据报价单专业岗位划分类型为此项目安排维保团队，并在投标文件中列明各专业岗位人员配置数量及人员素质、维保经验等要求。</w:t>
      </w:r>
    </w:p>
    <w:p w14:paraId="4641AEB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4、投标单位需依据项目背景及设备内容，详细阐述对设备的维保内容及范围。</w:t>
      </w:r>
    </w:p>
    <w:p w14:paraId="50E940F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三、招标范围、项目内容及工作要求</w:t>
      </w:r>
    </w:p>
    <w:p w14:paraId="1C84A81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为保障园区消防系统安全、稳定运行，要求投标单位定期派专人对园区消防设施进行维护，成员人数由投标单位根据园区实际情况在维保方案中列明；所有人员必须为持证上岗且人证相符，能掌握消防设施的操作及使用方法，负责整个园区消防系统的维护保养等项工作。</w:t>
      </w:r>
    </w:p>
    <w:p w14:paraId="271161F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(一)招标范围</w:t>
      </w:r>
      <w:r>
        <w:rPr>
          <w:rFonts w:hint="eastAsia" w:ascii="仿宋_GB2312" w:hAnsi="仿宋_GB2312" w:eastAsia="仿宋_GB2312" w:cs="仿宋_GB2312"/>
          <w:b w:val="0"/>
          <w:bCs w:val="0"/>
          <w:sz w:val="28"/>
        </w:rPr>
        <w:tab/>
      </w:r>
    </w:p>
    <w:p w14:paraId="388FBD9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1、负责园区自动消防系统及全部消防设施和消防标志标识的维修保养完善工作；</w:t>
      </w:r>
    </w:p>
    <w:p w14:paraId="0AFC49F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2、负责消防系统设备设施维护保养，巡检查找存在的隐患及时告知甲方消防主管部门，并拿出整改方案及整改建议；</w:t>
      </w:r>
    </w:p>
    <w:p w14:paraId="6D0C2A7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3、园区其它消防设施的日常维护保养；</w:t>
      </w:r>
    </w:p>
    <w:p w14:paraId="621DC65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4、投标单位在消防维保初期必须协助甲方进行设备故障隐患排查、设备安全问题交接、设备功能及建设是否合理等相关交接工作；</w:t>
      </w:r>
    </w:p>
    <w:p w14:paraId="7F9CCBE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5、负责协调与属地消防管理部门的对外联系工作；</w:t>
      </w:r>
    </w:p>
    <w:p w14:paraId="71D52C3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6、负责同消防管理部门的各项业务，确保不因消防问题而耽误其他工作的正常运行。</w:t>
      </w:r>
    </w:p>
    <w:p w14:paraId="4271254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（二）项目内容：</w:t>
      </w:r>
    </w:p>
    <w:p w14:paraId="1D79023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1、火灾自动报警系统；</w:t>
      </w:r>
    </w:p>
    <w:p w14:paraId="7C03561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2、消防给水设施；</w:t>
      </w:r>
    </w:p>
    <w:p w14:paraId="5EBE5A1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3、消火栓系统；</w:t>
      </w:r>
    </w:p>
    <w:p w14:paraId="454C1B4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4、自动喷水灭火系统（含消防泵房、消防水箱等）；</w:t>
      </w:r>
    </w:p>
    <w:p w14:paraId="2F4E004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5、气体灭火系统；</w:t>
      </w:r>
    </w:p>
    <w:p w14:paraId="4AC28AF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6、防火分隔（防火门、卷帘门）及防烟、排烟系统；</w:t>
      </w:r>
    </w:p>
    <w:p w14:paraId="4BCEF15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7、消防电气和通讯设施；</w:t>
      </w:r>
    </w:p>
    <w:p w14:paraId="60BFFC6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8、干粉灭火设施；</w:t>
      </w:r>
    </w:p>
    <w:p w14:paraId="68A583A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 xml:space="preserve">9、移动式灭火器材； </w:t>
      </w:r>
    </w:p>
    <w:p w14:paraId="0FB4919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10、应急疏散照明系统；</w:t>
      </w:r>
    </w:p>
    <w:p w14:paraId="46BE3DF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11、可燃气体探测报警系统</w:t>
      </w:r>
    </w:p>
    <w:p w14:paraId="5F38283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12、其他设施。（详见建筑消防设施名录）</w:t>
      </w:r>
    </w:p>
    <w:p w14:paraId="2DCCC1A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（三）工作要求</w:t>
      </w:r>
    </w:p>
    <w:p w14:paraId="319644F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1、火灾自动报警系统</w:t>
      </w:r>
    </w:p>
    <w:p w14:paraId="1402202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（1）检测部位：消防泵房、消防控制室、各车间、仓库、公寓、办公楼等。</w:t>
      </w:r>
    </w:p>
    <w:p w14:paraId="2A9D735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（2）检测流程：报警设备外观功能检查－联动设备功能检测－报警系统线路检查。</w:t>
      </w:r>
    </w:p>
    <w:p w14:paraId="50BBB6C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（3）检测方法：</w:t>
      </w:r>
    </w:p>
    <w:p w14:paraId="1E2A8E1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首先到消防控制室查看报警主机工作状态，查看报警、故障情况，对报警控制器各项功能（包括消音、复位功能、故障报警功能、火灾优先功能、报警记忆功能和检索功能、电源和备用电源自动切换功能等）进行仔细检测，保证系统长期正常运行（含视频监控报警系统—测试）；</w:t>
      </w:r>
    </w:p>
    <w:p w14:paraId="3207FB8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B、对报警设备（包括火灾探测器、警铃、破玻按钮、消防广播、消防电话、手动报警按钮等设备进行功能检测），保证其能正常使用；</w:t>
      </w:r>
    </w:p>
    <w:p w14:paraId="4123280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C、对报警系统线路进行检查，其是否有破损和存在隐患；</w:t>
      </w:r>
    </w:p>
    <w:p w14:paraId="2419500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D、对报警控制器、控制柜、模块接线箱进行卫生清洁。</w:t>
      </w:r>
    </w:p>
    <w:p w14:paraId="0AF0DF6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2、自动喷水灭火系统</w:t>
      </w:r>
    </w:p>
    <w:p w14:paraId="4F8B7B6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（1）检测部位：车身涂装分部、消防泵房、消防控制室等</w:t>
      </w:r>
    </w:p>
    <w:p w14:paraId="306643C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（2）检测流程：水泵、喷头、阀门、管网的外观检查－系统全面功能检测。</w:t>
      </w:r>
    </w:p>
    <w:p w14:paraId="5039B1E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（3）检测方法：</w:t>
      </w:r>
    </w:p>
    <w:p w14:paraId="1C2BD88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A、检查湿式报警阀组及各部件、喷头是否有损坏。</w:t>
      </w:r>
    </w:p>
    <w:p w14:paraId="506E89E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B、检查管道支、吊架，安装是否稳当可靠，外观是否需要补漆。</w:t>
      </w:r>
    </w:p>
    <w:p w14:paraId="7B4D260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C、检查水流指示器是否有泄漏。</w:t>
      </w:r>
    </w:p>
    <w:p w14:paraId="4D32D45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D、检查阀门在正常的开启或闭合状态下是否有泄漏，所有水源供应、信号输送是否正常。</w:t>
      </w:r>
    </w:p>
    <w:p w14:paraId="129923C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E、检查喷淋末端的静压力是否符合规范要求，压力表是否有损坏。</w:t>
      </w:r>
    </w:p>
    <w:p w14:paraId="74157C3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F、检查管网充满水后压力是否符合设计工作压力，降压系数是否在允许范围内。</w:t>
      </w:r>
    </w:p>
    <w:p w14:paraId="42C981C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G、启动一只喷头或在末端试水装置处放水，相应水流指示器是否有输出报警信号，湿式报警阀是否能及时动作，水力警铃是否能发出报警声音。管网降压到压力开关设定压力后，压力开关输出信号是否能反馈到消防报警控制器，消防报警控制器是否能自动启动稳压泵。持续降压，压力降至主泵启动值后，天面稳压泵是否能停止，主泵能否自动启动。</w:t>
      </w:r>
    </w:p>
    <w:p w14:paraId="5D607EF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H、在喷淋水泵启动后，最不利点末端放水阀处压力表数值是否≥0.9Mpa。</w:t>
      </w:r>
    </w:p>
    <w:p w14:paraId="1C89B53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I、关闭喷淋末端试验阀，管网压力回升至停泵设定值时，主泵能自动停泵。</w:t>
      </w:r>
    </w:p>
    <w:p w14:paraId="6163E81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J、自动喷水灭火系统联动试验时,消防泵能否启动正常,主、备泵能否正常切换,消防控制室是否有信号显示。</w:t>
      </w:r>
    </w:p>
    <w:p w14:paraId="2EB6494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管理人员按以上检测方法进行检查保养，水泵、控制柜、管网、喷头、阀门等检测正常、完整无损，挂牌标识齐全，及时为水泵、阀门除锈处理和添加润滑油。</w:t>
      </w:r>
    </w:p>
    <w:p w14:paraId="3FF57A4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3、室内消火栓系统</w:t>
      </w:r>
    </w:p>
    <w:p w14:paraId="766963B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（1）检测部位：消防泵房、消防控制室、各车间、仓库、公寓、办公楼等。</w:t>
      </w:r>
    </w:p>
    <w:p w14:paraId="559BE68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（2）检测流程：水泵、喷头、阀门、管网的外观检查－系统全面功能检测。</w:t>
      </w:r>
    </w:p>
    <w:p w14:paraId="262E2F7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（3）检测方法：</w:t>
      </w:r>
    </w:p>
    <w:p w14:paraId="4216CF6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A、检查消防箱内各配件否齐全和损坏并保持清洁。</w:t>
      </w:r>
    </w:p>
    <w:p w14:paraId="3A0C99F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B、检查管道支、吊架，安装是否稳当可靠，外观是否需要补漆。</w:t>
      </w:r>
    </w:p>
    <w:p w14:paraId="2952D71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C、检查水流指示器安装，无泄漏。</w:t>
      </w:r>
    </w:p>
    <w:p w14:paraId="4134F98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D、检查阀门在正常的开启或闭合状态是否无泄漏，所有水源供应、信号输送是否正常。</w:t>
      </w:r>
    </w:p>
    <w:p w14:paraId="79E5A5C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E、检查喷淋末端的静压力是否符合设计要求，压力表是否有损坏。</w:t>
      </w:r>
    </w:p>
    <w:p w14:paraId="7093C91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F、检查管网充满水后压力是否符合设计工作压力，降压系数是否在允许范围内。按下消火栓按钮，火灾报警控制器是否收到正确的报警信号，火灾报警控制器再向警铃发出报警信号，警铃能否正常报警。与此同时，火灾报警控制器向消火栓水泵发出启动信息，消火栓水泵能否收到信号并正常启动加压。</w:t>
      </w:r>
    </w:p>
    <w:p w14:paraId="25DB94A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G、打开天面层试验栓，进行试射，试验栓喷射出充实水柱，水柱长度是否达到设计和规范要求。火灾报警控制器发出信号将消火栓按钮复位，警铃是否停止报警，水泵是否停止加压。</w:t>
      </w:r>
    </w:p>
    <w:p w14:paraId="3480977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管理人员按以上检测方法进行检查保养，本系统一直保持正常状态，管网、消防箱内配件、阀门等完整无损，挂牌标识齐全，及时为水泵、阀门除锈处理和添加润滑油。</w:t>
      </w:r>
    </w:p>
    <w:p w14:paraId="4A25C19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4、自动气体灭火系统</w:t>
      </w:r>
    </w:p>
    <w:p w14:paraId="36C4793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（1）检测部位：车身涂装分部调漆间气体灭火储存装置。</w:t>
      </w:r>
    </w:p>
    <w:p w14:paraId="5EF7713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（2）检测流程：灭火剂储存容器、高压软管、阀驱动装置、管网与喷嘴等全面功能检测。</w:t>
      </w:r>
    </w:p>
    <w:p w14:paraId="091BBA8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（3）检测方法：</w:t>
      </w:r>
    </w:p>
    <w:p w14:paraId="2DCB467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A、检查灭火剂储存容器、高压软管、阀驱动装置、管网与喷嘴等系统部件外观有无机械损伤、锈蚀和镀层脱落，如存在缺陷，应及时更换。检查电磁阀与控制阀的连接导线是否完好，端子是否松动或脱落。</w:t>
      </w:r>
    </w:p>
    <w:p w14:paraId="1D441C6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检查自动气体灭火系统的灭火剂储存容器压力或重量，若压力损失超过设计值的10％或重量损失超过设计值的5％时，应予以填充或更换；检查气体灭火保护区内报警系统、气体灭火控制盘、紧急启动\停止装置、声光报警装置的运行状态；查看管道和喷嘴是否完整无损。</w:t>
      </w:r>
    </w:p>
    <w:p w14:paraId="2F74994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进行系统全面检测和联动试验。在各防护区进行探测器模拟烟温报警联动，检查气体灭火系统自动和手动控制启、停的可靠性，报警及延时的准确性和各报警控制装置、电磁阀动作的灵活性以及消防控制室的反馈信号显示功能等。</w:t>
      </w:r>
    </w:p>
    <w:p w14:paraId="7C3FBA0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5、防排烟及加压送风系统</w:t>
      </w:r>
    </w:p>
    <w:p w14:paraId="7F2DF52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（1）检测流程：风机、风管、风阀外观功能检查－系统全面功能检测。</w:t>
      </w:r>
    </w:p>
    <w:p w14:paraId="507F95E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（2）检测部位：消防控制室、楼层、机房。</w:t>
      </w:r>
    </w:p>
    <w:p w14:paraId="316D019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（3）检测方法：</w:t>
      </w:r>
    </w:p>
    <w:p w14:paraId="5AA564C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A、当探测器发出报警信号或手动报警按钮发出报警信号→联动打开正压送风口→正压送风口打开信号反馈到报警主机→启动正压送风机。</w:t>
      </w:r>
    </w:p>
    <w:p w14:paraId="0B523D7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B、正压送风口的开启应按照人员疏散顺序开启，即开启报警层和报警层下下两层的正压送风口。</w:t>
      </w:r>
    </w:p>
    <w:p w14:paraId="717C14C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C、消防控制室报警控制器应能显示正压送风口开启状态；</w:t>
      </w:r>
    </w:p>
    <w:p w14:paraId="68BF747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D、消防中心远程控制天面正压送风风机，风机应能启停正常。</w:t>
      </w:r>
    </w:p>
    <w:p w14:paraId="3B98BA3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E、天面正压送风风机手动启停能否正常，消防中心能否接收信号正常；</w:t>
      </w:r>
    </w:p>
    <w:p w14:paraId="103BCEE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F、测试天面加压送风风机消防联动功能、楼层风阀口风量是否正常。</w:t>
      </w:r>
    </w:p>
    <w:p w14:paraId="63EF498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6、应急照明系统</w:t>
      </w:r>
    </w:p>
    <w:p w14:paraId="6002422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（1）检测流程：应急灯外观检查－线路检查－在正常停电时功能检测。</w:t>
      </w:r>
    </w:p>
    <w:p w14:paraId="6129CE1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（2）检测部位：消防泵房、消防控制室、各车间、仓库、公寓、办公楼等。</w:t>
      </w:r>
    </w:p>
    <w:p w14:paraId="7B9405E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（3）检测方法：</w:t>
      </w:r>
    </w:p>
    <w:p w14:paraId="5C747E5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应急灯检测数量100%，产品外观应整洁完好，固定应牢固，无影响使用的机械损伤；产品标志、质量检验标志、认证标志清晰齐全。在正常交流电源供电切断后，消防应急灯具应顺利转入应急工作状态。带有台阶、容易引起人员恐慌的部位应急照明转换时间不应大于0.25s，其它部位的应急照明转换时间不应大于5s。消防控制室、消防水泵房、配电室、风机房以及发生火灾时仍需正常工作的其它房间的消防应急照明，仍应保证正常照明的照度。</w:t>
      </w:r>
    </w:p>
    <w:p w14:paraId="60D5654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四、维保管理方案要求</w:t>
      </w:r>
    </w:p>
    <w:p w14:paraId="7E299CC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投标单位要制定详细的维保管理方案，建立严格的巡检制度，使维护维修工作有据可依、有序执行，符合国家和地方的消防技术标准以及对建筑消防设施维护保养规定（每月出具消防设施维护保养报告书）；每年对本招标项目年度消防设施检测一次；消防安全评估一次；电气防火检测一次并出具相关技术性报告。</w:t>
      </w:r>
    </w:p>
    <w:p w14:paraId="47FC860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五、工作质量量化及对中标价格联动</w:t>
      </w:r>
    </w:p>
    <w:p w14:paraId="06BAB55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维保管理部门每月对维保单位进行服务量化测评检查打分，打分结果双方签字确认，评分标准：</w:t>
      </w:r>
    </w:p>
    <w:p w14:paraId="4216F9A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（1）90分—100分为S优秀；</w:t>
      </w:r>
    </w:p>
    <w:p w14:paraId="6451238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（2）80分—89分为A良好；</w:t>
      </w:r>
    </w:p>
    <w:p w14:paraId="6BCC301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（3）70分—79分为B中等；</w:t>
      </w:r>
    </w:p>
    <w:p w14:paraId="5A86AE1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（4）60分—69分为C差；</w:t>
      </w:r>
    </w:p>
    <w:p w14:paraId="4D9F90D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（5）59分以下为D不及合格。</w:t>
      </w:r>
    </w:p>
    <w:p w14:paraId="735C4D9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评分S、A、B正常执行维保合同；评分C扣除当月维保金额的5%，支付当月95%的维保服务费；评分D扣除当月维保金额的10%，支付当月90%的维保服务费。连续三个月评定结果为D，终止维保合同，并拉入重汽集团招标黑名单，禁止参加重汽消防维保服务招标活动。</w:t>
      </w:r>
    </w:p>
    <w:p w14:paraId="6364447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六、维保服务管理及处罚</w:t>
      </w:r>
    </w:p>
    <w:p w14:paraId="416CAC0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中标维保服务单位应严格按照《消防法》、GB55036-2022《消防设施通用规范》、GB25201-2010《建筑消防设施维护管理》等规定标准进行维保，如出现下列情况，甲方将进行处罚：</w:t>
      </w:r>
    </w:p>
    <w:p w14:paraId="4E286D5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（1）维保人员严格遵守甲方公司劳动纪律及相关管理制度，严禁酒后上岗、园区内吸烟点外吸烟等行为，一经查实，甲方将对乙方维保单位罚款2000元/项。</w:t>
      </w:r>
    </w:p>
    <w:p w14:paraId="6E527AE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乙方维保单位人员应以甲方消防设备、设施完好运行为己任，出现设备故障立即上报维修，保证消防设备、设施完好有效。未立即上报修复或延误维修，造成严重后果的，除乙方维保单位赔偿其甲方经济损失外，罚款2000元。</w:t>
      </w:r>
    </w:p>
    <w:p w14:paraId="10E0E20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（3）乙方维保单位人员维修时，应遵守甲方的安全管理规定，需动火作业、有限空间作业、登高作业、临时用电作业等，需按照甲方要求，办理相关手续，未办理相关手续即作业的，罚款2000元/次。</w:t>
      </w:r>
    </w:p>
    <w:p w14:paraId="3F8ECB9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（4）配合甲方迎接好上级政府消防管理部门的检查工作，因乙方维保单位工作失误原因，造成甲方被上级政府消防管理部门处罚的，除承担甲方罚金外，罚款2000元/次。</w:t>
      </w:r>
    </w:p>
    <w:p w14:paraId="7410925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（5）乙方维保单位根据GB25201-2010《建筑消防设施维护管理》等规定标准进行维保巡点检工作，并做好相关维保工作记录、备查，未按要求开展工作，并进行记录备案的，一经查实，罚款2000元/项。</w:t>
      </w:r>
    </w:p>
    <w:p w14:paraId="5966BBD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因乙方维保单位工作失误或未严格按照《消防法》、GB55036-2022《消防设施通用规范》、GB25201-2010《建筑消防设施维护管理》等规定标准进行维保，造成严重后果的，除承担甲方经济损失外，罚款2000元/次，情节特别严重的，直至追究法律责任。</w:t>
      </w:r>
    </w:p>
    <w:p w14:paraId="7BC840A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（7）乙方维保单位应遵守甲方单位的保密制度，因工作原因接触到的甲方涉密设备、设施及相关试验场所等涉密内容，乙方应予以保密，确因乙方原因造成泄密，一经查实，追究其法律责任。</w:t>
      </w:r>
    </w:p>
    <w:p w14:paraId="6782D07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（8）其他相关未尽事项，以甲方管理制度为准。</w:t>
      </w:r>
    </w:p>
    <w:p w14:paraId="0BD85323"/>
    <w:p w14:paraId="28D55161">
      <w:pPr>
        <w:pStyle w:val="24"/>
        <w:spacing w:line="360" w:lineRule="auto"/>
        <w:jc w:val="left"/>
        <w:rPr>
          <w:rFonts w:hint="eastAsia" w:asciiTheme="minorEastAsia" w:hAnsiTheme="minorEastAsia" w:eastAsiaTheme="minorEastAsia" w:cstheme="minorEastAsia"/>
          <w:b/>
          <w:sz w:val="24"/>
          <w:szCs w:val="24"/>
          <w:highlight w:val="green"/>
        </w:rPr>
      </w:pPr>
    </w:p>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p w14:paraId="098A6F70">
      <w:pPr>
        <w:spacing w:line="360" w:lineRule="auto"/>
        <w:ind w:right="2"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p>
    <w:p w14:paraId="3179231C">
      <w:pPr>
        <w:spacing w:line="360" w:lineRule="auto"/>
        <w:ind w:right="2"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由招标人组成的评标委员会负责，进行商务谈判，本着公平、公正、公开、有序的原则，在最大限度地满足招标文件实质性要求的前提下，磋商项目价格，满足要求后，最终确定中标人。</w:t>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4"/>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 w:name="_Toc639004"/>
      <w:bookmarkStart w:id="16" w:name="_Toc353881012"/>
      <w:bookmarkStart w:id="17" w:name="_Toc25811"/>
      <w:bookmarkStart w:id="1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济宁商用车有限公司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24"/>
        <w:rPr>
          <w:rFonts w:ascii="黑体" w:hAnsi="Calibri" w:eastAsia="黑体" w:cs="Times New Roman"/>
          <w:color w:val="000000"/>
          <w:sz w:val="24"/>
          <w:szCs w:val="24"/>
        </w:rPr>
      </w:pPr>
    </w:p>
    <w:p w14:paraId="4CA7A370">
      <w:pPr>
        <w:pStyle w:val="24"/>
        <w:rPr>
          <w:rFonts w:ascii="黑体" w:hAnsi="Calibri" w:eastAsia="黑体" w:cs="Times New Roman"/>
          <w:color w:val="000000"/>
          <w:sz w:val="24"/>
          <w:szCs w:val="24"/>
        </w:rPr>
      </w:pPr>
    </w:p>
    <w:p w14:paraId="28AE6C52">
      <w:pPr>
        <w:pStyle w:val="24"/>
        <w:rPr>
          <w:rFonts w:ascii="黑体" w:hAnsi="Calibri" w:eastAsia="黑体" w:cs="Times New Roman"/>
          <w:color w:val="000000"/>
          <w:sz w:val="24"/>
          <w:szCs w:val="24"/>
        </w:rPr>
      </w:pPr>
    </w:p>
    <w:p w14:paraId="44A19F45">
      <w:pPr>
        <w:pStyle w:val="24"/>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消防设施维护保养服务项目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20718BCB">
      <w:pPr>
        <w:pStyle w:val="24"/>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23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23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23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23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23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231"/>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23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231"/>
              <w:spacing w:before="114"/>
              <w:ind w:left="720"/>
            </w:pPr>
            <w:r>
              <w:t xml:space="preserve">品牌区分 </w:t>
            </w:r>
          </w:p>
        </w:tc>
        <w:tc>
          <w:tcPr>
            <w:tcW w:w="7500" w:type="dxa"/>
            <w:gridSpan w:val="6"/>
          </w:tcPr>
          <w:p w14:paraId="3BAE0FF2">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23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231"/>
              <w:spacing w:before="15"/>
              <w:ind w:left="279"/>
            </w:pPr>
            <w:r>
              <w:rPr>
                <w:spacing w:val="-2"/>
              </w:rPr>
              <w:t>质量</w:t>
            </w:r>
            <w:r>
              <w:t xml:space="preserve"> </w:t>
            </w:r>
          </w:p>
          <w:p w14:paraId="38F7D920">
            <w:pPr>
              <w:pStyle w:val="231"/>
              <w:spacing w:before="30" w:line="277" w:lineRule="exact"/>
              <w:ind w:left="279"/>
            </w:pPr>
            <w:r>
              <w:rPr>
                <w:rFonts w:hint="eastAsia"/>
              </w:rPr>
              <w:t>体系</w:t>
            </w:r>
          </w:p>
        </w:tc>
        <w:tc>
          <w:tcPr>
            <w:tcW w:w="2820" w:type="dxa"/>
            <w:gridSpan w:val="2"/>
          </w:tcPr>
          <w:p w14:paraId="53E9DAB1">
            <w:pPr>
              <w:pStyle w:val="23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23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4"/>
        <w:rPr>
          <w:rFonts w:ascii="Times New Roman" w:hAnsi="Times New Roman" w:eastAsia="宋体" w:cs="Times New Roman"/>
          <w:b/>
          <w:bCs/>
          <w:color w:val="000000"/>
          <w:sz w:val="24"/>
          <w:szCs w:val="24"/>
        </w:rPr>
      </w:pPr>
    </w:p>
    <w:p w14:paraId="37100778">
      <w:pPr>
        <w:pStyle w:val="24"/>
        <w:rPr>
          <w:rFonts w:ascii="Times New Roman" w:hAnsi="Times New Roman" w:eastAsia="宋体" w:cs="Times New Roman"/>
          <w:b/>
          <w:bCs/>
          <w:color w:val="000000"/>
          <w:sz w:val="24"/>
          <w:szCs w:val="24"/>
        </w:rPr>
      </w:pPr>
    </w:p>
    <w:p w14:paraId="39756F36">
      <w:pPr>
        <w:pStyle w:val="24"/>
        <w:rPr>
          <w:rFonts w:ascii="Times New Roman" w:hAnsi="Times New Roman" w:eastAsia="宋体" w:cs="Times New Roman"/>
          <w:b/>
          <w:bCs/>
          <w:color w:val="000000"/>
          <w:sz w:val="24"/>
          <w:szCs w:val="24"/>
        </w:rPr>
      </w:pPr>
    </w:p>
    <w:p w14:paraId="73D8D3DE">
      <w:pPr>
        <w:pStyle w:val="24"/>
        <w:rPr>
          <w:rFonts w:ascii="Times New Roman" w:hAnsi="Times New Roman" w:eastAsia="宋体" w:cs="Times New Roman"/>
          <w:b/>
          <w:bCs/>
          <w:color w:val="000000"/>
          <w:sz w:val="24"/>
          <w:szCs w:val="24"/>
        </w:rPr>
      </w:pPr>
    </w:p>
    <w:p w14:paraId="527F4C72">
      <w:pPr>
        <w:pStyle w:val="24"/>
        <w:rPr>
          <w:rFonts w:ascii="Times New Roman" w:hAnsi="Times New Roman" w:eastAsia="宋体" w:cs="Times New Roman"/>
          <w:b/>
          <w:bCs/>
          <w:color w:val="000000"/>
          <w:sz w:val="24"/>
          <w:szCs w:val="24"/>
        </w:rPr>
      </w:pPr>
    </w:p>
    <w:p w14:paraId="792B9788">
      <w:pPr>
        <w:pStyle w:val="24"/>
        <w:rPr>
          <w:rFonts w:ascii="Times New Roman" w:hAnsi="Times New Roman" w:eastAsia="宋体" w:cs="Times New Roman"/>
          <w:b/>
          <w:bCs/>
          <w:color w:val="000000"/>
          <w:sz w:val="24"/>
          <w:szCs w:val="24"/>
        </w:rPr>
      </w:pPr>
    </w:p>
    <w:p w14:paraId="54D6387F">
      <w:pPr>
        <w:pStyle w:val="2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4"/>
        <w:outlineLvl w:val="3"/>
        <w:rPr>
          <w:rFonts w:hint="eastAsia" w:ascii="Times New Roman" w:hAnsi="Times New Roman" w:eastAsia="宋体" w:cs="Times New Roman"/>
          <w:b/>
          <w:bCs/>
          <w:color w:val="000000"/>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D4956BA">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153D75E7">
      <w:pPr>
        <w:pStyle w:val="2"/>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14:paraId="041AF2B1"/>
    <w:p w14:paraId="6E03E88B">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3D6A40D7">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xml:space="preserve">：                                                     </w:t>
      </w:r>
    </w:p>
    <w:p w14:paraId="14D600CD">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项目名称：</w:t>
      </w:r>
      <w:r>
        <w:rPr>
          <w:rFonts w:hint="eastAsia" w:ascii="仿宋" w:hAnsi="仿宋" w:eastAsia="仿宋"/>
          <w:sz w:val="24"/>
          <w:szCs w:val="28"/>
          <w:lang w:val="en-US" w:eastAsia="zh-CN"/>
        </w:rPr>
        <w:t>消防设施维护保养服务项目</w:t>
      </w:r>
    </w:p>
    <w:tbl>
      <w:tblPr>
        <w:tblStyle w:val="48"/>
        <w:tblW w:w="15250" w:type="dxa"/>
        <w:tblInd w:w="118" w:type="dxa"/>
        <w:tblLayout w:type="autofit"/>
        <w:tblCellMar>
          <w:top w:w="0" w:type="dxa"/>
          <w:left w:w="108" w:type="dxa"/>
          <w:bottom w:w="0" w:type="dxa"/>
          <w:right w:w="108" w:type="dxa"/>
        </w:tblCellMar>
      </w:tblPr>
      <w:tblGrid>
        <w:gridCol w:w="597"/>
        <w:gridCol w:w="1890"/>
        <w:gridCol w:w="598"/>
        <w:gridCol w:w="598"/>
        <w:gridCol w:w="1303"/>
        <w:gridCol w:w="1303"/>
        <w:gridCol w:w="1304"/>
        <w:gridCol w:w="599"/>
        <w:gridCol w:w="7058"/>
      </w:tblGrid>
      <w:tr w14:paraId="5747AD79">
        <w:tblPrEx>
          <w:tblCellMar>
            <w:top w:w="0" w:type="dxa"/>
            <w:left w:w="108" w:type="dxa"/>
            <w:bottom w:w="0" w:type="dxa"/>
            <w:right w:w="108" w:type="dxa"/>
          </w:tblCellMar>
        </w:tblPrEx>
        <w:trPr>
          <w:gridAfter w:val="1"/>
          <w:wAfter w:w="7049" w:type="dxa"/>
          <w:trHeight w:val="1005" w:hRule="atLeast"/>
        </w:trPr>
        <w:tc>
          <w:tcPr>
            <w:tcW w:w="597" w:type="dxa"/>
            <w:tcBorders>
              <w:top w:val="single" w:color="auto" w:sz="8" w:space="0"/>
              <w:left w:val="single" w:color="auto" w:sz="8" w:space="0"/>
              <w:bottom w:val="single" w:color="auto" w:sz="8" w:space="0"/>
              <w:right w:val="single" w:color="auto" w:sz="8" w:space="0"/>
            </w:tcBorders>
            <w:noWrap w:val="0"/>
            <w:vAlign w:val="center"/>
          </w:tcPr>
          <w:p w14:paraId="776C2D85">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1888" w:type="dxa"/>
            <w:tcBorders>
              <w:top w:val="single" w:color="auto" w:sz="8" w:space="0"/>
              <w:left w:val="nil"/>
              <w:bottom w:val="single" w:color="auto" w:sz="8" w:space="0"/>
              <w:right w:val="nil"/>
            </w:tcBorders>
            <w:noWrap w:val="0"/>
            <w:vAlign w:val="center"/>
          </w:tcPr>
          <w:p w14:paraId="598C86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597" w:type="dxa"/>
            <w:tcBorders>
              <w:top w:val="single" w:color="auto" w:sz="8" w:space="0"/>
              <w:left w:val="single" w:color="auto" w:sz="8" w:space="0"/>
              <w:bottom w:val="single" w:color="auto" w:sz="8" w:space="0"/>
              <w:right w:val="single" w:color="auto" w:sz="8" w:space="0"/>
            </w:tcBorders>
            <w:noWrap w:val="0"/>
            <w:vAlign w:val="center"/>
          </w:tcPr>
          <w:p w14:paraId="6FB142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597" w:type="dxa"/>
            <w:tcBorders>
              <w:top w:val="single" w:color="auto" w:sz="8" w:space="0"/>
              <w:left w:val="nil"/>
              <w:bottom w:val="single" w:color="auto" w:sz="8" w:space="0"/>
              <w:right w:val="single" w:color="auto" w:sz="8" w:space="0"/>
            </w:tcBorders>
            <w:noWrap w:val="0"/>
            <w:vAlign w:val="center"/>
          </w:tcPr>
          <w:p w14:paraId="0AC5DA1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1301" w:type="dxa"/>
            <w:tcBorders>
              <w:top w:val="single" w:color="auto" w:sz="8" w:space="0"/>
              <w:left w:val="nil"/>
              <w:bottom w:val="single" w:color="auto" w:sz="8" w:space="0"/>
              <w:right w:val="single" w:color="auto" w:sz="8" w:space="0"/>
            </w:tcBorders>
            <w:noWrap w:val="0"/>
            <w:vAlign w:val="center"/>
          </w:tcPr>
          <w:p w14:paraId="309C89E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单价（含税）</w:t>
            </w:r>
          </w:p>
        </w:tc>
        <w:tc>
          <w:tcPr>
            <w:tcW w:w="1301" w:type="dxa"/>
            <w:tcBorders>
              <w:top w:val="single" w:color="auto" w:sz="8" w:space="0"/>
              <w:left w:val="nil"/>
              <w:bottom w:val="single" w:color="auto" w:sz="8" w:space="0"/>
              <w:right w:val="single" w:color="auto" w:sz="8" w:space="0"/>
            </w:tcBorders>
            <w:noWrap w:val="0"/>
            <w:vAlign w:val="center"/>
          </w:tcPr>
          <w:p w14:paraId="28FD60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单价（未税）</w:t>
            </w:r>
          </w:p>
        </w:tc>
        <w:tc>
          <w:tcPr>
            <w:tcW w:w="1302" w:type="dxa"/>
            <w:tcBorders>
              <w:top w:val="single" w:color="auto" w:sz="8" w:space="0"/>
              <w:left w:val="nil"/>
              <w:bottom w:val="single" w:color="auto" w:sz="8" w:space="0"/>
              <w:right w:val="single" w:color="auto" w:sz="8" w:space="0"/>
            </w:tcBorders>
            <w:noWrap w:val="0"/>
            <w:vAlign w:val="center"/>
          </w:tcPr>
          <w:p w14:paraId="5431580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598" w:type="dxa"/>
            <w:tcBorders>
              <w:top w:val="single" w:color="auto" w:sz="8" w:space="0"/>
              <w:left w:val="nil"/>
              <w:bottom w:val="single" w:color="auto" w:sz="8" w:space="0"/>
              <w:right w:val="single" w:color="auto" w:sz="8" w:space="0"/>
            </w:tcBorders>
            <w:noWrap w:val="0"/>
            <w:vAlign w:val="center"/>
          </w:tcPr>
          <w:p w14:paraId="42A35F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08FAA28F">
        <w:tblPrEx>
          <w:tblCellMar>
            <w:top w:w="0" w:type="dxa"/>
            <w:left w:w="108" w:type="dxa"/>
            <w:bottom w:w="0" w:type="dxa"/>
            <w:right w:w="108" w:type="dxa"/>
          </w:tblCellMar>
        </w:tblPrEx>
        <w:trPr>
          <w:gridAfter w:val="1"/>
          <w:wAfter w:w="7049" w:type="dxa"/>
          <w:trHeight w:val="660" w:hRule="atLeast"/>
        </w:trPr>
        <w:tc>
          <w:tcPr>
            <w:tcW w:w="597" w:type="dxa"/>
            <w:vMerge w:val="restart"/>
            <w:tcBorders>
              <w:top w:val="nil"/>
              <w:left w:val="single" w:color="auto" w:sz="8" w:space="0"/>
              <w:bottom w:val="single" w:color="000000" w:sz="8" w:space="0"/>
              <w:right w:val="single" w:color="auto" w:sz="8" w:space="0"/>
            </w:tcBorders>
            <w:noWrap w:val="0"/>
            <w:vAlign w:val="center"/>
          </w:tcPr>
          <w:p w14:paraId="4F7078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888" w:type="dxa"/>
            <w:vMerge w:val="restart"/>
            <w:tcBorders>
              <w:top w:val="nil"/>
              <w:left w:val="single" w:color="auto" w:sz="8" w:space="0"/>
              <w:bottom w:val="single" w:color="000000" w:sz="8" w:space="0"/>
              <w:right w:val="single" w:color="auto" w:sz="8" w:space="0"/>
            </w:tcBorders>
            <w:noWrap w:val="0"/>
            <w:vAlign w:val="center"/>
          </w:tcPr>
          <w:p w14:paraId="380418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消防设施维护保养服务项目</w:t>
            </w:r>
          </w:p>
        </w:tc>
        <w:tc>
          <w:tcPr>
            <w:tcW w:w="597" w:type="dxa"/>
            <w:vMerge w:val="restart"/>
            <w:tcBorders>
              <w:top w:val="nil"/>
              <w:left w:val="single" w:color="auto" w:sz="8" w:space="0"/>
              <w:bottom w:val="single" w:color="000000" w:sz="8" w:space="0"/>
              <w:right w:val="single" w:color="auto" w:sz="8" w:space="0"/>
            </w:tcBorders>
            <w:noWrap w:val="0"/>
            <w:vAlign w:val="center"/>
          </w:tcPr>
          <w:p w14:paraId="34F263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597" w:type="dxa"/>
            <w:vMerge w:val="restart"/>
            <w:tcBorders>
              <w:top w:val="nil"/>
              <w:left w:val="single" w:color="auto" w:sz="8" w:space="0"/>
              <w:bottom w:val="single" w:color="000000" w:sz="8" w:space="0"/>
              <w:right w:val="single" w:color="auto" w:sz="8" w:space="0"/>
            </w:tcBorders>
            <w:noWrap w:val="0"/>
            <w:vAlign w:val="center"/>
          </w:tcPr>
          <w:p w14:paraId="57993F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B70C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1DC1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2" w:type="dxa"/>
            <w:vMerge w:val="restart"/>
            <w:tcBorders>
              <w:top w:val="nil"/>
              <w:left w:val="single" w:color="auto" w:sz="8" w:space="0"/>
              <w:bottom w:val="single" w:color="000000" w:sz="8" w:space="0"/>
              <w:right w:val="single" w:color="auto" w:sz="8" w:space="0"/>
            </w:tcBorders>
            <w:noWrap w:val="0"/>
            <w:vAlign w:val="center"/>
          </w:tcPr>
          <w:p w14:paraId="755AC6D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598" w:type="dxa"/>
            <w:vMerge w:val="restart"/>
            <w:tcBorders>
              <w:top w:val="nil"/>
              <w:left w:val="single" w:color="auto" w:sz="8" w:space="0"/>
              <w:right w:val="single" w:color="auto" w:sz="8" w:space="0"/>
            </w:tcBorders>
            <w:noWrap w:val="0"/>
            <w:vAlign w:val="center"/>
          </w:tcPr>
          <w:p w14:paraId="4370E1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5E57442B">
        <w:tblPrEx>
          <w:tblCellMar>
            <w:top w:w="0" w:type="dxa"/>
            <w:left w:w="108" w:type="dxa"/>
            <w:bottom w:w="0" w:type="dxa"/>
            <w:right w:w="108" w:type="dxa"/>
          </w:tblCellMar>
        </w:tblPrEx>
        <w:trPr>
          <w:trHeight w:val="675" w:hRule="atLeast"/>
        </w:trPr>
        <w:tc>
          <w:tcPr>
            <w:tcW w:w="597" w:type="dxa"/>
            <w:vMerge w:val="continue"/>
            <w:tcBorders>
              <w:top w:val="nil"/>
              <w:left w:val="single" w:color="auto" w:sz="8" w:space="0"/>
              <w:bottom w:val="single" w:color="000000" w:sz="8" w:space="0"/>
              <w:right w:val="single" w:color="auto" w:sz="8" w:space="0"/>
            </w:tcBorders>
            <w:noWrap w:val="0"/>
            <w:vAlign w:val="center"/>
          </w:tcPr>
          <w:p w14:paraId="6E2F0F9A">
            <w:pPr>
              <w:widowControl/>
              <w:jc w:val="left"/>
              <w:rPr>
                <w:rFonts w:ascii="仿宋" w:hAnsi="仿宋" w:eastAsia="仿宋" w:cs="宋体"/>
                <w:color w:val="000000"/>
                <w:kern w:val="0"/>
                <w:sz w:val="22"/>
                <w:szCs w:val="22"/>
              </w:rPr>
            </w:pPr>
          </w:p>
        </w:tc>
        <w:tc>
          <w:tcPr>
            <w:tcW w:w="1888" w:type="dxa"/>
            <w:vMerge w:val="continue"/>
            <w:tcBorders>
              <w:top w:val="nil"/>
              <w:left w:val="single" w:color="auto" w:sz="8" w:space="0"/>
              <w:bottom w:val="single" w:color="000000" w:sz="8" w:space="0"/>
              <w:right w:val="single" w:color="auto" w:sz="8" w:space="0"/>
            </w:tcBorders>
            <w:noWrap w:val="0"/>
            <w:vAlign w:val="center"/>
          </w:tcPr>
          <w:p w14:paraId="57AAF2C6">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475102A8">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1DC6F55D">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521CCB40">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6B476EF2">
            <w:pPr>
              <w:widowControl/>
              <w:jc w:val="left"/>
              <w:rPr>
                <w:rFonts w:ascii="仿宋" w:hAnsi="仿宋" w:eastAsia="仿宋" w:cs="宋体"/>
                <w:color w:val="000000"/>
                <w:kern w:val="0"/>
                <w:sz w:val="22"/>
                <w:szCs w:val="22"/>
              </w:rPr>
            </w:pPr>
          </w:p>
        </w:tc>
        <w:tc>
          <w:tcPr>
            <w:tcW w:w="1302" w:type="dxa"/>
            <w:vMerge w:val="continue"/>
            <w:tcBorders>
              <w:top w:val="nil"/>
              <w:left w:val="single" w:color="auto" w:sz="8" w:space="0"/>
              <w:bottom w:val="single" w:color="000000" w:sz="8" w:space="0"/>
              <w:right w:val="single" w:color="auto" w:sz="8" w:space="0"/>
            </w:tcBorders>
            <w:noWrap w:val="0"/>
            <w:vAlign w:val="center"/>
          </w:tcPr>
          <w:p w14:paraId="09B39280">
            <w:pPr>
              <w:widowControl/>
              <w:jc w:val="left"/>
              <w:rPr>
                <w:rFonts w:ascii="仿宋" w:hAnsi="仿宋" w:eastAsia="仿宋" w:cs="宋体"/>
                <w:color w:val="000000"/>
                <w:kern w:val="0"/>
                <w:sz w:val="22"/>
                <w:szCs w:val="22"/>
              </w:rPr>
            </w:pPr>
          </w:p>
        </w:tc>
        <w:tc>
          <w:tcPr>
            <w:tcW w:w="598" w:type="dxa"/>
            <w:vMerge w:val="continue"/>
            <w:tcBorders>
              <w:left w:val="single" w:color="auto" w:sz="8" w:space="0"/>
              <w:bottom w:val="single" w:color="000000" w:sz="8" w:space="0"/>
              <w:right w:val="single" w:color="auto" w:sz="8" w:space="0"/>
            </w:tcBorders>
            <w:noWrap w:val="0"/>
            <w:vAlign w:val="center"/>
          </w:tcPr>
          <w:p w14:paraId="4072A108">
            <w:pPr>
              <w:widowControl/>
              <w:jc w:val="left"/>
              <w:rPr>
                <w:rFonts w:ascii="仿宋" w:hAnsi="仿宋" w:eastAsia="仿宋" w:cs="宋体"/>
                <w:color w:val="000000"/>
                <w:kern w:val="0"/>
                <w:sz w:val="22"/>
                <w:szCs w:val="22"/>
              </w:rPr>
            </w:pPr>
          </w:p>
        </w:tc>
        <w:tc>
          <w:tcPr>
            <w:tcW w:w="223" w:type="dxa"/>
            <w:tcBorders>
              <w:top w:val="nil"/>
              <w:left w:val="nil"/>
              <w:bottom w:val="nil"/>
              <w:right w:val="nil"/>
            </w:tcBorders>
            <w:noWrap/>
            <w:vAlign w:val="bottom"/>
          </w:tcPr>
          <w:p w14:paraId="2C8E0C16">
            <w:pPr>
              <w:widowControl/>
              <w:jc w:val="center"/>
              <w:rPr>
                <w:rFonts w:hint="eastAsia" w:ascii="仿宋" w:hAnsi="仿宋" w:eastAsia="仿宋" w:cs="宋体"/>
                <w:color w:val="000000"/>
                <w:kern w:val="0"/>
                <w:sz w:val="22"/>
                <w:szCs w:val="22"/>
              </w:rPr>
            </w:pPr>
          </w:p>
        </w:tc>
      </w:tr>
      <w:tr w14:paraId="5930CB01">
        <w:tblPrEx>
          <w:tblCellMar>
            <w:top w:w="0" w:type="dxa"/>
            <w:left w:w="108" w:type="dxa"/>
            <w:bottom w:w="0" w:type="dxa"/>
            <w:right w:w="108" w:type="dxa"/>
          </w:tblCellMar>
        </w:tblPrEx>
        <w:trPr>
          <w:trHeight w:val="923"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61827E55">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合  计：               （含税）</w:t>
            </w:r>
          </w:p>
        </w:tc>
        <w:tc>
          <w:tcPr>
            <w:tcW w:w="223" w:type="dxa"/>
            <w:noWrap w:val="0"/>
            <w:vAlign w:val="center"/>
          </w:tcPr>
          <w:p w14:paraId="5228EB84">
            <w:pPr>
              <w:widowControl/>
              <w:jc w:val="left"/>
              <w:rPr>
                <w:rFonts w:eastAsia="Times New Roman"/>
                <w:kern w:val="0"/>
                <w:sz w:val="20"/>
                <w:szCs w:val="20"/>
              </w:rPr>
            </w:pPr>
          </w:p>
        </w:tc>
      </w:tr>
      <w:tr w14:paraId="3A892C65">
        <w:tblPrEx>
          <w:tblCellMar>
            <w:top w:w="0" w:type="dxa"/>
            <w:left w:w="108" w:type="dxa"/>
            <w:bottom w:w="0" w:type="dxa"/>
            <w:right w:w="108" w:type="dxa"/>
          </w:tblCellMar>
        </w:tblPrEx>
        <w:trPr>
          <w:trHeight w:val="932"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0C7E062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223" w:type="dxa"/>
            <w:noWrap w:val="0"/>
            <w:vAlign w:val="center"/>
          </w:tcPr>
          <w:p w14:paraId="72FC3A9C">
            <w:pPr>
              <w:widowControl/>
              <w:jc w:val="left"/>
              <w:rPr>
                <w:rFonts w:eastAsia="Times New Roman"/>
                <w:kern w:val="0"/>
                <w:sz w:val="20"/>
                <w:szCs w:val="20"/>
              </w:rPr>
            </w:pPr>
          </w:p>
        </w:tc>
      </w:tr>
    </w:tbl>
    <w:p w14:paraId="17BE2950"/>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1149FA79">
      <w:pPr>
        <w:adjustRightInd w:val="0"/>
        <w:snapToGrid w:val="0"/>
        <w:spacing w:line="540" w:lineRule="exact"/>
        <w:jc w:val="center"/>
        <w:rPr>
          <w:rFonts w:hint="eastAsia" w:ascii="仿宋" w:hAnsi="仿宋" w:eastAsia="仿宋"/>
          <w:b/>
          <w:sz w:val="40"/>
          <w:szCs w:val="44"/>
          <w:lang w:val="en-US" w:eastAsia="zh-CN"/>
        </w:rPr>
      </w:pPr>
      <w:r>
        <w:rPr>
          <w:rFonts w:hint="eastAsia" w:ascii="仿宋" w:hAnsi="仿宋" w:eastAsia="仿宋"/>
          <w:b/>
          <w:sz w:val="40"/>
          <w:szCs w:val="44"/>
          <w:lang w:val="en-US" w:eastAsia="zh-CN"/>
        </w:rPr>
        <w:t>报价明细表</w:t>
      </w:r>
    </w:p>
    <w:tbl>
      <w:tblPr>
        <w:tblStyle w:val="48"/>
        <w:tblW w:w="9357" w:type="dxa"/>
        <w:tblInd w:w="-318" w:type="dxa"/>
        <w:tblLayout w:type="autofit"/>
        <w:tblCellMar>
          <w:top w:w="0" w:type="dxa"/>
          <w:left w:w="108" w:type="dxa"/>
          <w:bottom w:w="0" w:type="dxa"/>
          <w:right w:w="108" w:type="dxa"/>
        </w:tblCellMar>
      </w:tblPr>
      <w:tblGrid>
        <w:gridCol w:w="852"/>
        <w:gridCol w:w="4110"/>
        <w:gridCol w:w="993"/>
        <w:gridCol w:w="1134"/>
        <w:gridCol w:w="1134"/>
        <w:gridCol w:w="1134"/>
      </w:tblGrid>
      <w:tr w14:paraId="25D5313C">
        <w:tblPrEx>
          <w:tblCellMar>
            <w:top w:w="0" w:type="dxa"/>
            <w:left w:w="108" w:type="dxa"/>
            <w:bottom w:w="0" w:type="dxa"/>
            <w:right w:w="108" w:type="dxa"/>
          </w:tblCellMar>
        </w:tblPrEx>
        <w:trPr>
          <w:trHeight w:val="375" w:hRule="atLeast"/>
        </w:trPr>
        <w:tc>
          <w:tcPr>
            <w:tcW w:w="9357" w:type="dxa"/>
            <w:gridSpan w:val="6"/>
            <w:tcBorders>
              <w:top w:val="single" w:color="auto" w:sz="4" w:space="0"/>
              <w:left w:val="single" w:color="auto" w:sz="4" w:space="0"/>
              <w:bottom w:val="single" w:color="auto" w:sz="4" w:space="0"/>
              <w:right w:val="single" w:color="auto" w:sz="4" w:space="0"/>
            </w:tcBorders>
            <w:noWrap w:val="0"/>
            <w:vAlign w:val="center"/>
          </w:tcPr>
          <w:p w14:paraId="599AA7AB">
            <w:pPr>
              <w:widowControl/>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投标报价明细表</w:t>
            </w:r>
          </w:p>
        </w:tc>
      </w:tr>
      <w:tr w14:paraId="305B5467">
        <w:tblPrEx>
          <w:tblCellMar>
            <w:top w:w="0" w:type="dxa"/>
            <w:left w:w="108" w:type="dxa"/>
            <w:bottom w:w="0" w:type="dxa"/>
            <w:right w:w="108" w:type="dxa"/>
          </w:tblCellMar>
        </w:tblPrEx>
        <w:trPr>
          <w:trHeight w:val="517" w:hRule="atLeast"/>
        </w:trPr>
        <w:tc>
          <w:tcPr>
            <w:tcW w:w="9357" w:type="dxa"/>
            <w:gridSpan w:val="6"/>
            <w:tcBorders>
              <w:top w:val="single" w:color="auto" w:sz="4" w:space="0"/>
              <w:left w:val="single" w:color="auto" w:sz="4" w:space="0"/>
              <w:bottom w:val="single" w:color="auto" w:sz="4" w:space="0"/>
              <w:right w:val="single" w:color="auto" w:sz="4" w:space="0"/>
            </w:tcBorders>
            <w:noWrap w:val="0"/>
            <w:vAlign w:val="center"/>
          </w:tcPr>
          <w:p w14:paraId="751525C6">
            <w:pPr>
              <w:pStyle w:val="24"/>
              <w:adjustRightInd w:val="0"/>
              <w:snapToGrid w:val="0"/>
              <w:spacing w:line="540" w:lineRule="exact"/>
              <w:ind w:firstLine="562" w:firstLineChars="200"/>
              <w:outlineLvl w:val="1"/>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项目名称：</w:t>
            </w:r>
            <w:r>
              <w:rPr>
                <w:rFonts w:hint="eastAsia" w:ascii="仿宋" w:hAnsi="仿宋" w:eastAsia="仿宋" w:cs="仿宋"/>
                <w:b/>
                <w:bCs/>
                <w:color w:val="000000"/>
                <w:kern w:val="0"/>
                <w:sz w:val="28"/>
                <w:szCs w:val="28"/>
                <w:lang w:val="en-US" w:eastAsia="zh-CN"/>
              </w:rPr>
              <w:t>消防设施维护保养服务项目</w:t>
            </w:r>
          </w:p>
        </w:tc>
      </w:tr>
      <w:tr w14:paraId="288F3C98">
        <w:tblPrEx>
          <w:tblCellMar>
            <w:top w:w="0" w:type="dxa"/>
            <w:left w:w="108" w:type="dxa"/>
            <w:bottom w:w="0" w:type="dxa"/>
            <w:right w:w="108" w:type="dxa"/>
          </w:tblCellMar>
        </w:tblPrEx>
        <w:trPr>
          <w:trHeight w:val="900" w:hRule="atLeast"/>
        </w:trPr>
        <w:tc>
          <w:tcPr>
            <w:tcW w:w="9357" w:type="dxa"/>
            <w:gridSpan w:val="6"/>
            <w:tcBorders>
              <w:top w:val="single" w:color="auto" w:sz="4" w:space="0"/>
              <w:left w:val="single" w:color="auto" w:sz="4" w:space="0"/>
              <w:bottom w:val="single" w:color="auto" w:sz="4" w:space="0"/>
              <w:right w:val="single" w:color="auto" w:sz="4" w:space="0"/>
            </w:tcBorders>
            <w:noWrap w:val="0"/>
            <w:vAlign w:val="center"/>
          </w:tcPr>
          <w:p w14:paraId="0257A527">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 xml:space="preserve">投标单位（章）                                           </w:t>
            </w:r>
          </w:p>
          <w:p w14:paraId="2BAFE183">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cs="仿宋"/>
                <w:b/>
                <w:bCs/>
                <w:color w:val="000000"/>
                <w:kern w:val="0"/>
                <w:sz w:val="28"/>
                <w:szCs w:val="28"/>
                <w:lang w:eastAsia="zh-CN"/>
              </w:rPr>
            </w:pPr>
            <w:r>
              <w:rPr>
                <w:rFonts w:hint="eastAsia" w:ascii="仿宋" w:hAnsi="仿宋" w:eastAsia="仿宋" w:cs="仿宋"/>
                <w:b/>
                <w:bCs/>
                <w:color w:val="000000"/>
                <w:kern w:val="0"/>
                <w:sz w:val="28"/>
                <w:szCs w:val="28"/>
              </w:rPr>
              <w:t>单位：人民币/元</w:t>
            </w:r>
            <w:r>
              <w:rPr>
                <w:rFonts w:hint="eastAsia" w:ascii="仿宋" w:hAnsi="仿宋" w:eastAsia="仿宋" w:cs="仿宋"/>
                <w:b/>
                <w:bCs/>
                <w:color w:val="000000"/>
                <w:kern w:val="0"/>
                <w:sz w:val="28"/>
                <w:szCs w:val="28"/>
                <w:lang w:eastAsia="zh-CN"/>
              </w:rPr>
              <w:t>（</w:t>
            </w:r>
            <w:r>
              <w:rPr>
                <w:rFonts w:hint="eastAsia" w:ascii="仿宋" w:hAnsi="仿宋" w:eastAsia="仿宋" w:cs="仿宋"/>
                <w:b/>
                <w:bCs/>
                <w:color w:val="000000"/>
                <w:kern w:val="0"/>
                <w:sz w:val="28"/>
                <w:szCs w:val="28"/>
                <w:lang w:val="en-US" w:eastAsia="zh-CN"/>
              </w:rPr>
              <w:t>含税</w:t>
            </w:r>
            <w:r>
              <w:rPr>
                <w:rFonts w:hint="eastAsia" w:ascii="仿宋" w:hAnsi="仿宋" w:eastAsia="仿宋" w:cs="仿宋"/>
                <w:b/>
                <w:bCs/>
                <w:color w:val="000000"/>
                <w:kern w:val="0"/>
                <w:sz w:val="28"/>
                <w:szCs w:val="28"/>
                <w:lang w:eastAsia="zh-CN"/>
              </w:rPr>
              <w:t>）</w:t>
            </w:r>
          </w:p>
        </w:tc>
      </w:tr>
      <w:tr w14:paraId="32701FA5">
        <w:tblPrEx>
          <w:tblCellMar>
            <w:top w:w="0" w:type="dxa"/>
            <w:left w:w="108" w:type="dxa"/>
            <w:bottom w:w="0" w:type="dxa"/>
            <w:right w:w="108" w:type="dxa"/>
          </w:tblCellMar>
        </w:tblPrEx>
        <w:trPr>
          <w:trHeight w:val="492" w:hRule="atLeast"/>
        </w:trPr>
        <w:tc>
          <w:tcPr>
            <w:tcW w:w="852" w:type="dxa"/>
            <w:tcBorders>
              <w:top w:val="nil"/>
              <w:left w:val="single" w:color="auto" w:sz="4" w:space="0"/>
              <w:bottom w:val="single" w:color="auto" w:sz="4" w:space="0"/>
              <w:right w:val="single" w:color="auto" w:sz="4" w:space="0"/>
            </w:tcBorders>
            <w:noWrap/>
            <w:vAlign w:val="center"/>
          </w:tcPr>
          <w:p w14:paraId="2DD72E5D">
            <w:pPr>
              <w:widowControl/>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序号</w:t>
            </w:r>
          </w:p>
        </w:tc>
        <w:tc>
          <w:tcPr>
            <w:tcW w:w="4110" w:type="dxa"/>
            <w:tcBorders>
              <w:top w:val="nil"/>
              <w:left w:val="nil"/>
              <w:bottom w:val="single" w:color="auto" w:sz="4" w:space="0"/>
              <w:right w:val="single" w:color="auto" w:sz="4" w:space="0"/>
            </w:tcBorders>
            <w:noWrap w:val="0"/>
            <w:vAlign w:val="center"/>
          </w:tcPr>
          <w:p w14:paraId="4294BDCC">
            <w:pPr>
              <w:widowControl/>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名称</w:t>
            </w:r>
          </w:p>
        </w:tc>
        <w:tc>
          <w:tcPr>
            <w:tcW w:w="993" w:type="dxa"/>
            <w:tcBorders>
              <w:top w:val="nil"/>
              <w:left w:val="nil"/>
              <w:bottom w:val="single" w:color="auto" w:sz="4" w:space="0"/>
              <w:right w:val="single" w:color="auto" w:sz="4" w:space="0"/>
            </w:tcBorders>
            <w:noWrap/>
            <w:vAlign w:val="center"/>
          </w:tcPr>
          <w:p w14:paraId="606CCE9D">
            <w:pPr>
              <w:widowControl/>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单位</w:t>
            </w:r>
          </w:p>
        </w:tc>
        <w:tc>
          <w:tcPr>
            <w:tcW w:w="1134" w:type="dxa"/>
            <w:tcBorders>
              <w:top w:val="nil"/>
              <w:left w:val="nil"/>
              <w:bottom w:val="single" w:color="auto" w:sz="4" w:space="0"/>
              <w:right w:val="single" w:color="auto" w:sz="4" w:space="0"/>
            </w:tcBorders>
            <w:noWrap/>
            <w:vAlign w:val="center"/>
          </w:tcPr>
          <w:p w14:paraId="1D09A785">
            <w:pPr>
              <w:widowControl/>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数量</w:t>
            </w:r>
          </w:p>
        </w:tc>
        <w:tc>
          <w:tcPr>
            <w:tcW w:w="1134" w:type="dxa"/>
            <w:tcBorders>
              <w:top w:val="nil"/>
              <w:left w:val="nil"/>
              <w:bottom w:val="single" w:color="auto" w:sz="4" w:space="0"/>
              <w:right w:val="single" w:color="auto" w:sz="4" w:space="0"/>
            </w:tcBorders>
            <w:noWrap/>
            <w:vAlign w:val="center"/>
          </w:tcPr>
          <w:p w14:paraId="4D73FEEE">
            <w:pPr>
              <w:widowControl/>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单价</w:t>
            </w:r>
          </w:p>
        </w:tc>
        <w:tc>
          <w:tcPr>
            <w:tcW w:w="1134" w:type="dxa"/>
            <w:tcBorders>
              <w:top w:val="nil"/>
              <w:left w:val="nil"/>
              <w:bottom w:val="single" w:color="auto" w:sz="4" w:space="0"/>
              <w:right w:val="single" w:color="auto" w:sz="4" w:space="0"/>
            </w:tcBorders>
            <w:noWrap/>
            <w:vAlign w:val="center"/>
          </w:tcPr>
          <w:p w14:paraId="43662866">
            <w:pPr>
              <w:widowControl/>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合价</w:t>
            </w:r>
          </w:p>
        </w:tc>
      </w:tr>
      <w:tr w14:paraId="18750B02">
        <w:tblPrEx>
          <w:tblCellMar>
            <w:top w:w="0" w:type="dxa"/>
            <w:left w:w="108" w:type="dxa"/>
            <w:bottom w:w="0" w:type="dxa"/>
            <w:right w:w="108" w:type="dxa"/>
          </w:tblCellMar>
        </w:tblPrEx>
        <w:trPr>
          <w:trHeight w:val="390" w:hRule="atLeast"/>
        </w:trPr>
        <w:tc>
          <w:tcPr>
            <w:tcW w:w="852" w:type="dxa"/>
            <w:tcBorders>
              <w:top w:val="nil"/>
              <w:left w:val="single" w:color="auto" w:sz="4" w:space="0"/>
              <w:bottom w:val="single" w:color="auto" w:sz="4" w:space="0"/>
              <w:right w:val="single" w:color="auto" w:sz="4" w:space="0"/>
            </w:tcBorders>
            <w:shd w:val="clear" w:color="auto" w:fill="auto"/>
            <w:noWrap/>
            <w:vAlign w:val="center"/>
          </w:tcPr>
          <w:p w14:paraId="4C1BE231">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4110" w:type="dxa"/>
            <w:tcBorders>
              <w:top w:val="nil"/>
              <w:left w:val="nil"/>
              <w:bottom w:val="single" w:color="auto" w:sz="4" w:space="0"/>
              <w:right w:val="single" w:color="auto" w:sz="4" w:space="0"/>
            </w:tcBorders>
            <w:shd w:val="clear" w:color="000000" w:fill="FFFFFF"/>
            <w:noWrap w:val="0"/>
            <w:vAlign w:val="center"/>
          </w:tcPr>
          <w:p w14:paraId="1E6B6EDC">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火灾自动报警联动系统</w:t>
            </w:r>
          </w:p>
        </w:tc>
        <w:tc>
          <w:tcPr>
            <w:tcW w:w="993" w:type="dxa"/>
            <w:tcBorders>
              <w:top w:val="nil"/>
              <w:left w:val="nil"/>
              <w:bottom w:val="single" w:color="auto" w:sz="4" w:space="0"/>
              <w:right w:val="single" w:color="auto" w:sz="4" w:space="0"/>
            </w:tcBorders>
            <w:noWrap/>
            <w:vAlign w:val="center"/>
          </w:tcPr>
          <w:p w14:paraId="2C7F4130">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ign w:val="center"/>
          </w:tcPr>
          <w:p w14:paraId="0A042661">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681A5E08">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5BDE5A1C">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406D4669">
        <w:tblPrEx>
          <w:tblCellMar>
            <w:top w:w="0" w:type="dxa"/>
            <w:left w:w="108" w:type="dxa"/>
            <w:bottom w:w="0" w:type="dxa"/>
            <w:right w:w="108" w:type="dxa"/>
          </w:tblCellMar>
        </w:tblPrEx>
        <w:trPr>
          <w:trHeight w:val="390"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63897E79">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w:t>
            </w:r>
          </w:p>
        </w:tc>
        <w:tc>
          <w:tcPr>
            <w:tcW w:w="4110" w:type="dxa"/>
            <w:tcBorders>
              <w:top w:val="nil"/>
              <w:left w:val="nil"/>
              <w:bottom w:val="single" w:color="auto" w:sz="4" w:space="0"/>
              <w:right w:val="single" w:color="auto" w:sz="4" w:space="0"/>
            </w:tcBorders>
            <w:shd w:val="clear" w:color="000000" w:fill="FFFFFF"/>
            <w:noWrap w:val="0"/>
            <w:vAlign w:val="center"/>
          </w:tcPr>
          <w:p w14:paraId="416C4914">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自动喷淋灭火系统</w:t>
            </w:r>
          </w:p>
        </w:tc>
        <w:tc>
          <w:tcPr>
            <w:tcW w:w="993" w:type="dxa"/>
            <w:tcBorders>
              <w:top w:val="nil"/>
              <w:left w:val="nil"/>
              <w:bottom w:val="single" w:color="auto" w:sz="4" w:space="0"/>
              <w:right w:val="single" w:color="auto" w:sz="4" w:space="0"/>
            </w:tcBorders>
            <w:noWrap w:val="0"/>
            <w:vAlign w:val="center"/>
          </w:tcPr>
          <w:p w14:paraId="7F748626">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0"/>
            <w:vAlign w:val="center"/>
          </w:tcPr>
          <w:p w14:paraId="62BF9789">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57787835">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63286BC7">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565DB657">
        <w:tblPrEx>
          <w:tblCellMar>
            <w:top w:w="0" w:type="dxa"/>
            <w:left w:w="108" w:type="dxa"/>
            <w:bottom w:w="0" w:type="dxa"/>
            <w:right w:w="108" w:type="dxa"/>
          </w:tblCellMar>
        </w:tblPrEx>
        <w:trPr>
          <w:trHeight w:val="390"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77F1C2AE">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w:t>
            </w:r>
          </w:p>
        </w:tc>
        <w:tc>
          <w:tcPr>
            <w:tcW w:w="4110" w:type="dxa"/>
            <w:tcBorders>
              <w:top w:val="nil"/>
              <w:left w:val="nil"/>
              <w:bottom w:val="single" w:color="auto" w:sz="4" w:space="0"/>
              <w:right w:val="single" w:color="auto" w:sz="4" w:space="0"/>
            </w:tcBorders>
            <w:shd w:val="clear" w:color="000000" w:fill="FFFFFF"/>
            <w:noWrap w:val="0"/>
            <w:vAlign w:val="center"/>
          </w:tcPr>
          <w:p w14:paraId="0D5C21F8">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防排烟系统</w:t>
            </w:r>
          </w:p>
        </w:tc>
        <w:tc>
          <w:tcPr>
            <w:tcW w:w="993" w:type="dxa"/>
            <w:tcBorders>
              <w:top w:val="nil"/>
              <w:left w:val="nil"/>
              <w:bottom w:val="single" w:color="auto" w:sz="4" w:space="0"/>
              <w:right w:val="single" w:color="auto" w:sz="4" w:space="0"/>
            </w:tcBorders>
            <w:noWrap w:val="0"/>
            <w:vAlign w:val="center"/>
          </w:tcPr>
          <w:p w14:paraId="6E49CC72">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0"/>
            <w:vAlign w:val="center"/>
          </w:tcPr>
          <w:p w14:paraId="6EEED1FD">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5DFF9782">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13F79CCF">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7E1A9C96">
        <w:tblPrEx>
          <w:tblCellMar>
            <w:top w:w="0" w:type="dxa"/>
            <w:left w:w="108" w:type="dxa"/>
            <w:bottom w:w="0" w:type="dxa"/>
            <w:right w:w="108" w:type="dxa"/>
          </w:tblCellMar>
        </w:tblPrEx>
        <w:trPr>
          <w:trHeight w:val="390"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065D1E63">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4</w:t>
            </w:r>
          </w:p>
        </w:tc>
        <w:tc>
          <w:tcPr>
            <w:tcW w:w="4110" w:type="dxa"/>
            <w:tcBorders>
              <w:top w:val="nil"/>
              <w:left w:val="nil"/>
              <w:bottom w:val="single" w:color="auto" w:sz="4" w:space="0"/>
              <w:right w:val="single" w:color="auto" w:sz="4" w:space="0"/>
            </w:tcBorders>
            <w:shd w:val="clear" w:color="000000" w:fill="FFFFFF"/>
            <w:noWrap w:val="0"/>
            <w:vAlign w:val="center"/>
          </w:tcPr>
          <w:p w14:paraId="13AF42D1">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防火卷帘系统</w:t>
            </w:r>
          </w:p>
        </w:tc>
        <w:tc>
          <w:tcPr>
            <w:tcW w:w="993" w:type="dxa"/>
            <w:tcBorders>
              <w:top w:val="nil"/>
              <w:left w:val="nil"/>
              <w:bottom w:val="single" w:color="auto" w:sz="4" w:space="0"/>
              <w:right w:val="single" w:color="auto" w:sz="4" w:space="0"/>
            </w:tcBorders>
            <w:noWrap w:val="0"/>
            <w:vAlign w:val="center"/>
          </w:tcPr>
          <w:p w14:paraId="0E64D0E8">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0"/>
            <w:vAlign w:val="center"/>
          </w:tcPr>
          <w:p w14:paraId="2C5A7088">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1C2F67FD">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691135CA">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2C34268B">
        <w:tblPrEx>
          <w:tblCellMar>
            <w:top w:w="0" w:type="dxa"/>
            <w:left w:w="108" w:type="dxa"/>
            <w:bottom w:w="0" w:type="dxa"/>
            <w:right w:w="108" w:type="dxa"/>
          </w:tblCellMar>
        </w:tblPrEx>
        <w:trPr>
          <w:trHeight w:val="390"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2508E7AF">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5</w:t>
            </w:r>
          </w:p>
        </w:tc>
        <w:tc>
          <w:tcPr>
            <w:tcW w:w="4110" w:type="dxa"/>
            <w:tcBorders>
              <w:top w:val="nil"/>
              <w:left w:val="nil"/>
              <w:bottom w:val="single" w:color="auto" w:sz="4" w:space="0"/>
              <w:right w:val="single" w:color="auto" w:sz="4" w:space="0"/>
            </w:tcBorders>
            <w:shd w:val="clear" w:color="000000" w:fill="FFFFFF"/>
            <w:noWrap w:val="0"/>
            <w:vAlign w:val="center"/>
          </w:tcPr>
          <w:p w14:paraId="11C916A6">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二氧化碳灭火系统</w:t>
            </w:r>
          </w:p>
        </w:tc>
        <w:tc>
          <w:tcPr>
            <w:tcW w:w="993" w:type="dxa"/>
            <w:tcBorders>
              <w:top w:val="nil"/>
              <w:left w:val="nil"/>
              <w:bottom w:val="single" w:color="auto" w:sz="4" w:space="0"/>
              <w:right w:val="single" w:color="auto" w:sz="4" w:space="0"/>
            </w:tcBorders>
            <w:noWrap w:val="0"/>
            <w:vAlign w:val="center"/>
          </w:tcPr>
          <w:p w14:paraId="1FF62AD2">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0"/>
            <w:vAlign w:val="center"/>
          </w:tcPr>
          <w:p w14:paraId="2F31B697">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2A8AC364">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5D2BC1A4">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33CB64AD">
        <w:tblPrEx>
          <w:tblCellMar>
            <w:top w:w="0" w:type="dxa"/>
            <w:left w:w="108" w:type="dxa"/>
            <w:bottom w:w="0" w:type="dxa"/>
            <w:right w:w="108" w:type="dxa"/>
          </w:tblCellMar>
        </w:tblPrEx>
        <w:trPr>
          <w:trHeight w:val="390"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350B5FDD">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6</w:t>
            </w:r>
          </w:p>
        </w:tc>
        <w:tc>
          <w:tcPr>
            <w:tcW w:w="4110" w:type="dxa"/>
            <w:tcBorders>
              <w:top w:val="nil"/>
              <w:left w:val="nil"/>
              <w:bottom w:val="single" w:color="auto" w:sz="4" w:space="0"/>
              <w:right w:val="single" w:color="auto" w:sz="4" w:space="0"/>
            </w:tcBorders>
            <w:shd w:val="clear" w:color="000000" w:fill="FFFFFF"/>
            <w:noWrap w:val="0"/>
            <w:vAlign w:val="center"/>
          </w:tcPr>
          <w:p w14:paraId="13E6D566">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消防给水设施</w:t>
            </w:r>
          </w:p>
        </w:tc>
        <w:tc>
          <w:tcPr>
            <w:tcW w:w="993" w:type="dxa"/>
            <w:tcBorders>
              <w:top w:val="nil"/>
              <w:left w:val="nil"/>
              <w:bottom w:val="single" w:color="auto" w:sz="4" w:space="0"/>
              <w:right w:val="single" w:color="auto" w:sz="4" w:space="0"/>
            </w:tcBorders>
            <w:noWrap w:val="0"/>
            <w:vAlign w:val="center"/>
          </w:tcPr>
          <w:p w14:paraId="6C4199CE">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0"/>
            <w:vAlign w:val="center"/>
          </w:tcPr>
          <w:p w14:paraId="06BC4C35">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11DC9781">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121D5A68">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15A203F5">
        <w:tblPrEx>
          <w:tblCellMar>
            <w:top w:w="0" w:type="dxa"/>
            <w:left w:w="108" w:type="dxa"/>
            <w:bottom w:w="0" w:type="dxa"/>
            <w:right w:w="108" w:type="dxa"/>
          </w:tblCellMar>
        </w:tblPrEx>
        <w:trPr>
          <w:trHeight w:val="555"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22A09954">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7</w:t>
            </w:r>
          </w:p>
        </w:tc>
        <w:tc>
          <w:tcPr>
            <w:tcW w:w="4110" w:type="dxa"/>
            <w:tcBorders>
              <w:top w:val="nil"/>
              <w:left w:val="nil"/>
              <w:bottom w:val="single" w:color="auto" w:sz="4" w:space="0"/>
              <w:right w:val="single" w:color="auto" w:sz="4" w:space="0"/>
            </w:tcBorders>
            <w:shd w:val="clear" w:color="000000" w:fill="FFFFFF"/>
            <w:noWrap w:val="0"/>
            <w:vAlign w:val="center"/>
          </w:tcPr>
          <w:p w14:paraId="74DB79C3">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可燃气体探测报警系统</w:t>
            </w:r>
          </w:p>
        </w:tc>
        <w:tc>
          <w:tcPr>
            <w:tcW w:w="993" w:type="dxa"/>
            <w:tcBorders>
              <w:top w:val="nil"/>
              <w:left w:val="nil"/>
              <w:bottom w:val="single" w:color="auto" w:sz="4" w:space="0"/>
              <w:right w:val="single" w:color="auto" w:sz="4" w:space="0"/>
            </w:tcBorders>
            <w:noWrap w:val="0"/>
            <w:vAlign w:val="center"/>
          </w:tcPr>
          <w:p w14:paraId="74456E18">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0"/>
            <w:vAlign w:val="center"/>
          </w:tcPr>
          <w:p w14:paraId="722E8D51">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0A493A8B">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0723D63C">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6C7890CE">
        <w:tblPrEx>
          <w:tblCellMar>
            <w:top w:w="0" w:type="dxa"/>
            <w:left w:w="108" w:type="dxa"/>
            <w:bottom w:w="0" w:type="dxa"/>
            <w:right w:w="108" w:type="dxa"/>
          </w:tblCellMar>
        </w:tblPrEx>
        <w:trPr>
          <w:trHeight w:val="390"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6B8EA66F">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8</w:t>
            </w:r>
          </w:p>
        </w:tc>
        <w:tc>
          <w:tcPr>
            <w:tcW w:w="4110" w:type="dxa"/>
            <w:tcBorders>
              <w:top w:val="nil"/>
              <w:left w:val="nil"/>
              <w:bottom w:val="single" w:color="auto" w:sz="4" w:space="0"/>
              <w:right w:val="single" w:color="auto" w:sz="4" w:space="0"/>
            </w:tcBorders>
            <w:shd w:val="clear" w:color="000000" w:fill="FFFFFF"/>
            <w:noWrap w:val="0"/>
            <w:vAlign w:val="center"/>
          </w:tcPr>
          <w:p w14:paraId="40BED919">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消火栓系统</w:t>
            </w:r>
          </w:p>
        </w:tc>
        <w:tc>
          <w:tcPr>
            <w:tcW w:w="993" w:type="dxa"/>
            <w:tcBorders>
              <w:top w:val="nil"/>
              <w:left w:val="nil"/>
              <w:bottom w:val="single" w:color="auto" w:sz="4" w:space="0"/>
              <w:right w:val="single" w:color="auto" w:sz="4" w:space="0"/>
            </w:tcBorders>
            <w:noWrap w:val="0"/>
            <w:vAlign w:val="center"/>
          </w:tcPr>
          <w:p w14:paraId="138AC242">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0"/>
            <w:vAlign w:val="center"/>
          </w:tcPr>
          <w:p w14:paraId="72A89FA0">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6DAB48B0">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11B1579D">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441C92EE">
        <w:tblPrEx>
          <w:tblCellMar>
            <w:top w:w="0" w:type="dxa"/>
            <w:left w:w="108" w:type="dxa"/>
            <w:bottom w:w="0" w:type="dxa"/>
            <w:right w:w="108" w:type="dxa"/>
          </w:tblCellMar>
        </w:tblPrEx>
        <w:trPr>
          <w:trHeight w:val="435"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3C80B8FD">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9</w:t>
            </w:r>
          </w:p>
        </w:tc>
        <w:tc>
          <w:tcPr>
            <w:tcW w:w="4110" w:type="dxa"/>
            <w:tcBorders>
              <w:top w:val="nil"/>
              <w:left w:val="nil"/>
              <w:bottom w:val="single" w:color="auto" w:sz="4" w:space="0"/>
              <w:right w:val="single" w:color="auto" w:sz="4" w:space="0"/>
            </w:tcBorders>
            <w:shd w:val="clear" w:color="000000" w:fill="FFFFFF"/>
            <w:noWrap w:val="0"/>
            <w:vAlign w:val="center"/>
          </w:tcPr>
          <w:p w14:paraId="366C2859">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广播及疏散指示标志系统</w:t>
            </w:r>
          </w:p>
        </w:tc>
        <w:tc>
          <w:tcPr>
            <w:tcW w:w="993" w:type="dxa"/>
            <w:tcBorders>
              <w:top w:val="nil"/>
              <w:left w:val="nil"/>
              <w:bottom w:val="single" w:color="auto" w:sz="4" w:space="0"/>
              <w:right w:val="single" w:color="auto" w:sz="4" w:space="0"/>
            </w:tcBorders>
            <w:noWrap w:val="0"/>
            <w:vAlign w:val="center"/>
          </w:tcPr>
          <w:p w14:paraId="69F83D6E">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0"/>
            <w:vAlign w:val="center"/>
          </w:tcPr>
          <w:p w14:paraId="0C6BA796">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3B733B45">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174AB1CF">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4C77BC40">
        <w:tblPrEx>
          <w:tblCellMar>
            <w:top w:w="0" w:type="dxa"/>
            <w:left w:w="108" w:type="dxa"/>
            <w:bottom w:w="0" w:type="dxa"/>
            <w:right w:w="108" w:type="dxa"/>
          </w:tblCellMar>
        </w:tblPrEx>
        <w:trPr>
          <w:trHeight w:val="680"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50B5A0DA">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10</w:t>
            </w:r>
          </w:p>
        </w:tc>
        <w:tc>
          <w:tcPr>
            <w:tcW w:w="4110" w:type="dxa"/>
            <w:tcBorders>
              <w:top w:val="nil"/>
              <w:left w:val="nil"/>
              <w:bottom w:val="single" w:color="auto" w:sz="4" w:space="0"/>
              <w:right w:val="single" w:color="auto" w:sz="4" w:space="0"/>
            </w:tcBorders>
            <w:shd w:val="clear" w:color="000000" w:fill="FFFFFF"/>
            <w:noWrap w:val="0"/>
            <w:vAlign w:val="center"/>
          </w:tcPr>
          <w:p w14:paraId="56941DF3">
            <w:pPr>
              <w:widowControl/>
              <w:jc w:val="center"/>
              <w:rPr>
                <w:rFonts w:hint="eastAsia" w:ascii="仿宋" w:hAnsi="仿宋" w:eastAsia="仿宋" w:cs="仿宋"/>
                <w:color w:val="000000"/>
                <w:kern w:val="0"/>
                <w:sz w:val="28"/>
                <w:szCs w:val="28"/>
              </w:rPr>
            </w:pPr>
            <w:r>
              <w:rPr>
                <w:rFonts w:hint="eastAsia" w:ascii="仿宋" w:hAnsi="仿宋" w:eastAsia="仿宋" w:cs="仿宋"/>
                <w:sz w:val="28"/>
                <w:szCs w:val="28"/>
                <w:lang w:val="en-US" w:eastAsia="zh-CN"/>
              </w:rPr>
              <w:t>年度消防设施检测</w:t>
            </w:r>
          </w:p>
        </w:tc>
        <w:tc>
          <w:tcPr>
            <w:tcW w:w="993" w:type="dxa"/>
            <w:tcBorders>
              <w:top w:val="nil"/>
              <w:left w:val="nil"/>
              <w:bottom w:val="single" w:color="auto" w:sz="4" w:space="0"/>
              <w:right w:val="single" w:color="auto" w:sz="4" w:space="0"/>
            </w:tcBorders>
            <w:noWrap w:val="0"/>
            <w:vAlign w:val="center"/>
          </w:tcPr>
          <w:p w14:paraId="5C40DC63">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w:t>
            </w:r>
          </w:p>
        </w:tc>
        <w:tc>
          <w:tcPr>
            <w:tcW w:w="1134" w:type="dxa"/>
            <w:tcBorders>
              <w:top w:val="nil"/>
              <w:left w:val="nil"/>
              <w:bottom w:val="single" w:color="auto" w:sz="4" w:space="0"/>
              <w:right w:val="single" w:color="auto" w:sz="4" w:space="0"/>
            </w:tcBorders>
            <w:noWrap w:val="0"/>
            <w:vAlign w:val="center"/>
          </w:tcPr>
          <w:p w14:paraId="34B068F1">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34" w:type="dxa"/>
            <w:tcBorders>
              <w:top w:val="nil"/>
              <w:left w:val="nil"/>
              <w:bottom w:val="single" w:color="auto" w:sz="4" w:space="0"/>
              <w:right w:val="single" w:color="auto" w:sz="4" w:space="0"/>
            </w:tcBorders>
            <w:noWrap/>
            <w:vAlign w:val="center"/>
          </w:tcPr>
          <w:p w14:paraId="46743C0C">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c>
          <w:tcPr>
            <w:tcW w:w="1134" w:type="dxa"/>
            <w:tcBorders>
              <w:top w:val="nil"/>
              <w:left w:val="nil"/>
              <w:bottom w:val="single" w:color="auto" w:sz="4" w:space="0"/>
              <w:right w:val="single" w:color="auto" w:sz="4" w:space="0"/>
            </w:tcBorders>
            <w:noWrap/>
            <w:vAlign w:val="center"/>
          </w:tcPr>
          <w:p w14:paraId="7E6EFF1A">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7D368850">
        <w:tblPrEx>
          <w:tblCellMar>
            <w:top w:w="0" w:type="dxa"/>
            <w:left w:w="108" w:type="dxa"/>
            <w:bottom w:w="0" w:type="dxa"/>
            <w:right w:w="108" w:type="dxa"/>
          </w:tblCellMar>
        </w:tblPrEx>
        <w:trPr>
          <w:trHeight w:val="555"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07AA0092">
            <w:pPr>
              <w:widowControl/>
              <w:jc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11</w:t>
            </w:r>
          </w:p>
        </w:tc>
        <w:tc>
          <w:tcPr>
            <w:tcW w:w="4110" w:type="dxa"/>
            <w:tcBorders>
              <w:top w:val="nil"/>
              <w:left w:val="nil"/>
              <w:bottom w:val="single" w:color="auto" w:sz="4" w:space="0"/>
              <w:right w:val="single" w:color="auto" w:sz="4" w:space="0"/>
            </w:tcBorders>
            <w:shd w:val="clear" w:color="000000" w:fill="FFFFFF"/>
            <w:noWrap w:val="0"/>
            <w:vAlign w:val="center"/>
          </w:tcPr>
          <w:p w14:paraId="1BB7221A">
            <w:pPr>
              <w:widowControl/>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年度消防安全评估</w:t>
            </w:r>
          </w:p>
        </w:tc>
        <w:tc>
          <w:tcPr>
            <w:tcW w:w="993" w:type="dxa"/>
            <w:tcBorders>
              <w:top w:val="nil"/>
              <w:left w:val="nil"/>
              <w:bottom w:val="single" w:color="auto" w:sz="4" w:space="0"/>
              <w:right w:val="single" w:color="auto" w:sz="4" w:space="0"/>
            </w:tcBorders>
            <w:noWrap w:val="0"/>
            <w:vAlign w:val="center"/>
          </w:tcPr>
          <w:p w14:paraId="6C4C88E0">
            <w:pPr>
              <w:widowControl/>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项</w:t>
            </w:r>
          </w:p>
        </w:tc>
        <w:tc>
          <w:tcPr>
            <w:tcW w:w="1134" w:type="dxa"/>
            <w:tcBorders>
              <w:top w:val="nil"/>
              <w:left w:val="nil"/>
              <w:bottom w:val="single" w:color="auto" w:sz="4" w:space="0"/>
              <w:right w:val="single" w:color="auto" w:sz="4" w:space="0"/>
            </w:tcBorders>
            <w:noWrap w:val="0"/>
            <w:vAlign w:val="center"/>
          </w:tcPr>
          <w:p w14:paraId="733A28C8">
            <w:pPr>
              <w:widowControl/>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w:t>
            </w:r>
          </w:p>
        </w:tc>
        <w:tc>
          <w:tcPr>
            <w:tcW w:w="1134" w:type="dxa"/>
            <w:tcBorders>
              <w:top w:val="nil"/>
              <w:left w:val="nil"/>
              <w:bottom w:val="single" w:color="auto" w:sz="4" w:space="0"/>
              <w:right w:val="single" w:color="auto" w:sz="4" w:space="0"/>
            </w:tcBorders>
            <w:noWrap/>
            <w:vAlign w:val="center"/>
          </w:tcPr>
          <w:p w14:paraId="3C671EED">
            <w:pPr>
              <w:widowControl/>
              <w:jc w:val="center"/>
              <w:rPr>
                <w:rFonts w:hint="eastAsia" w:ascii="仿宋" w:hAnsi="仿宋" w:eastAsia="仿宋" w:cs="仿宋"/>
                <w:color w:val="000000"/>
                <w:kern w:val="0"/>
                <w:sz w:val="28"/>
                <w:szCs w:val="28"/>
              </w:rPr>
            </w:pPr>
          </w:p>
        </w:tc>
        <w:tc>
          <w:tcPr>
            <w:tcW w:w="1134" w:type="dxa"/>
            <w:tcBorders>
              <w:top w:val="nil"/>
              <w:left w:val="nil"/>
              <w:bottom w:val="single" w:color="auto" w:sz="4" w:space="0"/>
              <w:right w:val="single" w:color="auto" w:sz="4" w:space="0"/>
            </w:tcBorders>
            <w:noWrap/>
            <w:vAlign w:val="center"/>
          </w:tcPr>
          <w:p w14:paraId="59D61D23">
            <w:pPr>
              <w:widowControl/>
              <w:jc w:val="center"/>
              <w:rPr>
                <w:rFonts w:hint="eastAsia" w:ascii="仿宋" w:hAnsi="仿宋" w:eastAsia="仿宋" w:cs="仿宋"/>
                <w:color w:val="000000"/>
                <w:kern w:val="0"/>
                <w:sz w:val="28"/>
                <w:szCs w:val="28"/>
              </w:rPr>
            </w:pPr>
          </w:p>
        </w:tc>
      </w:tr>
      <w:tr w14:paraId="55064800">
        <w:tblPrEx>
          <w:tblCellMar>
            <w:top w:w="0" w:type="dxa"/>
            <w:left w:w="108" w:type="dxa"/>
            <w:bottom w:w="0" w:type="dxa"/>
            <w:right w:w="108" w:type="dxa"/>
          </w:tblCellMar>
        </w:tblPrEx>
        <w:trPr>
          <w:trHeight w:val="555" w:hRule="atLeast"/>
        </w:trPr>
        <w:tc>
          <w:tcPr>
            <w:tcW w:w="852" w:type="dxa"/>
            <w:tcBorders>
              <w:top w:val="nil"/>
              <w:left w:val="single" w:color="auto" w:sz="4" w:space="0"/>
              <w:bottom w:val="single" w:color="auto" w:sz="4" w:space="0"/>
              <w:right w:val="single" w:color="auto" w:sz="4" w:space="0"/>
            </w:tcBorders>
            <w:shd w:val="clear" w:color="auto" w:fill="auto"/>
            <w:noWrap w:val="0"/>
            <w:vAlign w:val="center"/>
          </w:tcPr>
          <w:p w14:paraId="4F3434EA">
            <w:pPr>
              <w:widowControl/>
              <w:jc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12</w:t>
            </w:r>
          </w:p>
        </w:tc>
        <w:tc>
          <w:tcPr>
            <w:tcW w:w="4110" w:type="dxa"/>
            <w:tcBorders>
              <w:top w:val="nil"/>
              <w:left w:val="nil"/>
              <w:bottom w:val="single" w:color="auto" w:sz="4" w:space="0"/>
              <w:right w:val="single" w:color="auto" w:sz="4" w:space="0"/>
            </w:tcBorders>
            <w:shd w:val="clear" w:color="000000" w:fill="FFFFFF"/>
            <w:noWrap w:val="0"/>
            <w:vAlign w:val="center"/>
          </w:tcPr>
          <w:p w14:paraId="4DAF267C">
            <w:pPr>
              <w:widowControl/>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年度电气防火检测</w:t>
            </w:r>
          </w:p>
        </w:tc>
        <w:tc>
          <w:tcPr>
            <w:tcW w:w="993" w:type="dxa"/>
            <w:tcBorders>
              <w:top w:val="nil"/>
              <w:left w:val="nil"/>
              <w:bottom w:val="single" w:color="auto" w:sz="4" w:space="0"/>
              <w:right w:val="single" w:color="auto" w:sz="4" w:space="0"/>
            </w:tcBorders>
            <w:noWrap w:val="0"/>
            <w:vAlign w:val="center"/>
          </w:tcPr>
          <w:p w14:paraId="04DA9493">
            <w:pPr>
              <w:widowControl/>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项</w:t>
            </w:r>
          </w:p>
        </w:tc>
        <w:tc>
          <w:tcPr>
            <w:tcW w:w="1134" w:type="dxa"/>
            <w:tcBorders>
              <w:top w:val="nil"/>
              <w:left w:val="nil"/>
              <w:bottom w:val="single" w:color="auto" w:sz="4" w:space="0"/>
              <w:right w:val="single" w:color="auto" w:sz="4" w:space="0"/>
            </w:tcBorders>
            <w:noWrap w:val="0"/>
            <w:vAlign w:val="center"/>
          </w:tcPr>
          <w:p w14:paraId="14BD1293">
            <w:pPr>
              <w:widowControl/>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w:t>
            </w:r>
          </w:p>
        </w:tc>
        <w:tc>
          <w:tcPr>
            <w:tcW w:w="1134" w:type="dxa"/>
            <w:tcBorders>
              <w:top w:val="nil"/>
              <w:left w:val="nil"/>
              <w:bottom w:val="single" w:color="auto" w:sz="4" w:space="0"/>
              <w:right w:val="single" w:color="auto" w:sz="4" w:space="0"/>
            </w:tcBorders>
            <w:noWrap/>
            <w:vAlign w:val="center"/>
          </w:tcPr>
          <w:p w14:paraId="68A027AD">
            <w:pPr>
              <w:widowControl/>
              <w:jc w:val="center"/>
              <w:rPr>
                <w:rFonts w:hint="eastAsia" w:ascii="仿宋" w:hAnsi="仿宋" w:eastAsia="仿宋" w:cs="仿宋"/>
                <w:color w:val="000000"/>
                <w:kern w:val="0"/>
                <w:sz w:val="28"/>
                <w:szCs w:val="28"/>
              </w:rPr>
            </w:pPr>
          </w:p>
        </w:tc>
        <w:tc>
          <w:tcPr>
            <w:tcW w:w="1134" w:type="dxa"/>
            <w:tcBorders>
              <w:top w:val="nil"/>
              <w:left w:val="nil"/>
              <w:bottom w:val="single" w:color="auto" w:sz="4" w:space="0"/>
              <w:right w:val="single" w:color="auto" w:sz="4" w:space="0"/>
            </w:tcBorders>
            <w:noWrap/>
            <w:vAlign w:val="center"/>
          </w:tcPr>
          <w:p w14:paraId="6948D587">
            <w:pPr>
              <w:widowControl/>
              <w:jc w:val="center"/>
              <w:rPr>
                <w:rFonts w:hint="eastAsia" w:ascii="仿宋" w:hAnsi="仿宋" w:eastAsia="仿宋" w:cs="仿宋"/>
                <w:color w:val="000000"/>
                <w:kern w:val="0"/>
                <w:sz w:val="28"/>
                <w:szCs w:val="28"/>
              </w:rPr>
            </w:pPr>
          </w:p>
        </w:tc>
      </w:tr>
      <w:tr w14:paraId="7024B9A7">
        <w:tblPrEx>
          <w:tblCellMar>
            <w:top w:w="0" w:type="dxa"/>
            <w:left w:w="108" w:type="dxa"/>
            <w:bottom w:w="0" w:type="dxa"/>
            <w:right w:w="108" w:type="dxa"/>
          </w:tblCellMar>
        </w:tblPrEx>
        <w:trPr>
          <w:trHeight w:val="390" w:hRule="atLeast"/>
        </w:trPr>
        <w:tc>
          <w:tcPr>
            <w:tcW w:w="852" w:type="dxa"/>
            <w:tcBorders>
              <w:top w:val="nil"/>
              <w:left w:val="single" w:color="auto" w:sz="4" w:space="0"/>
              <w:bottom w:val="single" w:color="auto" w:sz="4" w:space="0"/>
              <w:right w:val="single" w:color="auto" w:sz="4" w:space="0"/>
            </w:tcBorders>
            <w:noWrap w:val="0"/>
            <w:vAlign w:val="center"/>
          </w:tcPr>
          <w:p w14:paraId="79911771">
            <w:pPr>
              <w:widowControl/>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1</w:t>
            </w:r>
            <w:r>
              <w:rPr>
                <w:rFonts w:hint="eastAsia" w:ascii="仿宋" w:hAnsi="仿宋" w:eastAsia="仿宋" w:cs="仿宋"/>
                <w:color w:val="000000"/>
                <w:kern w:val="0"/>
                <w:sz w:val="28"/>
                <w:szCs w:val="28"/>
                <w:lang w:val="en-US" w:eastAsia="zh-CN"/>
              </w:rPr>
              <w:t>3</w:t>
            </w:r>
          </w:p>
        </w:tc>
        <w:tc>
          <w:tcPr>
            <w:tcW w:w="4110" w:type="dxa"/>
            <w:tcBorders>
              <w:top w:val="nil"/>
              <w:left w:val="nil"/>
              <w:bottom w:val="single" w:color="auto" w:sz="4" w:space="0"/>
              <w:right w:val="single" w:color="auto" w:sz="4" w:space="0"/>
            </w:tcBorders>
            <w:noWrap w:val="0"/>
            <w:vAlign w:val="center"/>
          </w:tcPr>
          <w:p w14:paraId="2C77A119">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总计 </w:t>
            </w:r>
          </w:p>
        </w:tc>
        <w:tc>
          <w:tcPr>
            <w:tcW w:w="4395" w:type="dxa"/>
            <w:gridSpan w:val="4"/>
            <w:tcBorders>
              <w:top w:val="nil"/>
              <w:left w:val="nil"/>
              <w:bottom w:val="single" w:color="auto" w:sz="4" w:space="0"/>
              <w:right w:val="single" w:color="auto" w:sz="4" w:space="0"/>
            </w:tcBorders>
            <w:noWrap w:val="0"/>
            <w:vAlign w:val="center"/>
          </w:tcPr>
          <w:p w14:paraId="0B08066A">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7FB463DA">
        <w:tblPrEx>
          <w:tblCellMar>
            <w:top w:w="0" w:type="dxa"/>
            <w:left w:w="108" w:type="dxa"/>
            <w:bottom w:w="0" w:type="dxa"/>
            <w:right w:w="108" w:type="dxa"/>
          </w:tblCellMar>
        </w:tblPrEx>
        <w:trPr>
          <w:trHeight w:val="457" w:hRule="atLeast"/>
        </w:trPr>
        <w:tc>
          <w:tcPr>
            <w:tcW w:w="852" w:type="dxa"/>
            <w:tcBorders>
              <w:top w:val="nil"/>
              <w:left w:val="single" w:color="auto" w:sz="4" w:space="0"/>
              <w:bottom w:val="single" w:color="auto" w:sz="4" w:space="0"/>
              <w:right w:val="single" w:color="auto" w:sz="4" w:space="0"/>
            </w:tcBorders>
            <w:noWrap w:val="0"/>
            <w:vAlign w:val="center"/>
          </w:tcPr>
          <w:p w14:paraId="54CD54B9">
            <w:pPr>
              <w:widowControl/>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1</w:t>
            </w:r>
            <w:r>
              <w:rPr>
                <w:rFonts w:hint="eastAsia" w:ascii="仿宋" w:hAnsi="仿宋" w:eastAsia="仿宋" w:cs="仿宋"/>
                <w:color w:val="000000"/>
                <w:kern w:val="0"/>
                <w:sz w:val="28"/>
                <w:szCs w:val="28"/>
                <w:lang w:val="en-US" w:eastAsia="zh-CN"/>
              </w:rPr>
              <w:t>4</w:t>
            </w:r>
          </w:p>
        </w:tc>
        <w:tc>
          <w:tcPr>
            <w:tcW w:w="4110" w:type="dxa"/>
            <w:tcBorders>
              <w:top w:val="nil"/>
              <w:left w:val="nil"/>
              <w:bottom w:val="single" w:color="auto" w:sz="4" w:space="0"/>
              <w:right w:val="single" w:color="auto" w:sz="4" w:space="0"/>
            </w:tcBorders>
            <w:noWrap w:val="0"/>
            <w:vAlign w:val="center"/>
          </w:tcPr>
          <w:p w14:paraId="00333776">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大写</w:t>
            </w:r>
          </w:p>
        </w:tc>
        <w:tc>
          <w:tcPr>
            <w:tcW w:w="4395" w:type="dxa"/>
            <w:gridSpan w:val="4"/>
            <w:tcBorders>
              <w:top w:val="single" w:color="auto" w:sz="4" w:space="0"/>
              <w:left w:val="nil"/>
              <w:bottom w:val="single" w:color="auto" w:sz="4" w:space="0"/>
              <w:right w:val="single" w:color="auto" w:sz="4" w:space="0"/>
            </w:tcBorders>
            <w:noWrap w:val="0"/>
            <w:vAlign w:val="top"/>
          </w:tcPr>
          <w:p w14:paraId="5CB11967">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w:t>
            </w:r>
          </w:p>
        </w:tc>
      </w:tr>
      <w:tr w14:paraId="202BE2E3">
        <w:tblPrEx>
          <w:tblCellMar>
            <w:top w:w="0" w:type="dxa"/>
            <w:left w:w="108" w:type="dxa"/>
            <w:bottom w:w="0" w:type="dxa"/>
            <w:right w:w="108" w:type="dxa"/>
          </w:tblCellMar>
        </w:tblPrEx>
        <w:trPr>
          <w:trHeight w:val="2529" w:hRule="atLeast"/>
        </w:trPr>
        <w:tc>
          <w:tcPr>
            <w:tcW w:w="9357" w:type="dxa"/>
            <w:gridSpan w:val="6"/>
            <w:tcBorders>
              <w:top w:val="single" w:color="auto" w:sz="4" w:space="0"/>
              <w:left w:val="single" w:color="auto" w:sz="4" w:space="0"/>
              <w:bottom w:val="single" w:color="auto" w:sz="4" w:space="0"/>
              <w:right w:val="single" w:color="auto" w:sz="4" w:space="0"/>
            </w:tcBorders>
            <w:noWrap w:val="0"/>
            <w:vAlign w:val="center"/>
          </w:tcPr>
          <w:p w14:paraId="4B5303DC">
            <w:pPr>
              <w:widowControl/>
              <w:jc w:val="left"/>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注释：</w:t>
            </w:r>
          </w:p>
          <w:p w14:paraId="3621787A">
            <w:pPr>
              <w:widowControl/>
              <w:jc w:val="left"/>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1、本次招标实行固定总价承包的报价方式，投标人报价时应考虑合同执行过程中的所有因素及风险（消防系统备件更换除外）。</w:t>
            </w:r>
          </w:p>
          <w:p w14:paraId="376EC55F">
            <w:pPr>
              <w:widowControl/>
              <w:jc w:val="left"/>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2、日常</w:t>
            </w:r>
            <w:r>
              <w:rPr>
                <w:rFonts w:hint="eastAsia" w:ascii="仿宋" w:hAnsi="仿宋" w:eastAsia="仿宋" w:cs="仿宋"/>
                <w:b/>
                <w:bCs/>
                <w:color w:val="000000"/>
                <w:kern w:val="0"/>
                <w:sz w:val="28"/>
                <w:szCs w:val="28"/>
                <w:lang w:val="en-US" w:eastAsia="zh-CN"/>
              </w:rPr>
              <w:t>维保</w:t>
            </w:r>
            <w:r>
              <w:rPr>
                <w:rFonts w:hint="eastAsia" w:ascii="仿宋" w:hAnsi="仿宋" w:eastAsia="仿宋" w:cs="仿宋"/>
                <w:b/>
                <w:bCs/>
                <w:color w:val="000000"/>
                <w:kern w:val="0"/>
                <w:sz w:val="28"/>
                <w:szCs w:val="28"/>
              </w:rPr>
              <w:t>人员负责</w:t>
            </w:r>
            <w:r>
              <w:rPr>
                <w:rFonts w:hint="eastAsia" w:ascii="仿宋" w:hAnsi="仿宋" w:eastAsia="仿宋" w:cs="仿宋"/>
                <w:b/>
                <w:bCs/>
                <w:color w:val="000000"/>
                <w:kern w:val="0"/>
                <w:sz w:val="28"/>
                <w:szCs w:val="28"/>
                <w:lang w:val="en-US" w:eastAsia="zh-CN"/>
              </w:rPr>
              <w:t>厂</w:t>
            </w:r>
            <w:r>
              <w:rPr>
                <w:rFonts w:hint="eastAsia" w:ascii="仿宋" w:hAnsi="仿宋" w:eastAsia="仿宋" w:cs="仿宋"/>
                <w:b/>
                <w:bCs/>
                <w:color w:val="000000"/>
                <w:kern w:val="0"/>
                <w:sz w:val="28"/>
                <w:szCs w:val="28"/>
              </w:rPr>
              <w:t>区及消防中控室</w:t>
            </w:r>
            <w:r>
              <w:rPr>
                <w:rFonts w:hint="eastAsia" w:ascii="仿宋" w:hAnsi="仿宋" w:eastAsia="仿宋" w:cs="仿宋"/>
                <w:b/>
                <w:bCs/>
                <w:color w:val="000000"/>
                <w:kern w:val="0"/>
                <w:sz w:val="28"/>
                <w:szCs w:val="28"/>
                <w:lang w:val="en-US" w:eastAsia="zh-CN"/>
              </w:rPr>
              <w:t>消防设施</w:t>
            </w:r>
            <w:r>
              <w:rPr>
                <w:rFonts w:hint="eastAsia" w:ascii="仿宋" w:hAnsi="仿宋" w:eastAsia="仿宋" w:cs="仿宋"/>
                <w:b/>
                <w:bCs/>
                <w:color w:val="000000"/>
                <w:kern w:val="0"/>
                <w:sz w:val="28"/>
                <w:szCs w:val="28"/>
              </w:rPr>
              <w:t>7*24小时</w:t>
            </w:r>
            <w:r>
              <w:rPr>
                <w:rFonts w:hint="eastAsia" w:ascii="仿宋" w:hAnsi="仿宋" w:eastAsia="仿宋" w:cs="仿宋"/>
                <w:b/>
                <w:bCs/>
                <w:color w:val="000000"/>
                <w:kern w:val="0"/>
                <w:sz w:val="28"/>
                <w:szCs w:val="28"/>
                <w:lang w:val="en-US" w:eastAsia="zh-CN"/>
              </w:rPr>
              <w:t>完好（白班8：00-17：00点有紧急需求务必3小时内赶到予以协助解决）</w:t>
            </w:r>
            <w:r>
              <w:rPr>
                <w:rFonts w:hint="eastAsia" w:ascii="仿宋" w:hAnsi="仿宋" w:eastAsia="仿宋" w:cs="仿宋"/>
                <w:b/>
                <w:bCs/>
                <w:color w:val="000000"/>
                <w:kern w:val="0"/>
                <w:sz w:val="28"/>
                <w:szCs w:val="28"/>
              </w:rPr>
              <w:t>。</w:t>
            </w:r>
          </w:p>
          <w:p w14:paraId="6AF636AA">
            <w:pPr>
              <w:widowControl/>
              <w:jc w:val="left"/>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3、投标人需结合</w:t>
            </w:r>
            <w:r>
              <w:rPr>
                <w:rFonts w:hint="eastAsia" w:ascii="仿宋" w:hAnsi="仿宋" w:eastAsia="仿宋" w:cs="仿宋"/>
                <w:b/>
                <w:bCs/>
                <w:color w:val="000000"/>
                <w:kern w:val="0"/>
                <w:sz w:val="28"/>
                <w:szCs w:val="28"/>
                <w:lang w:val="en-US" w:eastAsia="zh-CN"/>
              </w:rPr>
              <w:t>公司</w:t>
            </w:r>
            <w:r>
              <w:rPr>
                <w:rFonts w:hint="eastAsia" w:ascii="仿宋" w:hAnsi="仿宋" w:eastAsia="仿宋" w:cs="仿宋"/>
                <w:b/>
                <w:bCs/>
                <w:color w:val="000000"/>
                <w:kern w:val="0"/>
                <w:sz w:val="28"/>
                <w:szCs w:val="28"/>
              </w:rPr>
              <w:t>消防系统实际情况，自行编写消防系统维保方案、日常巡检人员职责及管理措施。</w:t>
            </w:r>
          </w:p>
        </w:tc>
      </w:tr>
    </w:tbl>
    <w:p w14:paraId="2DAF0486">
      <w:pPr>
        <w:jc w:val="center"/>
        <w:rPr>
          <w:rFonts w:hint="eastAsia" w:eastAsia="黑体"/>
          <w:b/>
          <w:bCs/>
          <w:sz w:val="28"/>
        </w:rPr>
      </w:pPr>
    </w:p>
    <w:p w14:paraId="1C9AE857">
      <w:pPr>
        <w:rPr>
          <w:rFonts w:hint="eastAsia" w:eastAsia="黑体"/>
          <w:b/>
          <w:bCs/>
          <w:sz w:val="28"/>
        </w:rPr>
      </w:pPr>
      <w:r>
        <w:rPr>
          <w:rFonts w:hint="eastAsia" w:eastAsia="黑体"/>
          <w:b/>
          <w:bCs/>
          <w:sz w:val="28"/>
        </w:rPr>
        <w:br w:type="page"/>
      </w:r>
    </w:p>
    <w:p w14:paraId="6616D12C">
      <w:pPr>
        <w:jc w:val="center"/>
        <w:rPr>
          <w:rFonts w:eastAsia="黑体"/>
          <w:b/>
          <w:bCs/>
          <w:sz w:val="28"/>
        </w:rPr>
      </w:pPr>
      <w:r>
        <w:rPr>
          <w:rFonts w:hint="eastAsia" w:eastAsia="黑体"/>
          <w:b/>
          <w:bCs/>
          <w:sz w:val="28"/>
        </w:rPr>
        <w:t>相关条款偏离表（含商务偏离及技术偏离）</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29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0AAF023">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14:paraId="72CAAA69">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14:paraId="77296F8D">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14:paraId="013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BCB8BD">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14:paraId="20962E7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14:paraId="38264424">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14:paraId="696C849D">
            <w:pPr>
              <w:rPr>
                <w:rFonts w:hint="eastAsia" w:ascii="仿宋_GB2312" w:hAnsi="仿宋_GB2312" w:eastAsia="仿宋_GB2312" w:cs="仿宋_GB2312"/>
                <w:i w:val="0"/>
                <w:iCs w:val="0"/>
                <w:color w:val="000000"/>
                <w:kern w:val="0"/>
                <w:sz w:val="24"/>
                <w:szCs w:val="24"/>
                <w:u w:val="none"/>
                <w:lang w:val="en-US" w:eastAsia="zh-CN" w:bidi="ar"/>
              </w:rPr>
            </w:pPr>
          </w:p>
        </w:tc>
      </w:tr>
      <w:tr w14:paraId="038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EA633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14:paraId="320820E0">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F82F0C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82FD772">
            <w:pPr>
              <w:rPr>
                <w:rFonts w:hint="eastAsia" w:ascii="仿宋_GB2312" w:hAnsi="仿宋_GB2312" w:eastAsia="仿宋_GB2312" w:cs="仿宋_GB2312"/>
                <w:i w:val="0"/>
                <w:iCs w:val="0"/>
                <w:color w:val="000000"/>
                <w:kern w:val="0"/>
                <w:sz w:val="24"/>
                <w:szCs w:val="24"/>
                <w:u w:val="none"/>
                <w:lang w:val="en-US" w:eastAsia="zh-CN" w:bidi="ar"/>
              </w:rPr>
            </w:pPr>
          </w:p>
        </w:tc>
      </w:tr>
      <w:tr w14:paraId="0C9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4ABA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14:paraId="38315D9E">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BFE9E5D">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A0496EF">
            <w:pPr>
              <w:rPr>
                <w:rFonts w:hint="eastAsia" w:ascii="仿宋_GB2312" w:hAnsi="仿宋_GB2312" w:eastAsia="仿宋_GB2312" w:cs="仿宋_GB2312"/>
                <w:i w:val="0"/>
                <w:iCs w:val="0"/>
                <w:color w:val="000000"/>
                <w:kern w:val="0"/>
                <w:sz w:val="24"/>
                <w:szCs w:val="24"/>
                <w:u w:val="none"/>
                <w:lang w:val="en-US" w:eastAsia="zh-CN" w:bidi="ar"/>
              </w:rPr>
            </w:pPr>
          </w:p>
        </w:tc>
      </w:tr>
      <w:tr w14:paraId="0730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6A605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14:paraId="23804881">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736E5DD2">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DF1702F">
            <w:pPr>
              <w:rPr>
                <w:rFonts w:hint="eastAsia" w:ascii="仿宋_GB2312" w:hAnsi="仿宋_GB2312" w:eastAsia="仿宋_GB2312" w:cs="仿宋_GB2312"/>
                <w:i w:val="0"/>
                <w:iCs w:val="0"/>
                <w:color w:val="000000"/>
                <w:kern w:val="0"/>
                <w:sz w:val="24"/>
                <w:szCs w:val="24"/>
                <w:u w:val="none"/>
                <w:lang w:val="en-US" w:eastAsia="zh-CN" w:bidi="ar"/>
              </w:rPr>
            </w:pPr>
          </w:p>
        </w:tc>
      </w:tr>
      <w:tr w14:paraId="34A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D4BFD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14:paraId="779D504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9072825">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4F0080B">
            <w:pPr>
              <w:rPr>
                <w:rFonts w:hint="eastAsia" w:ascii="仿宋_GB2312" w:hAnsi="仿宋_GB2312" w:eastAsia="仿宋_GB2312" w:cs="仿宋_GB2312"/>
                <w:i w:val="0"/>
                <w:iCs w:val="0"/>
                <w:color w:val="000000"/>
                <w:kern w:val="0"/>
                <w:sz w:val="24"/>
                <w:szCs w:val="24"/>
                <w:u w:val="none"/>
                <w:lang w:val="en-US" w:eastAsia="zh-CN" w:bidi="ar"/>
              </w:rPr>
            </w:pPr>
          </w:p>
        </w:tc>
      </w:tr>
      <w:tr w14:paraId="0F2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607EA8">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14:paraId="75381E2C">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304AE35A">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A23051C">
            <w:pPr>
              <w:rPr>
                <w:rFonts w:hint="eastAsia" w:ascii="仿宋_GB2312" w:hAnsi="仿宋_GB2312" w:eastAsia="仿宋_GB2312" w:cs="仿宋_GB2312"/>
                <w:i w:val="0"/>
                <w:iCs w:val="0"/>
                <w:color w:val="000000"/>
                <w:kern w:val="0"/>
                <w:sz w:val="24"/>
                <w:szCs w:val="24"/>
                <w:u w:val="none"/>
                <w:lang w:val="en-US" w:eastAsia="zh-CN" w:bidi="ar"/>
              </w:rPr>
            </w:pPr>
          </w:p>
        </w:tc>
      </w:tr>
      <w:tr w14:paraId="5B9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A15282">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14:paraId="0A2F0B17">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56F295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E79B2E8">
            <w:pPr>
              <w:rPr>
                <w:rFonts w:hint="eastAsia" w:ascii="仿宋_GB2312" w:hAnsi="仿宋_GB2312" w:eastAsia="仿宋_GB2312" w:cs="仿宋_GB2312"/>
                <w:i w:val="0"/>
                <w:iCs w:val="0"/>
                <w:color w:val="000000"/>
                <w:kern w:val="0"/>
                <w:sz w:val="24"/>
                <w:szCs w:val="24"/>
                <w:u w:val="none"/>
                <w:lang w:val="en-US" w:eastAsia="zh-CN" w:bidi="ar"/>
              </w:rPr>
            </w:pPr>
          </w:p>
        </w:tc>
      </w:tr>
      <w:tr w14:paraId="1C5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22C42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14:paraId="06E568F4">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1B60B3BF">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CD61318">
            <w:pPr>
              <w:rPr>
                <w:rFonts w:hint="eastAsia" w:ascii="仿宋_GB2312" w:hAnsi="仿宋_GB2312" w:eastAsia="仿宋_GB2312" w:cs="仿宋_GB2312"/>
                <w:i w:val="0"/>
                <w:iCs w:val="0"/>
                <w:color w:val="000000"/>
                <w:kern w:val="0"/>
                <w:sz w:val="24"/>
                <w:szCs w:val="24"/>
                <w:u w:val="none"/>
                <w:lang w:val="en-US" w:eastAsia="zh-CN" w:bidi="ar"/>
              </w:rPr>
            </w:pPr>
          </w:p>
        </w:tc>
      </w:tr>
      <w:tr w14:paraId="0AB7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54169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14:paraId="055DA0E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25A945D7">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6D6A932">
            <w:pPr>
              <w:rPr>
                <w:rFonts w:hint="eastAsia" w:ascii="仿宋_GB2312" w:hAnsi="仿宋_GB2312" w:eastAsia="仿宋_GB2312" w:cs="仿宋_GB2312"/>
                <w:i w:val="0"/>
                <w:iCs w:val="0"/>
                <w:color w:val="000000"/>
                <w:kern w:val="0"/>
                <w:sz w:val="24"/>
                <w:szCs w:val="24"/>
                <w:u w:val="none"/>
                <w:lang w:val="en-US" w:eastAsia="zh-CN" w:bidi="ar"/>
              </w:rPr>
            </w:pPr>
          </w:p>
        </w:tc>
      </w:tr>
      <w:tr w14:paraId="1A2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9694C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14:paraId="380101BD">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0358E1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A4B67DF">
            <w:pPr>
              <w:rPr>
                <w:rFonts w:hint="eastAsia" w:ascii="仿宋_GB2312" w:hAnsi="仿宋_GB2312" w:eastAsia="仿宋_GB2312" w:cs="仿宋_GB2312"/>
                <w:i w:val="0"/>
                <w:iCs w:val="0"/>
                <w:color w:val="000000"/>
                <w:kern w:val="0"/>
                <w:sz w:val="24"/>
                <w:szCs w:val="24"/>
                <w:u w:val="none"/>
                <w:lang w:val="en-US" w:eastAsia="zh-CN" w:bidi="ar"/>
              </w:rPr>
            </w:pPr>
          </w:p>
        </w:tc>
      </w:tr>
      <w:tr w14:paraId="5C6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6C2B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14:paraId="45C4E038">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0F4D447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D1C68AE">
            <w:pPr>
              <w:rPr>
                <w:rFonts w:hint="eastAsia" w:ascii="仿宋_GB2312" w:hAnsi="仿宋_GB2312" w:eastAsia="仿宋_GB2312" w:cs="仿宋_GB2312"/>
                <w:i w:val="0"/>
                <w:iCs w:val="0"/>
                <w:color w:val="000000"/>
                <w:kern w:val="0"/>
                <w:sz w:val="24"/>
                <w:szCs w:val="24"/>
                <w:u w:val="none"/>
                <w:lang w:val="en-US" w:eastAsia="zh-CN" w:bidi="ar"/>
              </w:rPr>
            </w:pPr>
          </w:p>
        </w:tc>
      </w:tr>
    </w:tbl>
    <w:p w14:paraId="1CA78D45">
      <w:pPr>
        <w:rPr>
          <w:rFonts w:hint="eastAsia" w:ascii="仿宋_GB2312" w:hAnsi="仿宋_GB2312" w:eastAsia="仿宋_GB2312" w:cs="仿宋_GB2312"/>
          <w:i w:val="0"/>
          <w:iCs w:val="0"/>
          <w:color w:val="000000"/>
          <w:kern w:val="0"/>
          <w:sz w:val="24"/>
          <w:szCs w:val="24"/>
          <w:u w:val="none"/>
          <w:lang w:val="en-US" w:eastAsia="zh-CN" w:bidi="ar"/>
        </w:rPr>
      </w:pPr>
    </w:p>
    <w:p w14:paraId="427B7697">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14:paraId="19B10CE0">
      <w:pPr>
        <w:rPr>
          <w:rFonts w:hint="eastAsia" w:ascii="仿宋_GB2312" w:hAnsi="仿宋_GB2312" w:eastAsia="仿宋_GB2312" w:cs="仿宋_GB2312"/>
          <w:i w:val="0"/>
          <w:iCs w:val="0"/>
          <w:color w:val="000000"/>
          <w:kern w:val="0"/>
          <w:sz w:val="24"/>
          <w:szCs w:val="24"/>
          <w:u w:val="none"/>
          <w:lang w:val="en-US" w:eastAsia="zh-CN" w:bidi="ar"/>
        </w:rPr>
      </w:pPr>
    </w:p>
    <w:p w14:paraId="22EDEB97">
      <w:pPr>
        <w:rPr>
          <w:rFonts w:hint="eastAsia" w:ascii="仿宋_GB2312" w:hAnsi="仿宋_GB2312" w:eastAsia="仿宋_GB2312" w:cs="仿宋_GB2312"/>
          <w:i w:val="0"/>
          <w:iCs w:val="0"/>
          <w:color w:val="000000"/>
          <w:kern w:val="0"/>
          <w:sz w:val="24"/>
          <w:szCs w:val="24"/>
          <w:u w:val="none"/>
          <w:lang w:val="en-US" w:eastAsia="zh-CN" w:bidi="ar"/>
        </w:rPr>
      </w:pPr>
    </w:p>
    <w:p w14:paraId="2F6FC544">
      <w:pPr>
        <w:rPr>
          <w:rFonts w:hint="eastAsia" w:hAnsi="宋体" w:eastAsia="宋体" w:cs="宋体"/>
          <w:b/>
          <w:bCs/>
          <w:color w:val="000000"/>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6942531">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E192CE"/>
    <w:multiLevelType w:val="singleLevel"/>
    <w:tmpl w:val="FDE192CE"/>
    <w:lvl w:ilvl="0" w:tentative="0">
      <w:start w:val="4"/>
      <w:numFmt w:val="decimal"/>
      <w:suff w:val="nothing"/>
      <w:lvlText w:val="（%1）"/>
      <w:lvlJc w:val="left"/>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0"/>
  </w:num>
  <w:num w:numId="5">
    <w:abstractNumId w:val="11"/>
  </w:num>
  <w:num w:numId="6">
    <w:abstractNumId w:val="2"/>
  </w:num>
  <w:num w:numId="7">
    <w:abstractNumId w:val="6"/>
  </w:num>
  <w:num w:numId="8">
    <w:abstractNumId w:val="5"/>
  </w:num>
  <w:num w:numId="9">
    <w:abstractNumId w:val="10"/>
  </w:num>
  <w:num w:numId="10">
    <w:abstractNumId w:val="3"/>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326C68"/>
    <w:rsid w:val="04B15209"/>
    <w:rsid w:val="04D70225"/>
    <w:rsid w:val="05160EF2"/>
    <w:rsid w:val="068F55E3"/>
    <w:rsid w:val="09756E61"/>
    <w:rsid w:val="0BEB0202"/>
    <w:rsid w:val="0D326CC2"/>
    <w:rsid w:val="0EA03360"/>
    <w:rsid w:val="10FE7942"/>
    <w:rsid w:val="1378147A"/>
    <w:rsid w:val="13D35827"/>
    <w:rsid w:val="1868332D"/>
    <w:rsid w:val="1DA82577"/>
    <w:rsid w:val="1E1170AC"/>
    <w:rsid w:val="22A44CDF"/>
    <w:rsid w:val="25F44B01"/>
    <w:rsid w:val="269A17E1"/>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9D2840"/>
    <w:rsid w:val="48A82A9E"/>
    <w:rsid w:val="4A082E0A"/>
    <w:rsid w:val="4AC268B8"/>
    <w:rsid w:val="4CC51E60"/>
    <w:rsid w:val="4CD949FD"/>
    <w:rsid w:val="4F4A4FC8"/>
    <w:rsid w:val="50D74B46"/>
    <w:rsid w:val="51654692"/>
    <w:rsid w:val="54D67D81"/>
    <w:rsid w:val="54D7260C"/>
    <w:rsid w:val="57E02431"/>
    <w:rsid w:val="58055C15"/>
    <w:rsid w:val="58AE4B70"/>
    <w:rsid w:val="5AA3574A"/>
    <w:rsid w:val="5F377063"/>
    <w:rsid w:val="5FF411EE"/>
    <w:rsid w:val="62E50A5D"/>
    <w:rsid w:val="633A3E82"/>
    <w:rsid w:val="673F2C72"/>
    <w:rsid w:val="68C06BDA"/>
    <w:rsid w:val="69F8009E"/>
    <w:rsid w:val="6AB76068"/>
    <w:rsid w:val="6C9132F0"/>
    <w:rsid w:val="6D5B701C"/>
    <w:rsid w:val="736A2597"/>
    <w:rsid w:val="74995770"/>
    <w:rsid w:val="75CD3E17"/>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9380</Words>
  <Characters>9675</Characters>
  <Lines>52</Lines>
  <Paragraphs>14</Paragraphs>
  <TotalTime>8</TotalTime>
  <ScaleCrop>false</ScaleCrop>
  <LinksUpToDate>false</LinksUpToDate>
  <CharactersWithSpaces>9757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2025-12-01T06:12:09Z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324E167CF29A479795ED75B9327D0A84_13</vt:lpwstr>
  </property>
  <property fmtid="{D5CDD505-2E9C-101B-9397-08002B2CF9AE}" pid="5" name="KSOTemplateDocerSaveRecord">
    <vt:lpwstr>eyJoZGlkIjoiYzc3ODk5MWQ2ODkxYjIzNzI1YmVhYjkyYmE4NWMzNGUiLCJ1c2VySWQiOiIyNTA0NTg1ODYifQ==</vt:lpwstr>
  </property>
</Properties>
</file>