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1D627">
      <w:pPr>
        <w:wordWrap w:val="0"/>
        <w:jc w:val="right"/>
        <w:rPr>
          <w:rFonts w:ascii="黑体" w:hAnsi="Calibri" w:eastAsia="黑体" w:cs="黑体"/>
          <w:sz w:val="28"/>
          <w:szCs w:val="28"/>
          <w:highlight w:val="none"/>
        </w:rPr>
      </w:pPr>
      <w:r>
        <w:rPr>
          <w:rFonts w:hint="eastAsia" w:ascii="黑体" w:hAnsi="Calibri" w:eastAsia="黑体" w:cs="黑体"/>
          <w:sz w:val="28"/>
          <w:szCs w:val="28"/>
          <w:highlight w:val="none"/>
          <w:lang w:bidi="ar"/>
        </w:rPr>
        <w:t xml:space="preserve">             </w:t>
      </w:r>
    </w:p>
    <w:p w14:paraId="1AF22584">
      <w:pPr>
        <w:pStyle w:val="37"/>
        <w:widowControl/>
        <w:ind w:firstLine="0" w:firstLineChars="0"/>
        <w:jc w:val="center"/>
        <w:rPr>
          <w:highlight w:val="none"/>
        </w:rPr>
      </w:pPr>
    </w:p>
    <w:p w14:paraId="3F7448FA">
      <w:pPr>
        <w:pStyle w:val="37"/>
        <w:widowControl/>
        <w:ind w:firstLine="0" w:firstLineChars="0"/>
        <w:jc w:val="center"/>
        <w:rPr>
          <w:b/>
          <w:sz w:val="32"/>
          <w:szCs w:val="32"/>
          <w:highlight w:val="none"/>
        </w:rPr>
      </w:pPr>
    </w:p>
    <w:p w14:paraId="5E176ACB">
      <w:pPr>
        <w:spacing w:before="156" w:beforeLines="50" w:after="156" w:afterLines="50"/>
        <w:jc w:val="center"/>
        <w:rPr>
          <w:rFonts w:ascii="宋体" w:hAnsi="宋体" w:eastAsia="宋体" w:cs="宋体"/>
          <w:b/>
          <w:sz w:val="48"/>
          <w:szCs w:val="48"/>
          <w:highlight w:val="none"/>
        </w:rPr>
      </w:pPr>
      <w:bookmarkStart w:id="0" w:name="_Toc262475853"/>
      <w:bookmarkStart w:id="1" w:name="_Toc262474472"/>
      <w:bookmarkStart w:id="2" w:name="_Toc262477091"/>
    </w:p>
    <w:bookmarkEnd w:id="0"/>
    <w:bookmarkEnd w:id="1"/>
    <w:bookmarkEnd w:id="2"/>
    <w:p w14:paraId="3551C933">
      <w:pPr>
        <w:jc w:val="center"/>
        <w:rPr>
          <w:rFonts w:hint="eastAsia" w:ascii="宋体" w:hAnsi="宋体" w:eastAsia="宋体" w:cs="宋体"/>
          <w:b/>
          <w:sz w:val="48"/>
          <w:szCs w:val="48"/>
          <w:highlight w:val="none"/>
          <w:lang w:bidi="ar"/>
        </w:rPr>
      </w:pPr>
      <w:r>
        <w:rPr>
          <w:rFonts w:hint="eastAsia" w:ascii="宋体" w:hAnsi="宋体" w:eastAsia="宋体" w:cs="宋体"/>
          <w:b/>
          <w:sz w:val="48"/>
          <w:szCs w:val="48"/>
          <w:highlight w:val="none"/>
          <w:lang w:bidi="ar"/>
        </w:rPr>
        <w:t>重汽汽车金融有限公司</w:t>
      </w:r>
    </w:p>
    <w:p w14:paraId="7117B777">
      <w:pPr>
        <w:jc w:val="center"/>
        <w:rPr>
          <w:rFonts w:ascii="宋体" w:hAnsi="宋体" w:eastAsia="宋体" w:cs="宋体"/>
          <w:b/>
          <w:sz w:val="48"/>
          <w:szCs w:val="48"/>
          <w:highlight w:val="none"/>
          <w:lang w:bidi="ar"/>
        </w:rPr>
      </w:pPr>
      <w:r>
        <w:rPr>
          <w:rFonts w:hint="eastAsia" w:ascii="宋体" w:hAnsi="宋体" w:eastAsia="宋体" w:cs="宋体"/>
          <w:b/>
          <w:sz w:val="48"/>
          <w:szCs w:val="48"/>
          <w:highlight w:val="none"/>
          <w:lang w:val="en-US" w:eastAsia="zh-CN" w:bidi="ar"/>
        </w:rPr>
        <w:t>内部控制外部审计</w:t>
      </w:r>
      <w:r>
        <w:rPr>
          <w:rFonts w:hint="eastAsia" w:ascii="宋体" w:hAnsi="宋体" w:eastAsia="宋体" w:cs="宋体"/>
          <w:b/>
          <w:sz w:val="48"/>
          <w:szCs w:val="48"/>
          <w:highlight w:val="none"/>
          <w:lang w:bidi="ar"/>
        </w:rPr>
        <w:t>项目</w:t>
      </w:r>
    </w:p>
    <w:p w14:paraId="6B06FD3D">
      <w:pPr>
        <w:jc w:val="center"/>
        <w:rPr>
          <w:rFonts w:ascii="黑体" w:hAnsi="宋体" w:eastAsia="黑体" w:cs="黑体"/>
          <w:b/>
          <w:sz w:val="52"/>
          <w:szCs w:val="52"/>
          <w:highlight w:val="none"/>
        </w:rPr>
      </w:pPr>
      <w:r>
        <w:rPr>
          <w:rFonts w:hint="eastAsia" w:ascii="黑体" w:hAnsi="宋体" w:eastAsia="黑体" w:cs="黑体"/>
          <w:b/>
          <w:sz w:val="52"/>
          <w:szCs w:val="52"/>
          <w:highlight w:val="none"/>
          <w:lang w:bidi="ar"/>
        </w:rPr>
        <w:t>招</w:t>
      </w:r>
    </w:p>
    <w:p w14:paraId="717258BC">
      <w:pPr>
        <w:jc w:val="center"/>
        <w:rPr>
          <w:rFonts w:ascii="黑体" w:hAnsi="宋体" w:eastAsia="黑体" w:cs="黑体"/>
          <w:b/>
          <w:sz w:val="52"/>
          <w:szCs w:val="52"/>
          <w:highlight w:val="none"/>
        </w:rPr>
      </w:pPr>
      <w:r>
        <w:rPr>
          <w:rFonts w:hint="eastAsia" w:ascii="黑体" w:hAnsi="宋体" w:eastAsia="黑体" w:cs="黑体"/>
          <w:b/>
          <w:sz w:val="52"/>
          <w:szCs w:val="52"/>
          <w:highlight w:val="none"/>
          <w:lang w:bidi="ar"/>
        </w:rPr>
        <w:t>标</w:t>
      </w:r>
    </w:p>
    <w:p w14:paraId="64C5453E">
      <w:pPr>
        <w:jc w:val="center"/>
        <w:rPr>
          <w:rFonts w:ascii="黑体" w:hAnsi="宋体" w:eastAsia="黑体" w:cs="黑体"/>
          <w:b/>
          <w:sz w:val="52"/>
          <w:szCs w:val="52"/>
          <w:highlight w:val="none"/>
        </w:rPr>
      </w:pPr>
      <w:r>
        <w:rPr>
          <w:rFonts w:hint="eastAsia" w:ascii="黑体" w:hAnsi="宋体" w:eastAsia="黑体" w:cs="黑体"/>
          <w:b/>
          <w:sz w:val="52"/>
          <w:szCs w:val="52"/>
          <w:highlight w:val="none"/>
          <w:lang w:bidi="ar"/>
        </w:rPr>
        <w:t>文</w:t>
      </w:r>
    </w:p>
    <w:p w14:paraId="553BD404">
      <w:pPr>
        <w:jc w:val="center"/>
        <w:rPr>
          <w:rFonts w:ascii="黑体" w:hAnsi="Calibri" w:eastAsia="黑体" w:cs="黑体"/>
          <w:b/>
          <w:sz w:val="52"/>
          <w:szCs w:val="52"/>
          <w:highlight w:val="none"/>
        </w:rPr>
      </w:pPr>
      <w:r>
        <w:rPr>
          <w:rFonts w:hint="eastAsia" w:ascii="黑体" w:hAnsi="宋体" w:eastAsia="黑体" w:cs="黑体"/>
          <w:b/>
          <w:sz w:val="52"/>
          <w:szCs w:val="52"/>
          <w:highlight w:val="none"/>
          <w:lang w:bidi="ar"/>
        </w:rPr>
        <w:t>件</w:t>
      </w:r>
    </w:p>
    <w:p w14:paraId="33281F86">
      <w:pPr>
        <w:pStyle w:val="37"/>
        <w:widowControl/>
        <w:ind w:firstLine="0" w:firstLineChars="0"/>
        <w:jc w:val="center"/>
        <w:rPr>
          <w:b/>
          <w:sz w:val="32"/>
          <w:szCs w:val="32"/>
          <w:highlight w:val="none"/>
        </w:rPr>
      </w:pPr>
    </w:p>
    <w:p w14:paraId="698040EA">
      <w:pPr>
        <w:jc w:val="center"/>
        <w:rPr>
          <w:rFonts w:ascii="黑体" w:hAnsi="Calibri" w:eastAsia="黑体" w:cs="黑体"/>
          <w:sz w:val="44"/>
          <w:szCs w:val="44"/>
          <w:highlight w:val="none"/>
        </w:rPr>
      </w:pPr>
      <w:r>
        <w:rPr>
          <w:rFonts w:hint="eastAsia" w:ascii="黑体" w:hAnsi="Calibri" w:eastAsia="黑体" w:cs="黑体"/>
          <w:sz w:val="44"/>
          <w:szCs w:val="44"/>
          <w:highlight w:val="none"/>
          <w:lang w:bidi="ar"/>
        </w:rPr>
        <w:t>重汽汽车金融有限公司</w:t>
      </w:r>
    </w:p>
    <w:p w14:paraId="4B407C1E">
      <w:pPr>
        <w:spacing w:line="380" w:lineRule="exact"/>
        <w:jc w:val="center"/>
        <w:rPr>
          <w:rFonts w:ascii="黑体" w:hAnsi="Calibri" w:eastAsia="黑体" w:cs="黑体"/>
          <w:sz w:val="44"/>
          <w:szCs w:val="44"/>
          <w:highlight w:val="none"/>
        </w:rPr>
      </w:pPr>
    </w:p>
    <w:p w14:paraId="4FC61DD2">
      <w:pPr>
        <w:spacing w:before="156" w:beforeLines="50" w:line="380" w:lineRule="exact"/>
        <w:jc w:val="center"/>
        <w:rPr>
          <w:rFonts w:ascii="黑体" w:hAnsi="Calibri" w:eastAsia="黑体" w:cs="黑体"/>
          <w:sz w:val="44"/>
          <w:szCs w:val="44"/>
          <w:highlight w:val="none"/>
        </w:rPr>
      </w:pPr>
      <w:r>
        <w:rPr>
          <w:rFonts w:hint="eastAsia" w:ascii="黑体" w:hAnsi="Calibri" w:eastAsia="黑体" w:cs="黑体"/>
          <w:sz w:val="44"/>
          <w:szCs w:val="44"/>
          <w:highlight w:val="none"/>
          <w:lang w:bidi="ar"/>
        </w:rPr>
        <w:t>二〇二</w:t>
      </w:r>
      <w:r>
        <w:rPr>
          <w:rFonts w:hint="eastAsia" w:ascii="黑体" w:hAnsi="Calibri" w:eastAsia="黑体" w:cs="黑体"/>
          <w:sz w:val="44"/>
          <w:szCs w:val="44"/>
          <w:highlight w:val="none"/>
          <w:lang w:val="en-US" w:eastAsia="zh-CN" w:bidi="ar"/>
        </w:rPr>
        <w:t>六</w:t>
      </w:r>
      <w:r>
        <w:rPr>
          <w:rFonts w:hint="eastAsia" w:ascii="黑体" w:hAnsi="Calibri" w:eastAsia="黑体" w:cs="黑体"/>
          <w:sz w:val="44"/>
          <w:szCs w:val="44"/>
          <w:highlight w:val="none"/>
          <w:lang w:bidi="ar"/>
        </w:rPr>
        <w:t>年</w:t>
      </w:r>
      <w:r>
        <w:rPr>
          <w:rFonts w:hint="eastAsia" w:ascii="黑体" w:hAnsi="Calibri" w:eastAsia="黑体" w:cs="黑体"/>
          <w:sz w:val="44"/>
          <w:szCs w:val="44"/>
          <w:highlight w:val="none"/>
          <w:lang w:val="en-US" w:eastAsia="zh-CN" w:bidi="ar"/>
        </w:rPr>
        <w:t>三</w:t>
      </w:r>
      <w:r>
        <w:rPr>
          <w:rFonts w:hint="eastAsia" w:ascii="黑体" w:hAnsi="Calibri" w:eastAsia="黑体" w:cs="黑体"/>
          <w:sz w:val="44"/>
          <w:szCs w:val="44"/>
          <w:highlight w:val="none"/>
          <w:lang w:bidi="ar"/>
        </w:rPr>
        <w:t>月</w:t>
      </w:r>
    </w:p>
    <w:p w14:paraId="26D3871A">
      <w:pPr>
        <w:pStyle w:val="19"/>
        <w:widowControl/>
        <w:tabs>
          <w:tab w:val="right" w:leader="dot" w:pos="8705"/>
        </w:tabs>
        <w:jc w:val="center"/>
        <w:rPr>
          <w:highlight w:val="none"/>
          <w:lang w:bidi="ar"/>
        </w:rPr>
      </w:pPr>
      <w:r>
        <w:rPr>
          <w:color w:val="FF0000"/>
          <w:highlight w:val="none"/>
          <w:lang w:bidi="ar"/>
        </w:rPr>
        <w:br w:type="page"/>
      </w:r>
    </w:p>
    <w:sdt>
      <w:sdtPr>
        <w:rPr>
          <w:rFonts w:asciiTheme="minorHAnsi" w:hAnsiTheme="minorHAnsi" w:eastAsiaTheme="minorEastAsia" w:cstheme="minorBidi"/>
          <w:color w:val="auto"/>
          <w:kern w:val="2"/>
          <w:sz w:val="21"/>
          <w:szCs w:val="24"/>
          <w:highlight w:val="none"/>
          <w:lang w:val="zh-CN"/>
        </w:rPr>
        <w:id w:val="208618770"/>
        <w:docPartObj>
          <w:docPartGallery w:val="Table of Contents"/>
          <w:docPartUnique/>
        </w:docPartObj>
      </w:sdtPr>
      <w:sdtEndPr>
        <w:rPr>
          <w:rFonts w:asciiTheme="minorHAnsi" w:hAnsiTheme="minorHAnsi" w:eastAsiaTheme="minorEastAsia" w:cstheme="minorBidi"/>
          <w:b/>
          <w:bCs/>
          <w:color w:val="auto"/>
          <w:kern w:val="2"/>
          <w:sz w:val="21"/>
          <w:szCs w:val="24"/>
          <w:highlight w:val="none"/>
          <w:lang w:val="zh-CN"/>
        </w:rPr>
      </w:sdtEndPr>
      <w:sdtContent>
        <w:p w14:paraId="61205BFD">
          <w:pPr>
            <w:pStyle w:val="82"/>
            <w:rPr>
              <w:highlight w:val="none"/>
            </w:rPr>
          </w:pPr>
          <w:r>
            <w:rPr>
              <w:highlight w:val="none"/>
              <w:lang w:val="zh-CN"/>
            </w:rPr>
            <w:t>目录</w:t>
          </w:r>
        </w:p>
        <w:p w14:paraId="5BDECC2E">
          <w:pPr>
            <w:pStyle w:val="19"/>
            <w:tabs>
              <w:tab w:val="right" w:leader="dot" w:pos="8715"/>
            </w:tabs>
          </w:pPr>
          <w:r>
            <w:rPr>
              <w:highlight w:val="none"/>
            </w:rPr>
            <w:fldChar w:fldCharType="begin"/>
          </w:r>
          <w:r>
            <w:rPr>
              <w:highlight w:val="none"/>
            </w:rPr>
            <w:instrText xml:space="preserve"> TOC \o "1-3" \h \z \u </w:instrText>
          </w:r>
          <w:r>
            <w:rPr>
              <w:highlight w:val="none"/>
            </w:rPr>
            <w:fldChar w:fldCharType="separate"/>
          </w:r>
          <w:r>
            <w:rPr>
              <w:bCs/>
              <w:highlight w:val="none"/>
              <w:lang w:val="zh-CN"/>
            </w:rPr>
            <w:fldChar w:fldCharType="begin"/>
          </w:r>
          <w:r>
            <w:rPr>
              <w:bCs/>
              <w:highlight w:val="none"/>
              <w:lang w:val="zh-CN"/>
            </w:rPr>
            <w:instrText xml:space="preserve"> HYPERLINK \l _Toc13041 </w:instrText>
          </w:r>
          <w:r>
            <w:rPr>
              <w:bCs/>
              <w:highlight w:val="none"/>
              <w:lang w:val="zh-CN"/>
            </w:rPr>
            <w:fldChar w:fldCharType="separate"/>
          </w:r>
          <w:r>
            <w:rPr>
              <w:rFonts w:hint="default" w:cs="宋体"/>
            </w:rPr>
            <w:t xml:space="preserve">1. </w:t>
          </w:r>
          <w:r>
            <w:rPr>
              <w:rFonts w:hint="eastAsia"/>
              <w:highlight w:val="none"/>
            </w:rPr>
            <w:t>项目名称</w:t>
          </w:r>
          <w:r>
            <w:tab/>
          </w:r>
          <w:r>
            <w:fldChar w:fldCharType="begin"/>
          </w:r>
          <w:r>
            <w:instrText xml:space="preserve"> PAGEREF _Toc13041 \h </w:instrText>
          </w:r>
          <w:r>
            <w:fldChar w:fldCharType="separate"/>
          </w:r>
          <w:r>
            <w:t>1</w:t>
          </w:r>
          <w:r>
            <w:fldChar w:fldCharType="end"/>
          </w:r>
          <w:r>
            <w:rPr>
              <w:bCs/>
              <w:highlight w:val="none"/>
              <w:lang w:val="zh-CN"/>
            </w:rPr>
            <w:fldChar w:fldCharType="end"/>
          </w:r>
        </w:p>
        <w:p w14:paraId="74FDB7C1">
          <w:pPr>
            <w:pStyle w:val="19"/>
            <w:tabs>
              <w:tab w:val="right" w:leader="dot" w:pos="8715"/>
            </w:tabs>
          </w:pPr>
          <w:r>
            <w:rPr>
              <w:bCs/>
              <w:highlight w:val="none"/>
              <w:lang w:val="zh-CN"/>
            </w:rPr>
            <w:fldChar w:fldCharType="begin"/>
          </w:r>
          <w:r>
            <w:rPr>
              <w:bCs/>
              <w:highlight w:val="none"/>
              <w:lang w:val="zh-CN"/>
            </w:rPr>
            <w:instrText xml:space="preserve"> HYPERLINK \l _Toc10359 </w:instrText>
          </w:r>
          <w:r>
            <w:rPr>
              <w:bCs/>
              <w:highlight w:val="none"/>
              <w:lang w:val="zh-CN"/>
            </w:rPr>
            <w:fldChar w:fldCharType="separate"/>
          </w:r>
          <w:r>
            <w:rPr>
              <w:rFonts w:hint="default" w:cs="宋体"/>
            </w:rPr>
            <w:t xml:space="preserve">2. </w:t>
          </w:r>
          <w:r>
            <w:rPr>
              <w:rFonts w:hint="eastAsia" w:cs="宋体"/>
              <w:highlight w:val="none"/>
            </w:rPr>
            <w:t>招标内容及形式</w:t>
          </w:r>
          <w:r>
            <w:tab/>
          </w:r>
          <w:r>
            <w:fldChar w:fldCharType="begin"/>
          </w:r>
          <w:r>
            <w:instrText xml:space="preserve"> PAGEREF _Toc10359 \h </w:instrText>
          </w:r>
          <w:r>
            <w:fldChar w:fldCharType="separate"/>
          </w:r>
          <w:r>
            <w:t>2</w:t>
          </w:r>
          <w:r>
            <w:fldChar w:fldCharType="end"/>
          </w:r>
          <w:r>
            <w:rPr>
              <w:bCs/>
              <w:highlight w:val="none"/>
              <w:lang w:val="zh-CN"/>
            </w:rPr>
            <w:fldChar w:fldCharType="end"/>
          </w:r>
        </w:p>
        <w:p w14:paraId="103E461C">
          <w:pPr>
            <w:pStyle w:val="21"/>
            <w:tabs>
              <w:tab w:val="right" w:leader="dot" w:pos="8715"/>
            </w:tabs>
          </w:pPr>
          <w:r>
            <w:rPr>
              <w:bCs/>
              <w:highlight w:val="none"/>
              <w:lang w:val="zh-CN"/>
            </w:rPr>
            <w:fldChar w:fldCharType="begin"/>
          </w:r>
          <w:r>
            <w:rPr>
              <w:bCs/>
              <w:highlight w:val="none"/>
              <w:lang w:val="zh-CN"/>
            </w:rPr>
            <w:instrText xml:space="preserve"> HYPERLINK \l _Toc26456 </w:instrText>
          </w:r>
          <w:r>
            <w:rPr>
              <w:bCs/>
              <w:highlight w:val="none"/>
              <w:lang w:val="zh-CN"/>
            </w:rPr>
            <w:fldChar w:fldCharType="separate"/>
          </w:r>
          <w:r>
            <w:rPr>
              <w:rFonts w:ascii="Calibri" w:hAnsi="Calibri"/>
              <w:bCs/>
              <w:szCs w:val="24"/>
              <w:highlight w:val="none"/>
            </w:rPr>
            <w:t>2.1</w:t>
          </w:r>
          <w:r>
            <w:rPr>
              <w:rFonts w:hint="eastAsia" w:ascii="Calibri" w:hAnsi="Calibri" w:cs="宋体"/>
              <w:bCs/>
              <w:szCs w:val="24"/>
              <w:highlight w:val="none"/>
            </w:rPr>
            <w:t>招标内容</w:t>
          </w:r>
          <w:r>
            <w:rPr>
              <w:rFonts w:hint="eastAsia" w:ascii="Calibri" w:hAnsi="Calibri" w:cs="宋体"/>
              <w:bCs/>
              <w:szCs w:val="24"/>
              <w:highlight w:val="none"/>
              <w:lang w:eastAsia="zh-CN"/>
            </w:rPr>
            <w:t>－</w:t>
          </w:r>
          <w:r>
            <w:rPr>
              <w:rFonts w:hint="eastAsia" w:ascii="宋体" w:hAnsi="宋体" w:cs="宋体"/>
              <w:szCs w:val="24"/>
              <w:highlight w:val="none"/>
            </w:rPr>
            <w:t>重汽汽车金融有限公司</w:t>
          </w:r>
          <w:r>
            <w:rPr>
              <w:rFonts w:hint="eastAsia" w:ascii="宋体" w:hAnsi="宋体" w:cs="宋体"/>
              <w:szCs w:val="24"/>
              <w:highlight w:val="none"/>
              <w:lang w:val="en-US" w:eastAsia="zh-CN"/>
            </w:rPr>
            <w:t>内部控制外部审计</w:t>
          </w:r>
          <w:r>
            <w:rPr>
              <w:rFonts w:hint="eastAsia" w:ascii="宋体" w:hAnsi="宋体" w:cs="宋体"/>
              <w:szCs w:val="24"/>
              <w:highlight w:val="none"/>
            </w:rPr>
            <w:t>项目</w:t>
          </w:r>
          <w:r>
            <w:tab/>
          </w:r>
          <w:r>
            <w:fldChar w:fldCharType="begin"/>
          </w:r>
          <w:r>
            <w:instrText xml:space="preserve"> PAGEREF _Toc26456 \h </w:instrText>
          </w:r>
          <w:r>
            <w:fldChar w:fldCharType="separate"/>
          </w:r>
          <w:r>
            <w:t>2</w:t>
          </w:r>
          <w:r>
            <w:fldChar w:fldCharType="end"/>
          </w:r>
          <w:r>
            <w:rPr>
              <w:bCs/>
              <w:highlight w:val="none"/>
              <w:lang w:val="zh-CN"/>
            </w:rPr>
            <w:fldChar w:fldCharType="end"/>
          </w:r>
        </w:p>
        <w:p w14:paraId="1C99EFF3">
          <w:pPr>
            <w:pStyle w:val="21"/>
            <w:tabs>
              <w:tab w:val="right" w:leader="dot" w:pos="8715"/>
            </w:tabs>
          </w:pPr>
          <w:r>
            <w:rPr>
              <w:bCs/>
              <w:highlight w:val="none"/>
              <w:lang w:val="zh-CN"/>
            </w:rPr>
            <w:fldChar w:fldCharType="begin"/>
          </w:r>
          <w:r>
            <w:rPr>
              <w:bCs/>
              <w:highlight w:val="none"/>
              <w:lang w:val="zh-CN"/>
            </w:rPr>
            <w:instrText xml:space="preserve"> HYPERLINK \l _Toc24649 </w:instrText>
          </w:r>
          <w:r>
            <w:rPr>
              <w:bCs/>
              <w:highlight w:val="none"/>
              <w:lang w:val="zh-CN"/>
            </w:rPr>
            <w:fldChar w:fldCharType="separate"/>
          </w:r>
          <w:r>
            <w:rPr>
              <w:rFonts w:ascii="Calibri" w:hAnsi="Calibri"/>
              <w:bCs/>
              <w:szCs w:val="24"/>
              <w:highlight w:val="none"/>
            </w:rPr>
            <w:t>2.2</w:t>
          </w:r>
          <w:r>
            <w:rPr>
              <w:rFonts w:hint="eastAsia" w:ascii="Calibri" w:hAnsi="Calibri" w:cs="宋体"/>
              <w:bCs/>
              <w:szCs w:val="24"/>
              <w:highlight w:val="none"/>
            </w:rPr>
            <w:t>招标形式</w:t>
          </w:r>
          <w:r>
            <w:rPr>
              <w:rFonts w:hint="eastAsia" w:ascii="宋体" w:hAnsi="宋体" w:cs="宋体"/>
              <w:kern w:val="0"/>
              <w:szCs w:val="24"/>
              <w:highlight w:val="none"/>
            </w:rPr>
            <w:t>-</w:t>
          </w:r>
          <w:r>
            <w:rPr>
              <w:rFonts w:hint="eastAsia" w:ascii="宋体" w:hAnsi="宋体" w:cs="宋体"/>
              <w:szCs w:val="24"/>
              <w:highlight w:val="none"/>
              <w:lang w:val="en-US" w:eastAsia="zh-CN"/>
            </w:rPr>
            <w:t>公开</w:t>
          </w:r>
          <w:r>
            <w:rPr>
              <w:rFonts w:hint="eastAsia" w:ascii="宋体" w:hAnsi="宋体" w:cs="宋体"/>
              <w:szCs w:val="24"/>
              <w:highlight w:val="none"/>
            </w:rPr>
            <w:t>招标</w:t>
          </w:r>
          <w:r>
            <w:tab/>
          </w:r>
          <w:r>
            <w:fldChar w:fldCharType="begin"/>
          </w:r>
          <w:r>
            <w:instrText xml:space="preserve"> PAGEREF _Toc24649 \h </w:instrText>
          </w:r>
          <w:r>
            <w:fldChar w:fldCharType="separate"/>
          </w:r>
          <w:r>
            <w:t>2</w:t>
          </w:r>
          <w:r>
            <w:fldChar w:fldCharType="end"/>
          </w:r>
          <w:r>
            <w:rPr>
              <w:bCs/>
              <w:highlight w:val="none"/>
              <w:lang w:val="zh-CN"/>
            </w:rPr>
            <w:fldChar w:fldCharType="end"/>
          </w:r>
        </w:p>
        <w:p w14:paraId="0EB41A5D">
          <w:pPr>
            <w:pStyle w:val="21"/>
            <w:tabs>
              <w:tab w:val="right" w:leader="dot" w:pos="8715"/>
            </w:tabs>
          </w:pPr>
          <w:r>
            <w:rPr>
              <w:bCs/>
              <w:highlight w:val="none"/>
              <w:lang w:val="zh-CN"/>
            </w:rPr>
            <w:fldChar w:fldCharType="begin"/>
          </w:r>
          <w:r>
            <w:rPr>
              <w:bCs/>
              <w:highlight w:val="none"/>
              <w:lang w:val="zh-CN"/>
            </w:rPr>
            <w:instrText xml:space="preserve"> HYPERLINK \l _Toc22764 </w:instrText>
          </w:r>
          <w:r>
            <w:rPr>
              <w:bCs/>
              <w:highlight w:val="none"/>
              <w:lang w:val="zh-CN"/>
            </w:rPr>
            <w:fldChar w:fldCharType="separate"/>
          </w:r>
          <w:r>
            <w:rPr>
              <w:rFonts w:ascii="Calibri" w:hAnsi="Calibri"/>
              <w:bCs/>
              <w:szCs w:val="24"/>
              <w:highlight w:val="none"/>
            </w:rPr>
            <w:t>2.3</w:t>
          </w:r>
          <w:r>
            <w:rPr>
              <w:rFonts w:hint="eastAsia" w:ascii="Calibri" w:hAnsi="Calibri"/>
              <w:bCs/>
              <w:szCs w:val="24"/>
              <w:highlight w:val="none"/>
            </w:rPr>
            <w:t>议程安排</w:t>
          </w:r>
          <w:r>
            <w:tab/>
          </w:r>
          <w:r>
            <w:fldChar w:fldCharType="begin"/>
          </w:r>
          <w:r>
            <w:instrText xml:space="preserve"> PAGEREF _Toc22764 \h </w:instrText>
          </w:r>
          <w:r>
            <w:fldChar w:fldCharType="separate"/>
          </w:r>
          <w:r>
            <w:t>2</w:t>
          </w:r>
          <w:r>
            <w:fldChar w:fldCharType="end"/>
          </w:r>
          <w:r>
            <w:rPr>
              <w:bCs/>
              <w:highlight w:val="none"/>
              <w:lang w:val="zh-CN"/>
            </w:rPr>
            <w:fldChar w:fldCharType="end"/>
          </w:r>
        </w:p>
        <w:p w14:paraId="679D6CC0">
          <w:pPr>
            <w:pStyle w:val="19"/>
            <w:tabs>
              <w:tab w:val="right" w:leader="dot" w:pos="8715"/>
            </w:tabs>
          </w:pPr>
          <w:r>
            <w:rPr>
              <w:bCs/>
              <w:highlight w:val="none"/>
              <w:lang w:val="zh-CN"/>
            </w:rPr>
            <w:fldChar w:fldCharType="begin"/>
          </w:r>
          <w:r>
            <w:rPr>
              <w:bCs/>
              <w:highlight w:val="none"/>
              <w:lang w:val="zh-CN"/>
            </w:rPr>
            <w:instrText xml:space="preserve"> HYPERLINK \l _Toc30735 </w:instrText>
          </w:r>
          <w:r>
            <w:rPr>
              <w:bCs/>
              <w:highlight w:val="none"/>
              <w:lang w:val="zh-CN"/>
            </w:rPr>
            <w:fldChar w:fldCharType="separate"/>
          </w:r>
          <w:r>
            <w:rPr>
              <w:rFonts w:hint="default" w:cs="宋体"/>
            </w:rPr>
            <w:t xml:space="preserve">3. </w:t>
          </w:r>
          <w:r>
            <w:rPr>
              <w:rFonts w:hint="eastAsia" w:cs="宋体"/>
              <w:highlight w:val="none"/>
            </w:rPr>
            <w:t>有关说明</w:t>
          </w:r>
          <w:r>
            <w:tab/>
          </w:r>
          <w:r>
            <w:fldChar w:fldCharType="begin"/>
          </w:r>
          <w:r>
            <w:instrText xml:space="preserve"> PAGEREF _Toc30735 \h </w:instrText>
          </w:r>
          <w:r>
            <w:fldChar w:fldCharType="separate"/>
          </w:r>
          <w:r>
            <w:t>3</w:t>
          </w:r>
          <w:r>
            <w:fldChar w:fldCharType="end"/>
          </w:r>
          <w:r>
            <w:rPr>
              <w:bCs/>
              <w:highlight w:val="none"/>
              <w:lang w:val="zh-CN"/>
            </w:rPr>
            <w:fldChar w:fldCharType="end"/>
          </w:r>
        </w:p>
        <w:p w14:paraId="25B97F6F">
          <w:pPr>
            <w:pStyle w:val="21"/>
            <w:tabs>
              <w:tab w:val="right" w:leader="dot" w:pos="8715"/>
            </w:tabs>
          </w:pPr>
          <w:r>
            <w:rPr>
              <w:bCs/>
              <w:highlight w:val="none"/>
              <w:lang w:val="zh-CN"/>
            </w:rPr>
            <w:fldChar w:fldCharType="begin"/>
          </w:r>
          <w:r>
            <w:rPr>
              <w:bCs/>
              <w:highlight w:val="none"/>
              <w:lang w:val="zh-CN"/>
            </w:rPr>
            <w:instrText xml:space="preserve"> HYPERLINK \l _Toc9518 </w:instrText>
          </w:r>
          <w:r>
            <w:rPr>
              <w:bCs/>
              <w:highlight w:val="none"/>
              <w:lang w:val="zh-CN"/>
            </w:rPr>
            <w:fldChar w:fldCharType="separate"/>
          </w:r>
          <w:r>
            <w:rPr>
              <w:rFonts w:hint="eastAsia" w:ascii="Calibri" w:hAnsi="Calibri"/>
              <w:bCs/>
              <w:szCs w:val="24"/>
              <w:highlight w:val="none"/>
              <w:lang w:val="en-US" w:eastAsia="zh-CN"/>
            </w:rPr>
            <w:t>3.1</w:t>
          </w:r>
          <w:r>
            <w:rPr>
              <w:rFonts w:ascii="Calibri" w:hAnsi="Calibri"/>
              <w:bCs/>
              <w:szCs w:val="24"/>
              <w:highlight w:val="none"/>
            </w:rPr>
            <w:t>总则</w:t>
          </w:r>
          <w:r>
            <w:tab/>
          </w:r>
          <w:r>
            <w:fldChar w:fldCharType="begin"/>
          </w:r>
          <w:r>
            <w:instrText xml:space="preserve"> PAGEREF _Toc9518 \h </w:instrText>
          </w:r>
          <w:r>
            <w:fldChar w:fldCharType="separate"/>
          </w:r>
          <w:r>
            <w:t>3</w:t>
          </w:r>
          <w:r>
            <w:fldChar w:fldCharType="end"/>
          </w:r>
          <w:r>
            <w:rPr>
              <w:bCs/>
              <w:highlight w:val="none"/>
              <w:lang w:val="zh-CN"/>
            </w:rPr>
            <w:fldChar w:fldCharType="end"/>
          </w:r>
        </w:p>
        <w:p w14:paraId="6847C299">
          <w:pPr>
            <w:pStyle w:val="21"/>
            <w:tabs>
              <w:tab w:val="right" w:leader="dot" w:pos="8715"/>
            </w:tabs>
          </w:pPr>
          <w:r>
            <w:rPr>
              <w:bCs/>
              <w:highlight w:val="none"/>
              <w:lang w:val="zh-CN"/>
            </w:rPr>
            <w:fldChar w:fldCharType="begin"/>
          </w:r>
          <w:r>
            <w:rPr>
              <w:bCs/>
              <w:highlight w:val="none"/>
              <w:lang w:val="zh-CN"/>
            </w:rPr>
            <w:instrText xml:space="preserve"> HYPERLINK \l _Toc19756 </w:instrText>
          </w:r>
          <w:r>
            <w:rPr>
              <w:bCs/>
              <w:highlight w:val="none"/>
              <w:lang w:val="zh-CN"/>
            </w:rPr>
            <w:fldChar w:fldCharType="separate"/>
          </w:r>
          <w:r>
            <w:rPr>
              <w:rFonts w:ascii="Calibri" w:hAnsi="Calibri"/>
              <w:bCs/>
              <w:szCs w:val="24"/>
              <w:highlight w:val="none"/>
            </w:rPr>
            <w:t>根据《中华人民共和国招标投标法》及《</w:t>
          </w:r>
          <w:r>
            <w:rPr>
              <w:rFonts w:hint="eastAsia" w:ascii="Calibri" w:hAnsi="Calibri"/>
              <w:bCs/>
              <w:szCs w:val="24"/>
              <w:highlight w:val="none"/>
              <w:lang w:eastAsia="zh-CN"/>
            </w:rPr>
            <w:t>中华人民共和国民法典</w:t>
          </w:r>
          <w:r>
            <w:rPr>
              <w:rFonts w:ascii="Calibri" w:hAnsi="Calibri"/>
              <w:bCs/>
              <w:szCs w:val="24"/>
              <w:highlight w:val="none"/>
            </w:rPr>
            <w:t>》相关规定，对</w:t>
          </w:r>
          <w:r>
            <w:rPr>
              <w:rFonts w:ascii="Calibri" w:hAnsi="Calibri"/>
              <w:bCs/>
              <w:highlight w:val="none"/>
            </w:rPr>
            <w:t>重汽汽车金融有限公司</w:t>
          </w:r>
          <w:r>
            <w:rPr>
              <w:rFonts w:hint="eastAsia" w:ascii="Calibri" w:hAnsi="Calibri"/>
              <w:bCs/>
              <w:highlight w:val="none"/>
              <w:lang w:eastAsia="zh-CN"/>
            </w:rPr>
            <w:t>内部</w:t>
          </w:r>
          <w:r>
            <w:rPr>
              <w:rFonts w:hint="eastAsia" w:ascii="Calibri" w:hAnsi="Calibri"/>
              <w:bCs/>
              <w:highlight w:val="none"/>
              <w:lang w:val="en-US" w:eastAsia="zh-CN"/>
            </w:rPr>
            <w:t>控制外部审计</w:t>
          </w:r>
          <w:r>
            <w:rPr>
              <w:rFonts w:ascii="Calibri" w:hAnsi="Calibri"/>
              <w:bCs/>
              <w:highlight w:val="none"/>
            </w:rPr>
            <w:t>项目</w:t>
          </w:r>
          <w:r>
            <w:rPr>
              <w:rFonts w:ascii="Calibri" w:hAnsi="Calibri"/>
              <w:bCs/>
              <w:szCs w:val="24"/>
              <w:highlight w:val="none"/>
            </w:rPr>
            <w:t>进行招标。</w:t>
          </w:r>
          <w:r>
            <w:tab/>
          </w:r>
          <w:r>
            <w:fldChar w:fldCharType="begin"/>
          </w:r>
          <w:r>
            <w:instrText xml:space="preserve"> PAGEREF _Toc19756 \h </w:instrText>
          </w:r>
          <w:r>
            <w:fldChar w:fldCharType="separate"/>
          </w:r>
          <w:r>
            <w:t>3</w:t>
          </w:r>
          <w:r>
            <w:fldChar w:fldCharType="end"/>
          </w:r>
          <w:r>
            <w:rPr>
              <w:bCs/>
              <w:highlight w:val="none"/>
              <w:lang w:val="zh-CN"/>
            </w:rPr>
            <w:fldChar w:fldCharType="end"/>
          </w:r>
        </w:p>
        <w:p w14:paraId="701847BF">
          <w:pPr>
            <w:pStyle w:val="21"/>
            <w:tabs>
              <w:tab w:val="right" w:leader="dot" w:pos="8715"/>
            </w:tabs>
          </w:pPr>
          <w:r>
            <w:rPr>
              <w:bCs/>
              <w:highlight w:val="none"/>
              <w:lang w:val="zh-CN"/>
            </w:rPr>
            <w:fldChar w:fldCharType="begin"/>
          </w:r>
          <w:r>
            <w:rPr>
              <w:bCs/>
              <w:highlight w:val="none"/>
              <w:lang w:val="zh-CN"/>
            </w:rPr>
            <w:instrText xml:space="preserve"> HYPERLINK \l _Toc6738 </w:instrText>
          </w:r>
          <w:r>
            <w:rPr>
              <w:bCs/>
              <w:highlight w:val="none"/>
              <w:lang w:val="zh-CN"/>
            </w:rPr>
            <w:fldChar w:fldCharType="separate"/>
          </w:r>
          <w:r>
            <w:rPr>
              <w:rFonts w:hint="eastAsia" w:ascii="Calibri" w:hAnsi="Calibri"/>
              <w:bCs/>
              <w:szCs w:val="24"/>
              <w:highlight w:val="none"/>
              <w:lang w:val="en-US" w:eastAsia="zh-CN"/>
            </w:rPr>
            <w:t>3.2</w:t>
          </w:r>
          <w:r>
            <w:rPr>
              <w:rFonts w:ascii="Calibri" w:hAnsi="Calibri"/>
              <w:bCs/>
              <w:szCs w:val="24"/>
              <w:highlight w:val="none"/>
            </w:rPr>
            <w:t>定义</w:t>
          </w:r>
          <w:r>
            <w:tab/>
          </w:r>
          <w:r>
            <w:fldChar w:fldCharType="begin"/>
          </w:r>
          <w:r>
            <w:instrText xml:space="preserve"> PAGEREF _Toc6738 \h </w:instrText>
          </w:r>
          <w:r>
            <w:fldChar w:fldCharType="separate"/>
          </w:r>
          <w:r>
            <w:t>3</w:t>
          </w:r>
          <w:r>
            <w:fldChar w:fldCharType="end"/>
          </w:r>
          <w:r>
            <w:rPr>
              <w:bCs/>
              <w:highlight w:val="none"/>
              <w:lang w:val="zh-CN"/>
            </w:rPr>
            <w:fldChar w:fldCharType="end"/>
          </w:r>
        </w:p>
        <w:p w14:paraId="4686311D">
          <w:pPr>
            <w:pStyle w:val="21"/>
            <w:tabs>
              <w:tab w:val="right" w:leader="dot" w:pos="8715"/>
            </w:tabs>
          </w:pPr>
          <w:r>
            <w:rPr>
              <w:bCs/>
              <w:highlight w:val="none"/>
              <w:lang w:val="zh-CN"/>
            </w:rPr>
            <w:fldChar w:fldCharType="begin"/>
          </w:r>
          <w:r>
            <w:rPr>
              <w:bCs/>
              <w:highlight w:val="none"/>
              <w:lang w:val="zh-CN"/>
            </w:rPr>
            <w:instrText xml:space="preserve"> HYPERLINK \l _Toc10739 </w:instrText>
          </w:r>
          <w:r>
            <w:rPr>
              <w:bCs/>
              <w:highlight w:val="none"/>
              <w:lang w:val="zh-CN"/>
            </w:rPr>
            <w:fldChar w:fldCharType="separate"/>
          </w:r>
          <w:r>
            <w:rPr>
              <w:rFonts w:hint="eastAsia" w:ascii="Calibri" w:hAnsi="Calibri"/>
              <w:bCs/>
              <w:szCs w:val="24"/>
              <w:highlight w:val="none"/>
              <w:lang w:val="en-US" w:eastAsia="zh-CN"/>
            </w:rPr>
            <w:t>1）</w:t>
          </w:r>
          <w:r>
            <w:rPr>
              <w:rFonts w:ascii="Calibri" w:hAnsi="Calibri"/>
              <w:bCs/>
              <w:szCs w:val="24"/>
              <w:highlight w:val="none"/>
            </w:rPr>
            <w:t>招标人：重汽汽车金融有限公司</w:t>
          </w:r>
          <w:r>
            <w:tab/>
          </w:r>
          <w:r>
            <w:fldChar w:fldCharType="begin"/>
          </w:r>
          <w:r>
            <w:instrText xml:space="preserve"> PAGEREF _Toc10739 \h </w:instrText>
          </w:r>
          <w:r>
            <w:fldChar w:fldCharType="separate"/>
          </w:r>
          <w:r>
            <w:t>3</w:t>
          </w:r>
          <w:r>
            <w:fldChar w:fldCharType="end"/>
          </w:r>
          <w:r>
            <w:rPr>
              <w:bCs/>
              <w:highlight w:val="none"/>
              <w:lang w:val="zh-CN"/>
            </w:rPr>
            <w:fldChar w:fldCharType="end"/>
          </w:r>
        </w:p>
        <w:p w14:paraId="3881519B">
          <w:pPr>
            <w:pStyle w:val="21"/>
            <w:tabs>
              <w:tab w:val="right" w:leader="dot" w:pos="8715"/>
            </w:tabs>
          </w:pPr>
          <w:r>
            <w:rPr>
              <w:bCs/>
              <w:highlight w:val="none"/>
              <w:lang w:val="zh-CN"/>
            </w:rPr>
            <w:fldChar w:fldCharType="begin"/>
          </w:r>
          <w:r>
            <w:rPr>
              <w:bCs/>
              <w:highlight w:val="none"/>
              <w:lang w:val="zh-CN"/>
            </w:rPr>
            <w:instrText xml:space="preserve"> HYPERLINK \l _Toc644 </w:instrText>
          </w:r>
          <w:r>
            <w:rPr>
              <w:bCs/>
              <w:highlight w:val="none"/>
              <w:lang w:val="zh-CN"/>
            </w:rPr>
            <w:fldChar w:fldCharType="separate"/>
          </w:r>
          <w:r>
            <w:rPr>
              <w:rFonts w:hint="eastAsia" w:ascii="Calibri" w:hAnsi="Calibri"/>
              <w:bCs/>
              <w:szCs w:val="24"/>
              <w:highlight w:val="none"/>
              <w:lang w:val="en-US" w:eastAsia="zh-CN"/>
            </w:rPr>
            <w:t>2）</w:t>
          </w:r>
          <w:r>
            <w:rPr>
              <w:rFonts w:ascii="Calibri" w:hAnsi="Calibri"/>
              <w:bCs/>
              <w:szCs w:val="24"/>
              <w:highlight w:val="none"/>
            </w:rPr>
            <w:t>投标人：由招标人认可的符合投标资格的参加本项目投标的供应商</w:t>
          </w:r>
          <w:r>
            <w:tab/>
          </w:r>
          <w:r>
            <w:fldChar w:fldCharType="begin"/>
          </w:r>
          <w:r>
            <w:instrText xml:space="preserve"> PAGEREF _Toc644 \h </w:instrText>
          </w:r>
          <w:r>
            <w:fldChar w:fldCharType="separate"/>
          </w:r>
          <w:r>
            <w:t>3</w:t>
          </w:r>
          <w:r>
            <w:fldChar w:fldCharType="end"/>
          </w:r>
          <w:r>
            <w:rPr>
              <w:bCs/>
              <w:highlight w:val="none"/>
              <w:lang w:val="zh-CN"/>
            </w:rPr>
            <w:fldChar w:fldCharType="end"/>
          </w:r>
        </w:p>
        <w:p w14:paraId="2C3ECBA6">
          <w:pPr>
            <w:pStyle w:val="21"/>
            <w:tabs>
              <w:tab w:val="right" w:leader="dot" w:pos="8715"/>
            </w:tabs>
          </w:pPr>
          <w:r>
            <w:rPr>
              <w:bCs/>
              <w:highlight w:val="none"/>
              <w:lang w:val="zh-CN"/>
            </w:rPr>
            <w:fldChar w:fldCharType="begin"/>
          </w:r>
          <w:r>
            <w:rPr>
              <w:bCs/>
              <w:highlight w:val="none"/>
              <w:lang w:val="zh-CN"/>
            </w:rPr>
            <w:instrText xml:space="preserve"> HYPERLINK \l _Toc23648 </w:instrText>
          </w:r>
          <w:r>
            <w:rPr>
              <w:bCs/>
              <w:highlight w:val="none"/>
              <w:lang w:val="zh-CN"/>
            </w:rPr>
            <w:fldChar w:fldCharType="separate"/>
          </w:r>
          <w:r>
            <w:rPr>
              <w:rFonts w:hint="eastAsia" w:ascii="Calibri" w:hAnsi="Calibri"/>
              <w:bCs/>
              <w:szCs w:val="24"/>
              <w:highlight w:val="none"/>
              <w:lang w:val="en-US" w:eastAsia="zh-CN"/>
            </w:rPr>
            <w:t>3）</w:t>
          </w:r>
          <w:r>
            <w:rPr>
              <w:rFonts w:ascii="Calibri" w:hAnsi="Calibri"/>
              <w:bCs/>
              <w:szCs w:val="24"/>
              <w:highlight w:val="none"/>
            </w:rPr>
            <w:t>产品：指投标人为本项目提供的服务及项目交付物</w:t>
          </w:r>
          <w:r>
            <w:tab/>
          </w:r>
          <w:r>
            <w:fldChar w:fldCharType="begin"/>
          </w:r>
          <w:r>
            <w:instrText xml:space="preserve"> PAGEREF _Toc23648 \h </w:instrText>
          </w:r>
          <w:r>
            <w:fldChar w:fldCharType="separate"/>
          </w:r>
          <w:r>
            <w:t>3</w:t>
          </w:r>
          <w:r>
            <w:fldChar w:fldCharType="end"/>
          </w:r>
          <w:r>
            <w:rPr>
              <w:bCs/>
              <w:highlight w:val="none"/>
              <w:lang w:val="zh-CN"/>
            </w:rPr>
            <w:fldChar w:fldCharType="end"/>
          </w:r>
        </w:p>
        <w:p w14:paraId="0F2BBDCF">
          <w:pPr>
            <w:pStyle w:val="21"/>
            <w:tabs>
              <w:tab w:val="right" w:leader="dot" w:pos="8715"/>
            </w:tabs>
          </w:pPr>
          <w:r>
            <w:rPr>
              <w:bCs/>
              <w:highlight w:val="none"/>
              <w:lang w:val="zh-CN"/>
            </w:rPr>
            <w:fldChar w:fldCharType="begin"/>
          </w:r>
          <w:r>
            <w:rPr>
              <w:bCs/>
              <w:highlight w:val="none"/>
              <w:lang w:val="zh-CN"/>
            </w:rPr>
            <w:instrText xml:space="preserve"> HYPERLINK \l _Toc30289 </w:instrText>
          </w:r>
          <w:r>
            <w:rPr>
              <w:bCs/>
              <w:highlight w:val="none"/>
              <w:lang w:val="zh-CN"/>
            </w:rPr>
            <w:fldChar w:fldCharType="separate"/>
          </w:r>
          <w:r>
            <w:rPr>
              <w:rFonts w:hint="eastAsia" w:ascii="Calibri" w:hAnsi="Calibri"/>
              <w:bCs/>
              <w:szCs w:val="24"/>
              <w:highlight w:val="none"/>
              <w:lang w:val="en-US" w:eastAsia="zh-CN"/>
            </w:rPr>
            <w:t>4）</w:t>
          </w:r>
          <w:r>
            <w:rPr>
              <w:rFonts w:ascii="Calibri" w:hAnsi="Calibri"/>
              <w:bCs/>
              <w:szCs w:val="24"/>
              <w:highlight w:val="none"/>
            </w:rPr>
            <w:t>招标方式：本项目采用“</w:t>
          </w:r>
          <w:r>
            <w:rPr>
              <w:rFonts w:ascii="Calibri" w:hAnsi="Calibri"/>
              <w:bCs/>
              <w:highlight w:val="none"/>
            </w:rPr>
            <w:t>公开招标”</w:t>
          </w:r>
          <w:r>
            <w:rPr>
              <w:rFonts w:ascii="Calibri" w:hAnsi="Calibri"/>
              <w:bCs/>
              <w:szCs w:val="24"/>
              <w:highlight w:val="none"/>
            </w:rPr>
            <w:t>方式</w:t>
          </w:r>
          <w:r>
            <w:tab/>
          </w:r>
          <w:r>
            <w:fldChar w:fldCharType="begin"/>
          </w:r>
          <w:r>
            <w:instrText xml:space="preserve"> PAGEREF _Toc30289 \h </w:instrText>
          </w:r>
          <w:r>
            <w:fldChar w:fldCharType="separate"/>
          </w:r>
          <w:r>
            <w:t>3</w:t>
          </w:r>
          <w:r>
            <w:fldChar w:fldCharType="end"/>
          </w:r>
          <w:r>
            <w:rPr>
              <w:bCs/>
              <w:highlight w:val="none"/>
              <w:lang w:val="zh-CN"/>
            </w:rPr>
            <w:fldChar w:fldCharType="end"/>
          </w:r>
        </w:p>
        <w:p w14:paraId="0415F5E9">
          <w:pPr>
            <w:pStyle w:val="21"/>
            <w:tabs>
              <w:tab w:val="right" w:leader="dot" w:pos="8715"/>
            </w:tabs>
          </w:pPr>
          <w:r>
            <w:rPr>
              <w:bCs/>
              <w:highlight w:val="none"/>
              <w:lang w:val="zh-CN"/>
            </w:rPr>
            <w:fldChar w:fldCharType="begin"/>
          </w:r>
          <w:r>
            <w:rPr>
              <w:bCs/>
              <w:highlight w:val="none"/>
              <w:lang w:val="zh-CN"/>
            </w:rPr>
            <w:instrText xml:space="preserve"> HYPERLINK \l _Toc31586 </w:instrText>
          </w:r>
          <w:r>
            <w:rPr>
              <w:bCs/>
              <w:highlight w:val="none"/>
              <w:lang w:val="zh-CN"/>
            </w:rPr>
            <w:fldChar w:fldCharType="separate"/>
          </w:r>
          <w:r>
            <w:rPr>
              <w:rFonts w:hint="eastAsia" w:ascii="Calibri" w:hAnsi="Calibri"/>
              <w:bCs/>
              <w:szCs w:val="24"/>
              <w:highlight w:val="none"/>
              <w:lang w:val="en-US" w:eastAsia="zh-CN"/>
            </w:rPr>
            <w:t>3.3</w:t>
          </w:r>
          <w:r>
            <w:rPr>
              <w:rFonts w:ascii="Calibri" w:hAnsi="Calibri"/>
              <w:bCs/>
              <w:szCs w:val="24"/>
              <w:highlight w:val="none"/>
            </w:rPr>
            <w:t>项目实施方式</w:t>
          </w:r>
          <w:r>
            <w:tab/>
          </w:r>
          <w:r>
            <w:fldChar w:fldCharType="begin"/>
          </w:r>
          <w:r>
            <w:instrText xml:space="preserve"> PAGEREF _Toc31586 \h </w:instrText>
          </w:r>
          <w:r>
            <w:fldChar w:fldCharType="separate"/>
          </w:r>
          <w:r>
            <w:t>3</w:t>
          </w:r>
          <w:r>
            <w:fldChar w:fldCharType="end"/>
          </w:r>
          <w:r>
            <w:rPr>
              <w:bCs/>
              <w:highlight w:val="none"/>
              <w:lang w:val="zh-CN"/>
            </w:rPr>
            <w:fldChar w:fldCharType="end"/>
          </w:r>
        </w:p>
        <w:p w14:paraId="422C1162">
          <w:pPr>
            <w:pStyle w:val="21"/>
            <w:tabs>
              <w:tab w:val="right" w:leader="dot" w:pos="8715"/>
            </w:tabs>
          </w:pPr>
          <w:r>
            <w:rPr>
              <w:bCs/>
              <w:highlight w:val="none"/>
              <w:lang w:val="zh-CN"/>
            </w:rPr>
            <w:fldChar w:fldCharType="begin"/>
          </w:r>
          <w:r>
            <w:rPr>
              <w:bCs/>
              <w:highlight w:val="none"/>
              <w:lang w:val="zh-CN"/>
            </w:rPr>
            <w:instrText xml:space="preserve"> HYPERLINK \l _Toc22319 </w:instrText>
          </w:r>
          <w:r>
            <w:rPr>
              <w:bCs/>
              <w:highlight w:val="none"/>
              <w:lang w:val="zh-CN"/>
            </w:rPr>
            <w:fldChar w:fldCharType="separate"/>
          </w:r>
          <w:r>
            <w:rPr>
              <w:rFonts w:ascii="Calibri" w:hAnsi="Calibri"/>
              <w:bCs/>
              <w:highlight w:val="none"/>
            </w:rPr>
            <w:t>本项目由单一供方直接投标，不得联合投标。未经招标方许可，不得以任何形式进行转包、分包。</w:t>
          </w:r>
          <w:r>
            <w:tab/>
          </w:r>
          <w:r>
            <w:fldChar w:fldCharType="begin"/>
          </w:r>
          <w:r>
            <w:instrText xml:space="preserve"> PAGEREF _Toc22319 \h </w:instrText>
          </w:r>
          <w:r>
            <w:fldChar w:fldCharType="separate"/>
          </w:r>
          <w:r>
            <w:t>3</w:t>
          </w:r>
          <w:r>
            <w:fldChar w:fldCharType="end"/>
          </w:r>
          <w:r>
            <w:rPr>
              <w:bCs/>
              <w:highlight w:val="none"/>
              <w:lang w:val="zh-CN"/>
            </w:rPr>
            <w:fldChar w:fldCharType="end"/>
          </w:r>
        </w:p>
        <w:p w14:paraId="1182EF2C">
          <w:pPr>
            <w:pStyle w:val="21"/>
            <w:tabs>
              <w:tab w:val="right" w:leader="dot" w:pos="8715"/>
            </w:tabs>
          </w:pPr>
          <w:r>
            <w:rPr>
              <w:bCs/>
              <w:highlight w:val="none"/>
              <w:lang w:val="zh-CN"/>
            </w:rPr>
            <w:fldChar w:fldCharType="begin"/>
          </w:r>
          <w:r>
            <w:rPr>
              <w:bCs/>
              <w:highlight w:val="none"/>
              <w:lang w:val="zh-CN"/>
            </w:rPr>
            <w:instrText xml:space="preserve"> HYPERLINK \l _Toc6073 </w:instrText>
          </w:r>
          <w:r>
            <w:rPr>
              <w:bCs/>
              <w:highlight w:val="none"/>
              <w:lang w:val="zh-CN"/>
            </w:rPr>
            <w:fldChar w:fldCharType="separate"/>
          </w:r>
          <w:r>
            <w:rPr>
              <w:rFonts w:hint="eastAsia" w:ascii="Calibri" w:hAnsi="Calibri"/>
              <w:bCs/>
              <w:szCs w:val="24"/>
              <w:highlight w:val="none"/>
              <w:lang w:val="en-US" w:eastAsia="zh-CN"/>
            </w:rPr>
            <w:t>3.4</w:t>
          </w:r>
          <w:r>
            <w:rPr>
              <w:rFonts w:ascii="Calibri" w:hAnsi="Calibri"/>
              <w:bCs/>
              <w:szCs w:val="24"/>
              <w:highlight w:val="none"/>
            </w:rPr>
            <w:t>投标人须知</w:t>
          </w:r>
          <w:r>
            <w:tab/>
          </w:r>
          <w:r>
            <w:fldChar w:fldCharType="begin"/>
          </w:r>
          <w:r>
            <w:instrText xml:space="preserve"> PAGEREF _Toc6073 \h </w:instrText>
          </w:r>
          <w:r>
            <w:fldChar w:fldCharType="separate"/>
          </w:r>
          <w:r>
            <w:t>3</w:t>
          </w:r>
          <w:r>
            <w:fldChar w:fldCharType="end"/>
          </w:r>
          <w:r>
            <w:rPr>
              <w:bCs/>
              <w:highlight w:val="none"/>
              <w:lang w:val="zh-CN"/>
            </w:rPr>
            <w:fldChar w:fldCharType="end"/>
          </w:r>
        </w:p>
        <w:p w14:paraId="13BD3CE9">
          <w:pPr>
            <w:pStyle w:val="21"/>
            <w:tabs>
              <w:tab w:val="right" w:leader="dot" w:pos="8715"/>
            </w:tabs>
          </w:pPr>
          <w:r>
            <w:rPr>
              <w:bCs/>
              <w:highlight w:val="none"/>
              <w:lang w:val="zh-CN"/>
            </w:rPr>
            <w:fldChar w:fldCharType="begin"/>
          </w:r>
          <w:r>
            <w:rPr>
              <w:bCs/>
              <w:highlight w:val="none"/>
              <w:lang w:val="zh-CN"/>
            </w:rPr>
            <w:instrText xml:space="preserve"> HYPERLINK \l _Toc23423 </w:instrText>
          </w:r>
          <w:r>
            <w:rPr>
              <w:bCs/>
              <w:highlight w:val="none"/>
              <w:lang w:val="zh-CN"/>
            </w:rPr>
            <w:fldChar w:fldCharType="separate"/>
          </w:r>
          <w:r>
            <w:rPr>
              <w:rFonts w:hint="eastAsia" w:ascii="Calibri" w:hAnsi="Calibri"/>
              <w:bCs/>
              <w:szCs w:val="24"/>
              <w:highlight w:val="none"/>
              <w:lang w:val="en-US" w:eastAsia="zh-CN"/>
            </w:rPr>
            <w:t>1）</w:t>
          </w:r>
          <w:r>
            <w:rPr>
              <w:rFonts w:ascii="Calibri" w:hAnsi="Calibri"/>
              <w:bCs/>
              <w:szCs w:val="24"/>
              <w:highlight w:val="none"/>
            </w:rPr>
            <w:t>投标人须确保遵守国家规定的各种有关投标的规定、法规、法律文件等。</w:t>
          </w:r>
          <w:r>
            <w:tab/>
          </w:r>
          <w:r>
            <w:fldChar w:fldCharType="begin"/>
          </w:r>
          <w:r>
            <w:instrText xml:space="preserve"> PAGEREF _Toc23423 \h </w:instrText>
          </w:r>
          <w:r>
            <w:fldChar w:fldCharType="separate"/>
          </w:r>
          <w:r>
            <w:t>3</w:t>
          </w:r>
          <w:r>
            <w:fldChar w:fldCharType="end"/>
          </w:r>
          <w:r>
            <w:rPr>
              <w:bCs/>
              <w:highlight w:val="none"/>
              <w:lang w:val="zh-CN"/>
            </w:rPr>
            <w:fldChar w:fldCharType="end"/>
          </w:r>
        </w:p>
        <w:p w14:paraId="1E288907">
          <w:pPr>
            <w:pStyle w:val="21"/>
            <w:tabs>
              <w:tab w:val="right" w:leader="dot" w:pos="8715"/>
            </w:tabs>
          </w:pPr>
          <w:r>
            <w:rPr>
              <w:bCs/>
              <w:highlight w:val="none"/>
              <w:lang w:val="zh-CN"/>
            </w:rPr>
            <w:fldChar w:fldCharType="begin"/>
          </w:r>
          <w:r>
            <w:rPr>
              <w:bCs/>
              <w:highlight w:val="none"/>
              <w:lang w:val="zh-CN"/>
            </w:rPr>
            <w:instrText xml:space="preserve"> HYPERLINK \l _Toc15471 </w:instrText>
          </w:r>
          <w:r>
            <w:rPr>
              <w:bCs/>
              <w:highlight w:val="none"/>
              <w:lang w:val="zh-CN"/>
            </w:rPr>
            <w:fldChar w:fldCharType="separate"/>
          </w:r>
          <w:r>
            <w:rPr>
              <w:rFonts w:hint="eastAsia" w:ascii="Calibri" w:hAnsi="Calibri"/>
              <w:bCs/>
              <w:szCs w:val="24"/>
              <w:highlight w:val="none"/>
              <w:lang w:val="en-US" w:eastAsia="zh-CN"/>
            </w:rPr>
            <w:t>2）</w:t>
          </w:r>
          <w:r>
            <w:rPr>
              <w:rFonts w:ascii="Calibri" w:hAnsi="Calibri"/>
              <w:bCs/>
              <w:szCs w:val="24"/>
              <w:highlight w:val="none"/>
            </w:rPr>
            <w:t>投标人须确保具有良好的商业信誉和诚实的职业道德。</w:t>
          </w:r>
          <w:r>
            <w:tab/>
          </w:r>
          <w:r>
            <w:fldChar w:fldCharType="begin"/>
          </w:r>
          <w:r>
            <w:instrText xml:space="preserve"> PAGEREF _Toc15471 \h </w:instrText>
          </w:r>
          <w:r>
            <w:fldChar w:fldCharType="separate"/>
          </w:r>
          <w:r>
            <w:t>3</w:t>
          </w:r>
          <w:r>
            <w:fldChar w:fldCharType="end"/>
          </w:r>
          <w:r>
            <w:rPr>
              <w:bCs/>
              <w:highlight w:val="none"/>
              <w:lang w:val="zh-CN"/>
            </w:rPr>
            <w:fldChar w:fldCharType="end"/>
          </w:r>
        </w:p>
        <w:p w14:paraId="6718D829">
          <w:pPr>
            <w:pStyle w:val="21"/>
            <w:tabs>
              <w:tab w:val="right" w:leader="dot" w:pos="8715"/>
            </w:tabs>
          </w:pPr>
          <w:r>
            <w:rPr>
              <w:bCs/>
              <w:highlight w:val="none"/>
              <w:lang w:val="zh-CN"/>
            </w:rPr>
            <w:fldChar w:fldCharType="begin"/>
          </w:r>
          <w:r>
            <w:rPr>
              <w:bCs/>
              <w:highlight w:val="none"/>
              <w:lang w:val="zh-CN"/>
            </w:rPr>
            <w:instrText xml:space="preserve"> HYPERLINK \l _Toc8071 </w:instrText>
          </w:r>
          <w:r>
            <w:rPr>
              <w:bCs/>
              <w:highlight w:val="none"/>
              <w:lang w:val="zh-CN"/>
            </w:rPr>
            <w:fldChar w:fldCharType="separate"/>
          </w:r>
          <w:r>
            <w:rPr>
              <w:rFonts w:hint="eastAsia" w:ascii="Calibri" w:hAnsi="Calibri"/>
              <w:bCs/>
              <w:szCs w:val="24"/>
              <w:highlight w:val="none"/>
              <w:lang w:val="en-US" w:eastAsia="zh-CN"/>
            </w:rPr>
            <w:t>3）</w:t>
          </w:r>
          <w:r>
            <w:rPr>
              <w:rFonts w:ascii="Calibri" w:hAnsi="Calibri"/>
              <w:bCs/>
              <w:szCs w:val="24"/>
              <w:highlight w:val="none"/>
            </w:rPr>
            <w:t>投标人应仔细阅读并理解招标文件的全部内容，并做出实质性响应。</w:t>
          </w:r>
          <w:r>
            <w:tab/>
          </w:r>
          <w:r>
            <w:fldChar w:fldCharType="begin"/>
          </w:r>
          <w:r>
            <w:instrText xml:space="preserve"> PAGEREF _Toc8071 \h </w:instrText>
          </w:r>
          <w:r>
            <w:fldChar w:fldCharType="separate"/>
          </w:r>
          <w:r>
            <w:t>3</w:t>
          </w:r>
          <w:r>
            <w:fldChar w:fldCharType="end"/>
          </w:r>
          <w:r>
            <w:rPr>
              <w:bCs/>
              <w:highlight w:val="none"/>
              <w:lang w:val="zh-CN"/>
            </w:rPr>
            <w:fldChar w:fldCharType="end"/>
          </w:r>
        </w:p>
        <w:p w14:paraId="365BEA71">
          <w:pPr>
            <w:pStyle w:val="21"/>
            <w:tabs>
              <w:tab w:val="right" w:leader="dot" w:pos="8715"/>
            </w:tabs>
          </w:pPr>
          <w:r>
            <w:rPr>
              <w:bCs/>
              <w:highlight w:val="none"/>
              <w:lang w:val="zh-CN"/>
            </w:rPr>
            <w:fldChar w:fldCharType="begin"/>
          </w:r>
          <w:r>
            <w:rPr>
              <w:bCs/>
              <w:highlight w:val="none"/>
              <w:lang w:val="zh-CN"/>
            </w:rPr>
            <w:instrText xml:space="preserve"> HYPERLINK \l _Toc1143 </w:instrText>
          </w:r>
          <w:r>
            <w:rPr>
              <w:bCs/>
              <w:highlight w:val="none"/>
              <w:lang w:val="zh-CN"/>
            </w:rPr>
            <w:fldChar w:fldCharType="separate"/>
          </w:r>
          <w:r>
            <w:rPr>
              <w:rFonts w:hint="eastAsia" w:ascii="Calibri" w:hAnsi="Calibri"/>
              <w:bCs/>
              <w:szCs w:val="24"/>
              <w:highlight w:val="none"/>
              <w:lang w:val="en-US" w:eastAsia="zh-CN"/>
            </w:rPr>
            <w:t>4）</w:t>
          </w:r>
          <w:r>
            <w:rPr>
              <w:rFonts w:ascii="Calibri" w:hAnsi="Calibri"/>
              <w:bCs/>
              <w:szCs w:val="24"/>
              <w:highlight w:val="none"/>
            </w:rPr>
            <w:t>投标人须确保项目提供的服务及项目交付物能满足招标文件的要求。</w:t>
          </w:r>
          <w:r>
            <w:tab/>
          </w:r>
          <w:r>
            <w:fldChar w:fldCharType="begin"/>
          </w:r>
          <w:r>
            <w:instrText xml:space="preserve"> PAGEREF _Toc1143 \h </w:instrText>
          </w:r>
          <w:r>
            <w:fldChar w:fldCharType="separate"/>
          </w:r>
          <w:r>
            <w:t>3</w:t>
          </w:r>
          <w:r>
            <w:fldChar w:fldCharType="end"/>
          </w:r>
          <w:r>
            <w:rPr>
              <w:bCs/>
              <w:highlight w:val="none"/>
              <w:lang w:val="zh-CN"/>
            </w:rPr>
            <w:fldChar w:fldCharType="end"/>
          </w:r>
        </w:p>
        <w:p w14:paraId="3AD027A5">
          <w:pPr>
            <w:pStyle w:val="21"/>
            <w:tabs>
              <w:tab w:val="right" w:leader="dot" w:pos="8715"/>
            </w:tabs>
          </w:pPr>
          <w:r>
            <w:rPr>
              <w:bCs/>
              <w:highlight w:val="none"/>
              <w:lang w:val="zh-CN"/>
            </w:rPr>
            <w:fldChar w:fldCharType="begin"/>
          </w:r>
          <w:r>
            <w:rPr>
              <w:bCs/>
              <w:highlight w:val="none"/>
              <w:lang w:val="zh-CN"/>
            </w:rPr>
            <w:instrText xml:space="preserve"> HYPERLINK \l _Toc2857 </w:instrText>
          </w:r>
          <w:r>
            <w:rPr>
              <w:bCs/>
              <w:highlight w:val="none"/>
              <w:lang w:val="zh-CN"/>
            </w:rPr>
            <w:fldChar w:fldCharType="separate"/>
          </w:r>
          <w:r>
            <w:rPr>
              <w:rFonts w:hint="eastAsia" w:ascii="Calibri" w:hAnsi="Calibri"/>
              <w:bCs/>
              <w:szCs w:val="24"/>
              <w:highlight w:val="none"/>
              <w:lang w:val="en-US" w:eastAsia="zh-CN"/>
            </w:rPr>
            <w:t>5）</w:t>
          </w:r>
          <w:r>
            <w:rPr>
              <w:rFonts w:ascii="Calibri" w:hAnsi="Calibri"/>
              <w:bCs/>
              <w:szCs w:val="24"/>
              <w:highlight w:val="none"/>
            </w:rPr>
            <w:t>投标人应当按照招标文件规定的内容和要求编制投标文件。</w:t>
          </w:r>
          <w:r>
            <w:tab/>
          </w:r>
          <w:r>
            <w:fldChar w:fldCharType="begin"/>
          </w:r>
          <w:r>
            <w:instrText xml:space="preserve"> PAGEREF _Toc2857 \h </w:instrText>
          </w:r>
          <w:r>
            <w:fldChar w:fldCharType="separate"/>
          </w:r>
          <w:r>
            <w:t>3</w:t>
          </w:r>
          <w:r>
            <w:fldChar w:fldCharType="end"/>
          </w:r>
          <w:r>
            <w:rPr>
              <w:bCs/>
              <w:highlight w:val="none"/>
              <w:lang w:val="zh-CN"/>
            </w:rPr>
            <w:fldChar w:fldCharType="end"/>
          </w:r>
        </w:p>
        <w:p w14:paraId="5FE655AA">
          <w:pPr>
            <w:pStyle w:val="21"/>
            <w:tabs>
              <w:tab w:val="right" w:leader="dot" w:pos="8715"/>
            </w:tabs>
          </w:pPr>
          <w:r>
            <w:rPr>
              <w:bCs/>
              <w:highlight w:val="none"/>
              <w:lang w:val="zh-CN"/>
            </w:rPr>
            <w:fldChar w:fldCharType="begin"/>
          </w:r>
          <w:r>
            <w:rPr>
              <w:bCs/>
              <w:highlight w:val="none"/>
              <w:lang w:val="zh-CN"/>
            </w:rPr>
            <w:instrText xml:space="preserve"> HYPERLINK \l _Toc30209 </w:instrText>
          </w:r>
          <w:r>
            <w:rPr>
              <w:bCs/>
              <w:highlight w:val="none"/>
              <w:lang w:val="zh-CN"/>
            </w:rPr>
            <w:fldChar w:fldCharType="separate"/>
          </w:r>
          <w:r>
            <w:rPr>
              <w:rFonts w:hint="eastAsia" w:ascii="Calibri" w:hAnsi="Calibri"/>
              <w:bCs/>
              <w:szCs w:val="24"/>
              <w:highlight w:val="none"/>
              <w:lang w:val="en-US" w:eastAsia="zh-CN"/>
            </w:rPr>
            <w:t>6）</w:t>
          </w:r>
          <w:r>
            <w:rPr>
              <w:rFonts w:ascii="Calibri" w:hAnsi="Calibri"/>
              <w:bCs/>
              <w:szCs w:val="24"/>
              <w:highlight w:val="none"/>
            </w:rPr>
            <w:t>投标人须确保有能力在规定期限内完成招标文件规定的全部内容。</w:t>
          </w:r>
          <w:r>
            <w:tab/>
          </w:r>
          <w:r>
            <w:fldChar w:fldCharType="begin"/>
          </w:r>
          <w:r>
            <w:instrText xml:space="preserve"> PAGEREF _Toc30209 \h </w:instrText>
          </w:r>
          <w:r>
            <w:fldChar w:fldCharType="separate"/>
          </w:r>
          <w:r>
            <w:t>3</w:t>
          </w:r>
          <w:r>
            <w:fldChar w:fldCharType="end"/>
          </w:r>
          <w:r>
            <w:rPr>
              <w:bCs/>
              <w:highlight w:val="none"/>
              <w:lang w:val="zh-CN"/>
            </w:rPr>
            <w:fldChar w:fldCharType="end"/>
          </w:r>
        </w:p>
        <w:p w14:paraId="18C5FB7C">
          <w:pPr>
            <w:pStyle w:val="21"/>
            <w:tabs>
              <w:tab w:val="right" w:leader="dot" w:pos="8715"/>
            </w:tabs>
          </w:pPr>
          <w:r>
            <w:rPr>
              <w:bCs/>
              <w:highlight w:val="none"/>
              <w:lang w:val="zh-CN"/>
            </w:rPr>
            <w:fldChar w:fldCharType="begin"/>
          </w:r>
          <w:r>
            <w:rPr>
              <w:bCs/>
              <w:highlight w:val="none"/>
              <w:lang w:val="zh-CN"/>
            </w:rPr>
            <w:instrText xml:space="preserve"> HYPERLINK \l _Toc6755 </w:instrText>
          </w:r>
          <w:r>
            <w:rPr>
              <w:bCs/>
              <w:highlight w:val="none"/>
              <w:lang w:val="zh-CN"/>
            </w:rPr>
            <w:fldChar w:fldCharType="separate"/>
          </w:r>
          <w:r>
            <w:rPr>
              <w:rFonts w:hint="eastAsia" w:ascii="Calibri" w:hAnsi="Calibri"/>
              <w:bCs/>
              <w:szCs w:val="24"/>
              <w:highlight w:val="none"/>
              <w:lang w:val="en-US" w:eastAsia="zh-CN"/>
            </w:rPr>
            <w:t>7）</w:t>
          </w:r>
          <w:r>
            <w:rPr>
              <w:rFonts w:ascii="Calibri" w:hAnsi="Calibri"/>
              <w:bCs/>
              <w:szCs w:val="24"/>
              <w:highlight w:val="none"/>
            </w:rPr>
            <w:t>投标人在收到招标文件后，如有疑问，应以书面形式向招标人提出，招标人将以书面形式予以答复，但不说明答复的来源。</w:t>
          </w:r>
          <w:r>
            <w:tab/>
          </w:r>
          <w:r>
            <w:fldChar w:fldCharType="begin"/>
          </w:r>
          <w:r>
            <w:instrText xml:space="preserve"> PAGEREF _Toc6755 \h </w:instrText>
          </w:r>
          <w:r>
            <w:fldChar w:fldCharType="separate"/>
          </w:r>
          <w:r>
            <w:t>3</w:t>
          </w:r>
          <w:r>
            <w:fldChar w:fldCharType="end"/>
          </w:r>
          <w:r>
            <w:rPr>
              <w:bCs/>
              <w:highlight w:val="none"/>
              <w:lang w:val="zh-CN"/>
            </w:rPr>
            <w:fldChar w:fldCharType="end"/>
          </w:r>
        </w:p>
        <w:p w14:paraId="08B44B4E">
          <w:pPr>
            <w:pStyle w:val="21"/>
            <w:tabs>
              <w:tab w:val="right" w:leader="dot" w:pos="8715"/>
            </w:tabs>
          </w:pPr>
          <w:r>
            <w:rPr>
              <w:bCs/>
              <w:highlight w:val="none"/>
              <w:lang w:val="zh-CN"/>
            </w:rPr>
            <w:fldChar w:fldCharType="begin"/>
          </w:r>
          <w:r>
            <w:rPr>
              <w:bCs/>
              <w:highlight w:val="none"/>
              <w:lang w:val="zh-CN"/>
            </w:rPr>
            <w:instrText xml:space="preserve"> HYPERLINK \l _Toc6510 </w:instrText>
          </w:r>
          <w:r>
            <w:rPr>
              <w:bCs/>
              <w:highlight w:val="none"/>
              <w:lang w:val="zh-CN"/>
            </w:rPr>
            <w:fldChar w:fldCharType="separate"/>
          </w:r>
          <w:r>
            <w:rPr>
              <w:rFonts w:hint="eastAsia" w:ascii="Calibri" w:hAnsi="Calibri"/>
              <w:bCs/>
              <w:szCs w:val="24"/>
              <w:highlight w:val="none"/>
              <w:lang w:val="en-US" w:eastAsia="zh-CN"/>
            </w:rPr>
            <w:t>8）</w:t>
          </w:r>
          <w:r>
            <w:rPr>
              <w:rFonts w:ascii="Calibri" w:hAnsi="Calibri"/>
              <w:bCs/>
              <w:szCs w:val="24"/>
              <w:highlight w:val="none"/>
            </w:rPr>
            <w:t>在投标截止日期前，招标人都可能会以补充通知的方式修改招标文件。</w:t>
          </w:r>
          <w:r>
            <w:tab/>
          </w:r>
          <w:r>
            <w:fldChar w:fldCharType="begin"/>
          </w:r>
          <w:r>
            <w:instrText xml:space="preserve"> PAGEREF _Toc6510 \h </w:instrText>
          </w:r>
          <w:r>
            <w:fldChar w:fldCharType="separate"/>
          </w:r>
          <w:r>
            <w:t>3</w:t>
          </w:r>
          <w:r>
            <w:fldChar w:fldCharType="end"/>
          </w:r>
          <w:r>
            <w:rPr>
              <w:bCs/>
              <w:highlight w:val="none"/>
              <w:lang w:val="zh-CN"/>
            </w:rPr>
            <w:fldChar w:fldCharType="end"/>
          </w:r>
        </w:p>
        <w:p w14:paraId="3DFB5F56">
          <w:pPr>
            <w:pStyle w:val="21"/>
            <w:tabs>
              <w:tab w:val="right" w:leader="dot" w:pos="8715"/>
            </w:tabs>
          </w:pPr>
          <w:r>
            <w:rPr>
              <w:bCs/>
              <w:highlight w:val="none"/>
              <w:lang w:val="zh-CN"/>
            </w:rPr>
            <w:fldChar w:fldCharType="begin"/>
          </w:r>
          <w:r>
            <w:rPr>
              <w:bCs/>
              <w:highlight w:val="none"/>
              <w:lang w:val="zh-CN"/>
            </w:rPr>
            <w:instrText xml:space="preserve"> HYPERLINK \l _Toc18151 </w:instrText>
          </w:r>
          <w:r>
            <w:rPr>
              <w:bCs/>
              <w:highlight w:val="none"/>
              <w:lang w:val="zh-CN"/>
            </w:rPr>
            <w:fldChar w:fldCharType="separate"/>
          </w:r>
          <w:r>
            <w:rPr>
              <w:rFonts w:hint="eastAsia" w:ascii="Calibri" w:hAnsi="Calibri"/>
              <w:bCs/>
              <w:szCs w:val="24"/>
              <w:highlight w:val="none"/>
              <w:lang w:val="en-US" w:eastAsia="zh-CN"/>
            </w:rPr>
            <w:t>9）</w:t>
          </w:r>
          <w:r>
            <w:rPr>
              <w:rFonts w:ascii="Calibri" w:hAnsi="Calibri"/>
              <w:bCs/>
              <w:szCs w:val="24"/>
              <w:highlight w:val="none"/>
            </w:rPr>
            <w:t>无论投标结果如何，投标人应承担编制投标文件、递交投标文件、考察等所涉及的一切费用。</w:t>
          </w:r>
          <w:r>
            <w:tab/>
          </w:r>
          <w:r>
            <w:fldChar w:fldCharType="begin"/>
          </w:r>
          <w:r>
            <w:instrText xml:space="preserve"> PAGEREF _Toc18151 \h </w:instrText>
          </w:r>
          <w:r>
            <w:fldChar w:fldCharType="separate"/>
          </w:r>
          <w:r>
            <w:t>3</w:t>
          </w:r>
          <w:r>
            <w:fldChar w:fldCharType="end"/>
          </w:r>
          <w:r>
            <w:rPr>
              <w:bCs/>
              <w:highlight w:val="none"/>
              <w:lang w:val="zh-CN"/>
            </w:rPr>
            <w:fldChar w:fldCharType="end"/>
          </w:r>
        </w:p>
        <w:p w14:paraId="259F49DF">
          <w:pPr>
            <w:pStyle w:val="21"/>
            <w:tabs>
              <w:tab w:val="right" w:leader="dot" w:pos="8715"/>
            </w:tabs>
          </w:pPr>
          <w:r>
            <w:rPr>
              <w:bCs/>
              <w:highlight w:val="none"/>
              <w:lang w:val="zh-CN"/>
            </w:rPr>
            <w:fldChar w:fldCharType="begin"/>
          </w:r>
          <w:r>
            <w:rPr>
              <w:bCs/>
              <w:highlight w:val="none"/>
              <w:lang w:val="zh-CN"/>
            </w:rPr>
            <w:instrText xml:space="preserve"> HYPERLINK \l _Toc12573 </w:instrText>
          </w:r>
          <w:r>
            <w:rPr>
              <w:bCs/>
              <w:highlight w:val="none"/>
              <w:lang w:val="zh-CN"/>
            </w:rPr>
            <w:fldChar w:fldCharType="separate"/>
          </w:r>
          <w:r>
            <w:rPr>
              <w:rFonts w:hint="eastAsia" w:ascii="Calibri" w:hAnsi="Calibri"/>
              <w:bCs/>
              <w:szCs w:val="24"/>
              <w:highlight w:val="none"/>
              <w:lang w:val="en-US" w:eastAsia="zh-CN"/>
            </w:rPr>
            <w:t>10）</w:t>
          </w:r>
          <w:r>
            <w:rPr>
              <w:rFonts w:ascii="Calibri" w:hAnsi="Calibri"/>
              <w:bCs/>
              <w:szCs w:val="24"/>
              <w:highlight w:val="none"/>
            </w:rPr>
            <w:t>招标人对未中标者不</w:t>
          </w:r>
          <w:r>
            <w:rPr>
              <w:rFonts w:hint="eastAsia" w:ascii="Calibri" w:hAnsi="Calibri"/>
              <w:bCs/>
              <w:szCs w:val="24"/>
              <w:highlight w:val="none"/>
              <w:lang w:eastAsia="zh-CN"/>
            </w:rPr>
            <w:t>做任何解释</w:t>
          </w:r>
          <w:r>
            <w:rPr>
              <w:rFonts w:ascii="Calibri" w:hAnsi="Calibri"/>
              <w:bCs/>
              <w:szCs w:val="24"/>
              <w:highlight w:val="none"/>
            </w:rPr>
            <w:t>。</w:t>
          </w:r>
          <w:r>
            <w:tab/>
          </w:r>
          <w:r>
            <w:fldChar w:fldCharType="begin"/>
          </w:r>
          <w:r>
            <w:instrText xml:space="preserve"> PAGEREF _Toc12573 \h </w:instrText>
          </w:r>
          <w:r>
            <w:fldChar w:fldCharType="separate"/>
          </w:r>
          <w:r>
            <w:t>3</w:t>
          </w:r>
          <w:r>
            <w:fldChar w:fldCharType="end"/>
          </w:r>
          <w:r>
            <w:rPr>
              <w:bCs/>
              <w:highlight w:val="none"/>
              <w:lang w:val="zh-CN"/>
            </w:rPr>
            <w:fldChar w:fldCharType="end"/>
          </w:r>
        </w:p>
        <w:p w14:paraId="186A3C11">
          <w:pPr>
            <w:pStyle w:val="21"/>
            <w:tabs>
              <w:tab w:val="right" w:leader="dot" w:pos="8715"/>
            </w:tabs>
          </w:pPr>
          <w:r>
            <w:rPr>
              <w:bCs/>
              <w:highlight w:val="none"/>
              <w:lang w:val="zh-CN"/>
            </w:rPr>
            <w:fldChar w:fldCharType="begin"/>
          </w:r>
          <w:r>
            <w:rPr>
              <w:bCs/>
              <w:highlight w:val="none"/>
              <w:lang w:val="zh-CN"/>
            </w:rPr>
            <w:instrText xml:space="preserve"> HYPERLINK \l _Toc837 </w:instrText>
          </w:r>
          <w:r>
            <w:rPr>
              <w:bCs/>
              <w:highlight w:val="none"/>
              <w:lang w:val="zh-CN"/>
            </w:rPr>
            <w:fldChar w:fldCharType="separate"/>
          </w:r>
          <w:r>
            <w:rPr>
              <w:rFonts w:hint="eastAsia" w:ascii="Calibri" w:hAnsi="Calibri"/>
              <w:bCs/>
              <w:szCs w:val="24"/>
              <w:highlight w:val="none"/>
              <w:lang w:val="en-US" w:eastAsia="zh-CN"/>
            </w:rPr>
            <w:t>11）</w:t>
          </w:r>
          <w:r>
            <w:rPr>
              <w:rFonts w:ascii="Calibri" w:hAnsi="Calibri"/>
              <w:bCs/>
              <w:szCs w:val="24"/>
              <w:highlight w:val="none"/>
            </w:rPr>
            <w:t>如投标方代表不是法人代表，须持有盖有法人单位公章的《法人代表授权书》。</w:t>
          </w:r>
          <w:r>
            <w:tab/>
          </w:r>
          <w:r>
            <w:fldChar w:fldCharType="begin"/>
          </w:r>
          <w:r>
            <w:instrText xml:space="preserve"> PAGEREF _Toc837 \h </w:instrText>
          </w:r>
          <w:r>
            <w:fldChar w:fldCharType="separate"/>
          </w:r>
          <w:r>
            <w:t>3</w:t>
          </w:r>
          <w:r>
            <w:fldChar w:fldCharType="end"/>
          </w:r>
          <w:r>
            <w:rPr>
              <w:bCs/>
              <w:highlight w:val="none"/>
              <w:lang w:val="zh-CN"/>
            </w:rPr>
            <w:fldChar w:fldCharType="end"/>
          </w:r>
        </w:p>
        <w:p w14:paraId="518A13F0">
          <w:pPr>
            <w:pStyle w:val="21"/>
            <w:tabs>
              <w:tab w:val="right" w:leader="dot" w:pos="8715"/>
            </w:tabs>
          </w:pPr>
          <w:r>
            <w:rPr>
              <w:bCs/>
              <w:highlight w:val="none"/>
              <w:lang w:val="zh-CN"/>
            </w:rPr>
            <w:fldChar w:fldCharType="begin"/>
          </w:r>
          <w:r>
            <w:rPr>
              <w:bCs/>
              <w:highlight w:val="none"/>
              <w:lang w:val="zh-CN"/>
            </w:rPr>
            <w:instrText xml:space="preserve"> HYPERLINK \l _Toc24676 </w:instrText>
          </w:r>
          <w:r>
            <w:rPr>
              <w:bCs/>
              <w:highlight w:val="none"/>
              <w:lang w:val="zh-CN"/>
            </w:rPr>
            <w:fldChar w:fldCharType="separate"/>
          </w:r>
          <w:r>
            <w:rPr>
              <w:rFonts w:hint="eastAsia" w:ascii="Calibri" w:hAnsi="Calibri"/>
              <w:bCs w:val="0"/>
              <w:szCs w:val="24"/>
              <w:highlight w:val="none"/>
              <w:lang w:val="en-US" w:eastAsia="zh-CN"/>
            </w:rPr>
            <w:t>12）</w:t>
          </w:r>
          <w:r>
            <w:rPr>
              <w:rFonts w:ascii="Calibri" w:hAnsi="Calibri"/>
              <w:bCs w:val="0"/>
              <w:szCs w:val="24"/>
              <w:highlight w:val="none"/>
            </w:rPr>
            <w:t>讲标方案除上传至</w:t>
          </w:r>
          <w:r>
            <w:rPr>
              <w:rFonts w:hint="eastAsia" w:ascii="Calibri" w:hAnsi="Calibri"/>
              <w:szCs w:val="24"/>
              <w:highlight w:val="none"/>
              <w:lang w:val="en-US" w:eastAsia="zh-CN"/>
            </w:rPr>
            <w:t>中国</w:t>
          </w:r>
          <w:r>
            <w:rPr>
              <w:rFonts w:ascii="Calibri" w:hAnsi="Calibri"/>
              <w:bCs w:val="0"/>
              <w:szCs w:val="24"/>
              <w:highlight w:val="none"/>
            </w:rPr>
            <w:t>重汽E采通平台外，还需存储在U盘中并单独装入密封袋，随投标材料一并提供，投标人在讲标时不允许使用个人自带电脑，投标人在讲标时，须由拟担任招标项目建设的项目经理及项目组成员讲标。若中标，非经招标人同意，项目经理及项目组成员不得在项目建设中途更换。</w:t>
          </w:r>
          <w:r>
            <w:tab/>
          </w:r>
          <w:r>
            <w:fldChar w:fldCharType="begin"/>
          </w:r>
          <w:r>
            <w:instrText xml:space="preserve"> PAGEREF _Toc24676 \h </w:instrText>
          </w:r>
          <w:r>
            <w:fldChar w:fldCharType="separate"/>
          </w:r>
          <w:r>
            <w:t>4</w:t>
          </w:r>
          <w:r>
            <w:fldChar w:fldCharType="end"/>
          </w:r>
          <w:r>
            <w:rPr>
              <w:bCs/>
              <w:highlight w:val="none"/>
              <w:lang w:val="zh-CN"/>
            </w:rPr>
            <w:fldChar w:fldCharType="end"/>
          </w:r>
        </w:p>
        <w:p w14:paraId="7327A25A">
          <w:pPr>
            <w:pStyle w:val="19"/>
            <w:tabs>
              <w:tab w:val="right" w:leader="dot" w:pos="8715"/>
            </w:tabs>
          </w:pPr>
          <w:r>
            <w:rPr>
              <w:bCs/>
              <w:highlight w:val="none"/>
              <w:lang w:val="zh-CN"/>
            </w:rPr>
            <w:fldChar w:fldCharType="begin"/>
          </w:r>
          <w:r>
            <w:rPr>
              <w:bCs/>
              <w:highlight w:val="none"/>
              <w:lang w:val="zh-CN"/>
            </w:rPr>
            <w:instrText xml:space="preserve"> HYPERLINK \l _Toc31860 </w:instrText>
          </w:r>
          <w:r>
            <w:rPr>
              <w:bCs/>
              <w:highlight w:val="none"/>
              <w:lang w:val="zh-CN"/>
            </w:rPr>
            <w:fldChar w:fldCharType="separate"/>
          </w:r>
          <w:r>
            <w:rPr>
              <w:rFonts w:hint="default"/>
            </w:rPr>
            <w:t xml:space="preserve">4. </w:t>
          </w:r>
          <w:r>
            <w:rPr>
              <w:rFonts w:hint="eastAsia"/>
              <w:highlight w:val="none"/>
            </w:rPr>
            <w:t>交货及付款</w:t>
          </w:r>
          <w:r>
            <w:tab/>
          </w:r>
          <w:r>
            <w:fldChar w:fldCharType="begin"/>
          </w:r>
          <w:r>
            <w:instrText xml:space="preserve"> PAGEREF _Toc31860 \h </w:instrText>
          </w:r>
          <w:r>
            <w:fldChar w:fldCharType="separate"/>
          </w:r>
          <w:r>
            <w:t>5</w:t>
          </w:r>
          <w:r>
            <w:fldChar w:fldCharType="end"/>
          </w:r>
          <w:r>
            <w:rPr>
              <w:bCs/>
              <w:highlight w:val="none"/>
              <w:lang w:val="zh-CN"/>
            </w:rPr>
            <w:fldChar w:fldCharType="end"/>
          </w:r>
        </w:p>
        <w:p w14:paraId="09CC629B">
          <w:pPr>
            <w:pStyle w:val="21"/>
            <w:tabs>
              <w:tab w:val="right" w:leader="dot" w:pos="8715"/>
            </w:tabs>
          </w:pPr>
          <w:r>
            <w:rPr>
              <w:bCs/>
              <w:highlight w:val="none"/>
              <w:lang w:val="zh-CN"/>
            </w:rPr>
            <w:fldChar w:fldCharType="begin"/>
          </w:r>
          <w:r>
            <w:rPr>
              <w:bCs/>
              <w:highlight w:val="none"/>
              <w:lang w:val="zh-CN"/>
            </w:rPr>
            <w:instrText xml:space="preserve"> HYPERLINK \l _Toc17256 </w:instrText>
          </w:r>
          <w:r>
            <w:rPr>
              <w:bCs/>
              <w:highlight w:val="none"/>
              <w:lang w:val="zh-CN"/>
            </w:rPr>
            <w:fldChar w:fldCharType="separate"/>
          </w:r>
          <w:r>
            <w:rPr>
              <w:rFonts w:ascii="Calibri" w:hAnsi="Calibri"/>
              <w:bCs/>
              <w:szCs w:val="24"/>
              <w:highlight w:val="none"/>
            </w:rPr>
            <w:t>4.1项目实施时间：收到中标通知后</w:t>
          </w:r>
          <w:r>
            <w:rPr>
              <w:rFonts w:hint="eastAsia" w:ascii="Calibri" w:hAnsi="Calibri"/>
              <w:bCs/>
              <w:szCs w:val="24"/>
              <w:highlight w:val="none"/>
              <w:lang w:val="en-US" w:eastAsia="zh-CN"/>
            </w:rPr>
            <w:t>3</w:t>
          </w:r>
          <w:r>
            <w:rPr>
              <w:rFonts w:ascii="Calibri" w:hAnsi="Calibri"/>
              <w:bCs/>
              <w:szCs w:val="24"/>
              <w:highlight w:val="none"/>
            </w:rPr>
            <w:t>个工作日内</w:t>
          </w:r>
          <w:r>
            <w:rPr>
              <w:rFonts w:hint="eastAsia" w:ascii="Calibri" w:hAnsi="Calibri"/>
              <w:bCs/>
              <w:szCs w:val="24"/>
              <w:highlight w:val="none"/>
              <w:lang w:val="en-US" w:eastAsia="zh-CN"/>
            </w:rPr>
            <w:t>开始实施，</w:t>
          </w:r>
          <w:r>
            <w:tab/>
          </w:r>
          <w:r>
            <w:fldChar w:fldCharType="begin"/>
          </w:r>
          <w:r>
            <w:instrText xml:space="preserve"> PAGEREF _Toc17256 \h </w:instrText>
          </w:r>
          <w:r>
            <w:fldChar w:fldCharType="separate"/>
          </w:r>
          <w:r>
            <w:t>5</w:t>
          </w:r>
          <w:r>
            <w:fldChar w:fldCharType="end"/>
          </w:r>
          <w:r>
            <w:rPr>
              <w:bCs/>
              <w:highlight w:val="none"/>
              <w:lang w:val="zh-CN"/>
            </w:rPr>
            <w:fldChar w:fldCharType="end"/>
          </w:r>
        </w:p>
        <w:p w14:paraId="779D0523">
          <w:pPr>
            <w:pStyle w:val="21"/>
            <w:tabs>
              <w:tab w:val="right" w:leader="dot" w:pos="8715"/>
            </w:tabs>
          </w:pPr>
          <w:r>
            <w:rPr>
              <w:bCs/>
              <w:highlight w:val="none"/>
              <w:lang w:val="zh-CN"/>
            </w:rPr>
            <w:fldChar w:fldCharType="begin"/>
          </w:r>
          <w:r>
            <w:rPr>
              <w:bCs/>
              <w:highlight w:val="none"/>
              <w:lang w:val="zh-CN"/>
            </w:rPr>
            <w:instrText xml:space="preserve"> HYPERLINK \l _Toc15569 </w:instrText>
          </w:r>
          <w:r>
            <w:rPr>
              <w:bCs/>
              <w:highlight w:val="none"/>
              <w:lang w:val="zh-CN"/>
            </w:rPr>
            <w:fldChar w:fldCharType="separate"/>
          </w:r>
          <w:r>
            <w:rPr>
              <w:rFonts w:ascii="Calibri" w:hAnsi="Calibri"/>
              <w:bCs/>
              <w:szCs w:val="24"/>
              <w:highlight w:val="none"/>
            </w:rPr>
            <w:t>4.2实施地点：招标人指定地点</w:t>
          </w:r>
          <w:r>
            <w:rPr>
              <w:rFonts w:hint="eastAsia" w:ascii="Calibri" w:hAnsi="Calibri"/>
              <w:bCs/>
              <w:szCs w:val="24"/>
              <w:highlight w:val="none"/>
              <w:lang w:eastAsia="zh-CN"/>
            </w:rPr>
            <w:t>。</w:t>
          </w:r>
          <w:r>
            <w:tab/>
          </w:r>
          <w:r>
            <w:fldChar w:fldCharType="begin"/>
          </w:r>
          <w:r>
            <w:instrText xml:space="preserve"> PAGEREF _Toc15569 \h </w:instrText>
          </w:r>
          <w:r>
            <w:fldChar w:fldCharType="separate"/>
          </w:r>
          <w:r>
            <w:t>5</w:t>
          </w:r>
          <w:r>
            <w:fldChar w:fldCharType="end"/>
          </w:r>
          <w:r>
            <w:rPr>
              <w:bCs/>
              <w:highlight w:val="none"/>
              <w:lang w:val="zh-CN"/>
            </w:rPr>
            <w:fldChar w:fldCharType="end"/>
          </w:r>
        </w:p>
        <w:p w14:paraId="2250F39F">
          <w:pPr>
            <w:pStyle w:val="21"/>
            <w:tabs>
              <w:tab w:val="right" w:leader="dot" w:pos="8715"/>
            </w:tabs>
          </w:pPr>
          <w:r>
            <w:rPr>
              <w:bCs/>
              <w:highlight w:val="none"/>
              <w:lang w:val="zh-CN"/>
            </w:rPr>
            <w:fldChar w:fldCharType="begin"/>
          </w:r>
          <w:r>
            <w:rPr>
              <w:bCs/>
              <w:highlight w:val="none"/>
              <w:lang w:val="zh-CN"/>
            </w:rPr>
            <w:instrText xml:space="preserve"> HYPERLINK \l _Toc18107 </w:instrText>
          </w:r>
          <w:r>
            <w:rPr>
              <w:bCs/>
              <w:highlight w:val="none"/>
              <w:lang w:val="zh-CN"/>
            </w:rPr>
            <w:fldChar w:fldCharType="separate"/>
          </w:r>
          <w:r>
            <w:rPr>
              <w:rFonts w:ascii="Calibri" w:hAnsi="Calibri"/>
              <w:bCs/>
              <w:szCs w:val="24"/>
              <w:highlight w:val="none"/>
            </w:rPr>
            <w:t>4.3交货方式：</w:t>
          </w:r>
          <w:r>
            <w:rPr>
              <w:rFonts w:hint="eastAsia" w:ascii="Calibri" w:hAnsi="Calibri"/>
              <w:bCs/>
              <w:szCs w:val="24"/>
              <w:highlight w:val="none"/>
              <w:lang w:val="en-US" w:eastAsia="zh-CN"/>
            </w:rPr>
            <w:t>出具审计报告、审计管理建议书并配合完成监管举行的双方或三方会谈。</w:t>
          </w:r>
          <w:r>
            <w:tab/>
          </w:r>
          <w:r>
            <w:fldChar w:fldCharType="begin"/>
          </w:r>
          <w:r>
            <w:instrText xml:space="preserve"> PAGEREF _Toc18107 \h </w:instrText>
          </w:r>
          <w:r>
            <w:fldChar w:fldCharType="separate"/>
          </w:r>
          <w:r>
            <w:t>5</w:t>
          </w:r>
          <w:r>
            <w:fldChar w:fldCharType="end"/>
          </w:r>
          <w:r>
            <w:rPr>
              <w:bCs/>
              <w:highlight w:val="none"/>
              <w:lang w:val="zh-CN"/>
            </w:rPr>
            <w:fldChar w:fldCharType="end"/>
          </w:r>
        </w:p>
        <w:p w14:paraId="598B1CE4">
          <w:pPr>
            <w:pStyle w:val="21"/>
            <w:tabs>
              <w:tab w:val="right" w:leader="dot" w:pos="8715"/>
            </w:tabs>
          </w:pPr>
          <w:r>
            <w:rPr>
              <w:bCs/>
              <w:highlight w:val="none"/>
              <w:lang w:val="zh-CN"/>
            </w:rPr>
            <w:fldChar w:fldCharType="begin"/>
          </w:r>
          <w:r>
            <w:rPr>
              <w:bCs/>
              <w:highlight w:val="none"/>
              <w:lang w:val="zh-CN"/>
            </w:rPr>
            <w:instrText xml:space="preserve"> HYPERLINK \l _Toc25533 </w:instrText>
          </w:r>
          <w:r>
            <w:rPr>
              <w:bCs/>
              <w:highlight w:val="none"/>
              <w:lang w:val="zh-CN"/>
            </w:rPr>
            <w:fldChar w:fldCharType="separate"/>
          </w:r>
          <w:r>
            <w:rPr>
              <w:rFonts w:ascii="Calibri" w:hAnsi="Calibri"/>
              <w:bCs/>
              <w:szCs w:val="24"/>
              <w:highlight w:val="none"/>
            </w:rPr>
            <w:t>4.4付款方式：银行转账</w:t>
          </w:r>
          <w:r>
            <w:rPr>
              <w:rFonts w:hint="eastAsia" w:ascii="Calibri" w:hAnsi="Calibri"/>
              <w:bCs/>
              <w:szCs w:val="24"/>
              <w:highlight w:val="none"/>
              <w:lang w:eastAsia="zh-CN"/>
            </w:rPr>
            <w:t>，</w:t>
          </w:r>
          <w:r>
            <w:tab/>
          </w:r>
          <w:r>
            <w:fldChar w:fldCharType="begin"/>
          </w:r>
          <w:r>
            <w:instrText xml:space="preserve"> PAGEREF _Toc25533 \h </w:instrText>
          </w:r>
          <w:r>
            <w:fldChar w:fldCharType="separate"/>
          </w:r>
          <w:r>
            <w:t>5</w:t>
          </w:r>
          <w:r>
            <w:fldChar w:fldCharType="end"/>
          </w:r>
          <w:r>
            <w:rPr>
              <w:bCs/>
              <w:highlight w:val="none"/>
              <w:lang w:val="zh-CN"/>
            </w:rPr>
            <w:fldChar w:fldCharType="end"/>
          </w:r>
        </w:p>
        <w:p w14:paraId="6DA9D25B">
          <w:pPr>
            <w:pStyle w:val="19"/>
            <w:tabs>
              <w:tab w:val="right" w:leader="dot" w:pos="8715"/>
            </w:tabs>
          </w:pPr>
          <w:r>
            <w:rPr>
              <w:bCs/>
              <w:highlight w:val="none"/>
              <w:lang w:val="zh-CN"/>
            </w:rPr>
            <w:fldChar w:fldCharType="begin"/>
          </w:r>
          <w:r>
            <w:rPr>
              <w:bCs/>
              <w:highlight w:val="none"/>
              <w:lang w:val="zh-CN"/>
            </w:rPr>
            <w:instrText xml:space="preserve"> HYPERLINK \l _Toc17639 </w:instrText>
          </w:r>
          <w:r>
            <w:rPr>
              <w:bCs/>
              <w:highlight w:val="none"/>
              <w:lang w:val="zh-CN"/>
            </w:rPr>
            <w:fldChar w:fldCharType="separate"/>
          </w:r>
          <w:r>
            <w:rPr>
              <w:rFonts w:hint="default"/>
            </w:rPr>
            <w:t xml:space="preserve">5. </w:t>
          </w:r>
          <w:r>
            <w:rPr>
              <w:rFonts w:hint="eastAsia"/>
              <w:highlight w:val="none"/>
            </w:rPr>
            <w:t>投标说明</w:t>
          </w:r>
          <w:r>
            <w:tab/>
          </w:r>
          <w:r>
            <w:fldChar w:fldCharType="begin"/>
          </w:r>
          <w:r>
            <w:instrText xml:space="preserve"> PAGEREF _Toc17639 \h </w:instrText>
          </w:r>
          <w:r>
            <w:fldChar w:fldCharType="separate"/>
          </w:r>
          <w:r>
            <w:t>6</w:t>
          </w:r>
          <w:r>
            <w:fldChar w:fldCharType="end"/>
          </w:r>
          <w:r>
            <w:rPr>
              <w:bCs/>
              <w:highlight w:val="none"/>
              <w:lang w:val="zh-CN"/>
            </w:rPr>
            <w:fldChar w:fldCharType="end"/>
          </w:r>
        </w:p>
        <w:p w14:paraId="0191484F">
          <w:pPr>
            <w:pStyle w:val="21"/>
            <w:tabs>
              <w:tab w:val="right" w:leader="dot" w:pos="8715"/>
            </w:tabs>
          </w:pPr>
          <w:r>
            <w:rPr>
              <w:bCs/>
              <w:highlight w:val="none"/>
              <w:lang w:val="zh-CN"/>
            </w:rPr>
            <w:fldChar w:fldCharType="begin"/>
          </w:r>
          <w:r>
            <w:rPr>
              <w:bCs/>
              <w:highlight w:val="none"/>
              <w:lang w:val="zh-CN"/>
            </w:rPr>
            <w:instrText xml:space="preserve"> HYPERLINK \l _Toc32644 </w:instrText>
          </w:r>
          <w:r>
            <w:rPr>
              <w:bCs/>
              <w:highlight w:val="none"/>
              <w:lang w:val="zh-CN"/>
            </w:rPr>
            <w:fldChar w:fldCharType="separate"/>
          </w:r>
          <w:r>
            <w:rPr>
              <w:rFonts w:hint="eastAsia" w:ascii="Calibri" w:hAnsi="Calibri"/>
              <w:bCs w:val="0"/>
              <w:szCs w:val="24"/>
              <w:highlight w:val="none"/>
              <w:lang w:val="en-US" w:eastAsia="zh-CN"/>
            </w:rPr>
            <w:t>5.1</w:t>
          </w:r>
          <w:r>
            <w:rPr>
              <w:rFonts w:ascii="Calibri" w:hAnsi="Calibri"/>
              <w:bCs w:val="0"/>
              <w:szCs w:val="24"/>
              <w:highlight w:val="none"/>
            </w:rPr>
            <w:t>招标要求</w:t>
          </w:r>
          <w:r>
            <w:tab/>
          </w:r>
          <w:r>
            <w:fldChar w:fldCharType="begin"/>
          </w:r>
          <w:r>
            <w:instrText xml:space="preserve"> PAGEREF _Toc32644 \h </w:instrText>
          </w:r>
          <w:r>
            <w:fldChar w:fldCharType="separate"/>
          </w:r>
          <w:r>
            <w:t>6</w:t>
          </w:r>
          <w:r>
            <w:fldChar w:fldCharType="end"/>
          </w:r>
          <w:r>
            <w:rPr>
              <w:bCs/>
              <w:highlight w:val="none"/>
              <w:lang w:val="zh-CN"/>
            </w:rPr>
            <w:fldChar w:fldCharType="end"/>
          </w:r>
        </w:p>
        <w:p w14:paraId="6DB4CDFC">
          <w:pPr>
            <w:pStyle w:val="21"/>
            <w:tabs>
              <w:tab w:val="right" w:leader="dot" w:pos="8715"/>
            </w:tabs>
          </w:pPr>
          <w:r>
            <w:rPr>
              <w:bCs/>
              <w:highlight w:val="none"/>
              <w:lang w:val="zh-CN"/>
            </w:rPr>
            <w:fldChar w:fldCharType="begin"/>
          </w:r>
          <w:r>
            <w:rPr>
              <w:bCs/>
              <w:highlight w:val="none"/>
              <w:lang w:val="zh-CN"/>
            </w:rPr>
            <w:instrText xml:space="preserve"> HYPERLINK \l _Toc24912 </w:instrText>
          </w:r>
          <w:r>
            <w:rPr>
              <w:bCs/>
              <w:highlight w:val="none"/>
              <w:lang w:val="zh-CN"/>
            </w:rPr>
            <w:fldChar w:fldCharType="separate"/>
          </w:r>
          <w:r>
            <w:rPr>
              <w:rFonts w:hint="eastAsia" w:ascii="Calibri" w:hAnsi="Calibri" w:eastAsia="宋体" w:cs="Times New Roman"/>
              <w:szCs w:val="24"/>
              <w:highlight w:val="none"/>
              <w:lang w:val="en-US" w:eastAsia="zh-CN"/>
            </w:rPr>
            <w:t>5.2</w:t>
          </w:r>
          <w:r>
            <w:rPr>
              <w:rFonts w:ascii="Calibri" w:hAnsi="Calibri" w:eastAsia="宋体" w:cs="Times New Roman"/>
              <w:szCs w:val="24"/>
              <w:highlight w:val="none"/>
            </w:rPr>
            <w:t>投标报价</w:t>
          </w:r>
          <w:r>
            <w:tab/>
          </w:r>
          <w:r>
            <w:fldChar w:fldCharType="begin"/>
          </w:r>
          <w:r>
            <w:instrText xml:space="preserve"> PAGEREF _Toc24912 \h </w:instrText>
          </w:r>
          <w:r>
            <w:fldChar w:fldCharType="separate"/>
          </w:r>
          <w:r>
            <w:t>7</w:t>
          </w:r>
          <w:r>
            <w:fldChar w:fldCharType="end"/>
          </w:r>
          <w:r>
            <w:rPr>
              <w:bCs/>
              <w:highlight w:val="none"/>
              <w:lang w:val="zh-CN"/>
            </w:rPr>
            <w:fldChar w:fldCharType="end"/>
          </w:r>
        </w:p>
        <w:p w14:paraId="3585ED98">
          <w:pPr>
            <w:pStyle w:val="21"/>
            <w:tabs>
              <w:tab w:val="right" w:leader="dot" w:pos="8715"/>
            </w:tabs>
          </w:pPr>
          <w:r>
            <w:rPr>
              <w:bCs/>
              <w:highlight w:val="none"/>
              <w:lang w:val="zh-CN"/>
            </w:rPr>
            <w:fldChar w:fldCharType="begin"/>
          </w:r>
          <w:r>
            <w:rPr>
              <w:bCs/>
              <w:highlight w:val="none"/>
              <w:lang w:val="zh-CN"/>
            </w:rPr>
            <w:instrText xml:space="preserve"> HYPERLINK \l _Toc17208 </w:instrText>
          </w:r>
          <w:r>
            <w:rPr>
              <w:bCs/>
              <w:highlight w:val="none"/>
              <w:lang w:val="zh-CN"/>
            </w:rPr>
            <w:fldChar w:fldCharType="separate"/>
          </w:r>
          <w:r>
            <w:rPr>
              <w:rFonts w:ascii="Calibri" w:hAnsi="Calibri" w:eastAsia="宋体" w:cs="Times New Roman"/>
              <w:bCs/>
              <w:szCs w:val="24"/>
              <w:highlight w:val="none"/>
            </w:rPr>
            <w:t>1）本次招投标为</w:t>
          </w:r>
          <w:r>
            <w:rPr>
              <w:rFonts w:ascii="Calibri" w:hAnsi="Calibri" w:eastAsia="宋体" w:cs="Times New Roman"/>
              <w:szCs w:val="24"/>
              <w:highlight w:val="none"/>
            </w:rPr>
            <w:t>公开招标</w:t>
          </w:r>
          <w:r>
            <w:rPr>
              <w:rFonts w:ascii="Calibri" w:hAnsi="Calibri" w:eastAsia="宋体" w:cs="Times New Roman"/>
              <w:bCs/>
              <w:szCs w:val="24"/>
              <w:highlight w:val="none"/>
            </w:rPr>
            <w:t>，投标总报价应包括实施服务、税费等全部费用。</w:t>
          </w:r>
          <w:r>
            <w:tab/>
          </w:r>
          <w:r>
            <w:fldChar w:fldCharType="begin"/>
          </w:r>
          <w:r>
            <w:instrText xml:space="preserve"> PAGEREF _Toc17208 \h </w:instrText>
          </w:r>
          <w:r>
            <w:fldChar w:fldCharType="separate"/>
          </w:r>
          <w:r>
            <w:t>8</w:t>
          </w:r>
          <w:r>
            <w:fldChar w:fldCharType="end"/>
          </w:r>
          <w:r>
            <w:rPr>
              <w:bCs/>
              <w:highlight w:val="none"/>
              <w:lang w:val="zh-CN"/>
            </w:rPr>
            <w:fldChar w:fldCharType="end"/>
          </w:r>
        </w:p>
        <w:p w14:paraId="7951244B">
          <w:pPr>
            <w:pStyle w:val="21"/>
            <w:tabs>
              <w:tab w:val="right" w:leader="dot" w:pos="8715"/>
            </w:tabs>
          </w:pPr>
          <w:r>
            <w:rPr>
              <w:bCs/>
              <w:highlight w:val="none"/>
              <w:lang w:val="zh-CN"/>
            </w:rPr>
            <w:fldChar w:fldCharType="begin"/>
          </w:r>
          <w:r>
            <w:rPr>
              <w:bCs/>
              <w:highlight w:val="none"/>
              <w:lang w:val="zh-CN"/>
            </w:rPr>
            <w:instrText xml:space="preserve"> HYPERLINK \l _Toc4874 </w:instrText>
          </w:r>
          <w:r>
            <w:rPr>
              <w:bCs/>
              <w:highlight w:val="none"/>
              <w:lang w:val="zh-CN"/>
            </w:rPr>
            <w:fldChar w:fldCharType="separate"/>
          </w:r>
          <w:r>
            <w:rPr>
              <w:rFonts w:hint="eastAsia" w:ascii="Calibri" w:hAnsi="Calibri" w:eastAsia="宋体" w:cs="Times New Roman"/>
              <w:bCs/>
              <w:szCs w:val="24"/>
              <w:highlight w:val="none"/>
            </w:rPr>
            <w:t>2</w:t>
          </w:r>
          <w:r>
            <w:rPr>
              <w:rFonts w:ascii="Calibri" w:hAnsi="Calibri" w:eastAsia="宋体" w:cs="Times New Roman"/>
              <w:bCs/>
              <w:szCs w:val="24"/>
              <w:highlight w:val="none"/>
            </w:rPr>
            <w:t>）所有参加投标的单位必须结合自身的实际情况，对此次招标项目服务周期与实施难度的估量以及所制定的实施组织计划，以实际产生的费用，据实报价。</w:t>
          </w:r>
          <w:r>
            <w:tab/>
          </w:r>
          <w:r>
            <w:fldChar w:fldCharType="begin"/>
          </w:r>
          <w:r>
            <w:instrText xml:space="preserve"> PAGEREF _Toc4874 \h </w:instrText>
          </w:r>
          <w:r>
            <w:fldChar w:fldCharType="separate"/>
          </w:r>
          <w:r>
            <w:t>8</w:t>
          </w:r>
          <w:r>
            <w:fldChar w:fldCharType="end"/>
          </w:r>
          <w:r>
            <w:rPr>
              <w:bCs/>
              <w:highlight w:val="none"/>
              <w:lang w:val="zh-CN"/>
            </w:rPr>
            <w:fldChar w:fldCharType="end"/>
          </w:r>
        </w:p>
        <w:p w14:paraId="1F2AE0C8">
          <w:pPr>
            <w:pStyle w:val="21"/>
            <w:tabs>
              <w:tab w:val="right" w:leader="dot" w:pos="8715"/>
            </w:tabs>
          </w:pPr>
          <w:r>
            <w:rPr>
              <w:bCs/>
              <w:highlight w:val="none"/>
              <w:lang w:val="zh-CN"/>
            </w:rPr>
            <w:fldChar w:fldCharType="begin"/>
          </w:r>
          <w:r>
            <w:rPr>
              <w:bCs/>
              <w:highlight w:val="none"/>
              <w:lang w:val="zh-CN"/>
            </w:rPr>
            <w:instrText xml:space="preserve"> HYPERLINK \l _Toc24738 </w:instrText>
          </w:r>
          <w:r>
            <w:rPr>
              <w:bCs/>
              <w:highlight w:val="none"/>
              <w:lang w:val="zh-CN"/>
            </w:rPr>
            <w:fldChar w:fldCharType="separate"/>
          </w:r>
          <w:r>
            <w:rPr>
              <w:rFonts w:hint="eastAsia" w:ascii="Calibri" w:hAnsi="Calibri" w:eastAsia="宋体" w:cs="Times New Roman"/>
              <w:bCs/>
              <w:szCs w:val="24"/>
              <w:highlight w:val="none"/>
            </w:rPr>
            <w:t>3</w:t>
          </w:r>
          <w:r>
            <w:rPr>
              <w:rFonts w:ascii="Calibri" w:hAnsi="Calibri" w:eastAsia="宋体" w:cs="Times New Roman"/>
              <w:bCs/>
              <w:szCs w:val="24"/>
              <w:highlight w:val="none"/>
            </w:rPr>
            <w:t>）</w:t>
          </w:r>
          <w:r>
            <w:rPr>
              <w:rFonts w:hint="eastAsia" w:ascii="Calibri" w:hAnsi="Calibri" w:cs="Times New Roman"/>
              <w:bCs/>
              <w:szCs w:val="24"/>
              <w:highlight w:val="none"/>
              <w:lang w:eastAsia="zh-CN"/>
            </w:rPr>
            <w:t>投标人</w:t>
          </w:r>
          <w:r>
            <w:rPr>
              <w:rFonts w:ascii="Calibri" w:hAnsi="Calibri" w:eastAsia="宋体" w:cs="Times New Roman"/>
              <w:bCs/>
              <w:szCs w:val="24"/>
              <w:highlight w:val="none"/>
            </w:rPr>
            <w:t>免费提供的项目，应先填写该项目的实际价格，并注明免费。此项不计入总报价。</w:t>
          </w:r>
          <w:r>
            <w:tab/>
          </w:r>
          <w:r>
            <w:fldChar w:fldCharType="begin"/>
          </w:r>
          <w:r>
            <w:instrText xml:space="preserve"> PAGEREF _Toc24738 \h </w:instrText>
          </w:r>
          <w:r>
            <w:fldChar w:fldCharType="separate"/>
          </w:r>
          <w:r>
            <w:t>8</w:t>
          </w:r>
          <w:r>
            <w:fldChar w:fldCharType="end"/>
          </w:r>
          <w:r>
            <w:rPr>
              <w:bCs/>
              <w:highlight w:val="none"/>
              <w:lang w:val="zh-CN"/>
            </w:rPr>
            <w:fldChar w:fldCharType="end"/>
          </w:r>
        </w:p>
        <w:p w14:paraId="6A328F9C">
          <w:pPr>
            <w:pStyle w:val="21"/>
            <w:tabs>
              <w:tab w:val="right" w:leader="dot" w:pos="8715"/>
            </w:tabs>
          </w:pPr>
          <w:r>
            <w:rPr>
              <w:bCs/>
              <w:highlight w:val="none"/>
              <w:lang w:val="zh-CN"/>
            </w:rPr>
            <w:fldChar w:fldCharType="begin"/>
          </w:r>
          <w:r>
            <w:rPr>
              <w:bCs/>
              <w:highlight w:val="none"/>
              <w:lang w:val="zh-CN"/>
            </w:rPr>
            <w:instrText xml:space="preserve"> HYPERLINK \l _Toc10146 </w:instrText>
          </w:r>
          <w:r>
            <w:rPr>
              <w:bCs/>
              <w:highlight w:val="none"/>
              <w:lang w:val="zh-CN"/>
            </w:rPr>
            <w:fldChar w:fldCharType="separate"/>
          </w:r>
          <w:r>
            <w:rPr>
              <w:rFonts w:hint="eastAsia" w:ascii="Calibri" w:hAnsi="Calibri" w:eastAsia="宋体" w:cs="Times New Roman"/>
              <w:bCs/>
              <w:szCs w:val="24"/>
              <w:highlight w:val="none"/>
            </w:rPr>
            <w:t>4</w:t>
          </w:r>
          <w:r>
            <w:rPr>
              <w:rFonts w:ascii="Calibri" w:hAnsi="Calibri" w:eastAsia="宋体" w:cs="Times New Roman"/>
              <w:bCs/>
              <w:szCs w:val="24"/>
              <w:highlight w:val="none"/>
            </w:rPr>
            <w:t>）项目的报价货币单位为：人民币（</w:t>
          </w:r>
          <w:r>
            <w:rPr>
              <w:rFonts w:hint="default" w:ascii="Calibri" w:hAnsi="Calibri" w:eastAsia="宋体" w:cs="Times New Roman"/>
              <w:bCs/>
              <w:szCs w:val="24"/>
              <w:highlight w:val="none"/>
              <w:lang w:val="en-US" w:eastAsia="zh-CN"/>
            </w:rPr>
            <w:t>不</w:t>
          </w:r>
          <w:r>
            <w:rPr>
              <w:rFonts w:ascii="Calibri" w:hAnsi="Calibri" w:eastAsia="宋体" w:cs="Times New Roman"/>
              <w:bCs/>
              <w:szCs w:val="24"/>
              <w:highlight w:val="none"/>
            </w:rPr>
            <w:t>含税）。</w:t>
          </w:r>
          <w:r>
            <w:tab/>
          </w:r>
          <w:r>
            <w:fldChar w:fldCharType="begin"/>
          </w:r>
          <w:r>
            <w:instrText xml:space="preserve"> PAGEREF _Toc10146 \h </w:instrText>
          </w:r>
          <w:r>
            <w:fldChar w:fldCharType="separate"/>
          </w:r>
          <w:r>
            <w:t>8</w:t>
          </w:r>
          <w:r>
            <w:fldChar w:fldCharType="end"/>
          </w:r>
          <w:r>
            <w:rPr>
              <w:bCs/>
              <w:highlight w:val="none"/>
              <w:lang w:val="zh-CN"/>
            </w:rPr>
            <w:fldChar w:fldCharType="end"/>
          </w:r>
        </w:p>
        <w:p w14:paraId="2B402A94">
          <w:pPr>
            <w:pStyle w:val="21"/>
            <w:tabs>
              <w:tab w:val="right" w:leader="dot" w:pos="8715"/>
            </w:tabs>
          </w:pPr>
          <w:r>
            <w:rPr>
              <w:bCs/>
              <w:highlight w:val="none"/>
              <w:lang w:val="zh-CN"/>
            </w:rPr>
            <w:fldChar w:fldCharType="begin"/>
          </w:r>
          <w:r>
            <w:rPr>
              <w:bCs/>
              <w:highlight w:val="none"/>
              <w:lang w:val="zh-CN"/>
            </w:rPr>
            <w:instrText xml:space="preserve"> HYPERLINK \l _Toc20087 </w:instrText>
          </w:r>
          <w:r>
            <w:rPr>
              <w:bCs/>
              <w:highlight w:val="none"/>
              <w:lang w:val="zh-CN"/>
            </w:rPr>
            <w:fldChar w:fldCharType="separate"/>
          </w:r>
          <w:r>
            <w:rPr>
              <w:rFonts w:hint="eastAsia" w:ascii="Calibri" w:hAnsi="Calibri" w:eastAsia="宋体" w:cs="Times New Roman"/>
              <w:bCs/>
              <w:szCs w:val="24"/>
              <w:highlight w:val="none"/>
            </w:rPr>
            <w:t>5</w:t>
          </w:r>
          <w:r>
            <w:rPr>
              <w:rFonts w:ascii="Calibri" w:hAnsi="Calibri" w:eastAsia="宋体" w:cs="Times New Roman"/>
              <w:bCs/>
              <w:szCs w:val="24"/>
              <w:highlight w:val="none"/>
            </w:rPr>
            <w:t>）最后磋商报价在合同执行过程中是固定不变的，不得以任何理由予以变更。</w:t>
          </w:r>
          <w:r>
            <w:tab/>
          </w:r>
          <w:r>
            <w:fldChar w:fldCharType="begin"/>
          </w:r>
          <w:r>
            <w:instrText xml:space="preserve"> PAGEREF _Toc20087 \h </w:instrText>
          </w:r>
          <w:r>
            <w:fldChar w:fldCharType="separate"/>
          </w:r>
          <w:r>
            <w:t>8</w:t>
          </w:r>
          <w:r>
            <w:fldChar w:fldCharType="end"/>
          </w:r>
          <w:r>
            <w:rPr>
              <w:bCs/>
              <w:highlight w:val="none"/>
              <w:lang w:val="zh-CN"/>
            </w:rPr>
            <w:fldChar w:fldCharType="end"/>
          </w:r>
        </w:p>
        <w:p w14:paraId="7CE8D329">
          <w:pPr>
            <w:pStyle w:val="21"/>
            <w:tabs>
              <w:tab w:val="right" w:leader="dot" w:pos="8715"/>
            </w:tabs>
          </w:pPr>
          <w:r>
            <w:rPr>
              <w:bCs/>
              <w:highlight w:val="none"/>
              <w:lang w:val="zh-CN"/>
            </w:rPr>
            <w:fldChar w:fldCharType="begin"/>
          </w:r>
          <w:r>
            <w:rPr>
              <w:bCs/>
              <w:highlight w:val="none"/>
              <w:lang w:val="zh-CN"/>
            </w:rPr>
            <w:instrText xml:space="preserve"> HYPERLINK \l _Toc1257 </w:instrText>
          </w:r>
          <w:r>
            <w:rPr>
              <w:bCs/>
              <w:highlight w:val="none"/>
              <w:lang w:val="zh-CN"/>
            </w:rPr>
            <w:fldChar w:fldCharType="separate"/>
          </w:r>
          <w:r>
            <w:rPr>
              <w:rFonts w:hint="eastAsia" w:ascii="Calibri" w:hAnsi="Calibri" w:eastAsia="宋体" w:cs="Times New Roman"/>
              <w:szCs w:val="24"/>
              <w:highlight w:val="none"/>
              <w:lang w:val="en-US" w:eastAsia="zh-CN"/>
            </w:rPr>
            <w:t>5.3</w:t>
          </w:r>
          <w:r>
            <w:rPr>
              <w:rFonts w:ascii="Calibri" w:hAnsi="Calibri" w:eastAsia="宋体" w:cs="Times New Roman"/>
              <w:szCs w:val="24"/>
              <w:highlight w:val="none"/>
            </w:rPr>
            <w:t>招标文件的组成</w:t>
          </w:r>
          <w:r>
            <w:tab/>
          </w:r>
          <w:r>
            <w:fldChar w:fldCharType="begin"/>
          </w:r>
          <w:r>
            <w:instrText xml:space="preserve"> PAGEREF _Toc1257 \h </w:instrText>
          </w:r>
          <w:r>
            <w:fldChar w:fldCharType="separate"/>
          </w:r>
          <w:r>
            <w:t>8</w:t>
          </w:r>
          <w:r>
            <w:fldChar w:fldCharType="end"/>
          </w:r>
          <w:r>
            <w:rPr>
              <w:bCs/>
              <w:highlight w:val="none"/>
              <w:lang w:val="zh-CN"/>
            </w:rPr>
            <w:fldChar w:fldCharType="end"/>
          </w:r>
        </w:p>
        <w:p w14:paraId="7FC45E1C">
          <w:pPr>
            <w:pStyle w:val="21"/>
            <w:tabs>
              <w:tab w:val="right" w:leader="dot" w:pos="8715"/>
            </w:tabs>
          </w:pPr>
          <w:r>
            <w:rPr>
              <w:bCs/>
              <w:highlight w:val="none"/>
              <w:lang w:val="zh-CN"/>
            </w:rPr>
            <w:fldChar w:fldCharType="begin"/>
          </w:r>
          <w:r>
            <w:rPr>
              <w:bCs/>
              <w:highlight w:val="none"/>
              <w:lang w:val="zh-CN"/>
            </w:rPr>
            <w:instrText xml:space="preserve"> HYPERLINK \l _Toc17776 </w:instrText>
          </w:r>
          <w:r>
            <w:rPr>
              <w:bCs/>
              <w:highlight w:val="none"/>
              <w:lang w:val="zh-CN"/>
            </w:rPr>
            <w:fldChar w:fldCharType="separate"/>
          </w:r>
          <w:r>
            <w:rPr>
              <w:rFonts w:ascii="Calibri" w:hAnsi="Calibri" w:eastAsia="宋体" w:cs="Times New Roman"/>
              <w:bCs/>
              <w:szCs w:val="24"/>
              <w:highlight w:val="none"/>
            </w:rPr>
            <w:t>1）招标文件由招标文件总目录所列内容组成。</w:t>
          </w:r>
          <w:r>
            <w:tab/>
          </w:r>
          <w:r>
            <w:fldChar w:fldCharType="begin"/>
          </w:r>
          <w:r>
            <w:instrText xml:space="preserve"> PAGEREF _Toc17776 \h </w:instrText>
          </w:r>
          <w:r>
            <w:fldChar w:fldCharType="separate"/>
          </w:r>
          <w:r>
            <w:t>8</w:t>
          </w:r>
          <w:r>
            <w:fldChar w:fldCharType="end"/>
          </w:r>
          <w:r>
            <w:rPr>
              <w:bCs/>
              <w:highlight w:val="none"/>
              <w:lang w:val="zh-CN"/>
            </w:rPr>
            <w:fldChar w:fldCharType="end"/>
          </w:r>
        </w:p>
        <w:p w14:paraId="76ABD31D">
          <w:pPr>
            <w:pStyle w:val="21"/>
            <w:tabs>
              <w:tab w:val="right" w:leader="dot" w:pos="8715"/>
            </w:tabs>
          </w:pPr>
          <w:r>
            <w:rPr>
              <w:bCs/>
              <w:highlight w:val="none"/>
              <w:lang w:val="zh-CN"/>
            </w:rPr>
            <w:fldChar w:fldCharType="begin"/>
          </w:r>
          <w:r>
            <w:rPr>
              <w:bCs/>
              <w:highlight w:val="none"/>
              <w:lang w:val="zh-CN"/>
            </w:rPr>
            <w:instrText xml:space="preserve"> HYPERLINK \l _Toc27191 </w:instrText>
          </w:r>
          <w:r>
            <w:rPr>
              <w:bCs/>
              <w:highlight w:val="none"/>
              <w:lang w:val="zh-CN"/>
            </w:rPr>
            <w:fldChar w:fldCharType="separate"/>
          </w:r>
          <w:r>
            <w:rPr>
              <w:rFonts w:ascii="Calibri" w:hAnsi="Calibri" w:eastAsia="宋体" w:cs="Times New Roman"/>
              <w:bCs/>
              <w:szCs w:val="24"/>
              <w:highlight w:val="none"/>
            </w:rPr>
            <w:t>2）投标人详细阅读招标文件的全部内容。不按招标文件的要求提供的投标文件和资料，可能导致投标被拒绝。</w:t>
          </w:r>
          <w:r>
            <w:tab/>
          </w:r>
          <w:r>
            <w:fldChar w:fldCharType="begin"/>
          </w:r>
          <w:r>
            <w:instrText xml:space="preserve"> PAGEREF _Toc27191 \h </w:instrText>
          </w:r>
          <w:r>
            <w:fldChar w:fldCharType="separate"/>
          </w:r>
          <w:r>
            <w:t>8</w:t>
          </w:r>
          <w:r>
            <w:fldChar w:fldCharType="end"/>
          </w:r>
          <w:r>
            <w:rPr>
              <w:bCs/>
              <w:highlight w:val="none"/>
              <w:lang w:val="zh-CN"/>
            </w:rPr>
            <w:fldChar w:fldCharType="end"/>
          </w:r>
        </w:p>
        <w:p w14:paraId="23CCFC20">
          <w:pPr>
            <w:pStyle w:val="21"/>
            <w:tabs>
              <w:tab w:val="right" w:leader="dot" w:pos="8715"/>
            </w:tabs>
          </w:pPr>
          <w:r>
            <w:rPr>
              <w:bCs/>
              <w:highlight w:val="none"/>
              <w:lang w:val="zh-CN"/>
            </w:rPr>
            <w:fldChar w:fldCharType="begin"/>
          </w:r>
          <w:r>
            <w:rPr>
              <w:bCs/>
              <w:highlight w:val="none"/>
              <w:lang w:val="zh-CN"/>
            </w:rPr>
            <w:instrText xml:space="preserve"> HYPERLINK \l _Toc21245 </w:instrText>
          </w:r>
          <w:r>
            <w:rPr>
              <w:bCs/>
              <w:highlight w:val="none"/>
              <w:lang w:val="zh-CN"/>
            </w:rPr>
            <w:fldChar w:fldCharType="separate"/>
          </w:r>
          <w:r>
            <w:rPr>
              <w:rFonts w:hint="eastAsia" w:ascii="Calibri" w:hAnsi="Calibri" w:eastAsia="宋体" w:cs="Times New Roman"/>
              <w:szCs w:val="24"/>
              <w:highlight w:val="none"/>
              <w:lang w:val="en-US" w:eastAsia="zh-CN"/>
            </w:rPr>
            <w:t>5.4</w:t>
          </w:r>
          <w:r>
            <w:rPr>
              <w:rFonts w:ascii="Calibri" w:hAnsi="Calibri" w:eastAsia="宋体" w:cs="Times New Roman"/>
              <w:szCs w:val="24"/>
              <w:highlight w:val="none"/>
            </w:rPr>
            <w:t>招标文件的澄清</w:t>
          </w:r>
          <w:r>
            <w:tab/>
          </w:r>
          <w:r>
            <w:fldChar w:fldCharType="begin"/>
          </w:r>
          <w:r>
            <w:instrText xml:space="preserve"> PAGEREF _Toc21245 \h </w:instrText>
          </w:r>
          <w:r>
            <w:fldChar w:fldCharType="separate"/>
          </w:r>
          <w:r>
            <w:t>8</w:t>
          </w:r>
          <w:r>
            <w:fldChar w:fldCharType="end"/>
          </w:r>
          <w:r>
            <w:rPr>
              <w:bCs/>
              <w:highlight w:val="none"/>
              <w:lang w:val="zh-CN"/>
            </w:rPr>
            <w:fldChar w:fldCharType="end"/>
          </w:r>
        </w:p>
        <w:p w14:paraId="1BF0C674">
          <w:pPr>
            <w:pStyle w:val="21"/>
            <w:tabs>
              <w:tab w:val="right" w:leader="dot" w:pos="8715"/>
            </w:tabs>
          </w:pPr>
          <w:r>
            <w:rPr>
              <w:bCs/>
              <w:highlight w:val="none"/>
              <w:lang w:val="zh-CN"/>
            </w:rPr>
            <w:fldChar w:fldCharType="begin"/>
          </w:r>
          <w:r>
            <w:rPr>
              <w:bCs/>
              <w:highlight w:val="none"/>
              <w:lang w:val="zh-CN"/>
            </w:rPr>
            <w:instrText xml:space="preserve"> HYPERLINK \l _Toc13517 </w:instrText>
          </w:r>
          <w:r>
            <w:rPr>
              <w:bCs/>
              <w:highlight w:val="none"/>
              <w:lang w:val="zh-CN"/>
            </w:rPr>
            <w:fldChar w:fldCharType="separate"/>
          </w:r>
          <w:r>
            <w:rPr>
              <w:rFonts w:ascii="Calibri" w:hAnsi="Calibri" w:eastAsia="宋体" w:cs="Times New Roman"/>
              <w:bCs/>
              <w:szCs w:val="24"/>
              <w:highlight w:val="none"/>
            </w:rPr>
            <w:t>投标人对招标文件如有疑点要求澄清，或认为有必要与招标人进行技术交流时，可用书面形式通知招标人，招标人将视情况以书面形式予以答复，并将答复内容包括原提出的问题（但不标明问题查询的来源），分发给所有取得同一招标文件的投标人。</w:t>
          </w:r>
          <w:r>
            <w:tab/>
          </w:r>
          <w:r>
            <w:fldChar w:fldCharType="begin"/>
          </w:r>
          <w:r>
            <w:instrText xml:space="preserve"> PAGEREF _Toc13517 \h </w:instrText>
          </w:r>
          <w:r>
            <w:fldChar w:fldCharType="separate"/>
          </w:r>
          <w:r>
            <w:t>8</w:t>
          </w:r>
          <w:r>
            <w:fldChar w:fldCharType="end"/>
          </w:r>
          <w:r>
            <w:rPr>
              <w:bCs/>
              <w:highlight w:val="none"/>
              <w:lang w:val="zh-CN"/>
            </w:rPr>
            <w:fldChar w:fldCharType="end"/>
          </w:r>
        </w:p>
        <w:p w14:paraId="6FCA9451">
          <w:pPr>
            <w:pStyle w:val="21"/>
            <w:tabs>
              <w:tab w:val="right" w:leader="dot" w:pos="8715"/>
            </w:tabs>
          </w:pPr>
          <w:r>
            <w:rPr>
              <w:bCs/>
              <w:highlight w:val="none"/>
              <w:lang w:val="zh-CN"/>
            </w:rPr>
            <w:fldChar w:fldCharType="begin"/>
          </w:r>
          <w:r>
            <w:rPr>
              <w:bCs/>
              <w:highlight w:val="none"/>
              <w:lang w:val="zh-CN"/>
            </w:rPr>
            <w:instrText xml:space="preserve"> HYPERLINK \l _Toc5796 </w:instrText>
          </w:r>
          <w:r>
            <w:rPr>
              <w:bCs/>
              <w:highlight w:val="none"/>
              <w:lang w:val="zh-CN"/>
            </w:rPr>
            <w:fldChar w:fldCharType="separate"/>
          </w:r>
          <w:r>
            <w:rPr>
              <w:rFonts w:hint="eastAsia" w:ascii="Calibri" w:hAnsi="Calibri" w:eastAsia="宋体" w:cs="Times New Roman"/>
              <w:szCs w:val="24"/>
              <w:highlight w:val="none"/>
              <w:lang w:val="en-US" w:eastAsia="zh-CN"/>
            </w:rPr>
            <w:t>5.5</w:t>
          </w:r>
          <w:r>
            <w:rPr>
              <w:rFonts w:ascii="Calibri" w:hAnsi="Calibri" w:eastAsia="宋体" w:cs="Times New Roman"/>
              <w:szCs w:val="24"/>
              <w:highlight w:val="none"/>
            </w:rPr>
            <w:t>招标文件的修改</w:t>
          </w:r>
          <w:r>
            <w:tab/>
          </w:r>
          <w:r>
            <w:fldChar w:fldCharType="begin"/>
          </w:r>
          <w:r>
            <w:instrText xml:space="preserve"> PAGEREF _Toc5796 \h </w:instrText>
          </w:r>
          <w:r>
            <w:fldChar w:fldCharType="separate"/>
          </w:r>
          <w:r>
            <w:t>8</w:t>
          </w:r>
          <w:r>
            <w:fldChar w:fldCharType="end"/>
          </w:r>
          <w:r>
            <w:rPr>
              <w:bCs/>
              <w:highlight w:val="none"/>
              <w:lang w:val="zh-CN"/>
            </w:rPr>
            <w:fldChar w:fldCharType="end"/>
          </w:r>
        </w:p>
        <w:p w14:paraId="44E0A8F8">
          <w:pPr>
            <w:pStyle w:val="21"/>
            <w:tabs>
              <w:tab w:val="right" w:leader="dot" w:pos="8715"/>
            </w:tabs>
          </w:pPr>
          <w:r>
            <w:rPr>
              <w:bCs/>
              <w:highlight w:val="none"/>
              <w:lang w:val="zh-CN"/>
            </w:rPr>
            <w:fldChar w:fldCharType="begin"/>
          </w:r>
          <w:r>
            <w:rPr>
              <w:bCs/>
              <w:highlight w:val="none"/>
              <w:lang w:val="zh-CN"/>
            </w:rPr>
            <w:instrText xml:space="preserve"> HYPERLINK \l _Toc2107 </w:instrText>
          </w:r>
          <w:r>
            <w:rPr>
              <w:bCs/>
              <w:highlight w:val="none"/>
              <w:lang w:val="zh-CN"/>
            </w:rPr>
            <w:fldChar w:fldCharType="separate"/>
          </w:r>
          <w:r>
            <w:rPr>
              <w:rFonts w:ascii="Calibri" w:hAnsi="Calibri" w:eastAsia="宋体" w:cs="Times New Roman"/>
              <w:bCs/>
              <w:szCs w:val="24"/>
              <w:highlight w:val="none"/>
            </w:rPr>
            <w:t>1）在投标截止时间前，招标人无论出于自己的考虑，还是出于对投标人提问的澄清，均可对招标文件用补充文件的方式进行修改。</w:t>
          </w:r>
          <w:r>
            <w:tab/>
          </w:r>
          <w:r>
            <w:fldChar w:fldCharType="begin"/>
          </w:r>
          <w:r>
            <w:instrText xml:space="preserve"> PAGEREF _Toc2107 \h </w:instrText>
          </w:r>
          <w:r>
            <w:fldChar w:fldCharType="separate"/>
          </w:r>
          <w:r>
            <w:t>8</w:t>
          </w:r>
          <w:r>
            <w:fldChar w:fldCharType="end"/>
          </w:r>
          <w:r>
            <w:rPr>
              <w:bCs/>
              <w:highlight w:val="none"/>
              <w:lang w:val="zh-CN"/>
            </w:rPr>
            <w:fldChar w:fldCharType="end"/>
          </w:r>
        </w:p>
        <w:p w14:paraId="031BA028">
          <w:pPr>
            <w:pStyle w:val="21"/>
            <w:tabs>
              <w:tab w:val="right" w:leader="dot" w:pos="8715"/>
            </w:tabs>
          </w:pPr>
          <w:r>
            <w:rPr>
              <w:bCs/>
              <w:highlight w:val="none"/>
              <w:lang w:val="zh-CN"/>
            </w:rPr>
            <w:fldChar w:fldCharType="begin"/>
          </w:r>
          <w:r>
            <w:rPr>
              <w:bCs/>
              <w:highlight w:val="none"/>
              <w:lang w:val="zh-CN"/>
            </w:rPr>
            <w:instrText xml:space="preserve"> HYPERLINK \l _Toc10064 </w:instrText>
          </w:r>
          <w:r>
            <w:rPr>
              <w:bCs/>
              <w:highlight w:val="none"/>
              <w:lang w:val="zh-CN"/>
            </w:rPr>
            <w:fldChar w:fldCharType="separate"/>
          </w:r>
          <w:r>
            <w:rPr>
              <w:rFonts w:ascii="Calibri" w:hAnsi="Calibri" w:eastAsia="宋体" w:cs="Times New Roman"/>
              <w:bCs/>
              <w:szCs w:val="24"/>
              <w:highlight w:val="none"/>
            </w:rPr>
            <w:t>2）对招标文件的修改，将以书面的形式通知已收到招标文件的每一投标人。补充文件将作为招标文件的组成部分，对所有投标人有约束力。</w:t>
          </w:r>
          <w:r>
            <w:tab/>
          </w:r>
          <w:r>
            <w:fldChar w:fldCharType="begin"/>
          </w:r>
          <w:r>
            <w:instrText xml:space="preserve"> PAGEREF _Toc10064 \h </w:instrText>
          </w:r>
          <w:r>
            <w:fldChar w:fldCharType="separate"/>
          </w:r>
          <w:r>
            <w:t>8</w:t>
          </w:r>
          <w:r>
            <w:fldChar w:fldCharType="end"/>
          </w:r>
          <w:r>
            <w:rPr>
              <w:bCs/>
              <w:highlight w:val="none"/>
              <w:lang w:val="zh-CN"/>
            </w:rPr>
            <w:fldChar w:fldCharType="end"/>
          </w:r>
        </w:p>
        <w:p w14:paraId="0A824ADA">
          <w:pPr>
            <w:pStyle w:val="21"/>
            <w:tabs>
              <w:tab w:val="right" w:leader="dot" w:pos="8715"/>
            </w:tabs>
          </w:pPr>
          <w:r>
            <w:rPr>
              <w:bCs/>
              <w:highlight w:val="none"/>
              <w:lang w:val="zh-CN"/>
            </w:rPr>
            <w:fldChar w:fldCharType="begin"/>
          </w:r>
          <w:r>
            <w:rPr>
              <w:bCs/>
              <w:highlight w:val="none"/>
              <w:lang w:val="zh-CN"/>
            </w:rPr>
            <w:instrText xml:space="preserve"> HYPERLINK \l _Toc754 </w:instrText>
          </w:r>
          <w:r>
            <w:rPr>
              <w:bCs/>
              <w:highlight w:val="none"/>
              <w:lang w:val="zh-CN"/>
            </w:rPr>
            <w:fldChar w:fldCharType="separate"/>
          </w:r>
          <w:r>
            <w:rPr>
              <w:rFonts w:ascii="Calibri" w:hAnsi="Calibri" w:eastAsia="宋体" w:cs="Times New Roman"/>
              <w:bCs/>
              <w:szCs w:val="24"/>
              <w:highlight w:val="none"/>
            </w:rPr>
            <w:t>3）为使投标人有足够的时间按招标文件的修改要求考虑修正投标文件，招标人可酌情推迟投标和开标日期，并将这些变更通知上述每一投标人。</w:t>
          </w:r>
          <w:r>
            <w:tab/>
          </w:r>
          <w:r>
            <w:fldChar w:fldCharType="begin"/>
          </w:r>
          <w:r>
            <w:instrText xml:space="preserve"> PAGEREF _Toc754 \h </w:instrText>
          </w:r>
          <w:r>
            <w:fldChar w:fldCharType="separate"/>
          </w:r>
          <w:r>
            <w:t>8</w:t>
          </w:r>
          <w:r>
            <w:fldChar w:fldCharType="end"/>
          </w:r>
          <w:r>
            <w:rPr>
              <w:bCs/>
              <w:highlight w:val="none"/>
              <w:lang w:val="zh-CN"/>
            </w:rPr>
            <w:fldChar w:fldCharType="end"/>
          </w:r>
        </w:p>
        <w:p w14:paraId="27CEED90">
          <w:pPr>
            <w:pStyle w:val="19"/>
            <w:tabs>
              <w:tab w:val="right" w:leader="dot" w:pos="8715"/>
            </w:tabs>
          </w:pPr>
          <w:r>
            <w:rPr>
              <w:bCs/>
              <w:highlight w:val="none"/>
              <w:lang w:val="zh-CN"/>
            </w:rPr>
            <w:fldChar w:fldCharType="begin"/>
          </w:r>
          <w:r>
            <w:rPr>
              <w:bCs/>
              <w:highlight w:val="none"/>
              <w:lang w:val="zh-CN"/>
            </w:rPr>
            <w:instrText xml:space="preserve"> HYPERLINK \l _Toc18458 </w:instrText>
          </w:r>
          <w:r>
            <w:rPr>
              <w:bCs/>
              <w:highlight w:val="none"/>
              <w:lang w:val="zh-CN"/>
            </w:rPr>
            <w:fldChar w:fldCharType="separate"/>
          </w:r>
          <w:r>
            <w:rPr>
              <w:rFonts w:hint="default"/>
            </w:rPr>
            <w:t xml:space="preserve">6. </w:t>
          </w:r>
          <w:r>
            <w:rPr>
              <w:rFonts w:hint="eastAsia"/>
              <w:highlight w:val="none"/>
            </w:rPr>
            <w:t>投标文件的内容和要求</w:t>
          </w:r>
          <w:r>
            <w:tab/>
          </w:r>
          <w:r>
            <w:fldChar w:fldCharType="begin"/>
          </w:r>
          <w:r>
            <w:instrText xml:space="preserve"> PAGEREF _Toc18458 \h </w:instrText>
          </w:r>
          <w:r>
            <w:fldChar w:fldCharType="separate"/>
          </w:r>
          <w:r>
            <w:t>9</w:t>
          </w:r>
          <w:r>
            <w:fldChar w:fldCharType="end"/>
          </w:r>
          <w:r>
            <w:rPr>
              <w:bCs/>
              <w:highlight w:val="none"/>
              <w:lang w:val="zh-CN"/>
            </w:rPr>
            <w:fldChar w:fldCharType="end"/>
          </w:r>
        </w:p>
        <w:p w14:paraId="7B33DF70">
          <w:pPr>
            <w:pStyle w:val="21"/>
            <w:tabs>
              <w:tab w:val="right" w:leader="dot" w:pos="8715"/>
            </w:tabs>
          </w:pPr>
          <w:r>
            <w:rPr>
              <w:bCs/>
              <w:highlight w:val="none"/>
              <w:lang w:val="zh-CN"/>
            </w:rPr>
            <w:fldChar w:fldCharType="begin"/>
          </w:r>
          <w:r>
            <w:rPr>
              <w:bCs/>
              <w:highlight w:val="none"/>
              <w:lang w:val="zh-CN"/>
            </w:rPr>
            <w:instrText xml:space="preserve"> HYPERLINK \l _Toc10347 </w:instrText>
          </w:r>
          <w:r>
            <w:rPr>
              <w:bCs/>
              <w:highlight w:val="none"/>
              <w:lang w:val="zh-CN"/>
            </w:rPr>
            <w:fldChar w:fldCharType="separate"/>
          </w:r>
          <w:r>
            <w:rPr>
              <w:rFonts w:hint="eastAsia" w:ascii="Calibri" w:hAnsi="Calibri" w:eastAsia="宋体" w:cs="Times New Roman"/>
              <w:szCs w:val="24"/>
              <w:highlight w:val="none"/>
              <w:lang w:val="en-US" w:eastAsia="zh-CN"/>
            </w:rPr>
            <w:t>6.1</w:t>
          </w:r>
          <w:r>
            <w:rPr>
              <w:rFonts w:ascii="Calibri" w:hAnsi="Calibri" w:eastAsia="宋体" w:cs="Times New Roman"/>
              <w:szCs w:val="24"/>
              <w:highlight w:val="none"/>
            </w:rPr>
            <w:t>投标文件计量单位</w:t>
          </w:r>
          <w:r>
            <w:tab/>
          </w:r>
          <w:r>
            <w:fldChar w:fldCharType="begin"/>
          </w:r>
          <w:r>
            <w:instrText xml:space="preserve"> PAGEREF _Toc10347 \h </w:instrText>
          </w:r>
          <w:r>
            <w:fldChar w:fldCharType="separate"/>
          </w:r>
          <w:r>
            <w:t>9</w:t>
          </w:r>
          <w:r>
            <w:fldChar w:fldCharType="end"/>
          </w:r>
          <w:r>
            <w:rPr>
              <w:bCs/>
              <w:highlight w:val="none"/>
              <w:lang w:val="zh-CN"/>
            </w:rPr>
            <w:fldChar w:fldCharType="end"/>
          </w:r>
        </w:p>
        <w:p w14:paraId="1E8E252D">
          <w:pPr>
            <w:pStyle w:val="21"/>
            <w:tabs>
              <w:tab w:val="right" w:leader="dot" w:pos="8715"/>
            </w:tabs>
          </w:pPr>
          <w:r>
            <w:rPr>
              <w:bCs/>
              <w:highlight w:val="none"/>
              <w:lang w:val="zh-CN"/>
            </w:rPr>
            <w:fldChar w:fldCharType="begin"/>
          </w:r>
          <w:r>
            <w:rPr>
              <w:bCs/>
              <w:highlight w:val="none"/>
              <w:lang w:val="zh-CN"/>
            </w:rPr>
            <w:instrText xml:space="preserve"> HYPERLINK \l _Toc4176 </w:instrText>
          </w:r>
          <w:r>
            <w:rPr>
              <w:bCs/>
              <w:highlight w:val="none"/>
              <w:lang w:val="zh-CN"/>
            </w:rPr>
            <w:fldChar w:fldCharType="separate"/>
          </w:r>
          <w:r>
            <w:rPr>
              <w:rFonts w:ascii="Calibri" w:hAnsi="Calibri" w:eastAsia="宋体" w:cs="Times New Roman"/>
              <w:szCs w:val="24"/>
              <w:highlight w:val="none"/>
            </w:rPr>
            <w:t>6.2投标文件组成</w:t>
          </w:r>
          <w:r>
            <w:tab/>
          </w:r>
          <w:r>
            <w:fldChar w:fldCharType="begin"/>
          </w:r>
          <w:r>
            <w:instrText xml:space="preserve"> PAGEREF _Toc4176 \h </w:instrText>
          </w:r>
          <w:r>
            <w:fldChar w:fldCharType="separate"/>
          </w:r>
          <w:r>
            <w:t>9</w:t>
          </w:r>
          <w:r>
            <w:fldChar w:fldCharType="end"/>
          </w:r>
          <w:r>
            <w:rPr>
              <w:bCs/>
              <w:highlight w:val="none"/>
              <w:lang w:val="zh-CN"/>
            </w:rPr>
            <w:fldChar w:fldCharType="end"/>
          </w:r>
        </w:p>
        <w:p w14:paraId="67EFF223">
          <w:pPr>
            <w:pStyle w:val="21"/>
            <w:tabs>
              <w:tab w:val="right" w:leader="dot" w:pos="8715"/>
            </w:tabs>
          </w:pPr>
          <w:r>
            <w:rPr>
              <w:bCs/>
              <w:highlight w:val="none"/>
              <w:lang w:val="zh-CN"/>
            </w:rPr>
            <w:fldChar w:fldCharType="begin"/>
          </w:r>
          <w:r>
            <w:rPr>
              <w:bCs/>
              <w:highlight w:val="none"/>
              <w:lang w:val="zh-CN"/>
            </w:rPr>
            <w:instrText xml:space="preserve"> HYPERLINK \l _Toc13707 </w:instrText>
          </w:r>
          <w:r>
            <w:rPr>
              <w:bCs/>
              <w:highlight w:val="none"/>
              <w:lang w:val="zh-CN"/>
            </w:rPr>
            <w:fldChar w:fldCharType="separate"/>
          </w:r>
          <w:r>
            <w:rPr>
              <w:rFonts w:hint="default" w:ascii="Times New Roman" w:hAnsi="Times New Roman" w:eastAsia="宋体" w:cs="Times New Roman"/>
              <w:bCs/>
              <w:szCs w:val="22"/>
              <w:highlight w:val="none"/>
              <w:lang w:val="en-US" w:eastAsia="zh-CN"/>
            </w:rPr>
            <w:t>6.2.4</w:t>
          </w:r>
          <w:r>
            <w:rPr>
              <w:rFonts w:hint="default" w:ascii="Times New Roman" w:hAnsi="Times New Roman" w:eastAsia="宋体" w:cs="Times New Roman"/>
              <w:bCs/>
              <w:szCs w:val="22"/>
              <w:highlight w:val="none"/>
            </w:rPr>
            <w:t>投标文件格式</w:t>
          </w:r>
          <w:r>
            <w:tab/>
          </w:r>
          <w:r>
            <w:fldChar w:fldCharType="begin"/>
          </w:r>
          <w:r>
            <w:instrText xml:space="preserve"> PAGEREF _Toc13707 \h </w:instrText>
          </w:r>
          <w:r>
            <w:fldChar w:fldCharType="separate"/>
          </w:r>
          <w:r>
            <w:t>10</w:t>
          </w:r>
          <w:r>
            <w:fldChar w:fldCharType="end"/>
          </w:r>
          <w:r>
            <w:rPr>
              <w:bCs/>
              <w:highlight w:val="none"/>
              <w:lang w:val="zh-CN"/>
            </w:rPr>
            <w:fldChar w:fldCharType="end"/>
          </w:r>
        </w:p>
        <w:p w14:paraId="2D048598">
          <w:pPr>
            <w:pStyle w:val="21"/>
            <w:tabs>
              <w:tab w:val="right" w:leader="dot" w:pos="8715"/>
            </w:tabs>
          </w:pPr>
          <w:r>
            <w:rPr>
              <w:bCs/>
              <w:highlight w:val="none"/>
              <w:lang w:val="zh-CN"/>
            </w:rPr>
            <w:fldChar w:fldCharType="begin"/>
          </w:r>
          <w:r>
            <w:rPr>
              <w:bCs/>
              <w:highlight w:val="none"/>
              <w:lang w:val="zh-CN"/>
            </w:rPr>
            <w:instrText xml:space="preserve"> HYPERLINK \l _Toc2248 </w:instrText>
          </w:r>
          <w:r>
            <w:rPr>
              <w:bCs/>
              <w:highlight w:val="none"/>
              <w:lang w:val="zh-CN"/>
            </w:rPr>
            <w:fldChar w:fldCharType="separate"/>
          </w:r>
          <w:r>
            <w:rPr>
              <w:rFonts w:hint="eastAsia" w:ascii="Times New Roman" w:hAnsi="Times New Roman" w:eastAsia="宋体" w:cs="Times New Roman"/>
              <w:bCs/>
              <w:szCs w:val="22"/>
              <w:highlight w:val="none"/>
              <w:lang w:val="en-US" w:eastAsia="zh-CN"/>
            </w:rPr>
            <w:t>6.2.5</w:t>
          </w:r>
          <w:r>
            <w:rPr>
              <w:rFonts w:hint="default" w:ascii="Times New Roman" w:hAnsi="Times New Roman" w:eastAsia="宋体" w:cs="Times New Roman"/>
              <w:bCs/>
              <w:szCs w:val="22"/>
              <w:highlight w:val="none"/>
            </w:rPr>
            <w:t>投标文件的装袋、密封和递交</w:t>
          </w:r>
          <w:r>
            <w:tab/>
          </w:r>
          <w:r>
            <w:fldChar w:fldCharType="begin"/>
          </w:r>
          <w:r>
            <w:instrText xml:space="preserve"> PAGEREF _Toc2248 \h </w:instrText>
          </w:r>
          <w:r>
            <w:fldChar w:fldCharType="separate"/>
          </w:r>
          <w:r>
            <w:t>10</w:t>
          </w:r>
          <w:r>
            <w:fldChar w:fldCharType="end"/>
          </w:r>
          <w:r>
            <w:rPr>
              <w:bCs/>
              <w:highlight w:val="none"/>
              <w:lang w:val="zh-CN"/>
            </w:rPr>
            <w:fldChar w:fldCharType="end"/>
          </w:r>
        </w:p>
        <w:p w14:paraId="7A5B1D67">
          <w:pPr>
            <w:pStyle w:val="21"/>
            <w:tabs>
              <w:tab w:val="right" w:leader="dot" w:pos="8715"/>
            </w:tabs>
          </w:pPr>
          <w:r>
            <w:rPr>
              <w:bCs/>
              <w:highlight w:val="none"/>
              <w:lang w:val="zh-CN"/>
            </w:rPr>
            <w:fldChar w:fldCharType="begin"/>
          </w:r>
          <w:r>
            <w:rPr>
              <w:bCs/>
              <w:highlight w:val="none"/>
              <w:lang w:val="zh-CN"/>
            </w:rPr>
            <w:instrText xml:space="preserve"> HYPERLINK \l _Toc31025 </w:instrText>
          </w:r>
          <w:r>
            <w:rPr>
              <w:bCs/>
              <w:highlight w:val="none"/>
              <w:lang w:val="zh-CN"/>
            </w:rPr>
            <w:fldChar w:fldCharType="separate"/>
          </w:r>
          <w:r>
            <w:rPr>
              <w:rFonts w:hint="eastAsia" w:ascii="Times New Roman" w:hAnsi="Times New Roman" w:eastAsia="宋体" w:cs="Times New Roman"/>
              <w:bCs/>
              <w:szCs w:val="22"/>
              <w:highlight w:val="none"/>
              <w:lang w:val="en-US" w:eastAsia="zh-CN"/>
            </w:rPr>
            <w:t>6.2.6</w:t>
          </w:r>
          <w:r>
            <w:rPr>
              <w:rFonts w:hint="eastAsia" w:ascii="Times New Roman" w:hAnsi="Times New Roman" w:eastAsia="宋体" w:cs="Times New Roman"/>
              <w:bCs/>
              <w:szCs w:val="22"/>
              <w:highlight w:val="none"/>
            </w:rPr>
            <w:t>投标文件的澄清</w:t>
          </w:r>
          <w:r>
            <w:tab/>
          </w:r>
          <w:r>
            <w:fldChar w:fldCharType="begin"/>
          </w:r>
          <w:r>
            <w:instrText xml:space="preserve"> PAGEREF _Toc31025 \h </w:instrText>
          </w:r>
          <w:r>
            <w:fldChar w:fldCharType="separate"/>
          </w:r>
          <w:r>
            <w:t>11</w:t>
          </w:r>
          <w:r>
            <w:fldChar w:fldCharType="end"/>
          </w:r>
          <w:r>
            <w:rPr>
              <w:bCs/>
              <w:highlight w:val="none"/>
              <w:lang w:val="zh-CN"/>
            </w:rPr>
            <w:fldChar w:fldCharType="end"/>
          </w:r>
        </w:p>
        <w:p w14:paraId="51B2D46A">
          <w:pPr>
            <w:pStyle w:val="21"/>
            <w:tabs>
              <w:tab w:val="right" w:leader="dot" w:pos="8715"/>
            </w:tabs>
          </w:pPr>
          <w:r>
            <w:rPr>
              <w:bCs/>
              <w:highlight w:val="none"/>
              <w:lang w:val="zh-CN"/>
            </w:rPr>
            <w:fldChar w:fldCharType="begin"/>
          </w:r>
          <w:r>
            <w:rPr>
              <w:bCs/>
              <w:highlight w:val="none"/>
              <w:lang w:val="zh-CN"/>
            </w:rPr>
            <w:instrText xml:space="preserve"> HYPERLINK \l _Toc4294 </w:instrText>
          </w:r>
          <w:r>
            <w:rPr>
              <w:bCs/>
              <w:highlight w:val="none"/>
              <w:lang w:val="zh-CN"/>
            </w:rPr>
            <w:fldChar w:fldCharType="separate"/>
          </w:r>
          <w:r>
            <w:rPr>
              <w:rFonts w:hint="eastAsia" w:ascii="Times New Roman" w:hAnsi="Times New Roman" w:eastAsia="宋体" w:cs="Times New Roman"/>
              <w:bCs/>
              <w:szCs w:val="22"/>
              <w:highlight w:val="none"/>
              <w:lang w:val="en-US" w:eastAsia="zh-CN"/>
            </w:rPr>
            <w:t>6.2.7</w:t>
          </w:r>
          <w:r>
            <w:rPr>
              <w:rFonts w:hint="eastAsia" w:ascii="Times New Roman" w:hAnsi="Times New Roman" w:eastAsia="宋体" w:cs="Times New Roman"/>
              <w:bCs/>
              <w:szCs w:val="22"/>
              <w:highlight w:val="none"/>
            </w:rPr>
            <w:t>开标</w:t>
          </w:r>
          <w:r>
            <w:tab/>
          </w:r>
          <w:r>
            <w:fldChar w:fldCharType="begin"/>
          </w:r>
          <w:r>
            <w:instrText xml:space="preserve"> PAGEREF _Toc4294 \h </w:instrText>
          </w:r>
          <w:r>
            <w:fldChar w:fldCharType="separate"/>
          </w:r>
          <w:r>
            <w:t>11</w:t>
          </w:r>
          <w:r>
            <w:fldChar w:fldCharType="end"/>
          </w:r>
          <w:r>
            <w:rPr>
              <w:bCs/>
              <w:highlight w:val="none"/>
              <w:lang w:val="zh-CN"/>
            </w:rPr>
            <w:fldChar w:fldCharType="end"/>
          </w:r>
        </w:p>
        <w:p w14:paraId="06427830">
          <w:pPr>
            <w:pStyle w:val="19"/>
            <w:tabs>
              <w:tab w:val="right" w:leader="dot" w:pos="8715"/>
            </w:tabs>
          </w:pPr>
          <w:r>
            <w:rPr>
              <w:bCs/>
              <w:highlight w:val="none"/>
              <w:lang w:val="zh-CN"/>
            </w:rPr>
            <w:fldChar w:fldCharType="begin"/>
          </w:r>
          <w:r>
            <w:rPr>
              <w:bCs/>
              <w:highlight w:val="none"/>
              <w:lang w:val="zh-CN"/>
            </w:rPr>
            <w:instrText xml:space="preserve"> HYPERLINK \l _Toc23047 </w:instrText>
          </w:r>
          <w:r>
            <w:rPr>
              <w:bCs/>
              <w:highlight w:val="none"/>
              <w:lang w:val="zh-CN"/>
            </w:rPr>
            <w:fldChar w:fldCharType="separate"/>
          </w:r>
          <w:r>
            <w:rPr>
              <w:rFonts w:hint="default"/>
            </w:rPr>
            <w:t xml:space="preserve">7. </w:t>
          </w:r>
          <w:r>
            <w:rPr>
              <w:rFonts w:hint="eastAsia"/>
              <w:highlight w:val="none"/>
            </w:rPr>
            <w:t>讲标及评标</w:t>
          </w:r>
          <w:r>
            <w:tab/>
          </w:r>
          <w:r>
            <w:fldChar w:fldCharType="begin"/>
          </w:r>
          <w:r>
            <w:instrText xml:space="preserve"> PAGEREF _Toc23047 \h </w:instrText>
          </w:r>
          <w:r>
            <w:fldChar w:fldCharType="separate"/>
          </w:r>
          <w:r>
            <w:t>12</w:t>
          </w:r>
          <w:r>
            <w:fldChar w:fldCharType="end"/>
          </w:r>
          <w:r>
            <w:rPr>
              <w:bCs/>
              <w:highlight w:val="none"/>
              <w:lang w:val="zh-CN"/>
            </w:rPr>
            <w:fldChar w:fldCharType="end"/>
          </w:r>
        </w:p>
        <w:p w14:paraId="4210A716">
          <w:pPr>
            <w:pStyle w:val="19"/>
            <w:tabs>
              <w:tab w:val="right" w:leader="dot" w:pos="8715"/>
            </w:tabs>
          </w:pPr>
          <w:r>
            <w:rPr>
              <w:bCs/>
              <w:highlight w:val="none"/>
              <w:lang w:val="zh-CN"/>
            </w:rPr>
            <w:fldChar w:fldCharType="begin"/>
          </w:r>
          <w:r>
            <w:rPr>
              <w:bCs/>
              <w:highlight w:val="none"/>
              <w:lang w:val="zh-CN"/>
            </w:rPr>
            <w:instrText xml:space="preserve"> HYPERLINK \l _Toc12020 </w:instrText>
          </w:r>
          <w:r>
            <w:rPr>
              <w:bCs/>
              <w:highlight w:val="none"/>
              <w:lang w:val="zh-CN"/>
            </w:rPr>
            <w:fldChar w:fldCharType="separate"/>
          </w:r>
          <w:r>
            <w:rPr>
              <w:rFonts w:hint="eastAsia" w:cs="宋体"/>
              <w:highlight w:val="none"/>
            </w:rPr>
            <w:t>技术及业务部分</w:t>
          </w:r>
          <w:r>
            <w:tab/>
          </w:r>
          <w:r>
            <w:fldChar w:fldCharType="begin"/>
          </w:r>
          <w:r>
            <w:instrText xml:space="preserve"> PAGEREF _Toc12020 \h </w:instrText>
          </w:r>
          <w:r>
            <w:fldChar w:fldCharType="separate"/>
          </w:r>
          <w:r>
            <w:t>17</w:t>
          </w:r>
          <w:r>
            <w:fldChar w:fldCharType="end"/>
          </w:r>
          <w:r>
            <w:rPr>
              <w:bCs/>
              <w:highlight w:val="none"/>
              <w:lang w:val="zh-CN"/>
            </w:rPr>
            <w:fldChar w:fldCharType="end"/>
          </w:r>
        </w:p>
        <w:p w14:paraId="62525922">
          <w:pPr>
            <w:pStyle w:val="19"/>
            <w:tabs>
              <w:tab w:val="right" w:leader="dot" w:pos="8715"/>
            </w:tabs>
          </w:pPr>
          <w:r>
            <w:rPr>
              <w:bCs/>
              <w:highlight w:val="none"/>
              <w:lang w:val="zh-CN"/>
            </w:rPr>
            <w:fldChar w:fldCharType="begin"/>
          </w:r>
          <w:r>
            <w:rPr>
              <w:bCs/>
              <w:highlight w:val="none"/>
              <w:lang w:val="zh-CN"/>
            </w:rPr>
            <w:instrText xml:space="preserve"> HYPERLINK \l _Toc15376 </w:instrText>
          </w:r>
          <w:r>
            <w:rPr>
              <w:bCs/>
              <w:highlight w:val="none"/>
              <w:lang w:val="zh-CN"/>
            </w:rPr>
            <w:fldChar w:fldCharType="separate"/>
          </w:r>
          <w:r>
            <w:rPr>
              <w:rFonts w:cs="宋体"/>
            </w:rPr>
            <w:t xml:space="preserve">1 </w:t>
          </w:r>
          <w:r>
            <w:rPr>
              <w:rFonts w:cs="宋体"/>
              <w:highlight w:val="none"/>
            </w:rPr>
            <w:t>项目背景</w:t>
          </w:r>
          <w:r>
            <w:tab/>
          </w:r>
          <w:r>
            <w:fldChar w:fldCharType="begin"/>
          </w:r>
          <w:r>
            <w:instrText xml:space="preserve"> PAGEREF _Toc15376 \h </w:instrText>
          </w:r>
          <w:r>
            <w:fldChar w:fldCharType="separate"/>
          </w:r>
          <w:r>
            <w:t>18</w:t>
          </w:r>
          <w:r>
            <w:fldChar w:fldCharType="end"/>
          </w:r>
          <w:r>
            <w:rPr>
              <w:bCs/>
              <w:highlight w:val="none"/>
              <w:lang w:val="zh-CN"/>
            </w:rPr>
            <w:fldChar w:fldCharType="end"/>
          </w:r>
        </w:p>
        <w:p w14:paraId="3A052ECC">
          <w:pPr>
            <w:pStyle w:val="19"/>
            <w:tabs>
              <w:tab w:val="right" w:leader="dot" w:pos="8715"/>
            </w:tabs>
          </w:pPr>
          <w:r>
            <w:rPr>
              <w:bCs/>
              <w:highlight w:val="none"/>
              <w:lang w:val="zh-CN"/>
            </w:rPr>
            <w:fldChar w:fldCharType="begin"/>
          </w:r>
          <w:r>
            <w:rPr>
              <w:bCs/>
              <w:highlight w:val="none"/>
              <w:lang w:val="zh-CN"/>
            </w:rPr>
            <w:instrText xml:space="preserve"> HYPERLINK \l _Toc22336 </w:instrText>
          </w:r>
          <w:r>
            <w:rPr>
              <w:bCs/>
              <w:highlight w:val="none"/>
              <w:lang w:val="zh-CN"/>
            </w:rPr>
            <w:fldChar w:fldCharType="separate"/>
          </w:r>
          <w:r>
            <w:rPr>
              <w:rFonts w:cs="宋体"/>
            </w:rPr>
            <w:t xml:space="preserve">2 </w:t>
          </w:r>
          <w:r>
            <w:rPr>
              <w:rFonts w:cs="宋体"/>
              <w:highlight w:val="none"/>
            </w:rPr>
            <w:t>项目目标</w:t>
          </w:r>
          <w:r>
            <w:tab/>
          </w:r>
          <w:r>
            <w:fldChar w:fldCharType="begin"/>
          </w:r>
          <w:r>
            <w:instrText xml:space="preserve"> PAGEREF _Toc22336 \h </w:instrText>
          </w:r>
          <w:r>
            <w:fldChar w:fldCharType="separate"/>
          </w:r>
          <w:r>
            <w:t>19</w:t>
          </w:r>
          <w:r>
            <w:fldChar w:fldCharType="end"/>
          </w:r>
          <w:r>
            <w:rPr>
              <w:bCs/>
              <w:highlight w:val="none"/>
              <w:lang w:val="zh-CN"/>
            </w:rPr>
            <w:fldChar w:fldCharType="end"/>
          </w:r>
        </w:p>
        <w:p w14:paraId="75657FD4">
          <w:pPr>
            <w:pStyle w:val="19"/>
            <w:tabs>
              <w:tab w:val="right" w:leader="dot" w:pos="8715"/>
            </w:tabs>
          </w:pPr>
          <w:r>
            <w:rPr>
              <w:bCs/>
              <w:highlight w:val="none"/>
              <w:lang w:val="zh-CN"/>
            </w:rPr>
            <w:fldChar w:fldCharType="begin"/>
          </w:r>
          <w:r>
            <w:rPr>
              <w:bCs/>
              <w:highlight w:val="none"/>
              <w:lang w:val="zh-CN"/>
            </w:rPr>
            <w:instrText xml:space="preserve"> HYPERLINK \l _Toc19347 </w:instrText>
          </w:r>
          <w:r>
            <w:rPr>
              <w:bCs/>
              <w:highlight w:val="none"/>
              <w:lang w:val="zh-CN"/>
            </w:rPr>
            <w:fldChar w:fldCharType="separate"/>
          </w:r>
          <w:r>
            <w:rPr>
              <w:rFonts w:ascii="宋体" w:hAnsi="宋体" w:cs="宋体"/>
              <w:szCs w:val="28"/>
            </w:rPr>
            <w:t xml:space="preserve">3 </w:t>
          </w:r>
          <w:r>
            <w:rPr>
              <w:rFonts w:ascii="宋体" w:hAnsi="宋体" w:cs="宋体"/>
              <w:szCs w:val="28"/>
              <w:highlight w:val="none"/>
            </w:rPr>
            <w:t>项目范围</w:t>
          </w:r>
          <w:r>
            <w:tab/>
          </w:r>
          <w:r>
            <w:fldChar w:fldCharType="begin"/>
          </w:r>
          <w:r>
            <w:instrText xml:space="preserve"> PAGEREF _Toc19347 \h </w:instrText>
          </w:r>
          <w:r>
            <w:fldChar w:fldCharType="separate"/>
          </w:r>
          <w:r>
            <w:t>20</w:t>
          </w:r>
          <w:r>
            <w:fldChar w:fldCharType="end"/>
          </w:r>
          <w:r>
            <w:rPr>
              <w:bCs/>
              <w:highlight w:val="none"/>
              <w:lang w:val="zh-CN"/>
            </w:rPr>
            <w:fldChar w:fldCharType="end"/>
          </w:r>
        </w:p>
        <w:p w14:paraId="04D035E8">
          <w:pPr>
            <w:pStyle w:val="19"/>
            <w:tabs>
              <w:tab w:val="right" w:leader="dot" w:pos="8715"/>
            </w:tabs>
          </w:pPr>
          <w:r>
            <w:rPr>
              <w:bCs/>
              <w:highlight w:val="none"/>
              <w:lang w:val="zh-CN"/>
            </w:rPr>
            <w:fldChar w:fldCharType="begin"/>
          </w:r>
          <w:r>
            <w:rPr>
              <w:bCs/>
              <w:highlight w:val="none"/>
              <w:lang w:val="zh-CN"/>
            </w:rPr>
            <w:instrText xml:space="preserve"> HYPERLINK \l _Toc13476 </w:instrText>
          </w:r>
          <w:r>
            <w:rPr>
              <w:bCs/>
              <w:highlight w:val="none"/>
              <w:lang w:val="zh-CN"/>
            </w:rPr>
            <w:fldChar w:fldCharType="separate"/>
          </w:r>
          <w:r>
            <w:rPr>
              <w:rFonts w:ascii="宋体" w:hAnsi="宋体" w:cs="宋体"/>
              <w:szCs w:val="28"/>
            </w:rPr>
            <w:t xml:space="preserve">4 </w:t>
          </w:r>
          <w:r>
            <w:rPr>
              <w:rFonts w:ascii="宋体" w:hAnsi="宋体" w:cs="宋体"/>
              <w:szCs w:val="28"/>
              <w:highlight w:val="none"/>
            </w:rPr>
            <w:t>项目</w:t>
          </w:r>
          <w:r>
            <w:rPr>
              <w:rFonts w:hint="eastAsia" w:ascii="宋体" w:hAnsi="宋体" w:cs="宋体"/>
              <w:szCs w:val="28"/>
              <w:highlight w:val="none"/>
            </w:rPr>
            <w:t>内容</w:t>
          </w:r>
          <w:r>
            <w:tab/>
          </w:r>
          <w:r>
            <w:fldChar w:fldCharType="begin"/>
          </w:r>
          <w:r>
            <w:instrText xml:space="preserve"> PAGEREF _Toc13476 \h </w:instrText>
          </w:r>
          <w:r>
            <w:fldChar w:fldCharType="separate"/>
          </w:r>
          <w:r>
            <w:t>21</w:t>
          </w:r>
          <w:r>
            <w:fldChar w:fldCharType="end"/>
          </w:r>
          <w:r>
            <w:rPr>
              <w:bCs/>
              <w:highlight w:val="none"/>
              <w:lang w:val="zh-CN"/>
            </w:rPr>
            <w:fldChar w:fldCharType="end"/>
          </w:r>
        </w:p>
        <w:p w14:paraId="295A35F4">
          <w:pPr>
            <w:pStyle w:val="19"/>
            <w:tabs>
              <w:tab w:val="right" w:leader="dot" w:pos="8715"/>
            </w:tabs>
          </w:pPr>
          <w:r>
            <w:rPr>
              <w:bCs/>
              <w:highlight w:val="none"/>
              <w:lang w:val="zh-CN"/>
            </w:rPr>
            <w:fldChar w:fldCharType="begin"/>
          </w:r>
          <w:r>
            <w:rPr>
              <w:bCs/>
              <w:highlight w:val="none"/>
              <w:lang w:val="zh-CN"/>
            </w:rPr>
            <w:instrText xml:space="preserve"> HYPERLINK \l _Toc8259 </w:instrText>
          </w:r>
          <w:r>
            <w:rPr>
              <w:bCs/>
              <w:highlight w:val="none"/>
              <w:lang w:val="zh-CN"/>
            </w:rPr>
            <w:fldChar w:fldCharType="separate"/>
          </w:r>
          <w:r>
            <w:rPr>
              <w:rFonts w:hint="eastAsia" w:asciiTheme="minorEastAsia" w:hAnsiTheme="minorEastAsia"/>
            </w:rPr>
            <w:t xml:space="preserve">5 </w:t>
          </w:r>
          <w:r>
            <w:rPr>
              <w:rFonts w:hint="eastAsia" w:ascii="宋体" w:hAnsi="宋体" w:cs="宋体"/>
              <w:szCs w:val="28"/>
              <w:highlight w:val="none"/>
            </w:rPr>
            <w:t>项目建设计划</w:t>
          </w:r>
          <w:r>
            <w:tab/>
          </w:r>
          <w:r>
            <w:fldChar w:fldCharType="begin"/>
          </w:r>
          <w:r>
            <w:instrText xml:space="preserve"> PAGEREF _Toc8259 \h </w:instrText>
          </w:r>
          <w:r>
            <w:fldChar w:fldCharType="separate"/>
          </w:r>
          <w:r>
            <w:t>22</w:t>
          </w:r>
          <w:r>
            <w:fldChar w:fldCharType="end"/>
          </w:r>
          <w:r>
            <w:rPr>
              <w:bCs/>
              <w:highlight w:val="none"/>
              <w:lang w:val="zh-CN"/>
            </w:rPr>
            <w:fldChar w:fldCharType="end"/>
          </w:r>
        </w:p>
        <w:p w14:paraId="5A0C7E33">
          <w:pPr>
            <w:pStyle w:val="19"/>
            <w:tabs>
              <w:tab w:val="right" w:leader="dot" w:pos="8715"/>
            </w:tabs>
          </w:pPr>
          <w:r>
            <w:rPr>
              <w:bCs/>
              <w:highlight w:val="none"/>
              <w:lang w:val="zh-CN"/>
            </w:rPr>
            <w:fldChar w:fldCharType="begin"/>
          </w:r>
          <w:r>
            <w:rPr>
              <w:bCs/>
              <w:highlight w:val="none"/>
              <w:lang w:val="zh-CN"/>
            </w:rPr>
            <w:instrText xml:space="preserve"> HYPERLINK \l _Toc15901 </w:instrText>
          </w:r>
          <w:r>
            <w:rPr>
              <w:bCs/>
              <w:highlight w:val="none"/>
              <w:lang w:val="zh-CN"/>
            </w:rPr>
            <w:fldChar w:fldCharType="separate"/>
          </w:r>
          <w:r>
            <w:rPr>
              <w:rFonts w:cs="宋体" w:asciiTheme="minorEastAsia" w:hAnsiTheme="minorEastAsia" w:eastAsiaTheme="minorEastAsia"/>
              <w:szCs w:val="24"/>
            </w:rPr>
            <w:t xml:space="preserve">6 </w:t>
          </w:r>
          <w:r>
            <w:rPr>
              <w:rFonts w:cs="宋体" w:asciiTheme="minorEastAsia" w:hAnsiTheme="minorEastAsia" w:eastAsiaTheme="minorEastAsia"/>
              <w:szCs w:val="24"/>
              <w:highlight w:val="none"/>
            </w:rPr>
            <w:t>投标文件格式</w:t>
          </w:r>
          <w:r>
            <w:tab/>
          </w:r>
          <w:r>
            <w:fldChar w:fldCharType="begin"/>
          </w:r>
          <w:r>
            <w:instrText xml:space="preserve"> PAGEREF _Toc15901 \h </w:instrText>
          </w:r>
          <w:r>
            <w:fldChar w:fldCharType="separate"/>
          </w:r>
          <w:r>
            <w:t>24</w:t>
          </w:r>
          <w:r>
            <w:fldChar w:fldCharType="end"/>
          </w:r>
          <w:r>
            <w:rPr>
              <w:bCs/>
              <w:highlight w:val="none"/>
              <w:lang w:val="zh-CN"/>
            </w:rPr>
            <w:fldChar w:fldCharType="end"/>
          </w:r>
        </w:p>
        <w:p w14:paraId="246110E8">
          <w:pPr>
            <w:rPr>
              <w:highlight w:val="none"/>
            </w:rPr>
          </w:pPr>
          <w:r>
            <w:rPr>
              <w:b/>
              <w:bCs/>
              <w:highlight w:val="none"/>
              <w:lang w:val="zh-CN"/>
            </w:rPr>
            <w:fldChar w:fldCharType="end"/>
          </w:r>
        </w:p>
      </w:sdtContent>
    </w:sdt>
    <w:p w14:paraId="469A541E">
      <w:pPr>
        <w:pStyle w:val="19"/>
        <w:widowControl/>
        <w:tabs>
          <w:tab w:val="right" w:leader="dot" w:pos="8705"/>
        </w:tabs>
        <w:jc w:val="center"/>
        <w:rPr>
          <w:highlight w:val="none"/>
          <w:lang w:bidi="ar"/>
        </w:rPr>
      </w:pPr>
      <w:r>
        <w:rPr>
          <w:highlight w:val="none"/>
          <w:lang w:bidi="ar"/>
        </w:rPr>
        <w:t xml:space="preserve"> </w:t>
      </w:r>
    </w:p>
    <w:p w14:paraId="31EADC20">
      <w:pPr>
        <w:spacing w:line="360" w:lineRule="auto"/>
        <w:rPr>
          <w:rFonts w:ascii="Times New Roman" w:hAnsi="Times New Roman" w:eastAsia="宋体" w:cs="Times New Roman"/>
          <w:sz w:val="24"/>
          <w:szCs w:val="22"/>
          <w:highlight w:val="none"/>
          <w:lang w:bidi="ar"/>
        </w:rPr>
        <w:sectPr>
          <w:footerReference r:id="rId3" w:type="default"/>
          <w:pgSz w:w="12242" w:h="15842"/>
          <w:pgMar w:top="1418" w:right="1752" w:bottom="1135" w:left="1418" w:header="737" w:footer="431" w:gutter="357"/>
          <w:pgNumType w:fmt="upperRoman" w:start="1"/>
          <w:cols w:space="425" w:num="1"/>
          <w:docGrid w:type="lines" w:linePitch="312" w:charSpace="0"/>
        </w:sectPr>
      </w:pPr>
    </w:p>
    <w:p w14:paraId="2F2A03B2">
      <w:pPr>
        <w:pStyle w:val="36"/>
        <w:numPr>
          <w:ilvl w:val="0"/>
          <w:numId w:val="6"/>
        </w:numPr>
        <w:rPr>
          <w:rFonts w:cs="宋体"/>
          <w:highlight w:val="none"/>
        </w:rPr>
      </w:pPr>
      <w:bookmarkStart w:id="3" w:name="_Toc19142"/>
      <w:bookmarkStart w:id="4" w:name="_Toc95148164"/>
      <w:bookmarkStart w:id="5" w:name="_Toc13293"/>
      <w:bookmarkStart w:id="6" w:name="_Toc13041"/>
      <w:bookmarkStart w:id="7" w:name="_Toc109031535"/>
      <w:r>
        <w:rPr>
          <w:rFonts w:hint="eastAsia"/>
          <w:highlight w:val="none"/>
        </w:rPr>
        <w:t>项目名称</w:t>
      </w:r>
      <w:bookmarkEnd w:id="3"/>
      <w:bookmarkEnd w:id="4"/>
      <w:bookmarkEnd w:id="5"/>
      <w:bookmarkEnd w:id="6"/>
      <w:bookmarkEnd w:id="7"/>
    </w:p>
    <w:p w14:paraId="50B57EE2">
      <w:pPr>
        <w:pStyle w:val="37"/>
        <w:widowControl/>
        <w:ind w:firstLine="480"/>
        <w:rPr>
          <w:rFonts w:cs="宋体"/>
          <w:highlight w:val="none"/>
        </w:rPr>
      </w:pPr>
      <w:r>
        <w:rPr>
          <w:rFonts w:hint="eastAsia" w:cs="宋体"/>
          <w:highlight w:val="none"/>
        </w:rPr>
        <w:t>项目名称：</w:t>
      </w:r>
      <w:r>
        <w:rPr>
          <w:rFonts w:hint="eastAsia" w:cs="宋体"/>
          <w:b/>
          <w:highlight w:val="none"/>
        </w:rPr>
        <w:t>重汽汽车金融有限公司</w:t>
      </w:r>
      <w:r>
        <w:rPr>
          <w:rFonts w:hint="eastAsia" w:cs="宋体"/>
          <w:b/>
          <w:highlight w:val="none"/>
          <w:lang w:val="en-US" w:eastAsia="zh-CN"/>
        </w:rPr>
        <w:t>内部控制外部审计</w:t>
      </w:r>
      <w:r>
        <w:rPr>
          <w:rFonts w:hint="eastAsia" w:cs="宋体"/>
          <w:b/>
          <w:highlight w:val="none"/>
        </w:rPr>
        <w:t>项目</w:t>
      </w:r>
    </w:p>
    <w:p w14:paraId="741DCFE3">
      <w:pPr>
        <w:pStyle w:val="37"/>
        <w:widowControl/>
        <w:ind w:firstLine="480"/>
        <w:rPr>
          <w:highlight w:val="none"/>
        </w:rPr>
      </w:pPr>
      <w:r>
        <w:rPr>
          <w:rFonts w:hint="eastAsia" w:cs="宋体"/>
          <w:highlight w:val="none"/>
        </w:rPr>
        <w:t>重汽汽车金融有限公司（以下简称招标人）就</w:t>
      </w:r>
      <w:r>
        <w:rPr>
          <w:rFonts w:hint="eastAsia" w:cs="宋体"/>
          <w:highlight w:val="none"/>
          <w:lang w:val="en-US" w:eastAsia="zh-CN"/>
        </w:rPr>
        <w:t>内部控制外部审计项目</w:t>
      </w:r>
      <w:r>
        <w:rPr>
          <w:rFonts w:hint="eastAsia" w:cs="宋体"/>
          <w:highlight w:val="none"/>
        </w:rPr>
        <w:t>进行招标，以“</w:t>
      </w:r>
      <w:r>
        <w:rPr>
          <w:rFonts w:hint="eastAsia" w:cs="宋体"/>
          <w:highlight w:val="none"/>
          <w:lang w:val="en-US" w:eastAsia="zh-CN"/>
        </w:rPr>
        <w:t>公开</w:t>
      </w:r>
      <w:r>
        <w:rPr>
          <w:rFonts w:hint="eastAsia" w:cs="宋体"/>
          <w:highlight w:val="none"/>
        </w:rPr>
        <w:t>招标”的形式</w:t>
      </w:r>
      <w:r>
        <w:rPr>
          <w:rFonts w:hint="eastAsia" w:cs="宋体"/>
          <w:highlight w:val="none"/>
          <w:lang w:val="en-US" w:eastAsia="zh-CN"/>
        </w:rPr>
        <w:t>筛选出</w:t>
      </w:r>
      <w:r>
        <w:rPr>
          <w:rFonts w:hint="eastAsia" w:cs="宋体"/>
          <w:highlight w:val="none"/>
        </w:rPr>
        <w:t>具有项目资质及承担能力的供应商。</w:t>
      </w:r>
    </w:p>
    <w:p w14:paraId="222D0AA0">
      <w:pPr>
        <w:pStyle w:val="37"/>
        <w:widowControl/>
        <w:ind w:firstLine="480"/>
        <w:rPr>
          <w:rFonts w:cs="宋体"/>
          <w:highlight w:val="none"/>
        </w:rPr>
      </w:pPr>
    </w:p>
    <w:p w14:paraId="01BEED48">
      <w:pPr>
        <w:numPr>
          <w:ilvl w:val="255"/>
          <w:numId w:val="0"/>
        </w:numPr>
        <w:spacing w:line="520" w:lineRule="exact"/>
        <w:ind w:right="2"/>
        <w:rPr>
          <w:rFonts w:ascii="宋体" w:hAnsi="Courier New" w:eastAsia="宋体" w:cs="宋体"/>
          <w:sz w:val="24"/>
          <w:szCs w:val="22"/>
          <w:highlight w:val="none"/>
          <w:lang w:bidi="ar"/>
        </w:rPr>
      </w:pPr>
      <w:bookmarkStart w:id="8" w:name="_Toc265850587"/>
    </w:p>
    <w:p w14:paraId="0B4DDF7B">
      <w:pPr>
        <w:widowControl/>
        <w:jc w:val="left"/>
        <w:rPr>
          <w:rFonts w:ascii="宋体" w:hAnsi="Courier New" w:eastAsia="宋体" w:cs="宋体"/>
          <w:sz w:val="24"/>
          <w:szCs w:val="22"/>
          <w:highlight w:val="none"/>
          <w:lang w:bidi="ar"/>
        </w:rPr>
      </w:pPr>
      <w:r>
        <w:rPr>
          <w:rFonts w:ascii="宋体" w:hAnsi="Courier New" w:eastAsia="宋体" w:cs="宋体"/>
          <w:sz w:val="24"/>
          <w:szCs w:val="22"/>
          <w:highlight w:val="none"/>
          <w:lang w:bidi="ar"/>
        </w:rPr>
        <w:br w:type="page"/>
      </w:r>
    </w:p>
    <w:p w14:paraId="65E0B5E8">
      <w:pPr>
        <w:pStyle w:val="36"/>
        <w:keepNext w:val="0"/>
        <w:widowControl/>
        <w:numPr>
          <w:ilvl w:val="0"/>
          <w:numId w:val="6"/>
        </w:numPr>
        <w:jc w:val="left"/>
        <w:rPr>
          <w:rFonts w:cs="宋体"/>
          <w:highlight w:val="none"/>
        </w:rPr>
      </w:pPr>
      <w:bookmarkStart w:id="9" w:name="_Toc16591"/>
      <w:bookmarkStart w:id="10" w:name="_Toc30235"/>
      <w:bookmarkStart w:id="11" w:name="_Toc109031536"/>
      <w:bookmarkStart w:id="12" w:name="_Toc95148165"/>
      <w:bookmarkStart w:id="13" w:name="_Toc10359"/>
      <w:bookmarkStart w:id="14" w:name="_Toc50742879"/>
      <w:bookmarkStart w:id="15" w:name="_Toc74143824"/>
      <w:r>
        <w:rPr>
          <w:rFonts w:hint="eastAsia" w:cs="宋体"/>
          <w:highlight w:val="none"/>
        </w:rPr>
        <w:t>招标内容及形式</w:t>
      </w:r>
      <w:bookmarkEnd w:id="9"/>
      <w:bookmarkEnd w:id="10"/>
      <w:bookmarkEnd w:id="11"/>
      <w:bookmarkEnd w:id="12"/>
      <w:bookmarkEnd w:id="13"/>
      <w:bookmarkEnd w:id="14"/>
      <w:bookmarkEnd w:id="15"/>
    </w:p>
    <w:p w14:paraId="391C637D">
      <w:pPr>
        <w:pStyle w:val="66"/>
        <w:keepNext w:val="0"/>
        <w:widowControl/>
        <w:numPr>
          <w:ilvl w:val="1"/>
          <w:numId w:val="0"/>
        </w:numPr>
        <w:ind w:firstLine="480" w:firstLineChars="200"/>
        <w:rPr>
          <w:rFonts w:cs="宋体"/>
          <w:sz w:val="24"/>
          <w:szCs w:val="24"/>
          <w:highlight w:val="none"/>
        </w:rPr>
      </w:pPr>
      <w:bookmarkStart w:id="16" w:name="_Toc50742880"/>
      <w:bookmarkStart w:id="17" w:name="_Toc109031537"/>
      <w:bookmarkStart w:id="18" w:name="_Toc74143825"/>
      <w:bookmarkStart w:id="19" w:name="_Toc95148166"/>
      <w:bookmarkStart w:id="20" w:name="_Toc17822"/>
      <w:bookmarkStart w:id="21" w:name="_Toc17577"/>
      <w:bookmarkStart w:id="22" w:name="_Toc26456"/>
      <w:r>
        <w:rPr>
          <w:rStyle w:val="67"/>
          <w:rFonts w:ascii="Calibri" w:hAnsi="Calibri"/>
          <w:b w:val="0"/>
          <w:bCs/>
          <w:sz w:val="24"/>
          <w:szCs w:val="24"/>
          <w:highlight w:val="none"/>
        </w:rPr>
        <w:t>2.1</w:t>
      </w:r>
      <w:r>
        <w:rPr>
          <w:rStyle w:val="67"/>
          <w:rFonts w:hint="eastAsia" w:ascii="Calibri" w:hAnsi="Calibri" w:cs="宋体"/>
          <w:b w:val="0"/>
          <w:bCs/>
          <w:sz w:val="24"/>
          <w:szCs w:val="24"/>
          <w:highlight w:val="none"/>
        </w:rPr>
        <w:t>招标内容</w:t>
      </w:r>
      <w:bookmarkEnd w:id="16"/>
      <w:r>
        <w:rPr>
          <w:rStyle w:val="67"/>
          <w:rFonts w:hint="eastAsia" w:ascii="Calibri" w:hAnsi="Calibri" w:cs="宋体"/>
          <w:b w:val="0"/>
          <w:bCs/>
          <w:sz w:val="24"/>
          <w:szCs w:val="24"/>
          <w:highlight w:val="none"/>
          <w:lang w:eastAsia="zh-CN"/>
        </w:rPr>
        <w:t>－</w:t>
      </w:r>
      <w:bookmarkEnd w:id="17"/>
      <w:bookmarkEnd w:id="18"/>
      <w:bookmarkEnd w:id="19"/>
      <w:r>
        <w:rPr>
          <w:rFonts w:hint="eastAsia" w:ascii="宋体" w:hAnsi="宋体" w:cs="宋体"/>
          <w:sz w:val="24"/>
          <w:szCs w:val="24"/>
          <w:highlight w:val="none"/>
        </w:rPr>
        <w:t>重汽汽车金融有限公司</w:t>
      </w:r>
      <w:r>
        <w:rPr>
          <w:rFonts w:hint="eastAsia" w:ascii="宋体" w:hAnsi="宋体" w:cs="宋体"/>
          <w:sz w:val="24"/>
          <w:szCs w:val="24"/>
          <w:highlight w:val="none"/>
          <w:lang w:val="en-US" w:eastAsia="zh-CN"/>
        </w:rPr>
        <w:t>内部控制外部审计</w:t>
      </w:r>
      <w:r>
        <w:rPr>
          <w:rFonts w:hint="eastAsia" w:ascii="宋体" w:hAnsi="宋体" w:cs="宋体"/>
          <w:sz w:val="24"/>
          <w:szCs w:val="24"/>
          <w:highlight w:val="none"/>
        </w:rPr>
        <w:t>项目</w:t>
      </w:r>
      <w:bookmarkEnd w:id="20"/>
      <w:bookmarkEnd w:id="21"/>
      <w:bookmarkEnd w:id="22"/>
    </w:p>
    <w:p w14:paraId="7B04B7C8">
      <w:pPr>
        <w:pStyle w:val="66"/>
        <w:keepNext w:val="0"/>
        <w:widowControl/>
        <w:numPr>
          <w:ilvl w:val="1"/>
          <w:numId w:val="0"/>
        </w:numPr>
        <w:ind w:firstLine="480" w:firstLineChars="200"/>
        <w:rPr>
          <w:rFonts w:ascii="宋体" w:hAnsi="宋体" w:cs="宋体"/>
          <w:kern w:val="0"/>
          <w:sz w:val="24"/>
          <w:szCs w:val="24"/>
          <w:highlight w:val="none"/>
        </w:rPr>
      </w:pPr>
      <w:bookmarkStart w:id="23" w:name="_Toc50742881"/>
      <w:bookmarkStart w:id="24" w:name="_Toc109031538"/>
      <w:bookmarkStart w:id="25" w:name="_Toc17634"/>
      <w:bookmarkStart w:id="26" w:name="_Toc74143826"/>
      <w:bookmarkStart w:id="27" w:name="_Toc942"/>
      <w:bookmarkStart w:id="28" w:name="_Toc24649"/>
      <w:bookmarkStart w:id="29" w:name="_Toc95148167"/>
      <w:r>
        <w:rPr>
          <w:rStyle w:val="67"/>
          <w:rFonts w:ascii="Calibri" w:hAnsi="Calibri"/>
          <w:b w:val="0"/>
          <w:bCs/>
          <w:sz w:val="24"/>
          <w:szCs w:val="24"/>
          <w:highlight w:val="none"/>
        </w:rPr>
        <w:t>2.2</w:t>
      </w:r>
      <w:r>
        <w:rPr>
          <w:rStyle w:val="67"/>
          <w:rFonts w:hint="eastAsia" w:ascii="Calibri" w:hAnsi="Calibri" w:cs="宋体"/>
          <w:b w:val="0"/>
          <w:bCs/>
          <w:sz w:val="24"/>
          <w:szCs w:val="24"/>
          <w:highlight w:val="none"/>
        </w:rPr>
        <w:t>招标形式</w:t>
      </w:r>
      <w:bookmarkEnd w:id="23"/>
      <w:r>
        <w:rPr>
          <w:rFonts w:hint="eastAsia" w:ascii="宋体" w:hAnsi="宋体" w:cs="宋体"/>
          <w:kern w:val="0"/>
          <w:sz w:val="24"/>
          <w:szCs w:val="24"/>
          <w:highlight w:val="none"/>
        </w:rPr>
        <w:t>-</w:t>
      </w:r>
      <w:r>
        <w:rPr>
          <w:rFonts w:hint="eastAsia" w:ascii="宋体" w:hAnsi="宋体" w:cs="宋体"/>
          <w:sz w:val="24"/>
          <w:szCs w:val="24"/>
          <w:highlight w:val="none"/>
          <w:lang w:val="en-US" w:eastAsia="zh-CN"/>
        </w:rPr>
        <w:t>公开</w:t>
      </w:r>
      <w:r>
        <w:rPr>
          <w:rFonts w:hint="eastAsia" w:ascii="宋体" w:hAnsi="宋体" w:cs="宋体"/>
          <w:sz w:val="24"/>
          <w:szCs w:val="24"/>
          <w:highlight w:val="none"/>
        </w:rPr>
        <w:t>招标</w:t>
      </w:r>
      <w:bookmarkEnd w:id="24"/>
      <w:bookmarkEnd w:id="25"/>
      <w:bookmarkEnd w:id="26"/>
      <w:bookmarkEnd w:id="27"/>
      <w:bookmarkEnd w:id="28"/>
      <w:bookmarkEnd w:id="29"/>
    </w:p>
    <w:p w14:paraId="72F192C9">
      <w:pPr>
        <w:pStyle w:val="66"/>
        <w:keepNext w:val="0"/>
        <w:widowControl/>
        <w:numPr>
          <w:ilvl w:val="1"/>
          <w:numId w:val="0"/>
        </w:numPr>
        <w:ind w:firstLine="480" w:firstLineChars="200"/>
        <w:rPr>
          <w:rStyle w:val="67"/>
          <w:rFonts w:ascii="Calibri" w:hAnsi="Calibri"/>
          <w:b w:val="0"/>
          <w:bCs/>
          <w:sz w:val="24"/>
          <w:szCs w:val="24"/>
          <w:highlight w:val="none"/>
        </w:rPr>
      </w:pPr>
      <w:bookmarkStart w:id="30" w:name="_Toc11741"/>
      <w:bookmarkStart w:id="31" w:name="_Toc22764"/>
      <w:bookmarkStart w:id="32" w:name="_Toc50742882"/>
      <w:bookmarkStart w:id="33" w:name="_Toc74143827"/>
      <w:bookmarkStart w:id="34" w:name="_Toc109031539"/>
      <w:bookmarkStart w:id="35" w:name="_Toc95148168"/>
      <w:bookmarkStart w:id="36" w:name="_Toc12693"/>
      <w:r>
        <w:rPr>
          <w:rStyle w:val="67"/>
          <w:rFonts w:ascii="Calibri" w:hAnsi="Calibri"/>
          <w:b w:val="0"/>
          <w:bCs/>
          <w:sz w:val="24"/>
          <w:szCs w:val="24"/>
          <w:highlight w:val="none"/>
        </w:rPr>
        <w:t>2.3</w:t>
      </w:r>
      <w:r>
        <w:rPr>
          <w:rStyle w:val="67"/>
          <w:rFonts w:hint="eastAsia" w:ascii="Calibri" w:hAnsi="Calibri"/>
          <w:b w:val="0"/>
          <w:bCs/>
          <w:sz w:val="24"/>
          <w:szCs w:val="24"/>
          <w:highlight w:val="none"/>
        </w:rPr>
        <w:t>议程安排</w:t>
      </w:r>
      <w:bookmarkEnd w:id="30"/>
      <w:bookmarkEnd w:id="31"/>
      <w:bookmarkEnd w:id="32"/>
      <w:bookmarkEnd w:id="33"/>
      <w:bookmarkEnd w:id="34"/>
      <w:bookmarkEnd w:id="35"/>
      <w:bookmarkEnd w:id="36"/>
    </w:p>
    <w:p w14:paraId="2E1974DF">
      <w:pPr>
        <w:spacing w:line="360" w:lineRule="auto"/>
        <w:ind w:firstLine="480" w:firstLineChars="200"/>
        <w:rPr>
          <w:rFonts w:ascii="Times New Roman" w:hAnsi="Times New Roman" w:eastAsia="宋体" w:cs="宋体"/>
          <w:sz w:val="24"/>
          <w:szCs w:val="22"/>
          <w:highlight w:val="none"/>
        </w:rPr>
      </w:pPr>
      <w:r>
        <w:rPr>
          <w:rFonts w:hint="eastAsia" w:ascii="Times New Roman" w:hAnsi="Times New Roman" w:eastAsia="宋体" w:cs="宋体"/>
          <w:sz w:val="24"/>
          <w:szCs w:val="22"/>
          <w:highlight w:val="none"/>
          <w:lang w:val="en-US" w:eastAsia="zh-CN"/>
        </w:rPr>
        <w:t>1）</w:t>
      </w:r>
      <w:r>
        <w:rPr>
          <w:rFonts w:hint="default" w:ascii="Times New Roman" w:hAnsi="Times New Roman" w:eastAsia="宋体" w:cs="宋体"/>
          <w:sz w:val="24"/>
          <w:szCs w:val="22"/>
          <w:highlight w:val="none"/>
        </w:rPr>
        <w:t>发标时间：</w:t>
      </w:r>
      <w:r>
        <w:rPr>
          <w:rFonts w:ascii="Times New Roman" w:hAnsi="Times New Roman" w:eastAsia="宋体" w:cs="宋体"/>
          <w:sz w:val="24"/>
          <w:szCs w:val="22"/>
          <w:highlight w:val="none"/>
        </w:rPr>
        <w:t>202</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年</w:t>
      </w:r>
      <w:r>
        <w:rPr>
          <w:rFonts w:hint="eastAsia" w:ascii="Times New Roman" w:hAnsi="Times New Roman" w:eastAsia="宋体" w:cs="宋体"/>
          <w:sz w:val="24"/>
          <w:szCs w:val="22"/>
          <w:highlight w:val="none"/>
          <w:lang w:val="en-US" w:eastAsia="zh-CN"/>
        </w:rPr>
        <w:t>3</w:t>
      </w:r>
      <w:r>
        <w:rPr>
          <w:rFonts w:hint="default" w:ascii="Times New Roman" w:hAnsi="Times New Roman" w:eastAsia="宋体" w:cs="宋体"/>
          <w:sz w:val="24"/>
          <w:szCs w:val="22"/>
          <w:highlight w:val="none"/>
        </w:rPr>
        <w:t>月</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日</w:t>
      </w:r>
      <w:r>
        <w:rPr>
          <w:rFonts w:hint="default" w:ascii="Times New Roman" w:hAnsi="Times New Roman" w:eastAsia="宋体" w:cs="宋体"/>
          <w:sz w:val="24"/>
          <w:szCs w:val="22"/>
          <w:highlight w:val="none"/>
          <w:lang w:eastAsia="zh-CN"/>
        </w:rPr>
        <w:t>。</w:t>
      </w:r>
    </w:p>
    <w:p w14:paraId="79C6D25B">
      <w:pPr>
        <w:spacing w:line="360" w:lineRule="auto"/>
        <w:ind w:firstLine="480" w:firstLineChars="200"/>
        <w:rPr>
          <w:rFonts w:ascii="Times New Roman" w:hAnsi="Times New Roman" w:eastAsia="宋体" w:cs="宋体"/>
          <w:b w:val="0"/>
          <w:bCs w:val="0"/>
          <w:sz w:val="24"/>
          <w:szCs w:val="22"/>
          <w:highlight w:val="none"/>
        </w:rPr>
      </w:pPr>
      <w:r>
        <w:rPr>
          <w:rFonts w:hint="eastAsia" w:ascii="Times New Roman" w:hAnsi="Times New Roman" w:eastAsia="宋体" w:cs="宋体"/>
          <w:sz w:val="24"/>
          <w:szCs w:val="22"/>
          <w:highlight w:val="none"/>
          <w:lang w:val="en-US" w:eastAsia="zh-CN"/>
        </w:rPr>
        <w:t>2）</w:t>
      </w:r>
      <w:r>
        <w:rPr>
          <w:rFonts w:hint="default" w:ascii="Times New Roman" w:hAnsi="Times New Roman" w:eastAsia="宋体" w:cs="宋体"/>
          <w:sz w:val="24"/>
          <w:szCs w:val="22"/>
          <w:highlight w:val="none"/>
        </w:rPr>
        <w:t>开标时间：暂定</w:t>
      </w:r>
      <w:r>
        <w:rPr>
          <w:rFonts w:ascii="Times New Roman" w:hAnsi="Times New Roman" w:eastAsia="宋体" w:cs="宋体"/>
          <w:sz w:val="24"/>
          <w:szCs w:val="22"/>
          <w:highlight w:val="none"/>
        </w:rPr>
        <w:t>202</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年</w:t>
      </w:r>
      <w:r>
        <w:rPr>
          <w:rFonts w:hint="eastAsia" w:ascii="Times New Roman" w:hAnsi="Times New Roman" w:eastAsia="宋体" w:cs="宋体"/>
          <w:sz w:val="24"/>
          <w:szCs w:val="22"/>
          <w:highlight w:val="none"/>
          <w:lang w:val="en-US" w:eastAsia="zh-CN"/>
        </w:rPr>
        <w:t>3</w:t>
      </w:r>
      <w:r>
        <w:rPr>
          <w:rFonts w:hint="default" w:ascii="Times New Roman" w:hAnsi="Times New Roman" w:eastAsia="宋体" w:cs="宋体"/>
          <w:sz w:val="24"/>
          <w:szCs w:val="22"/>
          <w:highlight w:val="none"/>
        </w:rPr>
        <w:t>月</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日</w:t>
      </w:r>
      <w:r>
        <w:rPr>
          <w:rFonts w:hint="eastAsia" w:ascii="Times New Roman" w:hAnsi="Times New Roman" w:eastAsia="宋体" w:cs="宋体"/>
          <w:sz w:val="24"/>
          <w:szCs w:val="22"/>
          <w:highlight w:val="none"/>
          <w:lang w:val="en-US" w:eastAsia="zh-CN"/>
        </w:rPr>
        <w:t>14</w:t>
      </w:r>
      <w:r>
        <w:rPr>
          <w:rFonts w:hint="default" w:ascii="Times New Roman" w:hAnsi="Times New Roman" w:eastAsia="宋体" w:cs="宋体"/>
          <w:sz w:val="24"/>
          <w:szCs w:val="22"/>
          <w:highlight w:val="none"/>
          <w:lang w:val="en-US" w:eastAsia="zh-CN"/>
        </w:rPr>
        <w:t>:00</w:t>
      </w:r>
      <w:r>
        <w:rPr>
          <w:rFonts w:hint="default" w:ascii="Times New Roman" w:hAnsi="Times New Roman" w:eastAsia="宋体" w:cs="宋体"/>
          <w:sz w:val="24"/>
          <w:szCs w:val="22"/>
          <w:highlight w:val="none"/>
        </w:rPr>
        <w:t>，若有变动另行通知。</w:t>
      </w:r>
    </w:p>
    <w:p w14:paraId="34F80858">
      <w:pPr>
        <w:spacing w:line="360" w:lineRule="auto"/>
        <w:ind w:firstLine="480" w:firstLineChars="200"/>
        <w:rPr>
          <w:rFonts w:hint="default" w:ascii="Times New Roman" w:hAnsi="Times New Roman" w:eastAsia="宋体" w:cs="宋体"/>
          <w:sz w:val="24"/>
          <w:szCs w:val="22"/>
          <w:highlight w:val="none"/>
          <w:lang w:val="en-US" w:eastAsia="zh-CN"/>
        </w:rPr>
      </w:pPr>
      <w:r>
        <w:rPr>
          <w:rFonts w:hint="default" w:ascii="Times New Roman" w:hAnsi="Times New Roman" w:eastAsia="宋体" w:cs="宋体"/>
          <w:sz w:val="24"/>
          <w:szCs w:val="22"/>
          <w:highlight w:val="none"/>
          <w:lang w:val="en-US" w:eastAsia="zh-CN"/>
        </w:rPr>
        <w:t>开标</w:t>
      </w:r>
      <w:r>
        <w:rPr>
          <w:rFonts w:hint="default" w:ascii="Times New Roman" w:hAnsi="Times New Roman" w:eastAsia="宋体" w:cs="宋体"/>
          <w:sz w:val="24"/>
          <w:szCs w:val="22"/>
          <w:highlight w:val="none"/>
        </w:rPr>
        <w:t>地点：</w:t>
      </w:r>
      <w:bookmarkStart w:id="37" w:name="OLE_LINK3"/>
      <w:bookmarkStart w:id="38" w:name="OLE_LINK2"/>
      <w:r>
        <w:rPr>
          <w:rFonts w:hint="default" w:ascii="Times New Roman" w:hAnsi="Times New Roman" w:eastAsia="宋体" w:cs="宋体"/>
          <w:sz w:val="24"/>
          <w:szCs w:val="22"/>
          <w:highlight w:val="none"/>
        </w:rPr>
        <w:t>重汽科技大厦</w:t>
      </w:r>
      <w:r>
        <w:rPr>
          <w:rFonts w:hint="default" w:ascii="Times New Roman" w:hAnsi="Times New Roman" w:eastAsia="宋体" w:cs="宋体"/>
          <w:sz w:val="24"/>
          <w:szCs w:val="22"/>
          <w:highlight w:val="none"/>
          <w:lang w:val="en-US" w:eastAsia="zh-CN"/>
        </w:rPr>
        <w:t>4</w:t>
      </w:r>
      <w:r>
        <w:rPr>
          <w:rFonts w:hint="default" w:ascii="Times New Roman" w:hAnsi="Times New Roman" w:eastAsia="宋体" w:cs="宋体"/>
          <w:sz w:val="24"/>
          <w:szCs w:val="22"/>
          <w:highlight w:val="none"/>
        </w:rPr>
        <w:t>楼</w:t>
      </w:r>
      <w:bookmarkEnd w:id="37"/>
      <w:bookmarkEnd w:id="38"/>
      <w:r>
        <w:rPr>
          <w:rFonts w:hint="default" w:ascii="Times New Roman" w:hAnsi="Times New Roman" w:eastAsia="宋体" w:cs="宋体"/>
          <w:sz w:val="24"/>
          <w:szCs w:val="22"/>
          <w:highlight w:val="none"/>
          <w:lang w:eastAsia="zh-CN"/>
        </w:rPr>
        <w:t>。</w:t>
      </w:r>
    </w:p>
    <w:p w14:paraId="485EAEB8">
      <w:pPr>
        <w:spacing w:line="360" w:lineRule="auto"/>
        <w:ind w:firstLine="480" w:firstLineChars="200"/>
        <w:rPr>
          <w:rFonts w:hint="default" w:ascii="Times New Roman" w:hAnsi="Times New Roman" w:eastAsia="宋体" w:cs="宋体"/>
          <w:sz w:val="24"/>
          <w:szCs w:val="22"/>
          <w:highlight w:val="none"/>
          <w:lang w:eastAsia="zh-CN"/>
        </w:rPr>
      </w:pPr>
      <w:r>
        <w:rPr>
          <w:rFonts w:hint="eastAsia" w:ascii="Times New Roman" w:hAnsi="Times New Roman" w:eastAsia="宋体" w:cs="宋体"/>
          <w:sz w:val="24"/>
          <w:szCs w:val="22"/>
          <w:highlight w:val="none"/>
          <w:lang w:val="en-US" w:eastAsia="zh-CN" w:bidi="ar"/>
        </w:rPr>
        <w:t>3）</w:t>
      </w:r>
      <w:r>
        <w:rPr>
          <w:rFonts w:hint="default" w:ascii="Times New Roman" w:hAnsi="Times New Roman" w:eastAsia="宋体" w:cs="宋体"/>
          <w:sz w:val="24"/>
          <w:szCs w:val="22"/>
          <w:highlight w:val="none"/>
        </w:rPr>
        <w:t>答疑时间：</w:t>
      </w:r>
      <w:r>
        <w:rPr>
          <w:rFonts w:hint="eastAsia" w:ascii="Times New Roman" w:hAnsi="Times New Roman" w:eastAsia="宋体" w:cs="宋体"/>
          <w:sz w:val="24"/>
          <w:szCs w:val="22"/>
          <w:highlight w:val="none"/>
          <w:lang w:eastAsia="zh-CN"/>
        </w:rPr>
        <w:t>截止</w:t>
      </w:r>
      <w:r>
        <w:rPr>
          <w:rFonts w:hint="default" w:ascii="Times New Roman" w:hAnsi="Times New Roman" w:eastAsia="宋体" w:cs="宋体"/>
          <w:sz w:val="24"/>
          <w:szCs w:val="22"/>
          <w:highlight w:val="none"/>
        </w:rPr>
        <w:t>202</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年</w:t>
      </w:r>
      <w:r>
        <w:rPr>
          <w:rFonts w:hint="eastAsia" w:ascii="Times New Roman" w:hAnsi="Times New Roman" w:eastAsia="宋体" w:cs="宋体"/>
          <w:sz w:val="24"/>
          <w:szCs w:val="22"/>
          <w:highlight w:val="none"/>
          <w:lang w:val="en-US" w:eastAsia="zh-CN"/>
        </w:rPr>
        <w:t>3</w:t>
      </w:r>
      <w:r>
        <w:rPr>
          <w:rFonts w:hint="default" w:ascii="Times New Roman" w:hAnsi="Times New Roman" w:eastAsia="宋体" w:cs="宋体"/>
          <w:sz w:val="24"/>
          <w:szCs w:val="22"/>
          <w:highlight w:val="none"/>
        </w:rPr>
        <w:t>月</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日</w:t>
      </w:r>
      <w:r>
        <w:rPr>
          <w:rFonts w:hint="eastAsia" w:ascii="Times New Roman" w:hAnsi="Times New Roman" w:eastAsia="宋体" w:cs="宋体"/>
          <w:sz w:val="24"/>
          <w:szCs w:val="22"/>
          <w:highlight w:val="none"/>
          <w:lang w:val="en-US" w:eastAsia="zh-CN"/>
        </w:rPr>
        <w:t>10:00</w:t>
      </w:r>
      <w:r>
        <w:rPr>
          <w:rFonts w:hint="default" w:ascii="Times New Roman" w:hAnsi="Times New Roman" w:eastAsia="宋体" w:cs="宋体"/>
          <w:sz w:val="24"/>
          <w:szCs w:val="22"/>
          <w:highlight w:val="none"/>
        </w:rPr>
        <w:t>前</w:t>
      </w:r>
      <w:r>
        <w:rPr>
          <w:rFonts w:hint="default" w:ascii="Times New Roman" w:hAnsi="Times New Roman" w:eastAsia="宋体" w:cs="宋体"/>
          <w:sz w:val="24"/>
          <w:szCs w:val="22"/>
          <w:highlight w:val="none"/>
          <w:lang w:eastAsia="zh-CN"/>
        </w:rPr>
        <w:t>。</w:t>
      </w:r>
    </w:p>
    <w:p w14:paraId="50625B52">
      <w:pPr>
        <w:spacing w:line="360" w:lineRule="auto"/>
        <w:ind w:firstLine="480" w:firstLineChars="200"/>
        <w:rPr>
          <w:rFonts w:ascii="Times New Roman" w:hAnsi="Times New Roman" w:eastAsia="宋体" w:cs="宋体"/>
          <w:sz w:val="24"/>
          <w:szCs w:val="22"/>
          <w:highlight w:val="none"/>
        </w:rPr>
      </w:pPr>
      <w:r>
        <w:rPr>
          <w:rFonts w:hint="default" w:ascii="Times New Roman" w:hAnsi="Times New Roman" w:eastAsia="宋体" w:cs="宋体"/>
          <w:sz w:val="24"/>
          <w:szCs w:val="22"/>
          <w:highlight w:val="none"/>
        </w:rPr>
        <w:t>联 系 人：</w:t>
      </w:r>
      <w:r>
        <w:rPr>
          <w:rFonts w:hint="default" w:ascii="Times New Roman" w:hAnsi="Times New Roman" w:eastAsia="宋体" w:cs="宋体"/>
          <w:sz w:val="24"/>
          <w:szCs w:val="22"/>
          <w:highlight w:val="none"/>
          <w:lang w:val="en-US" w:eastAsia="zh-CN"/>
        </w:rPr>
        <w:t>刘静</w:t>
      </w:r>
      <w:r>
        <w:rPr>
          <w:rFonts w:hint="default" w:ascii="Times New Roman" w:hAnsi="Times New Roman" w:eastAsia="宋体" w:cs="宋体"/>
          <w:sz w:val="24"/>
          <w:szCs w:val="22"/>
          <w:highlight w:val="none"/>
        </w:rPr>
        <w:t xml:space="preserve"> </w:t>
      </w:r>
      <w:r>
        <w:rPr>
          <w:rFonts w:ascii="Times New Roman" w:hAnsi="Times New Roman" w:eastAsia="宋体" w:cs="宋体"/>
          <w:sz w:val="24"/>
          <w:szCs w:val="22"/>
          <w:highlight w:val="none"/>
        </w:rPr>
        <w:t>1</w:t>
      </w:r>
      <w:r>
        <w:rPr>
          <w:rFonts w:hint="default" w:ascii="Times New Roman" w:hAnsi="Times New Roman" w:eastAsia="宋体" w:cs="宋体"/>
          <w:sz w:val="24"/>
          <w:szCs w:val="22"/>
          <w:highlight w:val="none"/>
          <w:lang w:val="en-US" w:eastAsia="zh-CN"/>
        </w:rPr>
        <w:t>7862920853</w:t>
      </w:r>
      <w:r>
        <w:rPr>
          <w:rFonts w:hint="default" w:ascii="Times New Roman" w:hAnsi="Times New Roman" w:eastAsia="宋体" w:cs="宋体"/>
          <w:sz w:val="24"/>
          <w:szCs w:val="22"/>
          <w:highlight w:val="none"/>
        </w:rPr>
        <w:t xml:space="preserve"> </w:t>
      </w:r>
    </w:p>
    <w:p w14:paraId="6B8FD022">
      <w:pPr>
        <w:spacing w:line="360" w:lineRule="auto"/>
        <w:ind w:firstLine="480" w:firstLineChars="200"/>
        <w:rPr>
          <w:rFonts w:hint="default" w:ascii="Times New Roman" w:hAnsi="Times New Roman" w:eastAsia="宋体" w:cs="宋体"/>
          <w:sz w:val="24"/>
          <w:szCs w:val="22"/>
          <w:highlight w:val="none"/>
          <w:lang w:eastAsia="zh-CN"/>
        </w:rPr>
      </w:pPr>
      <w:r>
        <w:rPr>
          <w:rFonts w:hint="eastAsia" w:ascii="Times New Roman" w:hAnsi="Times New Roman" w:eastAsia="宋体" w:cs="宋体"/>
          <w:sz w:val="24"/>
          <w:szCs w:val="22"/>
          <w:highlight w:val="none"/>
          <w:lang w:val="en-US" w:eastAsia="zh-CN"/>
        </w:rPr>
        <w:t>4）</w:t>
      </w:r>
      <w:r>
        <w:rPr>
          <w:rFonts w:hint="default" w:ascii="Times New Roman" w:hAnsi="Times New Roman" w:eastAsia="宋体" w:cs="宋体"/>
          <w:sz w:val="24"/>
          <w:szCs w:val="22"/>
          <w:highlight w:val="none"/>
        </w:rPr>
        <w:t>投标</w:t>
      </w:r>
      <w:r>
        <w:rPr>
          <w:rFonts w:hint="default" w:ascii="Times New Roman" w:hAnsi="Times New Roman" w:eastAsia="宋体" w:cs="宋体"/>
          <w:sz w:val="24"/>
          <w:szCs w:val="22"/>
          <w:highlight w:val="none"/>
          <w:lang w:val="en-US" w:eastAsia="zh-CN"/>
        </w:rPr>
        <w:t>文件提交</w:t>
      </w:r>
      <w:r>
        <w:rPr>
          <w:rFonts w:hint="default" w:ascii="Times New Roman" w:hAnsi="Times New Roman" w:eastAsia="宋体" w:cs="宋体"/>
          <w:sz w:val="24"/>
          <w:szCs w:val="22"/>
          <w:highlight w:val="none"/>
        </w:rPr>
        <w:t>截止时间：202</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年</w:t>
      </w:r>
      <w:r>
        <w:rPr>
          <w:rFonts w:hint="eastAsia" w:ascii="Times New Roman" w:hAnsi="Times New Roman" w:eastAsia="宋体" w:cs="宋体"/>
          <w:sz w:val="24"/>
          <w:szCs w:val="22"/>
          <w:highlight w:val="none"/>
          <w:lang w:val="en-US" w:eastAsia="zh-CN"/>
        </w:rPr>
        <w:t>3</w:t>
      </w:r>
      <w:r>
        <w:rPr>
          <w:rFonts w:hint="default" w:ascii="Times New Roman" w:hAnsi="Times New Roman" w:eastAsia="宋体" w:cs="宋体"/>
          <w:sz w:val="24"/>
          <w:szCs w:val="22"/>
          <w:highlight w:val="none"/>
        </w:rPr>
        <w:t>月</w:t>
      </w:r>
      <w:r>
        <w:rPr>
          <w:rFonts w:hint="eastAsia" w:ascii="Times New Roman" w:hAnsi="Times New Roman" w:eastAsia="宋体" w:cs="宋体"/>
          <w:sz w:val="24"/>
          <w:szCs w:val="22"/>
          <w:highlight w:val="none"/>
          <w:lang w:val="en-US" w:eastAsia="zh-CN"/>
        </w:rPr>
        <w:t>6</w:t>
      </w:r>
      <w:r>
        <w:rPr>
          <w:rFonts w:hint="default" w:ascii="Times New Roman" w:hAnsi="Times New Roman" w:eastAsia="宋体" w:cs="宋体"/>
          <w:sz w:val="24"/>
          <w:szCs w:val="22"/>
          <w:highlight w:val="none"/>
        </w:rPr>
        <w:t>日</w:t>
      </w:r>
      <w:r>
        <w:rPr>
          <w:rFonts w:hint="eastAsia" w:ascii="Times New Roman" w:hAnsi="Times New Roman" w:eastAsia="宋体" w:cs="宋体"/>
          <w:sz w:val="24"/>
          <w:szCs w:val="22"/>
          <w:highlight w:val="none"/>
          <w:lang w:val="en-US" w:eastAsia="zh-CN"/>
        </w:rPr>
        <w:t>10:00</w:t>
      </w:r>
      <w:r>
        <w:rPr>
          <w:rFonts w:hint="default" w:ascii="Times New Roman" w:hAnsi="Times New Roman" w:eastAsia="宋体" w:cs="宋体"/>
          <w:sz w:val="24"/>
          <w:szCs w:val="22"/>
          <w:highlight w:val="none"/>
        </w:rPr>
        <w:t>前</w:t>
      </w:r>
      <w:r>
        <w:rPr>
          <w:rFonts w:hint="default" w:ascii="Times New Roman" w:hAnsi="Times New Roman" w:eastAsia="宋体" w:cs="宋体"/>
          <w:sz w:val="24"/>
          <w:szCs w:val="22"/>
          <w:highlight w:val="none"/>
          <w:lang w:eastAsia="zh-CN"/>
        </w:rPr>
        <w:t>。</w:t>
      </w:r>
    </w:p>
    <w:p w14:paraId="51FA6850">
      <w:pPr>
        <w:spacing w:line="360" w:lineRule="auto"/>
        <w:ind w:left="0" w:firstLine="482" w:firstLineChars="200"/>
        <w:rPr>
          <w:rFonts w:ascii="Times New Roman" w:hAnsi="Times New Roman" w:eastAsia="宋体" w:cs="宋体"/>
          <w:b/>
          <w:bCs/>
          <w:sz w:val="24"/>
          <w:szCs w:val="22"/>
          <w:highlight w:val="none"/>
        </w:rPr>
      </w:pPr>
      <w:r>
        <w:rPr>
          <w:rFonts w:hint="eastAsia" w:ascii="Times New Roman" w:hAnsi="Times New Roman" w:eastAsia="宋体" w:cs="宋体"/>
          <w:b/>
          <w:bCs/>
          <w:sz w:val="24"/>
          <w:szCs w:val="22"/>
          <w:highlight w:val="none"/>
          <w:lang w:val="en-US" w:eastAsia="zh-CN"/>
        </w:rPr>
        <w:t>2.4</w:t>
      </w:r>
      <w:r>
        <w:rPr>
          <w:rFonts w:hint="default" w:ascii="Times New Roman" w:hAnsi="Times New Roman" w:eastAsia="宋体" w:cs="宋体"/>
          <w:b/>
          <w:bCs/>
          <w:sz w:val="24"/>
          <w:szCs w:val="22"/>
          <w:highlight w:val="none"/>
        </w:rPr>
        <w:t>本次招标注册、应标、澄清、报价全部操作需要登录</w:t>
      </w:r>
      <w:r>
        <w:rPr>
          <w:rFonts w:hint="eastAsia" w:ascii="Times New Roman" w:hAnsi="Times New Roman" w:eastAsia="宋体" w:cs="宋体"/>
          <w:b/>
          <w:bCs/>
          <w:sz w:val="24"/>
          <w:szCs w:val="22"/>
          <w:highlight w:val="none"/>
          <w:lang w:val="en-US" w:eastAsia="zh-CN"/>
        </w:rPr>
        <w:t>中国重汽</w:t>
      </w:r>
      <w:r>
        <w:rPr>
          <w:rFonts w:hint="default" w:ascii="Times New Roman" w:hAnsi="Times New Roman" w:eastAsia="宋体" w:cs="宋体"/>
          <w:b/>
          <w:bCs/>
          <w:sz w:val="24"/>
          <w:szCs w:val="22"/>
          <w:highlight w:val="none"/>
        </w:rPr>
        <w:t>E采通系统进行操作，网址如下：</w:t>
      </w:r>
      <w:r>
        <w:rPr>
          <w:rFonts w:ascii="Times New Roman" w:hAnsi="Times New Roman" w:eastAsia="宋体" w:cs="宋体"/>
          <w:b/>
          <w:bCs/>
          <w:sz w:val="24"/>
          <w:szCs w:val="22"/>
          <w:highlight w:val="none"/>
        </w:rPr>
        <w:fldChar w:fldCharType="begin"/>
      </w:r>
      <w:r>
        <w:rPr>
          <w:rFonts w:ascii="Times New Roman" w:hAnsi="Times New Roman" w:eastAsia="宋体" w:cs="宋体"/>
          <w:b/>
          <w:bCs/>
          <w:sz w:val="24"/>
          <w:szCs w:val="22"/>
          <w:highlight w:val="none"/>
        </w:rPr>
        <w:instrText xml:space="preserve">HYPERLINK "http://ecaitong.sinotruk.com:8012/，请于截止日期前完成注册、应标等操作。"</w:instrText>
      </w:r>
      <w:r>
        <w:rPr>
          <w:rFonts w:ascii="Times New Roman" w:hAnsi="Times New Roman" w:eastAsia="宋体" w:cs="宋体"/>
          <w:b/>
          <w:bCs/>
          <w:sz w:val="24"/>
          <w:szCs w:val="22"/>
          <w:highlight w:val="none"/>
        </w:rPr>
        <w:fldChar w:fldCharType="separate"/>
      </w:r>
      <w:r>
        <w:rPr>
          <w:rFonts w:hint="eastAsia" w:ascii="Times New Roman" w:hAnsi="Times New Roman" w:eastAsia="宋体" w:cs="宋体"/>
          <w:b/>
          <w:bCs/>
          <w:sz w:val="24"/>
          <w:szCs w:val="22"/>
          <w:highlight w:val="none"/>
        </w:rPr>
        <w:t>https://ecaitong.sinotruk.com:8012</w:t>
      </w:r>
      <w:r>
        <w:rPr>
          <w:rFonts w:hint="default" w:ascii="Times New Roman" w:hAnsi="Times New Roman" w:eastAsia="宋体" w:cs="宋体"/>
          <w:b/>
          <w:bCs/>
          <w:sz w:val="24"/>
          <w:szCs w:val="22"/>
          <w:highlight w:val="none"/>
        </w:rPr>
        <w:t>，请于截止日期前完成注册、应标、投标等操作，超过截止日期未将盖章（或电子章）技术标、商务标、资质等文件上传系统的，系统自动关闭上传入口，视为放弃应标。</w:t>
      </w:r>
      <w:r>
        <w:rPr>
          <w:rFonts w:ascii="Times New Roman" w:hAnsi="Times New Roman" w:eastAsia="宋体" w:cs="宋体"/>
          <w:b/>
          <w:bCs/>
          <w:sz w:val="24"/>
          <w:szCs w:val="22"/>
          <w:highlight w:val="none"/>
        </w:rPr>
        <w:fldChar w:fldCharType="end"/>
      </w:r>
      <w:r>
        <w:rPr>
          <w:rFonts w:hint="default" w:ascii="Times New Roman" w:hAnsi="Times New Roman" w:eastAsia="宋体" w:cs="宋体"/>
          <w:b/>
          <w:bCs/>
          <w:sz w:val="24"/>
          <w:szCs w:val="22"/>
          <w:highlight w:val="none"/>
          <w:lang w:bidi="ar"/>
        </w:rPr>
        <w:t xml:space="preserve">   </w:t>
      </w:r>
      <w:r>
        <w:rPr>
          <w:rFonts w:ascii="Times New Roman" w:hAnsi="Times New Roman" w:eastAsia="宋体" w:cs="宋体"/>
          <w:b/>
          <w:bCs/>
          <w:sz w:val="24"/>
          <w:szCs w:val="22"/>
          <w:highlight w:val="none"/>
        </w:rPr>
        <w:t xml:space="preserve"> </w:t>
      </w:r>
      <w:r>
        <w:rPr>
          <w:rFonts w:hint="default" w:ascii="Times New Roman" w:hAnsi="Times New Roman" w:eastAsia="宋体" w:cs="宋体"/>
          <w:b/>
          <w:bCs/>
          <w:sz w:val="24"/>
          <w:szCs w:val="22"/>
          <w:highlight w:val="none"/>
        </w:rPr>
        <w:t xml:space="preserve"> </w:t>
      </w:r>
    </w:p>
    <w:p w14:paraId="18DFF545">
      <w:pPr>
        <w:pStyle w:val="36"/>
        <w:keepNext w:val="0"/>
        <w:widowControl/>
        <w:numPr>
          <w:ilvl w:val="0"/>
          <w:numId w:val="6"/>
        </w:numPr>
        <w:rPr>
          <w:rFonts w:cs="宋体"/>
          <w:highlight w:val="none"/>
        </w:rPr>
      </w:pPr>
      <w:bookmarkStart w:id="39" w:name="_Toc30735"/>
      <w:bookmarkStart w:id="40" w:name="_Toc18155"/>
      <w:bookmarkStart w:id="41" w:name="_Toc28172"/>
      <w:bookmarkStart w:id="42" w:name="_Toc109031540"/>
      <w:bookmarkStart w:id="43" w:name="_Toc74143828"/>
      <w:bookmarkStart w:id="44" w:name="_Toc95148169"/>
      <w:bookmarkStart w:id="45" w:name="_Toc50742883"/>
      <w:r>
        <w:rPr>
          <w:rFonts w:hint="eastAsia" w:cs="宋体"/>
          <w:highlight w:val="none"/>
        </w:rPr>
        <w:t>有关说明</w:t>
      </w:r>
      <w:bookmarkEnd w:id="39"/>
      <w:bookmarkEnd w:id="40"/>
      <w:bookmarkEnd w:id="41"/>
      <w:bookmarkEnd w:id="42"/>
      <w:bookmarkEnd w:id="43"/>
      <w:bookmarkEnd w:id="44"/>
      <w:bookmarkEnd w:id="45"/>
    </w:p>
    <w:p w14:paraId="3A7BB0F0">
      <w:pPr>
        <w:pStyle w:val="66"/>
        <w:keepNext w:val="0"/>
        <w:widowControl/>
        <w:numPr>
          <w:ilvl w:val="1"/>
          <w:numId w:val="0"/>
        </w:numPr>
        <w:ind w:firstLine="480" w:firstLineChars="200"/>
        <w:rPr>
          <w:rStyle w:val="67"/>
          <w:rFonts w:ascii="Calibri" w:hAnsi="Calibri"/>
          <w:b w:val="0"/>
          <w:bCs/>
          <w:sz w:val="24"/>
          <w:szCs w:val="24"/>
          <w:highlight w:val="none"/>
        </w:rPr>
      </w:pPr>
      <w:bookmarkStart w:id="46" w:name="_Toc18938"/>
      <w:bookmarkStart w:id="47" w:name="_Toc50742884"/>
      <w:bookmarkStart w:id="48" w:name="_Toc28108"/>
      <w:bookmarkStart w:id="49" w:name="_Toc9518"/>
      <w:bookmarkStart w:id="50" w:name="_Toc270497415"/>
      <w:bookmarkStart w:id="51" w:name="_Toc95148170"/>
      <w:bookmarkStart w:id="52" w:name="_Toc109031541"/>
      <w:bookmarkStart w:id="53" w:name="_Toc74143829"/>
      <w:r>
        <w:rPr>
          <w:rStyle w:val="67"/>
          <w:rFonts w:hint="eastAsia" w:ascii="Calibri" w:hAnsi="Calibri"/>
          <w:b w:val="0"/>
          <w:bCs/>
          <w:sz w:val="24"/>
          <w:szCs w:val="24"/>
          <w:highlight w:val="none"/>
          <w:lang w:val="en-US" w:eastAsia="zh-CN"/>
        </w:rPr>
        <w:t>3.1</w:t>
      </w:r>
      <w:r>
        <w:rPr>
          <w:rStyle w:val="67"/>
          <w:rFonts w:ascii="Calibri" w:hAnsi="Calibri"/>
          <w:b w:val="0"/>
          <w:bCs/>
          <w:sz w:val="24"/>
          <w:szCs w:val="24"/>
          <w:highlight w:val="none"/>
        </w:rPr>
        <w:t>总则</w:t>
      </w:r>
      <w:bookmarkEnd w:id="46"/>
      <w:bookmarkEnd w:id="47"/>
      <w:bookmarkEnd w:id="48"/>
      <w:bookmarkEnd w:id="49"/>
      <w:bookmarkEnd w:id="50"/>
      <w:bookmarkEnd w:id="51"/>
      <w:bookmarkEnd w:id="52"/>
      <w:bookmarkEnd w:id="53"/>
    </w:p>
    <w:p w14:paraId="6E6BCA98">
      <w:pPr>
        <w:pStyle w:val="66"/>
        <w:numPr>
          <w:ilvl w:val="1"/>
          <w:numId w:val="0"/>
        </w:numPr>
        <w:ind w:firstLine="480" w:firstLineChars="200"/>
        <w:rPr>
          <w:rStyle w:val="67"/>
          <w:rFonts w:ascii="Calibri" w:hAnsi="Calibri"/>
          <w:b w:val="0"/>
          <w:bCs/>
          <w:sz w:val="24"/>
          <w:szCs w:val="24"/>
          <w:highlight w:val="none"/>
        </w:rPr>
      </w:pPr>
      <w:bookmarkStart w:id="54" w:name="_Toc22281"/>
      <w:bookmarkStart w:id="55" w:name="_Toc22675"/>
      <w:bookmarkStart w:id="56" w:name="_Toc19756"/>
      <w:r>
        <w:rPr>
          <w:rStyle w:val="67"/>
          <w:rFonts w:ascii="Calibri" w:hAnsi="Calibri"/>
          <w:b w:val="0"/>
          <w:bCs/>
          <w:sz w:val="24"/>
          <w:szCs w:val="24"/>
          <w:highlight w:val="none"/>
        </w:rPr>
        <w:t>根据《中华人民共和国招标投标法》及《</w:t>
      </w:r>
      <w:r>
        <w:rPr>
          <w:rStyle w:val="67"/>
          <w:rFonts w:hint="eastAsia" w:ascii="Calibri" w:hAnsi="Calibri"/>
          <w:b w:val="0"/>
          <w:bCs/>
          <w:sz w:val="24"/>
          <w:szCs w:val="24"/>
          <w:highlight w:val="none"/>
          <w:lang w:eastAsia="zh-CN"/>
        </w:rPr>
        <w:t>中华人民共和国民法典</w:t>
      </w:r>
      <w:r>
        <w:rPr>
          <w:rStyle w:val="67"/>
          <w:rFonts w:ascii="Calibri" w:hAnsi="Calibri"/>
          <w:b w:val="0"/>
          <w:bCs/>
          <w:sz w:val="24"/>
          <w:szCs w:val="24"/>
          <w:highlight w:val="none"/>
        </w:rPr>
        <w:t>》相关规定，对</w:t>
      </w:r>
      <w:r>
        <w:rPr>
          <w:rStyle w:val="67"/>
          <w:rFonts w:ascii="Calibri" w:hAnsi="Calibri"/>
          <w:b w:val="0"/>
          <w:bCs/>
          <w:sz w:val="24"/>
          <w:highlight w:val="none"/>
        </w:rPr>
        <w:t>重汽汽车金融有限公司</w:t>
      </w:r>
      <w:r>
        <w:rPr>
          <w:rStyle w:val="67"/>
          <w:rFonts w:hint="eastAsia" w:ascii="Calibri" w:hAnsi="Calibri"/>
          <w:b w:val="0"/>
          <w:bCs/>
          <w:sz w:val="24"/>
          <w:highlight w:val="none"/>
          <w:lang w:eastAsia="zh-CN"/>
        </w:rPr>
        <w:t>内部</w:t>
      </w:r>
      <w:r>
        <w:rPr>
          <w:rStyle w:val="67"/>
          <w:rFonts w:hint="eastAsia" w:ascii="Calibri" w:hAnsi="Calibri"/>
          <w:b w:val="0"/>
          <w:bCs/>
          <w:sz w:val="24"/>
          <w:highlight w:val="none"/>
          <w:lang w:val="en-US" w:eastAsia="zh-CN"/>
        </w:rPr>
        <w:t>控制外部审计</w:t>
      </w:r>
      <w:r>
        <w:rPr>
          <w:rStyle w:val="67"/>
          <w:rFonts w:ascii="Calibri" w:hAnsi="Calibri"/>
          <w:b w:val="0"/>
          <w:bCs/>
          <w:sz w:val="24"/>
          <w:highlight w:val="none"/>
        </w:rPr>
        <w:t>项目</w:t>
      </w:r>
      <w:r>
        <w:rPr>
          <w:rStyle w:val="67"/>
          <w:rFonts w:ascii="Calibri" w:hAnsi="Calibri"/>
          <w:b w:val="0"/>
          <w:bCs/>
          <w:sz w:val="24"/>
          <w:szCs w:val="24"/>
          <w:highlight w:val="none"/>
        </w:rPr>
        <w:t>进行招标。</w:t>
      </w:r>
      <w:bookmarkEnd w:id="54"/>
      <w:bookmarkEnd w:id="55"/>
      <w:bookmarkEnd w:id="56"/>
    </w:p>
    <w:p w14:paraId="156F869B">
      <w:pPr>
        <w:pStyle w:val="66"/>
        <w:keepNext w:val="0"/>
        <w:widowControl/>
        <w:numPr>
          <w:ilvl w:val="1"/>
          <w:numId w:val="0"/>
        </w:numPr>
        <w:ind w:firstLine="480" w:firstLineChars="200"/>
        <w:rPr>
          <w:rStyle w:val="67"/>
          <w:rFonts w:ascii="Calibri" w:hAnsi="Calibri"/>
          <w:b w:val="0"/>
          <w:bCs/>
          <w:sz w:val="24"/>
          <w:szCs w:val="24"/>
          <w:highlight w:val="none"/>
        </w:rPr>
      </w:pPr>
      <w:bookmarkStart w:id="57" w:name="_Toc6493"/>
      <w:bookmarkStart w:id="58" w:name="_Toc74143830"/>
      <w:bookmarkStart w:id="59" w:name="_Toc95148171"/>
      <w:bookmarkStart w:id="60" w:name="_Toc6738"/>
      <w:bookmarkStart w:id="61" w:name="_Toc3798"/>
      <w:bookmarkStart w:id="62" w:name="_Toc109031542"/>
      <w:bookmarkStart w:id="63" w:name="_Toc50742885"/>
      <w:r>
        <w:rPr>
          <w:rStyle w:val="67"/>
          <w:rFonts w:hint="eastAsia" w:ascii="Calibri" w:hAnsi="Calibri"/>
          <w:b w:val="0"/>
          <w:bCs/>
          <w:sz w:val="24"/>
          <w:szCs w:val="24"/>
          <w:highlight w:val="none"/>
          <w:lang w:val="en-US" w:eastAsia="zh-CN"/>
        </w:rPr>
        <w:t>3.2</w:t>
      </w:r>
      <w:r>
        <w:rPr>
          <w:rStyle w:val="67"/>
          <w:rFonts w:ascii="Calibri" w:hAnsi="Calibri"/>
          <w:b w:val="0"/>
          <w:bCs/>
          <w:sz w:val="24"/>
          <w:szCs w:val="24"/>
          <w:highlight w:val="none"/>
        </w:rPr>
        <w:t>定义</w:t>
      </w:r>
      <w:bookmarkEnd w:id="57"/>
      <w:bookmarkEnd w:id="58"/>
      <w:bookmarkEnd w:id="59"/>
      <w:bookmarkEnd w:id="60"/>
      <w:bookmarkEnd w:id="61"/>
      <w:bookmarkEnd w:id="62"/>
      <w:bookmarkEnd w:id="63"/>
    </w:p>
    <w:p w14:paraId="72E49589">
      <w:pPr>
        <w:pStyle w:val="66"/>
        <w:numPr>
          <w:ilvl w:val="1"/>
          <w:numId w:val="0"/>
        </w:numPr>
        <w:ind w:firstLine="480" w:firstLineChars="200"/>
        <w:rPr>
          <w:rStyle w:val="67"/>
          <w:rFonts w:ascii="Calibri" w:hAnsi="Calibri"/>
          <w:b w:val="0"/>
          <w:bCs/>
          <w:sz w:val="24"/>
          <w:szCs w:val="24"/>
          <w:highlight w:val="none"/>
        </w:rPr>
      </w:pPr>
      <w:bookmarkStart w:id="64" w:name="_Toc9586"/>
      <w:bookmarkStart w:id="65" w:name="_Toc10739"/>
      <w:bookmarkStart w:id="66" w:name="_Toc22037"/>
      <w:r>
        <w:rPr>
          <w:rStyle w:val="67"/>
          <w:rFonts w:hint="eastAsia" w:ascii="Calibri" w:hAnsi="Calibri"/>
          <w:b w:val="0"/>
          <w:bCs/>
          <w:sz w:val="24"/>
          <w:szCs w:val="24"/>
          <w:highlight w:val="none"/>
          <w:lang w:val="en-US" w:eastAsia="zh-CN"/>
        </w:rPr>
        <w:t>1）</w:t>
      </w:r>
      <w:r>
        <w:rPr>
          <w:rStyle w:val="67"/>
          <w:rFonts w:ascii="Calibri" w:hAnsi="Calibri"/>
          <w:b w:val="0"/>
          <w:bCs/>
          <w:sz w:val="24"/>
          <w:szCs w:val="24"/>
          <w:highlight w:val="none"/>
        </w:rPr>
        <w:t>招标人：重汽汽车金融有限公司</w:t>
      </w:r>
      <w:bookmarkEnd w:id="64"/>
      <w:bookmarkEnd w:id="65"/>
      <w:bookmarkEnd w:id="66"/>
    </w:p>
    <w:p w14:paraId="59E2E8FC">
      <w:pPr>
        <w:pStyle w:val="66"/>
        <w:numPr>
          <w:ilvl w:val="1"/>
          <w:numId w:val="0"/>
        </w:numPr>
        <w:ind w:firstLine="480" w:firstLineChars="200"/>
        <w:rPr>
          <w:rStyle w:val="67"/>
          <w:rFonts w:hint="eastAsia" w:ascii="Calibri" w:hAnsi="Calibri" w:eastAsia="宋体"/>
          <w:b w:val="0"/>
          <w:bCs/>
          <w:sz w:val="24"/>
          <w:szCs w:val="24"/>
          <w:highlight w:val="none"/>
          <w:lang w:eastAsia="zh-CN"/>
        </w:rPr>
      </w:pPr>
      <w:bookmarkStart w:id="67" w:name="_Toc23385"/>
      <w:bookmarkStart w:id="68" w:name="_Toc644"/>
      <w:bookmarkStart w:id="69" w:name="_Toc22215"/>
      <w:r>
        <w:rPr>
          <w:rStyle w:val="67"/>
          <w:rFonts w:hint="eastAsia" w:ascii="Calibri" w:hAnsi="Calibri"/>
          <w:b w:val="0"/>
          <w:bCs/>
          <w:sz w:val="24"/>
          <w:szCs w:val="24"/>
          <w:highlight w:val="none"/>
          <w:lang w:val="en-US" w:eastAsia="zh-CN"/>
        </w:rPr>
        <w:t>2）</w:t>
      </w:r>
      <w:r>
        <w:rPr>
          <w:rStyle w:val="67"/>
          <w:rFonts w:ascii="Calibri" w:hAnsi="Calibri"/>
          <w:b w:val="0"/>
          <w:bCs/>
          <w:sz w:val="24"/>
          <w:szCs w:val="24"/>
          <w:highlight w:val="none"/>
        </w:rPr>
        <w:t>投标人：由招标人认可的符合投标资格的参加本项目投标的供应商</w:t>
      </w:r>
      <w:bookmarkEnd w:id="67"/>
      <w:bookmarkEnd w:id="68"/>
      <w:bookmarkEnd w:id="69"/>
    </w:p>
    <w:p w14:paraId="4DBF828C">
      <w:pPr>
        <w:pStyle w:val="66"/>
        <w:numPr>
          <w:ilvl w:val="1"/>
          <w:numId w:val="0"/>
        </w:numPr>
        <w:ind w:firstLine="480" w:firstLineChars="200"/>
        <w:rPr>
          <w:rStyle w:val="67"/>
          <w:rFonts w:ascii="Calibri" w:hAnsi="Calibri"/>
          <w:b w:val="0"/>
          <w:bCs/>
          <w:sz w:val="24"/>
          <w:szCs w:val="24"/>
          <w:highlight w:val="none"/>
        </w:rPr>
      </w:pPr>
      <w:bookmarkStart w:id="70" w:name="_Toc12086"/>
      <w:bookmarkStart w:id="71" w:name="_Toc5562"/>
      <w:bookmarkStart w:id="72" w:name="_Toc23648"/>
      <w:bookmarkStart w:id="73" w:name="_Toc270497418"/>
      <w:r>
        <w:rPr>
          <w:rStyle w:val="67"/>
          <w:rFonts w:hint="eastAsia" w:ascii="Calibri" w:hAnsi="Calibri"/>
          <w:b w:val="0"/>
          <w:bCs/>
          <w:sz w:val="24"/>
          <w:szCs w:val="24"/>
          <w:highlight w:val="none"/>
          <w:lang w:val="en-US" w:eastAsia="zh-CN"/>
        </w:rPr>
        <w:t>3）</w:t>
      </w:r>
      <w:r>
        <w:rPr>
          <w:rStyle w:val="67"/>
          <w:rFonts w:ascii="Calibri" w:hAnsi="Calibri"/>
          <w:b w:val="0"/>
          <w:bCs/>
          <w:sz w:val="24"/>
          <w:szCs w:val="24"/>
          <w:highlight w:val="none"/>
        </w:rPr>
        <w:t>产品：指投标人为本项目提供的服务及项目交付物</w:t>
      </w:r>
      <w:bookmarkEnd w:id="70"/>
      <w:bookmarkEnd w:id="71"/>
      <w:bookmarkEnd w:id="72"/>
    </w:p>
    <w:p w14:paraId="1A0A0298">
      <w:pPr>
        <w:pStyle w:val="66"/>
        <w:numPr>
          <w:ilvl w:val="1"/>
          <w:numId w:val="0"/>
        </w:numPr>
        <w:ind w:firstLine="480" w:firstLineChars="200"/>
        <w:rPr>
          <w:rStyle w:val="67"/>
          <w:rFonts w:ascii="Calibri" w:hAnsi="Calibri"/>
          <w:b w:val="0"/>
          <w:bCs/>
          <w:sz w:val="24"/>
          <w:szCs w:val="24"/>
          <w:highlight w:val="none"/>
        </w:rPr>
      </w:pPr>
      <w:bookmarkStart w:id="74" w:name="_Toc30289"/>
      <w:bookmarkStart w:id="75" w:name="_Toc1747"/>
      <w:bookmarkStart w:id="76" w:name="_Toc2236"/>
      <w:r>
        <w:rPr>
          <w:rStyle w:val="67"/>
          <w:rFonts w:hint="eastAsia" w:ascii="Calibri" w:hAnsi="Calibri"/>
          <w:b w:val="0"/>
          <w:bCs/>
          <w:sz w:val="24"/>
          <w:szCs w:val="24"/>
          <w:highlight w:val="none"/>
          <w:lang w:val="en-US" w:eastAsia="zh-CN"/>
        </w:rPr>
        <w:t>4）</w:t>
      </w:r>
      <w:r>
        <w:rPr>
          <w:rStyle w:val="67"/>
          <w:rFonts w:ascii="Calibri" w:hAnsi="Calibri"/>
          <w:b w:val="0"/>
          <w:bCs/>
          <w:sz w:val="24"/>
          <w:szCs w:val="24"/>
          <w:highlight w:val="none"/>
        </w:rPr>
        <w:t>招标方式</w:t>
      </w:r>
      <w:bookmarkEnd w:id="73"/>
      <w:r>
        <w:rPr>
          <w:rStyle w:val="67"/>
          <w:rFonts w:ascii="Calibri" w:hAnsi="Calibri"/>
          <w:b w:val="0"/>
          <w:bCs/>
          <w:sz w:val="24"/>
          <w:szCs w:val="24"/>
          <w:highlight w:val="none"/>
        </w:rPr>
        <w:t>：本项目采用“</w:t>
      </w:r>
      <w:r>
        <w:rPr>
          <w:rStyle w:val="67"/>
          <w:rFonts w:ascii="Calibri" w:hAnsi="Calibri"/>
          <w:b w:val="0"/>
          <w:bCs/>
          <w:sz w:val="24"/>
          <w:highlight w:val="none"/>
        </w:rPr>
        <w:t>公开招标”</w:t>
      </w:r>
      <w:r>
        <w:rPr>
          <w:rStyle w:val="67"/>
          <w:rFonts w:ascii="Calibri" w:hAnsi="Calibri"/>
          <w:b w:val="0"/>
          <w:bCs/>
          <w:sz w:val="24"/>
          <w:szCs w:val="24"/>
          <w:highlight w:val="none"/>
        </w:rPr>
        <w:t>方式</w:t>
      </w:r>
      <w:bookmarkEnd w:id="74"/>
      <w:bookmarkEnd w:id="75"/>
      <w:bookmarkEnd w:id="76"/>
    </w:p>
    <w:p w14:paraId="6D361F31">
      <w:pPr>
        <w:pStyle w:val="66"/>
        <w:keepNext w:val="0"/>
        <w:widowControl/>
        <w:numPr>
          <w:ilvl w:val="1"/>
          <w:numId w:val="0"/>
        </w:numPr>
        <w:ind w:firstLine="480" w:firstLineChars="200"/>
        <w:rPr>
          <w:rStyle w:val="67"/>
          <w:rFonts w:ascii="Calibri" w:hAnsi="Calibri"/>
          <w:b w:val="0"/>
          <w:bCs/>
          <w:sz w:val="24"/>
          <w:szCs w:val="24"/>
          <w:highlight w:val="none"/>
        </w:rPr>
      </w:pPr>
      <w:bookmarkStart w:id="77" w:name="_Toc95148172"/>
      <w:bookmarkStart w:id="78" w:name="_Toc109031543"/>
      <w:bookmarkStart w:id="79" w:name="_Toc50742886"/>
      <w:bookmarkStart w:id="80" w:name="_Toc270497419"/>
      <w:bookmarkStart w:id="81" w:name="_Toc31586"/>
      <w:bookmarkStart w:id="82" w:name="_Toc26140"/>
      <w:bookmarkStart w:id="83" w:name="_Toc19412"/>
      <w:bookmarkStart w:id="84" w:name="_Toc74143831"/>
      <w:r>
        <w:rPr>
          <w:rStyle w:val="67"/>
          <w:rFonts w:hint="eastAsia" w:ascii="Calibri" w:hAnsi="Calibri"/>
          <w:b w:val="0"/>
          <w:bCs/>
          <w:sz w:val="24"/>
          <w:szCs w:val="24"/>
          <w:highlight w:val="none"/>
          <w:lang w:val="en-US" w:eastAsia="zh-CN"/>
        </w:rPr>
        <w:t>3.3</w:t>
      </w:r>
      <w:r>
        <w:rPr>
          <w:rStyle w:val="67"/>
          <w:rFonts w:ascii="Calibri" w:hAnsi="Calibri"/>
          <w:b w:val="0"/>
          <w:bCs/>
          <w:sz w:val="24"/>
          <w:szCs w:val="24"/>
          <w:highlight w:val="none"/>
        </w:rPr>
        <w:t>项目实施方式</w:t>
      </w:r>
      <w:bookmarkEnd w:id="77"/>
      <w:bookmarkEnd w:id="78"/>
      <w:bookmarkEnd w:id="79"/>
      <w:bookmarkEnd w:id="80"/>
      <w:bookmarkEnd w:id="81"/>
      <w:bookmarkEnd w:id="82"/>
      <w:bookmarkEnd w:id="83"/>
      <w:bookmarkEnd w:id="84"/>
    </w:p>
    <w:p w14:paraId="6BDBDD19">
      <w:pPr>
        <w:pStyle w:val="66"/>
        <w:numPr>
          <w:ilvl w:val="1"/>
          <w:numId w:val="0"/>
        </w:numPr>
        <w:ind w:firstLine="480" w:firstLineChars="200"/>
        <w:rPr>
          <w:rStyle w:val="67"/>
          <w:rFonts w:ascii="Calibri" w:hAnsi="Calibri"/>
          <w:b w:val="0"/>
          <w:bCs/>
          <w:sz w:val="24"/>
          <w:highlight w:val="none"/>
        </w:rPr>
      </w:pPr>
      <w:bookmarkStart w:id="85" w:name="_Toc2295"/>
      <w:bookmarkStart w:id="86" w:name="_Toc6394"/>
      <w:bookmarkStart w:id="87" w:name="_Toc22319"/>
      <w:r>
        <w:rPr>
          <w:rStyle w:val="67"/>
          <w:rFonts w:ascii="Calibri" w:hAnsi="Calibri"/>
          <w:b w:val="0"/>
          <w:bCs/>
          <w:sz w:val="24"/>
          <w:highlight w:val="none"/>
        </w:rPr>
        <w:t>本项目由单一供方直接投标，不得联合投标。未经招标方许可，不得以任何形式进行转包、分包。</w:t>
      </w:r>
      <w:bookmarkEnd w:id="85"/>
      <w:bookmarkEnd w:id="86"/>
      <w:bookmarkEnd w:id="87"/>
    </w:p>
    <w:p w14:paraId="4BDD4C71">
      <w:pPr>
        <w:pStyle w:val="66"/>
        <w:keepNext w:val="0"/>
        <w:widowControl/>
        <w:numPr>
          <w:ilvl w:val="1"/>
          <w:numId w:val="0"/>
        </w:numPr>
        <w:ind w:firstLine="480" w:firstLineChars="200"/>
        <w:rPr>
          <w:rStyle w:val="67"/>
          <w:rFonts w:ascii="Calibri" w:hAnsi="Calibri"/>
          <w:b w:val="0"/>
          <w:bCs/>
          <w:sz w:val="24"/>
          <w:szCs w:val="24"/>
          <w:highlight w:val="none"/>
        </w:rPr>
      </w:pPr>
      <w:bookmarkStart w:id="88" w:name="_Toc7688"/>
      <w:bookmarkStart w:id="89" w:name="_Toc265850577"/>
      <w:bookmarkStart w:id="90" w:name="_Toc109031544"/>
      <w:bookmarkStart w:id="91" w:name="_Toc234922352"/>
      <w:bookmarkStart w:id="92" w:name="_Toc95148173"/>
      <w:bookmarkStart w:id="93" w:name="_Toc5331"/>
      <w:bookmarkStart w:id="94" w:name="_Toc74143832"/>
      <w:bookmarkStart w:id="95" w:name="_Toc50742887"/>
      <w:bookmarkStart w:id="96" w:name="_Toc264881857"/>
      <w:bookmarkStart w:id="97" w:name="_Toc6073"/>
      <w:r>
        <w:rPr>
          <w:rStyle w:val="67"/>
          <w:rFonts w:hint="eastAsia" w:ascii="Calibri" w:hAnsi="Calibri"/>
          <w:b w:val="0"/>
          <w:bCs/>
          <w:sz w:val="24"/>
          <w:szCs w:val="24"/>
          <w:highlight w:val="none"/>
          <w:lang w:val="en-US" w:eastAsia="zh-CN"/>
        </w:rPr>
        <w:t>3.4</w:t>
      </w:r>
      <w:r>
        <w:rPr>
          <w:rStyle w:val="67"/>
          <w:rFonts w:ascii="Calibri" w:hAnsi="Calibri"/>
          <w:b w:val="0"/>
          <w:bCs/>
          <w:sz w:val="24"/>
          <w:szCs w:val="24"/>
          <w:highlight w:val="none"/>
        </w:rPr>
        <w:t>投标人须知</w:t>
      </w:r>
      <w:bookmarkEnd w:id="88"/>
      <w:bookmarkEnd w:id="89"/>
      <w:bookmarkEnd w:id="90"/>
      <w:bookmarkEnd w:id="91"/>
      <w:bookmarkEnd w:id="92"/>
      <w:bookmarkEnd w:id="93"/>
      <w:bookmarkEnd w:id="94"/>
      <w:bookmarkEnd w:id="95"/>
      <w:bookmarkEnd w:id="96"/>
      <w:bookmarkEnd w:id="97"/>
    </w:p>
    <w:p w14:paraId="12E8E48D">
      <w:pPr>
        <w:pStyle w:val="66"/>
        <w:keepNext w:val="0"/>
        <w:numPr>
          <w:ilvl w:val="1"/>
          <w:numId w:val="0"/>
        </w:numPr>
        <w:ind w:firstLine="480" w:firstLineChars="200"/>
        <w:rPr>
          <w:rStyle w:val="67"/>
          <w:rFonts w:hint="eastAsia" w:ascii="Calibri" w:hAnsi="Calibri"/>
          <w:b w:val="0"/>
          <w:bCs/>
          <w:sz w:val="24"/>
          <w:szCs w:val="24"/>
          <w:highlight w:val="none"/>
          <w:lang w:eastAsia="zh-CN"/>
        </w:rPr>
      </w:pPr>
      <w:bookmarkStart w:id="98" w:name="_Toc17307"/>
      <w:bookmarkStart w:id="99" w:name="_Toc26264"/>
      <w:bookmarkStart w:id="100" w:name="_Toc23423"/>
      <w:r>
        <w:rPr>
          <w:rStyle w:val="67"/>
          <w:rFonts w:hint="eastAsia" w:ascii="Calibri" w:hAnsi="Calibri"/>
          <w:b w:val="0"/>
          <w:bCs/>
          <w:sz w:val="24"/>
          <w:szCs w:val="24"/>
          <w:highlight w:val="none"/>
          <w:lang w:val="en-US" w:eastAsia="zh-CN"/>
        </w:rPr>
        <w:t>1）</w:t>
      </w:r>
      <w:r>
        <w:rPr>
          <w:rStyle w:val="67"/>
          <w:rFonts w:ascii="Calibri" w:hAnsi="Calibri"/>
          <w:b w:val="0"/>
          <w:bCs/>
          <w:sz w:val="24"/>
          <w:szCs w:val="24"/>
          <w:highlight w:val="none"/>
        </w:rPr>
        <w:t>投标人须确保遵守国家规定的各种有关投标的规定、法规、法律文件等。</w:t>
      </w:r>
      <w:bookmarkEnd w:id="98"/>
      <w:bookmarkEnd w:id="99"/>
      <w:bookmarkEnd w:id="100"/>
    </w:p>
    <w:p w14:paraId="2E1685CC">
      <w:pPr>
        <w:pStyle w:val="66"/>
        <w:keepNext w:val="0"/>
        <w:numPr>
          <w:ilvl w:val="1"/>
          <w:numId w:val="0"/>
        </w:numPr>
        <w:ind w:firstLine="480" w:firstLineChars="200"/>
        <w:rPr>
          <w:rStyle w:val="67"/>
          <w:rFonts w:ascii="Calibri" w:hAnsi="Calibri"/>
          <w:b w:val="0"/>
          <w:bCs/>
          <w:sz w:val="24"/>
          <w:szCs w:val="24"/>
          <w:highlight w:val="none"/>
        </w:rPr>
      </w:pPr>
      <w:bookmarkStart w:id="101" w:name="_Toc28985"/>
      <w:bookmarkStart w:id="102" w:name="_Toc15471"/>
      <w:bookmarkStart w:id="103" w:name="_Toc28173"/>
      <w:r>
        <w:rPr>
          <w:rStyle w:val="67"/>
          <w:rFonts w:hint="eastAsia" w:ascii="Calibri" w:hAnsi="Calibri"/>
          <w:b w:val="0"/>
          <w:bCs/>
          <w:sz w:val="24"/>
          <w:szCs w:val="24"/>
          <w:highlight w:val="none"/>
          <w:lang w:val="en-US" w:eastAsia="zh-CN"/>
        </w:rPr>
        <w:t>2）</w:t>
      </w:r>
      <w:r>
        <w:rPr>
          <w:rStyle w:val="67"/>
          <w:rFonts w:ascii="Calibri" w:hAnsi="Calibri"/>
          <w:b w:val="0"/>
          <w:bCs/>
          <w:sz w:val="24"/>
          <w:szCs w:val="24"/>
          <w:highlight w:val="none"/>
        </w:rPr>
        <w:t>投标人须确保具有良好的商业信誉和诚实的职业道德。</w:t>
      </w:r>
      <w:bookmarkEnd w:id="101"/>
      <w:bookmarkEnd w:id="102"/>
      <w:bookmarkEnd w:id="103"/>
    </w:p>
    <w:p w14:paraId="228A81C1">
      <w:pPr>
        <w:pStyle w:val="66"/>
        <w:keepNext w:val="0"/>
        <w:numPr>
          <w:ilvl w:val="1"/>
          <w:numId w:val="0"/>
        </w:numPr>
        <w:ind w:firstLine="480" w:firstLineChars="200"/>
        <w:rPr>
          <w:rStyle w:val="67"/>
          <w:rFonts w:ascii="Calibri" w:hAnsi="Calibri"/>
          <w:b w:val="0"/>
          <w:bCs/>
          <w:sz w:val="24"/>
          <w:szCs w:val="24"/>
          <w:highlight w:val="none"/>
        </w:rPr>
      </w:pPr>
      <w:bookmarkStart w:id="104" w:name="_Toc8071"/>
      <w:bookmarkStart w:id="105" w:name="_Toc2797"/>
      <w:bookmarkStart w:id="106" w:name="_Toc6064"/>
      <w:r>
        <w:rPr>
          <w:rStyle w:val="67"/>
          <w:rFonts w:hint="eastAsia" w:ascii="Calibri" w:hAnsi="Calibri"/>
          <w:b w:val="0"/>
          <w:bCs/>
          <w:sz w:val="24"/>
          <w:szCs w:val="24"/>
          <w:highlight w:val="none"/>
          <w:lang w:val="en-US" w:eastAsia="zh-CN"/>
        </w:rPr>
        <w:t>3）</w:t>
      </w:r>
      <w:r>
        <w:rPr>
          <w:rStyle w:val="67"/>
          <w:rFonts w:ascii="Calibri" w:hAnsi="Calibri"/>
          <w:b w:val="0"/>
          <w:bCs/>
          <w:sz w:val="24"/>
          <w:szCs w:val="24"/>
          <w:highlight w:val="none"/>
        </w:rPr>
        <w:t>投标人应仔细阅读并理解招标文件的全部内容，并做出实质性响应。</w:t>
      </w:r>
      <w:bookmarkEnd w:id="104"/>
      <w:bookmarkEnd w:id="105"/>
      <w:bookmarkEnd w:id="106"/>
    </w:p>
    <w:p w14:paraId="077B2EEE">
      <w:pPr>
        <w:pStyle w:val="66"/>
        <w:keepNext w:val="0"/>
        <w:numPr>
          <w:ilvl w:val="1"/>
          <w:numId w:val="0"/>
        </w:numPr>
        <w:ind w:firstLine="480" w:firstLineChars="200"/>
        <w:rPr>
          <w:rStyle w:val="67"/>
          <w:rFonts w:ascii="Calibri" w:hAnsi="Calibri"/>
          <w:b w:val="0"/>
          <w:bCs/>
          <w:sz w:val="24"/>
          <w:szCs w:val="24"/>
          <w:highlight w:val="none"/>
        </w:rPr>
      </w:pPr>
      <w:bookmarkStart w:id="107" w:name="_Toc22147"/>
      <w:bookmarkStart w:id="108" w:name="_Toc1143"/>
      <w:bookmarkStart w:id="109" w:name="_Toc16077"/>
      <w:r>
        <w:rPr>
          <w:rStyle w:val="67"/>
          <w:rFonts w:hint="eastAsia" w:ascii="Calibri" w:hAnsi="Calibri"/>
          <w:b w:val="0"/>
          <w:bCs/>
          <w:sz w:val="24"/>
          <w:szCs w:val="24"/>
          <w:highlight w:val="none"/>
          <w:lang w:val="en-US" w:eastAsia="zh-CN"/>
        </w:rPr>
        <w:t>4）</w:t>
      </w:r>
      <w:r>
        <w:rPr>
          <w:rStyle w:val="67"/>
          <w:rFonts w:ascii="Calibri" w:hAnsi="Calibri"/>
          <w:b w:val="0"/>
          <w:bCs/>
          <w:sz w:val="24"/>
          <w:szCs w:val="24"/>
          <w:highlight w:val="none"/>
        </w:rPr>
        <w:t>投标人须确保项目提供的服务及项目交付物能满足招标文件的要求。</w:t>
      </w:r>
      <w:bookmarkEnd w:id="107"/>
      <w:bookmarkEnd w:id="108"/>
      <w:bookmarkEnd w:id="109"/>
    </w:p>
    <w:p w14:paraId="215E61D2">
      <w:pPr>
        <w:pStyle w:val="66"/>
        <w:keepNext w:val="0"/>
        <w:numPr>
          <w:ilvl w:val="1"/>
          <w:numId w:val="0"/>
        </w:numPr>
        <w:ind w:firstLine="480" w:firstLineChars="200"/>
        <w:rPr>
          <w:rStyle w:val="67"/>
          <w:rFonts w:ascii="Calibri" w:hAnsi="Calibri"/>
          <w:b w:val="0"/>
          <w:bCs/>
          <w:sz w:val="24"/>
          <w:szCs w:val="24"/>
          <w:highlight w:val="none"/>
        </w:rPr>
      </w:pPr>
      <w:bookmarkStart w:id="110" w:name="_Toc16544"/>
      <w:bookmarkStart w:id="111" w:name="_Toc2857"/>
      <w:bookmarkStart w:id="112" w:name="_Toc6480"/>
      <w:r>
        <w:rPr>
          <w:rStyle w:val="67"/>
          <w:rFonts w:hint="eastAsia" w:ascii="Calibri" w:hAnsi="Calibri"/>
          <w:b w:val="0"/>
          <w:bCs/>
          <w:sz w:val="24"/>
          <w:szCs w:val="24"/>
          <w:highlight w:val="none"/>
          <w:lang w:val="en-US" w:eastAsia="zh-CN"/>
        </w:rPr>
        <w:t>5）</w:t>
      </w:r>
      <w:r>
        <w:rPr>
          <w:rStyle w:val="67"/>
          <w:rFonts w:ascii="Calibri" w:hAnsi="Calibri"/>
          <w:b w:val="0"/>
          <w:bCs/>
          <w:sz w:val="24"/>
          <w:szCs w:val="24"/>
          <w:highlight w:val="none"/>
        </w:rPr>
        <w:t>投标人应当按照招标文件规定的内容和要求编制投标文件。</w:t>
      </w:r>
      <w:bookmarkEnd w:id="110"/>
      <w:bookmarkEnd w:id="111"/>
      <w:bookmarkEnd w:id="112"/>
    </w:p>
    <w:p w14:paraId="4A8CE23B">
      <w:pPr>
        <w:pStyle w:val="66"/>
        <w:keepNext w:val="0"/>
        <w:numPr>
          <w:ilvl w:val="1"/>
          <w:numId w:val="0"/>
        </w:numPr>
        <w:ind w:firstLine="480" w:firstLineChars="200"/>
        <w:rPr>
          <w:rStyle w:val="67"/>
          <w:rFonts w:ascii="Calibri" w:hAnsi="Calibri"/>
          <w:b w:val="0"/>
          <w:bCs/>
          <w:sz w:val="24"/>
          <w:szCs w:val="24"/>
          <w:highlight w:val="none"/>
        </w:rPr>
      </w:pPr>
      <w:bookmarkStart w:id="113" w:name="_Toc16791"/>
      <w:bookmarkStart w:id="114" w:name="_Toc31658"/>
      <w:bookmarkStart w:id="115" w:name="_Toc30209"/>
      <w:r>
        <w:rPr>
          <w:rStyle w:val="67"/>
          <w:rFonts w:hint="eastAsia" w:ascii="Calibri" w:hAnsi="Calibri"/>
          <w:b w:val="0"/>
          <w:bCs/>
          <w:sz w:val="24"/>
          <w:szCs w:val="24"/>
          <w:highlight w:val="none"/>
          <w:lang w:val="en-US" w:eastAsia="zh-CN"/>
        </w:rPr>
        <w:t>6）</w:t>
      </w:r>
      <w:r>
        <w:rPr>
          <w:rStyle w:val="67"/>
          <w:rFonts w:ascii="Calibri" w:hAnsi="Calibri"/>
          <w:b w:val="0"/>
          <w:bCs/>
          <w:sz w:val="24"/>
          <w:szCs w:val="24"/>
          <w:highlight w:val="none"/>
        </w:rPr>
        <w:t>投标人须确保有能力在规定期限内完成招标文件规定的全部内容。</w:t>
      </w:r>
      <w:bookmarkEnd w:id="113"/>
      <w:bookmarkEnd w:id="114"/>
      <w:bookmarkEnd w:id="115"/>
    </w:p>
    <w:p w14:paraId="065DDF29">
      <w:pPr>
        <w:pStyle w:val="66"/>
        <w:keepNext w:val="0"/>
        <w:numPr>
          <w:ilvl w:val="1"/>
          <w:numId w:val="0"/>
        </w:numPr>
        <w:ind w:firstLine="480" w:firstLineChars="200"/>
        <w:rPr>
          <w:rStyle w:val="67"/>
          <w:rFonts w:ascii="Calibri" w:hAnsi="Calibri"/>
          <w:b w:val="0"/>
          <w:bCs/>
          <w:sz w:val="24"/>
          <w:szCs w:val="24"/>
          <w:highlight w:val="none"/>
        </w:rPr>
      </w:pPr>
      <w:bookmarkStart w:id="116" w:name="_Toc16908"/>
      <w:bookmarkStart w:id="117" w:name="_Toc6755"/>
      <w:bookmarkStart w:id="118" w:name="_Toc10126"/>
      <w:r>
        <w:rPr>
          <w:rStyle w:val="67"/>
          <w:rFonts w:hint="eastAsia" w:ascii="Calibri" w:hAnsi="Calibri"/>
          <w:b w:val="0"/>
          <w:bCs/>
          <w:sz w:val="24"/>
          <w:szCs w:val="24"/>
          <w:highlight w:val="none"/>
          <w:lang w:val="en-US" w:eastAsia="zh-CN"/>
        </w:rPr>
        <w:t>7）</w:t>
      </w:r>
      <w:r>
        <w:rPr>
          <w:rStyle w:val="67"/>
          <w:rFonts w:ascii="Calibri" w:hAnsi="Calibri"/>
          <w:b w:val="0"/>
          <w:bCs/>
          <w:sz w:val="24"/>
          <w:szCs w:val="24"/>
          <w:highlight w:val="none"/>
        </w:rPr>
        <w:t>投标人在收到招标文件后，如有疑问，应以书面形式向招标人提出，招标人将以书面形式予以答复，但不说明答复的来源。</w:t>
      </w:r>
      <w:bookmarkEnd w:id="116"/>
      <w:bookmarkEnd w:id="117"/>
      <w:bookmarkEnd w:id="118"/>
    </w:p>
    <w:p w14:paraId="7B6CCB29">
      <w:pPr>
        <w:pStyle w:val="66"/>
        <w:keepNext w:val="0"/>
        <w:numPr>
          <w:ilvl w:val="1"/>
          <w:numId w:val="0"/>
        </w:numPr>
        <w:ind w:firstLine="480" w:firstLineChars="200"/>
        <w:rPr>
          <w:rStyle w:val="67"/>
          <w:rFonts w:ascii="Calibri" w:hAnsi="Calibri"/>
          <w:b w:val="0"/>
          <w:bCs/>
          <w:sz w:val="24"/>
          <w:szCs w:val="24"/>
          <w:highlight w:val="none"/>
        </w:rPr>
      </w:pPr>
      <w:bookmarkStart w:id="119" w:name="_Toc1668"/>
      <w:bookmarkStart w:id="120" w:name="_Toc6510"/>
      <w:bookmarkStart w:id="121" w:name="_Toc7555"/>
      <w:r>
        <w:rPr>
          <w:rStyle w:val="67"/>
          <w:rFonts w:hint="eastAsia" w:ascii="Calibri" w:hAnsi="Calibri"/>
          <w:b w:val="0"/>
          <w:bCs/>
          <w:sz w:val="24"/>
          <w:szCs w:val="24"/>
          <w:highlight w:val="none"/>
          <w:lang w:val="en-US" w:eastAsia="zh-CN"/>
        </w:rPr>
        <w:t>8）</w:t>
      </w:r>
      <w:r>
        <w:rPr>
          <w:rStyle w:val="67"/>
          <w:rFonts w:ascii="Calibri" w:hAnsi="Calibri"/>
          <w:b w:val="0"/>
          <w:bCs/>
          <w:sz w:val="24"/>
          <w:szCs w:val="24"/>
          <w:highlight w:val="none"/>
        </w:rPr>
        <w:t>在投标截止日期前，招标人都可能会以补充通知的方式修改招标文件。</w:t>
      </w:r>
      <w:bookmarkEnd w:id="119"/>
      <w:bookmarkEnd w:id="120"/>
      <w:bookmarkEnd w:id="121"/>
    </w:p>
    <w:p w14:paraId="2AFE3F9E">
      <w:pPr>
        <w:pStyle w:val="66"/>
        <w:keepNext w:val="0"/>
        <w:numPr>
          <w:ilvl w:val="1"/>
          <w:numId w:val="0"/>
        </w:numPr>
        <w:ind w:firstLine="480" w:firstLineChars="200"/>
        <w:rPr>
          <w:rStyle w:val="67"/>
          <w:rFonts w:ascii="Calibri" w:hAnsi="Calibri"/>
          <w:b w:val="0"/>
          <w:bCs/>
          <w:sz w:val="24"/>
          <w:szCs w:val="24"/>
          <w:highlight w:val="none"/>
        </w:rPr>
      </w:pPr>
      <w:bookmarkStart w:id="122" w:name="_Toc18151"/>
      <w:bookmarkStart w:id="123" w:name="_Toc5312"/>
      <w:bookmarkStart w:id="124" w:name="_Toc23159"/>
      <w:r>
        <w:rPr>
          <w:rStyle w:val="67"/>
          <w:rFonts w:hint="eastAsia" w:ascii="Calibri" w:hAnsi="Calibri"/>
          <w:b w:val="0"/>
          <w:bCs/>
          <w:sz w:val="24"/>
          <w:szCs w:val="24"/>
          <w:highlight w:val="none"/>
          <w:lang w:val="en-US" w:eastAsia="zh-CN"/>
        </w:rPr>
        <w:t>9）</w:t>
      </w:r>
      <w:r>
        <w:rPr>
          <w:rStyle w:val="67"/>
          <w:rFonts w:ascii="Calibri" w:hAnsi="Calibri"/>
          <w:b w:val="0"/>
          <w:bCs/>
          <w:sz w:val="24"/>
          <w:szCs w:val="24"/>
          <w:highlight w:val="none"/>
        </w:rPr>
        <w:t>无论投标结果如何，投标人应承担编制投标文件、递交投标文件、考察等所涉及的一切费用。</w:t>
      </w:r>
      <w:bookmarkEnd w:id="122"/>
      <w:bookmarkEnd w:id="123"/>
      <w:bookmarkEnd w:id="124"/>
    </w:p>
    <w:p w14:paraId="716C58E7">
      <w:pPr>
        <w:pStyle w:val="66"/>
        <w:keepNext w:val="0"/>
        <w:numPr>
          <w:ilvl w:val="1"/>
          <w:numId w:val="0"/>
        </w:numPr>
        <w:ind w:firstLine="480" w:firstLineChars="200"/>
        <w:rPr>
          <w:rStyle w:val="67"/>
          <w:rFonts w:ascii="Calibri" w:hAnsi="Calibri"/>
          <w:b w:val="0"/>
          <w:bCs/>
          <w:sz w:val="24"/>
          <w:szCs w:val="24"/>
          <w:highlight w:val="none"/>
        </w:rPr>
      </w:pPr>
      <w:bookmarkStart w:id="125" w:name="_Toc12573"/>
      <w:bookmarkStart w:id="126" w:name="_Toc25600"/>
      <w:bookmarkStart w:id="127" w:name="_Toc4006"/>
      <w:r>
        <w:rPr>
          <w:rStyle w:val="67"/>
          <w:rFonts w:hint="eastAsia" w:ascii="Calibri" w:hAnsi="Calibri"/>
          <w:b w:val="0"/>
          <w:bCs/>
          <w:sz w:val="24"/>
          <w:szCs w:val="24"/>
          <w:highlight w:val="none"/>
          <w:lang w:val="en-US" w:eastAsia="zh-CN"/>
        </w:rPr>
        <w:t>10）</w:t>
      </w:r>
      <w:r>
        <w:rPr>
          <w:rStyle w:val="67"/>
          <w:rFonts w:ascii="Calibri" w:hAnsi="Calibri"/>
          <w:b w:val="0"/>
          <w:bCs/>
          <w:sz w:val="24"/>
          <w:szCs w:val="24"/>
          <w:highlight w:val="none"/>
        </w:rPr>
        <w:t>招标人对未中标者不</w:t>
      </w:r>
      <w:r>
        <w:rPr>
          <w:rStyle w:val="67"/>
          <w:rFonts w:hint="eastAsia" w:ascii="Calibri" w:hAnsi="Calibri"/>
          <w:b w:val="0"/>
          <w:bCs/>
          <w:sz w:val="24"/>
          <w:szCs w:val="24"/>
          <w:highlight w:val="none"/>
          <w:lang w:eastAsia="zh-CN"/>
        </w:rPr>
        <w:t>做任何解释</w:t>
      </w:r>
      <w:r>
        <w:rPr>
          <w:rStyle w:val="67"/>
          <w:rFonts w:ascii="Calibri" w:hAnsi="Calibri"/>
          <w:b w:val="0"/>
          <w:bCs/>
          <w:sz w:val="24"/>
          <w:szCs w:val="24"/>
          <w:highlight w:val="none"/>
        </w:rPr>
        <w:t>。</w:t>
      </w:r>
      <w:bookmarkEnd w:id="125"/>
      <w:bookmarkEnd w:id="126"/>
      <w:bookmarkEnd w:id="127"/>
    </w:p>
    <w:p w14:paraId="31FF92C9">
      <w:pPr>
        <w:pStyle w:val="66"/>
        <w:keepNext w:val="0"/>
        <w:numPr>
          <w:ilvl w:val="1"/>
          <w:numId w:val="0"/>
        </w:numPr>
        <w:ind w:firstLine="480" w:firstLineChars="200"/>
        <w:rPr>
          <w:rStyle w:val="67"/>
          <w:rFonts w:hint="eastAsia" w:ascii="Calibri" w:hAnsi="Calibri"/>
          <w:b w:val="0"/>
          <w:bCs/>
          <w:sz w:val="24"/>
          <w:szCs w:val="24"/>
          <w:highlight w:val="none"/>
        </w:rPr>
      </w:pPr>
      <w:bookmarkStart w:id="128" w:name="_Toc31064"/>
      <w:bookmarkStart w:id="129" w:name="_Toc15077"/>
      <w:bookmarkStart w:id="130" w:name="_Toc837"/>
      <w:r>
        <w:rPr>
          <w:rStyle w:val="67"/>
          <w:rFonts w:hint="eastAsia" w:ascii="Calibri" w:hAnsi="Calibri"/>
          <w:b w:val="0"/>
          <w:bCs/>
          <w:sz w:val="24"/>
          <w:szCs w:val="24"/>
          <w:highlight w:val="none"/>
          <w:lang w:val="en-US" w:eastAsia="zh-CN"/>
        </w:rPr>
        <w:t>11）</w:t>
      </w:r>
      <w:r>
        <w:rPr>
          <w:rStyle w:val="67"/>
          <w:rFonts w:ascii="Calibri" w:hAnsi="Calibri"/>
          <w:b w:val="0"/>
          <w:bCs/>
          <w:sz w:val="24"/>
          <w:szCs w:val="24"/>
          <w:highlight w:val="none"/>
        </w:rPr>
        <w:t>如投标方代表不是法人代表，须持有盖有法人单位公章的《法人代表授权书》。</w:t>
      </w:r>
      <w:bookmarkEnd w:id="128"/>
      <w:bookmarkEnd w:id="129"/>
      <w:bookmarkEnd w:id="130"/>
    </w:p>
    <w:p w14:paraId="29279D25">
      <w:pPr>
        <w:pStyle w:val="66"/>
        <w:numPr>
          <w:ilvl w:val="1"/>
          <w:numId w:val="0"/>
        </w:numPr>
        <w:ind w:firstLine="482" w:firstLineChars="200"/>
        <w:rPr>
          <w:rStyle w:val="67"/>
          <w:rFonts w:ascii="Calibri" w:hAnsi="Calibri"/>
          <w:b/>
          <w:bCs w:val="0"/>
          <w:sz w:val="24"/>
          <w:szCs w:val="24"/>
          <w:highlight w:val="none"/>
        </w:rPr>
      </w:pPr>
      <w:bookmarkStart w:id="131" w:name="_Toc2947"/>
      <w:bookmarkStart w:id="132" w:name="_Toc32168"/>
      <w:bookmarkStart w:id="133" w:name="_Toc24676"/>
      <w:r>
        <w:rPr>
          <w:rStyle w:val="67"/>
          <w:rFonts w:hint="eastAsia" w:ascii="Calibri" w:hAnsi="Calibri"/>
          <w:b/>
          <w:bCs w:val="0"/>
          <w:sz w:val="24"/>
          <w:szCs w:val="24"/>
          <w:highlight w:val="none"/>
          <w:lang w:val="en-US" w:eastAsia="zh-CN"/>
        </w:rPr>
        <w:t>12）</w:t>
      </w:r>
      <w:r>
        <w:rPr>
          <w:rStyle w:val="67"/>
          <w:rFonts w:ascii="Calibri" w:hAnsi="Calibri"/>
          <w:b/>
          <w:bCs w:val="0"/>
          <w:sz w:val="24"/>
          <w:szCs w:val="24"/>
          <w:highlight w:val="none"/>
        </w:rPr>
        <w:t>讲标方案除上传至</w:t>
      </w:r>
      <w:r>
        <w:rPr>
          <w:rStyle w:val="67"/>
          <w:rFonts w:hint="eastAsia" w:ascii="Calibri" w:hAnsi="Calibri"/>
          <w:b/>
          <w:sz w:val="24"/>
          <w:szCs w:val="24"/>
          <w:highlight w:val="none"/>
          <w:lang w:val="en-US" w:eastAsia="zh-CN"/>
        </w:rPr>
        <w:t>中国</w:t>
      </w:r>
      <w:r>
        <w:rPr>
          <w:rStyle w:val="67"/>
          <w:rFonts w:ascii="Calibri" w:hAnsi="Calibri"/>
          <w:b/>
          <w:bCs w:val="0"/>
          <w:sz w:val="24"/>
          <w:szCs w:val="24"/>
          <w:highlight w:val="none"/>
        </w:rPr>
        <w:t>重汽E采通平台外，还需存储在U盘中并单独装入密封袋，随投标材料一并提供，投标人在讲标时不允许使用个人自带电脑，投标人在讲标时，须由拟担任招标项目建设的项目经理及项目组成员讲标。若中标，非经招标人同意，项目经理及项目组成员不得在项目建设中途更换。</w:t>
      </w:r>
      <w:bookmarkEnd w:id="131"/>
      <w:bookmarkEnd w:id="132"/>
      <w:bookmarkEnd w:id="133"/>
    </w:p>
    <w:p w14:paraId="4ACB8458">
      <w:pPr>
        <w:pStyle w:val="36"/>
        <w:numPr>
          <w:ilvl w:val="0"/>
          <w:numId w:val="6"/>
        </w:numPr>
        <w:rPr>
          <w:highlight w:val="none"/>
        </w:rPr>
      </w:pPr>
      <w:bookmarkStart w:id="134" w:name="_Toc3054"/>
      <w:bookmarkStart w:id="135" w:name="_Toc31860"/>
      <w:bookmarkStart w:id="136" w:name="_Toc95148174"/>
      <w:bookmarkStart w:id="137" w:name="_Toc109031545"/>
      <w:bookmarkStart w:id="138" w:name="_Toc50742888"/>
      <w:bookmarkStart w:id="139" w:name="_Toc14653"/>
      <w:bookmarkStart w:id="140" w:name="_Toc74143833"/>
      <w:r>
        <w:rPr>
          <w:rFonts w:hint="eastAsia"/>
          <w:highlight w:val="none"/>
        </w:rPr>
        <w:t>交货及付款</w:t>
      </w:r>
      <w:bookmarkEnd w:id="134"/>
      <w:bookmarkEnd w:id="135"/>
      <w:bookmarkEnd w:id="136"/>
      <w:bookmarkEnd w:id="137"/>
      <w:bookmarkEnd w:id="138"/>
      <w:bookmarkEnd w:id="139"/>
      <w:bookmarkEnd w:id="140"/>
    </w:p>
    <w:p w14:paraId="34766734">
      <w:pPr>
        <w:pStyle w:val="66"/>
        <w:keepNext w:val="0"/>
        <w:widowControl/>
        <w:numPr>
          <w:ilvl w:val="1"/>
          <w:numId w:val="0"/>
        </w:numPr>
        <w:ind w:firstLine="480" w:firstLineChars="200"/>
        <w:rPr>
          <w:rStyle w:val="67"/>
          <w:rFonts w:hint="eastAsia" w:ascii="Calibri" w:hAnsi="Calibri" w:eastAsia="宋体"/>
          <w:b w:val="0"/>
          <w:bCs/>
          <w:sz w:val="24"/>
          <w:szCs w:val="24"/>
          <w:highlight w:val="none"/>
        </w:rPr>
      </w:pPr>
      <w:bookmarkStart w:id="141" w:name="_Toc109031546"/>
      <w:bookmarkStart w:id="142" w:name="_Toc11348"/>
      <w:bookmarkStart w:id="143" w:name="_Toc14298"/>
      <w:bookmarkStart w:id="144" w:name="_Toc17256"/>
      <w:r>
        <w:rPr>
          <w:rStyle w:val="67"/>
          <w:rFonts w:ascii="Calibri" w:hAnsi="Calibri"/>
          <w:b w:val="0"/>
          <w:bCs/>
          <w:sz w:val="24"/>
          <w:szCs w:val="24"/>
          <w:highlight w:val="none"/>
        </w:rPr>
        <w:t>4.1项目实施时间：</w:t>
      </w:r>
      <w:bookmarkEnd w:id="141"/>
      <w:r>
        <w:rPr>
          <w:rStyle w:val="67"/>
          <w:rFonts w:hint="eastAsia" w:ascii="Calibri" w:hAnsi="Calibri"/>
          <w:b w:val="0"/>
          <w:bCs/>
          <w:sz w:val="24"/>
          <w:szCs w:val="24"/>
          <w:highlight w:val="none"/>
          <w:lang w:val="en-US" w:eastAsia="zh-CN"/>
        </w:rPr>
        <w:t>确定中标人后，3月18日前开始实施，</w:t>
      </w:r>
      <w:bookmarkEnd w:id="142"/>
      <w:bookmarkEnd w:id="143"/>
      <w:bookmarkEnd w:id="144"/>
    </w:p>
    <w:p w14:paraId="106F1C9C">
      <w:pPr>
        <w:pStyle w:val="66"/>
        <w:keepNext w:val="0"/>
        <w:widowControl/>
        <w:numPr>
          <w:ilvl w:val="1"/>
          <w:numId w:val="0"/>
        </w:numPr>
        <w:ind w:firstLine="480" w:firstLineChars="200"/>
        <w:rPr>
          <w:rStyle w:val="67"/>
          <w:rFonts w:hint="eastAsia" w:ascii="Calibri" w:hAnsi="Calibri" w:eastAsia="宋体"/>
          <w:b w:val="0"/>
          <w:bCs/>
          <w:sz w:val="24"/>
          <w:szCs w:val="24"/>
          <w:highlight w:val="none"/>
        </w:rPr>
      </w:pPr>
      <w:bookmarkStart w:id="145" w:name="_Toc109031547"/>
      <w:bookmarkStart w:id="146" w:name="_Toc15569"/>
      <w:bookmarkStart w:id="147" w:name="_Toc30399"/>
      <w:bookmarkStart w:id="148" w:name="_Toc3385"/>
      <w:r>
        <w:rPr>
          <w:rStyle w:val="67"/>
          <w:rFonts w:ascii="Calibri" w:hAnsi="Calibri"/>
          <w:b w:val="0"/>
          <w:bCs/>
          <w:sz w:val="24"/>
          <w:szCs w:val="24"/>
          <w:highlight w:val="none"/>
        </w:rPr>
        <w:t>4.2实施地点：招标人指定地点</w:t>
      </w:r>
      <w:bookmarkEnd w:id="145"/>
      <w:r>
        <w:rPr>
          <w:rStyle w:val="67"/>
          <w:rFonts w:hint="eastAsia" w:ascii="Calibri" w:hAnsi="Calibri"/>
          <w:b w:val="0"/>
          <w:bCs/>
          <w:sz w:val="24"/>
          <w:szCs w:val="24"/>
          <w:highlight w:val="none"/>
          <w:lang w:eastAsia="zh-CN"/>
        </w:rPr>
        <w:t>。</w:t>
      </w:r>
      <w:bookmarkEnd w:id="146"/>
      <w:bookmarkEnd w:id="147"/>
      <w:bookmarkEnd w:id="148"/>
    </w:p>
    <w:p w14:paraId="1624911F">
      <w:pPr>
        <w:pStyle w:val="66"/>
        <w:keepNext w:val="0"/>
        <w:widowControl/>
        <w:numPr>
          <w:ilvl w:val="1"/>
          <w:numId w:val="0"/>
        </w:numPr>
        <w:ind w:firstLine="480" w:firstLineChars="200"/>
        <w:rPr>
          <w:rStyle w:val="67"/>
          <w:rFonts w:hint="default" w:ascii="Calibri" w:hAnsi="Calibri" w:eastAsia="宋体"/>
          <w:b w:val="0"/>
          <w:bCs/>
          <w:sz w:val="24"/>
          <w:szCs w:val="24"/>
          <w:highlight w:val="none"/>
        </w:rPr>
      </w:pPr>
      <w:bookmarkStart w:id="149" w:name="_Toc109031548"/>
      <w:bookmarkStart w:id="150" w:name="_Toc30971"/>
      <w:bookmarkStart w:id="151" w:name="_Toc18107"/>
      <w:bookmarkStart w:id="152" w:name="_Toc21378"/>
      <w:r>
        <w:rPr>
          <w:rStyle w:val="67"/>
          <w:rFonts w:ascii="Calibri" w:hAnsi="Calibri"/>
          <w:b w:val="0"/>
          <w:bCs/>
          <w:sz w:val="24"/>
          <w:szCs w:val="24"/>
          <w:highlight w:val="none"/>
        </w:rPr>
        <w:t>4.3交货方式：</w:t>
      </w:r>
      <w:r>
        <w:rPr>
          <w:rStyle w:val="67"/>
          <w:rFonts w:hint="eastAsia" w:ascii="Calibri" w:hAnsi="Calibri"/>
          <w:b w:val="0"/>
          <w:bCs/>
          <w:sz w:val="24"/>
          <w:szCs w:val="24"/>
          <w:highlight w:val="none"/>
          <w:lang w:val="en-US" w:eastAsia="zh-CN"/>
        </w:rPr>
        <w:t>出具审计报告、审计管理建议书、提供内部控制管理工具并配合</w:t>
      </w:r>
      <w:bookmarkEnd w:id="149"/>
      <w:r>
        <w:rPr>
          <w:rStyle w:val="67"/>
          <w:rFonts w:hint="eastAsia" w:ascii="Calibri" w:hAnsi="Calibri"/>
          <w:b w:val="0"/>
          <w:bCs/>
          <w:sz w:val="24"/>
          <w:szCs w:val="24"/>
          <w:highlight w:val="none"/>
          <w:lang w:val="en-US" w:eastAsia="zh-CN"/>
        </w:rPr>
        <w:t>完成监管举行的双方或三方会谈。</w:t>
      </w:r>
      <w:bookmarkEnd w:id="150"/>
      <w:bookmarkEnd w:id="151"/>
      <w:bookmarkEnd w:id="152"/>
    </w:p>
    <w:p w14:paraId="25453B64">
      <w:pPr>
        <w:pStyle w:val="38"/>
        <w:widowControl/>
        <w:numPr>
          <w:ilvl w:val="0"/>
          <w:numId w:val="0"/>
        </w:numPr>
        <w:ind w:firstLine="480" w:firstLineChars="200"/>
        <w:rPr>
          <w:rFonts w:asciiTheme="minorEastAsia" w:hAnsiTheme="minorEastAsia" w:eastAsiaTheme="minorEastAsia"/>
          <w:color w:val="000000" w:themeColor="text1"/>
          <w:sz w:val="28"/>
          <w:szCs w:val="28"/>
          <w:highlight w:val="none"/>
          <w14:textFill>
            <w14:solidFill>
              <w14:schemeClr w14:val="tx1"/>
            </w14:solidFill>
          </w14:textFill>
        </w:rPr>
      </w:pPr>
      <w:bookmarkStart w:id="153" w:name="_Toc25533"/>
      <w:bookmarkStart w:id="154" w:name="_Toc5012"/>
      <w:bookmarkStart w:id="155" w:name="_Toc3217"/>
      <w:r>
        <w:rPr>
          <w:rStyle w:val="67"/>
          <w:rFonts w:ascii="Calibri" w:hAnsi="Calibri"/>
          <w:b w:val="0"/>
          <w:bCs/>
          <w:sz w:val="24"/>
          <w:szCs w:val="24"/>
          <w:highlight w:val="none"/>
        </w:rPr>
        <w:t>4.4付款方式：银行转账</w:t>
      </w:r>
      <w:r>
        <w:rPr>
          <w:rStyle w:val="67"/>
          <w:rFonts w:hint="eastAsia" w:ascii="Calibri" w:hAnsi="Calibri"/>
          <w:b w:val="0"/>
          <w:bCs/>
          <w:sz w:val="24"/>
          <w:szCs w:val="24"/>
          <w:highlight w:val="none"/>
          <w:lang w:eastAsia="zh-CN"/>
        </w:rPr>
        <w:t>，</w:t>
      </w:r>
      <w:bookmarkEnd w:id="153"/>
      <w:bookmarkEnd w:id="154"/>
      <w:bookmarkEnd w:id="155"/>
      <w:r>
        <w:rPr>
          <w:rFonts w:hint="eastAsia" w:ascii="宋体" w:hAnsi="宋体" w:cs="宋体"/>
          <w:kern w:val="0"/>
          <w:highlight w:val="none"/>
        </w:rPr>
        <w:t>合同签订</w:t>
      </w:r>
      <w:r>
        <w:rPr>
          <w:rFonts w:hint="eastAsia" w:ascii="宋体" w:hAnsi="宋体" w:cs="宋体"/>
          <w:kern w:val="0"/>
          <w:highlight w:val="none"/>
          <w:lang w:val="en-US" w:eastAsia="zh-CN"/>
        </w:rPr>
        <w:t>并开具增值税专用发票后付5</w:t>
      </w:r>
      <w:r>
        <w:rPr>
          <w:rFonts w:ascii="宋体" w:hAnsi="宋体" w:cs="宋体"/>
          <w:kern w:val="0"/>
          <w:highlight w:val="none"/>
        </w:rPr>
        <w:t>0</w:t>
      </w:r>
      <w:r>
        <w:rPr>
          <w:rFonts w:hint="eastAsia" w:ascii="宋体" w:hAnsi="宋体" w:cs="宋体"/>
          <w:kern w:val="0"/>
          <w:highlight w:val="none"/>
        </w:rPr>
        <w:t>%，</w:t>
      </w:r>
      <w:r>
        <w:rPr>
          <w:rFonts w:hint="eastAsia" w:ascii="宋体" w:hAnsi="宋体" w:cs="宋体"/>
          <w:kern w:val="0"/>
          <w:highlight w:val="none"/>
          <w:lang w:val="en-US" w:eastAsia="zh-CN"/>
        </w:rPr>
        <w:t>完成全部项目服务内容并开具增值税专用发票后付50%</w:t>
      </w:r>
      <w:r>
        <w:rPr>
          <w:rFonts w:hint="eastAsia" w:ascii="宋体" w:hAnsi="宋体" w:cs="宋体"/>
          <w:kern w:val="0"/>
          <w:highlight w:val="none"/>
        </w:rPr>
        <w:t>。</w:t>
      </w:r>
    </w:p>
    <w:p w14:paraId="0B35EEB2">
      <w:pPr>
        <w:rPr>
          <w:highlight w:val="none"/>
        </w:rPr>
      </w:pPr>
    </w:p>
    <w:p w14:paraId="61F7CC73">
      <w:pPr>
        <w:pStyle w:val="36"/>
        <w:numPr>
          <w:ilvl w:val="0"/>
          <w:numId w:val="6"/>
        </w:numPr>
        <w:rPr>
          <w:highlight w:val="none"/>
        </w:rPr>
      </w:pPr>
      <w:bookmarkStart w:id="156" w:name="_Toc103007773"/>
      <w:bookmarkEnd w:id="156"/>
      <w:bookmarkStart w:id="157" w:name="_Toc103007772"/>
      <w:bookmarkEnd w:id="157"/>
      <w:bookmarkStart w:id="158" w:name="_Toc103005941"/>
      <w:bookmarkEnd w:id="158"/>
      <w:bookmarkStart w:id="159" w:name="_Toc103005940"/>
      <w:bookmarkEnd w:id="159"/>
      <w:bookmarkStart w:id="160" w:name="_Toc24657"/>
      <w:bookmarkStart w:id="161" w:name="_Toc17639"/>
      <w:bookmarkStart w:id="162" w:name="_Toc74143834"/>
      <w:bookmarkStart w:id="163" w:name="_Toc50742889"/>
      <w:bookmarkStart w:id="164" w:name="_Toc109031549"/>
      <w:bookmarkStart w:id="165" w:name="_Toc95148175"/>
      <w:bookmarkStart w:id="166" w:name="_Toc20401"/>
      <w:r>
        <w:rPr>
          <w:rFonts w:hint="eastAsia"/>
          <w:highlight w:val="none"/>
        </w:rPr>
        <w:t>投标说明</w:t>
      </w:r>
      <w:bookmarkEnd w:id="160"/>
      <w:bookmarkEnd w:id="161"/>
      <w:bookmarkEnd w:id="162"/>
      <w:bookmarkEnd w:id="163"/>
      <w:bookmarkEnd w:id="164"/>
      <w:bookmarkEnd w:id="165"/>
      <w:bookmarkEnd w:id="166"/>
    </w:p>
    <w:p w14:paraId="3DE238AE">
      <w:pPr>
        <w:pStyle w:val="66"/>
        <w:keepNext w:val="0"/>
        <w:widowControl/>
        <w:numPr>
          <w:ilvl w:val="1"/>
          <w:numId w:val="0"/>
        </w:numPr>
        <w:ind w:firstLine="482" w:firstLineChars="200"/>
        <w:rPr>
          <w:rStyle w:val="67"/>
          <w:rFonts w:ascii="Calibri" w:hAnsi="Calibri"/>
          <w:b/>
          <w:bCs w:val="0"/>
          <w:sz w:val="24"/>
          <w:szCs w:val="24"/>
          <w:highlight w:val="none"/>
        </w:rPr>
      </w:pPr>
      <w:bookmarkStart w:id="167" w:name="_Toc50742890"/>
      <w:bookmarkStart w:id="168" w:name="_Toc95148176"/>
      <w:bookmarkStart w:id="169" w:name="_Toc109031550"/>
      <w:bookmarkStart w:id="170" w:name="_Toc32644"/>
      <w:bookmarkStart w:id="171" w:name="_Toc74143835"/>
      <w:bookmarkStart w:id="172" w:name="_Toc24955"/>
      <w:bookmarkStart w:id="173" w:name="_Toc32212"/>
      <w:r>
        <w:rPr>
          <w:rStyle w:val="67"/>
          <w:rFonts w:hint="eastAsia" w:ascii="Calibri" w:hAnsi="Calibri"/>
          <w:b/>
          <w:bCs w:val="0"/>
          <w:sz w:val="24"/>
          <w:szCs w:val="24"/>
          <w:highlight w:val="none"/>
          <w:lang w:val="en-US" w:eastAsia="zh-CN"/>
        </w:rPr>
        <w:t>5.1</w:t>
      </w:r>
      <w:r>
        <w:rPr>
          <w:rStyle w:val="67"/>
          <w:rFonts w:ascii="Calibri" w:hAnsi="Calibri"/>
          <w:b/>
          <w:bCs w:val="0"/>
          <w:sz w:val="24"/>
          <w:szCs w:val="24"/>
          <w:highlight w:val="none"/>
        </w:rPr>
        <w:t>招标要求</w:t>
      </w:r>
      <w:bookmarkEnd w:id="167"/>
      <w:bookmarkEnd w:id="168"/>
      <w:bookmarkEnd w:id="169"/>
      <w:bookmarkEnd w:id="170"/>
      <w:bookmarkEnd w:id="171"/>
      <w:bookmarkEnd w:id="172"/>
      <w:bookmarkEnd w:id="173"/>
    </w:p>
    <w:tbl>
      <w:tblPr>
        <w:tblStyle w:val="25"/>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5"/>
        <w:gridCol w:w="6258"/>
      </w:tblGrid>
      <w:tr w14:paraId="1BFC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6F26444">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4A1AF418">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内容</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0B171907">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说明与要求</w:t>
            </w:r>
          </w:p>
        </w:tc>
      </w:tr>
      <w:tr w14:paraId="7FF5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B103979">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1</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296DF787">
            <w:pPr>
              <w:pStyle w:val="48"/>
              <w:keepNext w:val="0"/>
              <w:keepLines w:val="0"/>
              <w:tabs>
                <w:tab w:val="left" w:pos="420"/>
              </w:tabs>
              <w:spacing w:before="0" w:after="0"/>
              <w:ind w:left="0" w:leftChars="0" w:firstLine="205" w:firstLineChars="98"/>
              <w:jc w:val="both"/>
              <w:rPr>
                <w:rFonts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lang w:val="en-US" w:eastAsia="zh-CN"/>
              </w:rPr>
              <w:t>招标</w:t>
            </w:r>
            <w:r>
              <w:rPr>
                <w:rFonts w:hint="eastAsia" w:ascii="宋体" w:hAnsi="宋体" w:eastAsia="宋体" w:cs="宋体"/>
                <w:b w:val="0"/>
                <w:color w:val="000000"/>
                <w:sz w:val="21"/>
                <w:szCs w:val="21"/>
                <w:highlight w:val="none"/>
              </w:rPr>
              <w:t>人名称</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1AF5E2EF">
            <w:pPr>
              <w:pStyle w:val="74"/>
              <w:ind w:firstLine="420"/>
              <w:rPr>
                <w:highlight w:val="none"/>
              </w:rPr>
            </w:pPr>
            <w:r>
              <w:rPr>
                <w:rFonts w:hint="eastAsia" w:eastAsia="宋体" w:cs="宋体"/>
                <w:color w:val="000000" w:themeColor="text1"/>
                <w:sz w:val="21"/>
                <w:szCs w:val="21"/>
                <w:highlight w:val="none"/>
                <w14:textFill>
                  <w14:solidFill>
                    <w14:schemeClr w14:val="tx1"/>
                  </w14:solidFill>
                </w14:textFill>
              </w:rPr>
              <w:t>重汽汽车金融有限公司</w:t>
            </w:r>
          </w:p>
        </w:tc>
      </w:tr>
      <w:tr w14:paraId="7EC6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314E4FA">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2</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4851B15B">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投标人资质要求</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44823195">
            <w:pP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（1）投标人</w:t>
            </w:r>
            <w:r>
              <w:rPr>
                <w:rFonts w:hint="eastAsia" w:ascii="宋体" w:hAnsi="宋体" w:eastAsia="宋体" w:cs="宋体"/>
                <w:szCs w:val="21"/>
                <w:highlight w:val="none"/>
              </w:rPr>
              <w:t>必须是在中华人民共和国境内注册的独立法人机构，具有独立承担民事责任能力；注册资金不少于</w:t>
            </w:r>
            <w:r>
              <w:rPr>
                <w:rFonts w:hint="eastAsia" w:ascii="宋体" w:hAnsi="宋体" w:eastAsia="宋体" w:cs="宋体"/>
                <w:szCs w:val="21"/>
                <w:highlight w:val="none"/>
                <w:lang w:val="en-US" w:eastAsia="zh-CN"/>
              </w:rPr>
              <w:t>500万元</w:t>
            </w:r>
            <w:r>
              <w:rPr>
                <w:rFonts w:hint="eastAsia" w:ascii="宋体" w:hAnsi="宋体" w:eastAsia="宋体" w:cs="宋体"/>
                <w:szCs w:val="21"/>
                <w:highlight w:val="none"/>
              </w:rPr>
              <w:t>人民币（或等值其他货币）；公司成立</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年以上（以营业执照成立日期到开标当日满</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年为准），且经营范围满足招标人需求；并在人员等方面具有承担本项目的能力</w:t>
            </w:r>
            <w:r>
              <w:rPr>
                <w:rFonts w:hint="eastAsia" w:ascii="宋体" w:hAnsi="宋体" w:eastAsia="宋体" w:cs="宋体"/>
                <w:szCs w:val="21"/>
                <w:highlight w:val="none"/>
                <w:lang w:eastAsia="zh-CN"/>
              </w:rPr>
              <w:t>。</w:t>
            </w:r>
          </w:p>
          <w:p w14:paraId="35DD5D6B">
            <w:pPr>
              <w:rPr>
                <w:rFonts w:hint="eastAsia" w:ascii="宋体" w:hAnsi="宋体" w:eastAsia="宋体" w:cs="宋体"/>
                <w:szCs w:val="21"/>
                <w:highlight w:val="none"/>
              </w:rPr>
            </w:pPr>
            <w:r>
              <w:rPr>
                <w:rFonts w:hint="eastAsia" w:ascii="宋体" w:hAnsi="宋体" w:eastAsia="宋体" w:cs="宋体"/>
                <w:szCs w:val="21"/>
                <w:highlight w:val="none"/>
                <w:lang w:val="en-US" w:eastAsia="zh-CN"/>
              </w:rPr>
              <w:t>（2）投标人具备汽车金融公司、财务公司、银行内部控制审计工作经验，能独立承接并成功实施本项目。</w:t>
            </w:r>
          </w:p>
          <w:p w14:paraId="140B760D">
            <w:pPr>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投标人遵守执业准则和执业规范，近3年内没有</w:t>
            </w:r>
            <w:r>
              <w:rPr>
                <w:rFonts w:hint="eastAsia" w:ascii="宋体" w:hAnsi="宋体" w:eastAsia="宋体" w:cs="宋体"/>
                <w:szCs w:val="21"/>
                <w:highlight w:val="none"/>
                <w:lang w:val="en-US" w:eastAsia="zh-CN"/>
              </w:rPr>
              <w:t>行政处罚或失信</w:t>
            </w:r>
            <w:r>
              <w:rPr>
                <w:rFonts w:hint="eastAsia" w:ascii="宋体" w:hAnsi="宋体" w:eastAsia="宋体" w:cs="宋体"/>
                <w:szCs w:val="21"/>
                <w:highlight w:val="none"/>
              </w:rPr>
              <w:t>记录</w:t>
            </w:r>
            <w:r>
              <w:rPr>
                <w:rFonts w:hint="eastAsia" w:ascii="宋体" w:hAnsi="宋体" w:eastAsia="宋体" w:cs="宋体"/>
                <w:szCs w:val="21"/>
                <w:highlight w:val="none"/>
                <w:lang w:val="en-US" w:eastAsia="zh-CN"/>
              </w:rPr>
              <w:t>等信息。</w:t>
            </w:r>
          </w:p>
          <w:p w14:paraId="2ADC8F91">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）投标人</w:t>
            </w:r>
            <w:r>
              <w:rPr>
                <w:rFonts w:hint="eastAsia" w:ascii="宋体" w:hAnsi="宋体" w:eastAsia="宋体" w:cs="宋体"/>
                <w:szCs w:val="21"/>
                <w:highlight w:val="none"/>
                <w:lang w:val="en-US" w:eastAsia="zh-CN"/>
              </w:rPr>
              <w:t>无招标违规、谎报年度信息报告、提供虚假纸质材料等行为或其他行政处罚记录，未</w:t>
            </w:r>
            <w:r>
              <w:rPr>
                <w:rFonts w:hint="eastAsia" w:ascii="宋体" w:hAnsi="宋体" w:eastAsia="宋体" w:cs="宋体"/>
                <w:szCs w:val="21"/>
                <w:highlight w:val="none"/>
              </w:rPr>
              <w:t>被列入招标人“黑名单”</w:t>
            </w:r>
            <w:r>
              <w:rPr>
                <w:rFonts w:hint="eastAsia" w:ascii="宋体" w:hAnsi="宋体" w:eastAsia="宋体" w:cs="宋体"/>
                <w:szCs w:val="21"/>
                <w:highlight w:val="none"/>
                <w:lang w:eastAsia="zh-CN"/>
              </w:rPr>
              <w:t>。</w:t>
            </w:r>
          </w:p>
          <w:p w14:paraId="77D6053F">
            <w:pPr>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）投标人</w:t>
            </w:r>
            <w:r>
              <w:rPr>
                <w:rFonts w:hint="eastAsia" w:ascii="宋体" w:hAnsi="宋体" w:eastAsia="宋体" w:cs="宋体"/>
                <w:szCs w:val="21"/>
                <w:highlight w:val="none"/>
                <w:lang w:val="en-US" w:eastAsia="zh-CN"/>
              </w:rPr>
              <w:t>财务状况良好，能提供近三年</w:t>
            </w:r>
            <w:r>
              <w:rPr>
                <w:rFonts w:hint="eastAsia" w:ascii="宋体" w:hAnsi="宋体" w:eastAsia="宋体" w:cs="宋体"/>
                <w:szCs w:val="21"/>
                <w:highlight w:val="none"/>
              </w:rPr>
              <w:t>经会计师事务所审计且出具无保留意见的财务审计报告</w:t>
            </w:r>
            <w:r>
              <w:rPr>
                <w:rFonts w:hint="eastAsia" w:ascii="宋体" w:hAnsi="宋体" w:eastAsia="宋体" w:cs="宋体"/>
                <w:szCs w:val="21"/>
                <w:highlight w:val="none"/>
                <w:lang w:eastAsia="zh-CN"/>
              </w:rPr>
              <w:t>（</w:t>
            </w:r>
            <w:r>
              <w:rPr>
                <w:rFonts w:hint="eastAsia" w:ascii="宋体" w:hAnsi="宋体" w:eastAsia="宋体" w:cs="宋体"/>
                <w:szCs w:val="21"/>
                <w:highlight w:val="none"/>
              </w:rPr>
              <w:t>包括但不限于资产负债表、利润表、现金流量表），且未显示异常</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p>
          <w:p w14:paraId="11DE8222">
            <w:pP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）投标人</w:t>
            </w:r>
            <w:r>
              <w:rPr>
                <w:rFonts w:hint="eastAsia" w:ascii="宋体" w:hAnsi="宋体" w:eastAsia="宋体" w:cs="宋体"/>
                <w:szCs w:val="21"/>
                <w:highlight w:val="none"/>
                <w:lang w:val="en-US" w:eastAsia="zh-CN"/>
              </w:rPr>
              <w:t>纳税正常，能提供近半年完税证明。</w:t>
            </w:r>
          </w:p>
          <w:p w14:paraId="345964F3">
            <w:pP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）投标人</w:t>
            </w:r>
            <w:r>
              <w:rPr>
                <w:rFonts w:hint="eastAsia" w:ascii="宋体" w:hAnsi="宋体" w:eastAsia="宋体" w:cs="宋体"/>
                <w:szCs w:val="21"/>
                <w:highlight w:val="none"/>
                <w:lang w:val="en-US" w:eastAsia="zh-CN"/>
              </w:rPr>
              <w:t>的直接或间接股东、法定代表人、董事、监事、高管非重汽员工及其亲属。</w:t>
            </w:r>
          </w:p>
          <w:p w14:paraId="0B4B6136">
            <w:pPr>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（8）投标人之间必须具备充分的竞争关系。详见6.2节</w:t>
            </w:r>
          </w:p>
        </w:tc>
      </w:tr>
      <w:tr w14:paraId="4AA6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A026414">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3</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ACA70D1">
            <w:pPr>
              <w:rPr>
                <w:rFonts w:ascii="宋体" w:hAnsi="宋体" w:eastAsia="宋体" w:cs="宋体"/>
                <w:color w:val="000000"/>
                <w:szCs w:val="21"/>
                <w:highlight w:val="none"/>
              </w:rPr>
            </w:pPr>
            <w:r>
              <w:rPr>
                <w:rFonts w:hint="eastAsia" w:ascii="宋体" w:hAnsi="宋体" w:eastAsia="宋体" w:cs="宋体"/>
                <w:color w:val="000000"/>
                <w:szCs w:val="21"/>
                <w:highlight w:val="none"/>
              </w:rPr>
              <w:t>是否允许代理商投标</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2F104507">
            <w:pPr>
              <w:jc w:val="left"/>
              <w:rPr>
                <w:rFonts w:ascii="宋体" w:hAnsi="宋体" w:eastAsia="宋体" w:cs="宋体"/>
                <w:bCs/>
                <w:color w:val="000000"/>
                <w:szCs w:val="21"/>
                <w:highlight w:val="none"/>
              </w:rPr>
            </w:pPr>
            <w:r>
              <w:rPr>
                <w:rFonts w:hint="eastAsia" w:ascii="宋体" w:hAnsi="宋体" w:eastAsia="宋体" w:cs="宋体"/>
                <w:bCs/>
                <w:color w:val="000000"/>
                <w:szCs w:val="21"/>
                <w:highlight w:val="none"/>
              </w:rPr>
              <w:t>否</w:t>
            </w:r>
          </w:p>
        </w:tc>
      </w:tr>
      <w:tr w14:paraId="250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C42C9E">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4</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5D1BAD40">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投标人应提交的</w:t>
            </w:r>
          </w:p>
          <w:p w14:paraId="4D50FDDD">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商务文件</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2BF955E1">
            <w:pPr>
              <w:tabs>
                <w:tab w:val="left" w:pos="556"/>
              </w:tabs>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（1）投标函。</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（2）开标一览表。</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 xml:space="preserve">（3）商务条款偏离表。                                 </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（4）服务承诺及优惠条件。</w:t>
            </w:r>
          </w:p>
          <w:p w14:paraId="27072596">
            <w:pPr>
              <w:tabs>
                <w:tab w:val="left" w:pos="556"/>
              </w:tabs>
              <w:jc w:val="left"/>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5）其它需要说明的事项。详见6.2节</w:t>
            </w:r>
          </w:p>
        </w:tc>
      </w:tr>
      <w:tr w14:paraId="57F4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4EBC521">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5</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21C53749">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服务说明</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03EE1019">
            <w:pPr>
              <w:tabs>
                <w:tab w:val="left" w:pos="2532"/>
              </w:tabs>
              <w:jc w:val="left"/>
              <w:rPr>
                <w:rFonts w:ascii="宋体" w:hAnsi="宋体" w:eastAsia="宋体" w:cs="宋体"/>
                <w:szCs w:val="21"/>
                <w:highlight w:val="none"/>
              </w:rPr>
            </w:pPr>
            <w:r>
              <w:rPr>
                <w:rFonts w:hint="eastAsia" w:ascii="宋体" w:hAnsi="宋体" w:eastAsia="宋体" w:cs="宋体"/>
                <w:kern w:val="0"/>
                <w:szCs w:val="21"/>
                <w:highlight w:val="none"/>
              </w:rPr>
              <w:t>投标人</w:t>
            </w:r>
            <w:r>
              <w:rPr>
                <w:rFonts w:hint="eastAsia" w:ascii="宋体" w:hAnsi="宋体" w:eastAsia="宋体" w:cs="宋体"/>
                <w:kern w:val="0"/>
                <w:highlight w:val="none"/>
              </w:rPr>
              <w:t>有完善的服务组织体系，能提供高效的、专业的</w:t>
            </w:r>
            <w:r>
              <w:rPr>
                <w:rFonts w:hint="eastAsia" w:ascii="宋体" w:hAnsi="宋体" w:eastAsia="宋体" w:cs="宋体"/>
                <w:kern w:val="0"/>
                <w:highlight w:val="none"/>
                <w:lang w:val="en-US" w:eastAsia="zh-CN"/>
              </w:rPr>
              <w:t>审计</w:t>
            </w:r>
            <w:r>
              <w:rPr>
                <w:rFonts w:hint="eastAsia" w:ascii="宋体" w:hAnsi="宋体" w:eastAsia="宋体" w:cs="宋体"/>
                <w:kern w:val="0"/>
                <w:highlight w:val="none"/>
              </w:rPr>
              <w:t>服务</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具备汽车金融公司、财务公司、银行内部控制审计工作经验。</w:t>
            </w:r>
          </w:p>
        </w:tc>
      </w:tr>
      <w:tr w14:paraId="05A1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E6D00E8">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6</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8AA2BD4">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投标人应提交的</w:t>
            </w:r>
          </w:p>
          <w:p w14:paraId="787E284E">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技术文件</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49AC5BB1">
            <w:pPr>
              <w:rPr>
                <w:rFonts w:ascii="宋体" w:hAnsi="宋体" w:eastAsia="宋体" w:cs="宋体"/>
                <w:color w:val="000000"/>
                <w:szCs w:val="21"/>
                <w:highlight w:val="none"/>
              </w:rPr>
            </w:pPr>
            <w:r>
              <w:rPr>
                <w:rFonts w:hint="eastAsia" w:ascii="宋体" w:hAnsi="宋体" w:eastAsia="宋体" w:cs="宋体"/>
                <w:color w:val="000000"/>
                <w:szCs w:val="21"/>
                <w:highlight w:val="none"/>
              </w:rPr>
              <w:t>（1）项目实施方案；</w:t>
            </w:r>
          </w:p>
          <w:p w14:paraId="099886CD">
            <w:pPr>
              <w:rPr>
                <w:rFonts w:ascii="宋体" w:hAnsi="宋体" w:eastAsia="宋体" w:cs="宋体"/>
                <w:color w:val="000000"/>
                <w:szCs w:val="21"/>
                <w:highlight w:val="none"/>
              </w:rPr>
            </w:pPr>
            <w:r>
              <w:rPr>
                <w:rFonts w:hint="eastAsia" w:ascii="宋体" w:hAnsi="宋体" w:eastAsia="宋体" w:cs="宋体"/>
                <w:color w:val="000000"/>
                <w:szCs w:val="21"/>
                <w:highlight w:val="none"/>
              </w:rPr>
              <w:t>（2）关于汽车金融公司</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财务公司、银行内部控制审计</w:t>
            </w:r>
            <w:r>
              <w:rPr>
                <w:rFonts w:hint="eastAsia" w:ascii="宋体" w:hAnsi="宋体" w:eastAsia="宋体" w:cs="宋体"/>
                <w:color w:val="000000"/>
                <w:szCs w:val="21"/>
                <w:highlight w:val="none"/>
              </w:rPr>
              <w:t>等项目相关案例；</w:t>
            </w:r>
          </w:p>
          <w:p w14:paraId="290D36F9">
            <w:pPr>
              <w:rPr>
                <w:rFonts w:ascii="宋体" w:hAnsi="宋体" w:eastAsia="宋体" w:cs="宋体"/>
                <w:color w:val="000000"/>
                <w:szCs w:val="21"/>
                <w:highlight w:val="none"/>
              </w:rPr>
            </w:pPr>
            <w:r>
              <w:rPr>
                <w:rFonts w:hint="eastAsia" w:ascii="宋体" w:hAnsi="宋体" w:eastAsia="宋体" w:cs="宋体"/>
                <w:color w:val="000000"/>
                <w:szCs w:val="21"/>
                <w:highlight w:val="none"/>
              </w:rPr>
              <w:t>（3）技术规格、参数偏离表；</w:t>
            </w:r>
            <w:r>
              <w:rPr>
                <w:rFonts w:hint="eastAsia" w:ascii="宋体" w:hAnsi="宋体" w:eastAsia="宋体" w:cs="宋体"/>
                <w:color w:val="000000"/>
                <w:szCs w:val="21"/>
                <w:highlight w:val="none"/>
              </w:rPr>
              <w:cr/>
            </w:r>
            <w:r>
              <w:rPr>
                <w:rFonts w:hint="eastAsia" w:ascii="宋体" w:hAnsi="宋体" w:eastAsia="宋体" w:cs="宋体"/>
                <w:color w:val="000000"/>
                <w:szCs w:val="21"/>
                <w:highlight w:val="none"/>
              </w:rPr>
              <w:t>（4）投标报名表；</w:t>
            </w:r>
          </w:p>
          <w:p w14:paraId="19D0F97C">
            <w:pPr>
              <w:rPr>
                <w:rFonts w:ascii="宋体" w:hAnsi="宋体" w:eastAsia="宋体" w:cs="宋体"/>
                <w:color w:val="000000"/>
                <w:szCs w:val="21"/>
                <w:highlight w:val="none"/>
              </w:rPr>
            </w:pPr>
            <w:r>
              <w:rPr>
                <w:rFonts w:hint="eastAsia" w:ascii="宋体" w:hAnsi="宋体" w:eastAsia="宋体" w:cs="宋体"/>
                <w:color w:val="000000"/>
                <w:szCs w:val="21"/>
                <w:highlight w:val="none"/>
              </w:rPr>
              <w:t>（5）承诺函；</w:t>
            </w:r>
          </w:p>
          <w:p w14:paraId="038D6980">
            <w:pPr>
              <w:rPr>
                <w:rFonts w:ascii="宋体" w:hAnsi="宋体" w:eastAsia="宋体" w:cs="宋体"/>
                <w:color w:val="000000"/>
                <w:szCs w:val="21"/>
                <w:highlight w:val="none"/>
              </w:rPr>
            </w:pPr>
            <w:r>
              <w:rPr>
                <w:rFonts w:hint="eastAsia" w:ascii="宋体" w:hAnsi="宋体" w:eastAsia="宋体" w:cs="宋体"/>
                <w:color w:val="000000"/>
                <w:szCs w:val="21"/>
                <w:highlight w:val="none"/>
              </w:rPr>
              <w:t>（6）投标人自行编写的技术文件；</w:t>
            </w:r>
          </w:p>
          <w:p w14:paraId="61FBA1A3">
            <w:pPr>
              <w:tabs>
                <w:tab w:val="left" w:pos="556"/>
              </w:tabs>
              <w:rPr>
                <w:rFonts w:ascii="宋体" w:hAnsi="宋体" w:eastAsia="宋体" w:cs="宋体"/>
                <w:color w:val="000000"/>
                <w:szCs w:val="21"/>
                <w:highlight w:val="none"/>
              </w:rPr>
            </w:pPr>
            <w:r>
              <w:rPr>
                <w:rFonts w:hint="eastAsia" w:ascii="宋体" w:hAnsi="宋体" w:eastAsia="宋体" w:cs="宋体"/>
                <w:color w:val="000000"/>
                <w:szCs w:val="21"/>
                <w:highlight w:val="none"/>
              </w:rPr>
              <w:t>（7）投标人认为需要提供的</w:t>
            </w:r>
            <w:r>
              <w:rPr>
                <w:rFonts w:hint="eastAsia" w:ascii="宋体" w:hAnsi="宋体" w:eastAsia="宋体" w:cs="宋体"/>
                <w:color w:val="000000"/>
                <w:szCs w:val="21"/>
                <w:highlight w:val="none"/>
                <w:lang w:eastAsia="zh-CN"/>
              </w:rPr>
              <w:t>其他</w:t>
            </w:r>
            <w:r>
              <w:rPr>
                <w:rFonts w:hint="eastAsia" w:ascii="宋体" w:hAnsi="宋体" w:eastAsia="宋体" w:cs="宋体"/>
                <w:color w:val="000000"/>
                <w:szCs w:val="21"/>
                <w:highlight w:val="none"/>
              </w:rPr>
              <w:t>说明和资料。详见6.2节</w:t>
            </w:r>
          </w:p>
        </w:tc>
      </w:tr>
      <w:tr w14:paraId="63B9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EDFEE2E">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7</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8293DE7">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投标人自行编写的</w:t>
            </w:r>
          </w:p>
          <w:p w14:paraId="3CC096CF">
            <w:pPr>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技术文件应包含内容</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34ED11DE">
            <w:pPr>
              <w:numPr>
                <w:ilvl w:val="0"/>
                <w:numId w:val="7"/>
              </w:numPr>
              <w:tabs>
                <w:tab w:val="left" w:pos="556"/>
                <w:tab w:val="left" w:pos="612"/>
              </w:tabs>
              <w:ind w:left="556" w:hanging="567"/>
              <w:rPr>
                <w:rFonts w:ascii="宋体" w:hAnsi="宋体" w:eastAsia="宋体" w:cs="宋体"/>
                <w:color w:val="000000"/>
                <w:szCs w:val="21"/>
                <w:highlight w:val="none"/>
              </w:rPr>
            </w:pPr>
            <w:r>
              <w:rPr>
                <w:rFonts w:hint="eastAsia" w:ascii="宋体" w:hAnsi="宋体" w:eastAsia="宋体" w:cs="宋体"/>
                <w:color w:val="000000"/>
                <w:szCs w:val="21"/>
                <w:highlight w:val="none"/>
              </w:rPr>
              <w:t>项目实施方案；</w:t>
            </w:r>
          </w:p>
          <w:p w14:paraId="6D362CED">
            <w:pPr>
              <w:numPr>
                <w:ilvl w:val="0"/>
                <w:numId w:val="7"/>
              </w:numPr>
              <w:tabs>
                <w:tab w:val="left" w:pos="556"/>
                <w:tab w:val="left" w:pos="612"/>
              </w:tabs>
              <w:ind w:left="556" w:hanging="567"/>
              <w:rPr>
                <w:rFonts w:ascii="宋体" w:hAnsi="宋体" w:eastAsia="宋体" w:cs="宋体"/>
                <w:color w:val="000000"/>
                <w:szCs w:val="21"/>
                <w:highlight w:val="none"/>
              </w:rPr>
            </w:pPr>
            <w:r>
              <w:rPr>
                <w:rFonts w:hint="eastAsia" w:ascii="宋体" w:hAnsi="宋体" w:eastAsia="宋体" w:cs="宋体"/>
                <w:color w:val="000000"/>
                <w:szCs w:val="21"/>
                <w:highlight w:val="none"/>
              </w:rPr>
              <w:t>投标人所提供的服务，应符合本文件提出的要求，如果投标人对技术规格提出合理建议或更改，应在《</w:t>
            </w:r>
            <w:r>
              <w:rPr>
                <w:rFonts w:hint="eastAsia" w:cs="宋体"/>
                <w:highlight w:val="none"/>
              </w:rPr>
              <w:t>技术规格、参数偏离表</w:t>
            </w:r>
            <w:r>
              <w:rPr>
                <w:rFonts w:hint="eastAsia" w:ascii="宋体" w:hAnsi="宋体" w:eastAsia="宋体" w:cs="宋体"/>
                <w:color w:val="000000"/>
                <w:szCs w:val="21"/>
                <w:highlight w:val="none"/>
              </w:rPr>
              <w:t>》中注明；</w:t>
            </w:r>
          </w:p>
          <w:p w14:paraId="644D90F5">
            <w:pPr>
              <w:numPr>
                <w:ilvl w:val="0"/>
                <w:numId w:val="7"/>
              </w:numPr>
              <w:tabs>
                <w:tab w:val="left" w:pos="556"/>
                <w:tab w:val="left" w:pos="612"/>
              </w:tabs>
              <w:ind w:left="556" w:hanging="567"/>
              <w:rPr>
                <w:rFonts w:ascii="宋体" w:hAnsi="宋体" w:eastAsia="宋体" w:cs="宋体"/>
                <w:color w:val="000000"/>
                <w:szCs w:val="21"/>
                <w:highlight w:val="none"/>
              </w:rPr>
            </w:pPr>
            <w:r>
              <w:rPr>
                <w:rFonts w:hint="eastAsia" w:ascii="宋体" w:hAnsi="宋体" w:eastAsia="宋体" w:cs="宋体"/>
                <w:color w:val="000000"/>
                <w:szCs w:val="21"/>
                <w:highlight w:val="none"/>
              </w:rPr>
              <w:t>其他需要说明的问题。</w:t>
            </w:r>
          </w:p>
        </w:tc>
      </w:tr>
      <w:tr w14:paraId="6FF4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662BA56">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8</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69ED6163">
            <w:pPr>
              <w:rPr>
                <w:rFonts w:ascii="宋体" w:hAnsi="宋体" w:eastAsia="宋体" w:cs="宋体"/>
                <w:color w:val="000000"/>
                <w:szCs w:val="21"/>
                <w:highlight w:val="none"/>
              </w:rPr>
            </w:pPr>
            <w:r>
              <w:rPr>
                <w:rFonts w:hint="eastAsia" w:ascii="宋体" w:hAnsi="宋体" w:eastAsia="宋体" w:cs="宋体"/>
                <w:color w:val="000000"/>
                <w:szCs w:val="21"/>
                <w:highlight w:val="none"/>
              </w:rPr>
              <w:t>是否允许投标人将项目非主体、非关键性工作交由他人完成</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33B6A522">
            <w:pPr>
              <w:rPr>
                <w:rFonts w:ascii="宋体" w:hAnsi="宋体" w:eastAsia="宋体" w:cs="宋体"/>
                <w:bCs/>
                <w:color w:val="000000"/>
                <w:szCs w:val="21"/>
                <w:highlight w:val="none"/>
              </w:rPr>
            </w:pPr>
            <w:r>
              <w:rPr>
                <w:rFonts w:hint="eastAsia" w:ascii="宋体" w:hAnsi="宋体" w:eastAsia="宋体" w:cs="宋体"/>
                <w:bCs/>
                <w:color w:val="000000"/>
                <w:szCs w:val="21"/>
                <w:highlight w:val="none"/>
              </w:rPr>
              <w:t>否</w:t>
            </w:r>
          </w:p>
        </w:tc>
      </w:tr>
      <w:tr w14:paraId="2C8E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A6EAE38">
            <w:pPr>
              <w:jc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9</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766D527B">
            <w:pPr>
              <w:rPr>
                <w:rFonts w:ascii="宋体" w:hAnsi="宋体" w:eastAsia="宋体" w:cs="宋体"/>
                <w:color w:val="000000"/>
                <w:szCs w:val="21"/>
                <w:highlight w:val="none"/>
              </w:rPr>
            </w:pPr>
            <w:r>
              <w:rPr>
                <w:rFonts w:hint="eastAsia" w:ascii="宋体" w:hAnsi="宋体" w:eastAsia="宋体" w:cs="宋体"/>
                <w:color w:val="000000"/>
                <w:szCs w:val="21"/>
                <w:highlight w:val="none"/>
              </w:rPr>
              <w:t>投标文件份数</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2552F87D">
            <w:pPr>
              <w:rPr>
                <w:rFonts w:ascii="宋体" w:hAnsi="宋体" w:eastAsia="宋体" w:cs="宋体"/>
                <w:color w:val="000000"/>
                <w:szCs w:val="21"/>
                <w:highlight w:val="none"/>
              </w:rPr>
            </w:pPr>
            <w:r>
              <w:rPr>
                <w:rFonts w:hint="eastAsia" w:ascii="宋体" w:hAnsi="宋体" w:eastAsia="宋体" w:cs="宋体"/>
                <w:color w:val="000000"/>
                <w:szCs w:val="21"/>
                <w:highlight w:val="none"/>
              </w:rPr>
              <w:t>详见6.2节</w:t>
            </w:r>
          </w:p>
        </w:tc>
      </w:tr>
      <w:tr w14:paraId="3FD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DB43780">
            <w:pPr>
              <w:jc w:val="center"/>
              <w:rPr>
                <w:rFonts w:hint="default" w:ascii="宋体" w:hAnsi="宋体" w:eastAsia="宋体" w:cs="宋体"/>
                <w:b/>
                <w:color w:val="000000"/>
                <w:szCs w:val="21"/>
                <w:highlight w:val="none"/>
                <w:lang w:val="en-US" w:eastAsia="zh-CN"/>
              </w:rPr>
            </w:pPr>
            <w:bookmarkStart w:id="174" w:name="_Toc95148177"/>
            <w:bookmarkStart w:id="175" w:name="_Toc74143836"/>
            <w:bookmarkStart w:id="176" w:name="_Toc109031551"/>
            <w:bookmarkStart w:id="177" w:name="_Toc15661"/>
            <w:bookmarkStart w:id="178" w:name="_Toc18311"/>
            <w:bookmarkStart w:id="179" w:name="_Toc50742892"/>
            <w:r>
              <w:rPr>
                <w:rFonts w:hint="eastAsia" w:ascii="宋体" w:hAnsi="宋体" w:eastAsia="宋体" w:cs="宋体"/>
                <w:b/>
                <w:color w:val="000000"/>
                <w:szCs w:val="21"/>
                <w:highlight w:val="none"/>
                <w:lang w:val="en-US" w:eastAsia="zh-CN"/>
              </w:rPr>
              <w:t>10</w:t>
            </w:r>
          </w:p>
        </w:tc>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14:paraId="0AA67FD5">
            <w:pP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投标保证金</w:t>
            </w:r>
          </w:p>
        </w:tc>
        <w:tc>
          <w:tcPr>
            <w:tcW w:w="6258" w:type="dxa"/>
            <w:tcBorders>
              <w:top w:val="single" w:color="auto" w:sz="4" w:space="0"/>
              <w:left w:val="single" w:color="auto" w:sz="4" w:space="0"/>
              <w:bottom w:val="single" w:color="auto" w:sz="4" w:space="0"/>
              <w:right w:val="single" w:color="auto" w:sz="4" w:space="0"/>
            </w:tcBorders>
            <w:shd w:val="clear" w:color="auto" w:fill="auto"/>
            <w:vAlign w:val="center"/>
          </w:tcPr>
          <w:p w14:paraId="41FF8814">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投标保证金：应标审核通过后交纳投标保证金。</w:t>
            </w:r>
          </w:p>
          <w:p w14:paraId="77436D34">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（2）投标保证金的形式：电汇或网银(需从投标人基本账户中转出)；</w:t>
            </w:r>
          </w:p>
          <w:p w14:paraId="7FAD0D68">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（3）投标保证金的金额：人民币 5000元；</w:t>
            </w:r>
          </w:p>
          <w:p w14:paraId="5768A0AB">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（4）投标保证金收款账户信息：</w:t>
            </w:r>
          </w:p>
          <w:p w14:paraId="33B10813">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户名：重汽汽车金融有限公司</w:t>
            </w:r>
          </w:p>
          <w:p w14:paraId="2FF33A01">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账号：8112501412100610655</w:t>
            </w:r>
          </w:p>
          <w:p w14:paraId="575D994E">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开户行：中信银行济南舜耕支行</w:t>
            </w:r>
          </w:p>
          <w:p w14:paraId="40CACBE7">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联行号：302451037264</w:t>
            </w:r>
          </w:p>
          <w:p w14:paraId="49AC0C46">
            <w:pPr>
              <w:numPr>
                <w:ilvl w:val="-1"/>
                <w:numId w:val="0"/>
              </w:numPr>
              <w:tabs>
                <w:tab w:val="left" w:pos="556"/>
                <w:tab w:val="left" w:pos="612"/>
              </w:tabs>
              <w:ind w:left="-11" w:firstLine="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（5）汇款备注信息：</w:t>
            </w:r>
            <w:r>
              <w:rPr>
                <w:rFonts w:hint="eastAsia" w:ascii="宋体" w:hAnsi="宋体" w:eastAsia="宋体" w:cs="宋体"/>
                <w:color w:val="000000"/>
                <w:sz w:val="21"/>
                <w:szCs w:val="21"/>
                <w:highlight w:val="none"/>
                <w:lang w:eastAsia="zh-CN"/>
              </w:rPr>
              <w:t>投标保证金—</w:t>
            </w:r>
            <w:r>
              <w:rPr>
                <w:rFonts w:hint="eastAsia" w:ascii="宋体" w:hAnsi="宋体" w:eastAsia="宋体" w:cs="宋体"/>
                <w:color w:val="000000"/>
                <w:sz w:val="21"/>
                <w:szCs w:val="21"/>
                <w:highlight w:val="none"/>
                <w:lang w:val="en-US" w:eastAsia="zh-CN"/>
              </w:rPr>
              <w:t>重汽汽金内部控制外部审计-</w:t>
            </w:r>
            <w:r>
              <w:rPr>
                <w:rFonts w:hint="eastAsia" w:ascii="宋体" w:hAnsi="宋体" w:eastAsia="宋体" w:cs="宋体"/>
                <w:color w:val="000000"/>
                <w:sz w:val="21"/>
                <w:szCs w:val="21"/>
                <w:highlight w:val="none"/>
                <w:lang w:eastAsia="zh-CN"/>
              </w:rPr>
              <w:t>（五个字以内公司简称）</w:t>
            </w:r>
          </w:p>
          <w:p w14:paraId="5351D8FC">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bookmarkStart w:id="180" w:name="_Hlk66372682"/>
            <w:r>
              <w:rPr>
                <w:rFonts w:hint="eastAsia" w:ascii="宋体" w:hAnsi="宋体" w:eastAsia="宋体" w:cs="宋体"/>
                <w:color w:val="000000"/>
                <w:sz w:val="21"/>
                <w:szCs w:val="21"/>
                <w:highlight w:val="none"/>
                <w:lang w:val="en-US" w:eastAsia="zh-CN"/>
              </w:rPr>
              <w:t>（6）投标保证金收取截止时间：2026年3月6日10:00时。</w:t>
            </w:r>
          </w:p>
          <w:bookmarkEnd w:id="180"/>
          <w:p w14:paraId="2A54D3B1">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（7）说明：招标人按照财务制度退款，在确定中标人后，按投标人所提供的账户信息一个付款周期内退还投标保证金（本金，不计息）。投标人在向招标人出示《投标保证金缴纳凭证》后方可进行投标。</w:t>
            </w:r>
          </w:p>
          <w:p w14:paraId="0174F69E">
            <w:pPr>
              <w:numPr>
                <w:ilvl w:val="-1"/>
                <w:numId w:val="0"/>
              </w:numPr>
              <w:tabs>
                <w:tab w:val="left" w:pos="556"/>
                <w:tab w:val="left" w:pos="612"/>
              </w:tabs>
              <w:ind w:left="-11" w:firstLine="0"/>
              <w:rPr>
                <w:rFonts w:hint="eastAsia" w:ascii="宋体" w:hAnsi="宋体" w:eastAsia="宋体" w:cs="宋体"/>
                <w:color w:val="000000"/>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w:t>
            </w:r>
            <w:r>
              <w:rPr>
                <w:rFonts w:hint="default" w:ascii="宋体" w:hAnsi="宋体" w:eastAsia="宋体" w:cs="宋体"/>
                <w:color w:val="000000"/>
                <w:sz w:val="21"/>
                <w:szCs w:val="21"/>
                <w:highlight w:val="none"/>
              </w:rPr>
              <w:t>发生以下情况时，</w:t>
            </w:r>
            <w:r>
              <w:rPr>
                <w:rFonts w:hint="eastAsia" w:ascii="宋体" w:hAnsi="宋体" w:eastAsia="宋体" w:cs="宋体"/>
                <w:color w:val="000000"/>
                <w:sz w:val="21"/>
                <w:szCs w:val="21"/>
                <w:highlight w:val="none"/>
                <w:lang w:val="en-US" w:eastAsia="zh-CN"/>
              </w:rPr>
              <w:t>投标</w:t>
            </w:r>
            <w:r>
              <w:rPr>
                <w:rFonts w:hint="default" w:ascii="宋体" w:hAnsi="宋体" w:eastAsia="宋体" w:cs="宋体"/>
                <w:color w:val="000000"/>
                <w:sz w:val="21"/>
                <w:szCs w:val="21"/>
                <w:highlight w:val="none"/>
              </w:rPr>
              <w:t>保证金</w:t>
            </w:r>
            <w:r>
              <w:rPr>
                <w:rFonts w:hint="eastAsia" w:ascii="宋体" w:hAnsi="宋体" w:eastAsia="宋体" w:cs="宋体"/>
                <w:color w:val="000000"/>
                <w:sz w:val="21"/>
                <w:szCs w:val="21"/>
                <w:highlight w:val="none"/>
                <w:lang w:val="en-US" w:eastAsia="zh-CN"/>
              </w:rPr>
              <w:t>不予返还</w:t>
            </w:r>
            <w:r>
              <w:rPr>
                <w:rFonts w:hint="default" w:ascii="宋体" w:hAnsi="宋体" w:eastAsia="宋体" w:cs="宋体"/>
                <w:color w:val="000000"/>
                <w:sz w:val="21"/>
                <w:szCs w:val="21"/>
                <w:highlight w:val="none"/>
              </w:rPr>
              <w:t>：</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a.</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在提交</w:t>
            </w:r>
            <w:r>
              <w:rPr>
                <w:rFonts w:hint="eastAsia" w:ascii="宋体" w:hAnsi="宋体" w:eastAsia="宋体" w:cs="宋体"/>
                <w:color w:val="000000"/>
                <w:sz w:val="21"/>
                <w:szCs w:val="21"/>
                <w:highlight w:val="none"/>
                <w:lang w:val="en-US" w:eastAsia="zh-CN"/>
              </w:rPr>
              <w:t>投标</w:t>
            </w:r>
            <w:r>
              <w:rPr>
                <w:rFonts w:hint="default" w:ascii="宋体" w:hAnsi="宋体" w:eastAsia="宋体" w:cs="宋体"/>
                <w:color w:val="000000"/>
                <w:sz w:val="21"/>
                <w:szCs w:val="21"/>
                <w:highlight w:val="none"/>
              </w:rPr>
              <w:t>文件截止时间后撤回</w:t>
            </w:r>
            <w:r>
              <w:rPr>
                <w:rFonts w:hint="eastAsia" w:ascii="宋体" w:hAnsi="宋体" w:eastAsia="宋体" w:cs="宋体"/>
                <w:color w:val="000000"/>
                <w:sz w:val="21"/>
                <w:szCs w:val="21"/>
                <w:highlight w:val="none"/>
                <w:lang w:val="en-US" w:eastAsia="zh-CN"/>
              </w:rPr>
              <w:t>投标</w:t>
            </w:r>
            <w:r>
              <w:rPr>
                <w:rFonts w:hint="default" w:ascii="宋体" w:hAnsi="宋体" w:eastAsia="宋体" w:cs="宋体"/>
                <w:color w:val="000000"/>
                <w:sz w:val="21"/>
                <w:szCs w:val="21"/>
                <w:highlight w:val="none"/>
              </w:rPr>
              <w:t>文件的；</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b.</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投标</w:t>
            </w:r>
            <w:r>
              <w:rPr>
                <w:rFonts w:hint="default" w:ascii="宋体" w:hAnsi="宋体" w:eastAsia="宋体" w:cs="宋体"/>
                <w:color w:val="000000"/>
                <w:sz w:val="21"/>
                <w:szCs w:val="21"/>
                <w:highlight w:val="none"/>
              </w:rPr>
              <w:t>文件中提供虚假材料的；</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c.</w:t>
            </w:r>
            <w:r>
              <w:rPr>
                <w:rFonts w:hint="default" w:ascii="宋体" w:hAnsi="宋体" w:eastAsia="宋体" w:cs="宋体"/>
                <w:color w:val="000000"/>
                <w:sz w:val="21"/>
                <w:szCs w:val="21"/>
                <w:highlight w:val="none"/>
              </w:rPr>
              <w:t>除因不可抗力或谈判文件认可的情形以外，成交</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不与</w:t>
            </w:r>
            <w:r>
              <w:rPr>
                <w:rFonts w:hint="eastAsia" w:ascii="宋体" w:hAnsi="宋体" w:eastAsia="宋体" w:cs="宋体"/>
                <w:color w:val="000000"/>
                <w:sz w:val="21"/>
                <w:szCs w:val="21"/>
                <w:highlight w:val="none"/>
                <w:lang w:val="en-US" w:eastAsia="zh-CN"/>
              </w:rPr>
              <w:t>招标</w:t>
            </w:r>
            <w:r>
              <w:rPr>
                <w:rFonts w:hint="default" w:ascii="宋体" w:hAnsi="宋体" w:eastAsia="宋体" w:cs="宋体"/>
                <w:color w:val="000000"/>
                <w:sz w:val="21"/>
                <w:szCs w:val="21"/>
                <w:highlight w:val="none"/>
              </w:rPr>
              <w:t>人签订合同的；</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d.</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与</w:t>
            </w:r>
            <w:r>
              <w:rPr>
                <w:rFonts w:hint="eastAsia" w:ascii="宋体" w:hAnsi="宋体" w:eastAsia="宋体" w:cs="宋体"/>
                <w:color w:val="000000"/>
                <w:sz w:val="21"/>
                <w:szCs w:val="21"/>
                <w:highlight w:val="none"/>
                <w:lang w:val="en-US" w:eastAsia="zh-CN"/>
              </w:rPr>
              <w:t>招标</w:t>
            </w:r>
            <w:r>
              <w:rPr>
                <w:rFonts w:hint="default" w:ascii="宋体" w:hAnsi="宋体" w:eastAsia="宋体" w:cs="宋体"/>
                <w:color w:val="000000"/>
                <w:sz w:val="21"/>
                <w:szCs w:val="21"/>
                <w:highlight w:val="none"/>
              </w:rPr>
              <w:t>人、其他</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恶意串通、围标、陪标的；</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e.</w:t>
            </w:r>
            <w:r>
              <w:rPr>
                <w:rFonts w:hint="eastAsia" w:ascii="宋体" w:hAnsi="宋体" w:eastAsia="宋体" w:cs="宋体"/>
                <w:color w:val="000000"/>
                <w:sz w:val="21"/>
                <w:szCs w:val="21"/>
                <w:highlight w:val="none"/>
                <w:lang w:eastAsia="zh-CN"/>
              </w:rPr>
              <w:t>投标人</w:t>
            </w:r>
            <w:r>
              <w:rPr>
                <w:rFonts w:hint="default" w:ascii="宋体" w:hAnsi="宋体" w:eastAsia="宋体" w:cs="宋体"/>
                <w:color w:val="000000"/>
                <w:sz w:val="21"/>
                <w:szCs w:val="21"/>
                <w:highlight w:val="none"/>
              </w:rPr>
              <w:t>有违约违规行为或被投诉、举报的，在调查处理期间，保证金暂不退还，待调查处理结束后按有关规定处理</w:t>
            </w:r>
            <w:r>
              <w:rPr>
                <w:rFonts w:hint="eastAsia" w:ascii="宋体" w:hAnsi="宋体" w:eastAsia="宋体" w:cs="宋体"/>
                <w:color w:val="000000"/>
                <w:sz w:val="21"/>
                <w:szCs w:val="21"/>
                <w:highlight w:val="none"/>
                <w:lang w:eastAsia="zh-CN"/>
              </w:rPr>
              <w:t>；</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f.</w:t>
            </w:r>
            <w:r>
              <w:rPr>
                <w:rFonts w:hint="default" w:ascii="宋体" w:hAnsi="宋体" w:eastAsia="宋体" w:cs="宋体"/>
                <w:color w:val="000000"/>
                <w:sz w:val="21"/>
                <w:szCs w:val="21"/>
                <w:highlight w:val="none"/>
              </w:rPr>
              <w:t>截至开标前3天，投标人无正当理由、未以书面形式向招标人递交说明而在投标截止日不来投标的</w:t>
            </w:r>
            <w:r>
              <w:rPr>
                <w:rFonts w:hint="eastAsia" w:ascii="宋体" w:hAnsi="宋体" w:eastAsia="宋体" w:cs="宋体"/>
                <w:color w:val="000000"/>
                <w:sz w:val="21"/>
                <w:szCs w:val="21"/>
                <w:highlight w:val="none"/>
                <w:lang w:eastAsia="zh-CN"/>
              </w:rPr>
              <w:t>；</w:t>
            </w:r>
            <w:r>
              <w:rPr>
                <w:rFonts w:hint="default"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lang w:val="en-US" w:eastAsia="zh-CN"/>
              </w:rPr>
              <w:t>g.</w:t>
            </w:r>
            <w:r>
              <w:rPr>
                <w:rFonts w:hint="default" w:ascii="宋体" w:hAnsi="宋体" w:eastAsia="宋体" w:cs="宋体"/>
                <w:color w:val="000000"/>
                <w:sz w:val="21"/>
                <w:szCs w:val="21"/>
                <w:highlight w:val="none"/>
              </w:rPr>
              <w:t>自中标通知书发出之日起30日内，中标人无正当理由投标人无正当签订合同的</w:t>
            </w:r>
            <w:r>
              <w:rPr>
                <w:rFonts w:hint="eastAsia" w:ascii="宋体" w:hAnsi="宋体" w:eastAsia="宋体" w:cs="宋体"/>
                <w:color w:val="000000"/>
                <w:sz w:val="21"/>
                <w:szCs w:val="21"/>
                <w:highlight w:val="none"/>
                <w:lang w:eastAsia="zh-CN"/>
              </w:rPr>
              <w:t>。</w:t>
            </w:r>
          </w:p>
          <w:p w14:paraId="71E84AC8">
            <w:pPr>
              <w:numPr>
                <w:ilvl w:val="-1"/>
                <w:numId w:val="0"/>
              </w:numPr>
              <w:tabs>
                <w:tab w:val="left" w:pos="556"/>
                <w:tab w:val="left" w:pos="612"/>
              </w:tabs>
              <w:ind w:left="-11" w:firstLine="0"/>
              <w:rPr>
                <w:rFonts w:hint="eastAsia" w:ascii="宋体" w:hAnsi="宋体" w:eastAsia="宋体" w:cs="宋体"/>
                <w:color w:val="000000"/>
                <w:sz w:val="21"/>
                <w:szCs w:val="21"/>
                <w:highlight w:val="none"/>
                <w:lang w:val="en-US" w:eastAsia="zh-CN"/>
              </w:rPr>
            </w:pPr>
          </w:p>
          <w:p w14:paraId="36267E29">
            <w:pPr>
              <w:numPr>
                <w:ilvl w:val="-1"/>
                <w:numId w:val="0"/>
              </w:numPr>
              <w:tabs>
                <w:tab w:val="left" w:pos="556"/>
                <w:tab w:val="left" w:pos="612"/>
              </w:tabs>
              <w:ind w:left="-11" w:firstLine="0"/>
              <w:rPr>
                <w:rFonts w:hint="eastAsia" w:ascii="宋体" w:hAnsi="宋体" w:eastAsia="宋体" w:cs="宋体"/>
                <w:color w:val="000000"/>
                <w:szCs w:val="21"/>
                <w:highlight w:val="none"/>
              </w:rPr>
            </w:pPr>
          </w:p>
        </w:tc>
      </w:tr>
    </w:tbl>
    <w:p w14:paraId="61E0B1B9">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181" w:name="_Toc24912"/>
      <w:r>
        <w:rPr>
          <w:rStyle w:val="67"/>
          <w:rFonts w:hint="eastAsia" w:ascii="Calibri" w:hAnsi="Calibri" w:eastAsia="宋体" w:cs="Times New Roman"/>
          <w:b/>
          <w:sz w:val="24"/>
          <w:szCs w:val="24"/>
          <w:highlight w:val="none"/>
          <w:lang w:val="en-US" w:eastAsia="zh-CN"/>
        </w:rPr>
        <w:t>5.2</w:t>
      </w:r>
      <w:r>
        <w:rPr>
          <w:rStyle w:val="67"/>
          <w:rFonts w:ascii="Calibri" w:hAnsi="Calibri" w:eastAsia="宋体" w:cs="Times New Roman"/>
          <w:b/>
          <w:sz w:val="24"/>
          <w:szCs w:val="24"/>
          <w:highlight w:val="none"/>
        </w:rPr>
        <w:t>投标报价</w:t>
      </w:r>
      <w:bookmarkEnd w:id="174"/>
      <w:bookmarkEnd w:id="175"/>
      <w:bookmarkEnd w:id="176"/>
      <w:bookmarkEnd w:id="177"/>
      <w:bookmarkEnd w:id="178"/>
      <w:bookmarkEnd w:id="179"/>
      <w:bookmarkEnd w:id="181"/>
    </w:p>
    <w:p w14:paraId="587B901F">
      <w:pPr>
        <w:pStyle w:val="66"/>
        <w:numPr>
          <w:ilvl w:val="1"/>
          <w:numId w:val="0"/>
        </w:numPr>
        <w:ind w:firstLine="480" w:firstLineChars="200"/>
        <w:rPr>
          <w:rStyle w:val="67"/>
          <w:rFonts w:hint="eastAsia" w:ascii="Calibri" w:hAnsi="Calibri" w:eastAsia="宋体" w:cs="Times New Roman"/>
          <w:b w:val="0"/>
          <w:bCs/>
          <w:sz w:val="24"/>
          <w:szCs w:val="24"/>
          <w:highlight w:val="none"/>
        </w:rPr>
      </w:pPr>
      <w:bookmarkStart w:id="182" w:name="_Toc30092"/>
      <w:bookmarkStart w:id="183" w:name="_Toc17208"/>
      <w:bookmarkStart w:id="184" w:name="_Toc20277"/>
      <w:r>
        <w:rPr>
          <w:rStyle w:val="67"/>
          <w:rFonts w:ascii="Calibri" w:hAnsi="Calibri" w:eastAsia="宋体" w:cs="Times New Roman"/>
          <w:b w:val="0"/>
          <w:bCs/>
          <w:sz w:val="24"/>
          <w:szCs w:val="24"/>
          <w:highlight w:val="none"/>
        </w:rPr>
        <w:t>1）本次招投标为</w:t>
      </w:r>
      <w:r>
        <w:rPr>
          <w:rStyle w:val="67"/>
          <w:rFonts w:ascii="Calibri" w:hAnsi="Calibri" w:eastAsia="宋体" w:cs="Times New Roman"/>
          <w:b w:val="0"/>
          <w:sz w:val="24"/>
          <w:szCs w:val="24"/>
          <w:highlight w:val="none"/>
        </w:rPr>
        <w:t>公开招标</w:t>
      </w:r>
      <w:r>
        <w:rPr>
          <w:rStyle w:val="67"/>
          <w:rFonts w:ascii="Calibri" w:hAnsi="Calibri" w:eastAsia="宋体" w:cs="Times New Roman"/>
          <w:b w:val="0"/>
          <w:bCs/>
          <w:sz w:val="24"/>
          <w:szCs w:val="24"/>
          <w:highlight w:val="none"/>
        </w:rPr>
        <w:t>，投标总报价应包括实施服务、税费等全部费用。</w:t>
      </w:r>
      <w:bookmarkEnd w:id="182"/>
      <w:bookmarkEnd w:id="183"/>
      <w:bookmarkEnd w:id="184"/>
    </w:p>
    <w:p w14:paraId="6DC0C485">
      <w:pPr>
        <w:pStyle w:val="66"/>
        <w:numPr>
          <w:ilvl w:val="1"/>
          <w:numId w:val="0"/>
        </w:numPr>
        <w:ind w:firstLine="480" w:firstLineChars="200"/>
        <w:rPr>
          <w:rStyle w:val="67"/>
          <w:rFonts w:hint="eastAsia" w:ascii="Calibri" w:hAnsi="Calibri" w:eastAsia="宋体" w:cs="Times New Roman"/>
          <w:b w:val="0"/>
          <w:bCs/>
          <w:sz w:val="24"/>
          <w:szCs w:val="24"/>
          <w:highlight w:val="none"/>
        </w:rPr>
      </w:pPr>
      <w:bookmarkStart w:id="185" w:name="_Toc4874"/>
      <w:bookmarkStart w:id="186" w:name="_Toc29647"/>
      <w:bookmarkStart w:id="187" w:name="_Toc8630"/>
      <w:r>
        <w:rPr>
          <w:rStyle w:val="67"/>
          <w:rFonts w:hint="eastAsia" w:ascii="Calibri" w:hAnsi="Calibri" w:eastAsia="宋体" w:cs="Times New Roman"/>
          <w:b w:val="0"/>
          <w:bCs/>
          <w:sz w:val="24"/>
          <w:szCs w:val="24"/>
          <w:highlight w:val="none"/>
        </w:rPr>
        <w:t>2</w:t>
      </w:r>
      <w:r>
        <w:rPr>
          <w:rStyle w:val="67"/>
          <w:rFonts w:ascii="Calibri" w:hAnsi="Calibri" w:eastAsia="宋体" w:cs="Times New Roman"/>
          <w:b w:val="0"/>
          <w:bCs/>
          <w:sz w:val="24"/>
          <w:szCs w:val="24"/>
          <w:highlight w:val="none"/>
        </w:rPr>
        <w:t>）所有参加投标的单位必须结合自身的实际情况，对此次招标项目服务周期与实施难度的估量以及所制定的实施组织计划，以实际产生的费用，据实报价。</w:t>
      </w:r>
      <w:bookmarkEnd w:id="185"/>
      <w:bookmarkEnd w:id="186"/>
      <w:bookmarkEnd w:id="187"/>
    </w:p>
    <w:p w14:paraId="2F1C49E8">
      <w:pPr>
        <w:pStyle w:val="66"/>
        <w:numPr>
          <w:ilvl w:val="1"/>
          <w:numId w:val="0"/>
        </w:numPr>
        <w:ind w:firstLine="480" w:firstLineChars="200"/>
        <w:rPr>
          <w:rStyle w:val="67"/>
          <w:rFonts w:hint="eastAsia" w:ascii="Calibri" w:hAnsi="Calibri" w:eastAsia="宋体" w:cs="Times New Roman"/>
          <w:b w:val="0"/>
          <w:bCs/>
          <w:sz w:val="24"/>
          <w:szCs w:val="24"/>
          <w:highlight w:val="none"/>
        </w:rPr>
      </w:pPr>
      <w:bookmarkStart w:id="188" w:name="_Toc24738"/>
      <w:bookmarkStart w:id="189" w:name="_Toc8955"/>
      <w:bookmarkStart w:id="190" w:name="_Toc26778"/>
      <w:r>
        <w:rPr>
          <w:rStyle w:val="67"/>
          <w:rFonts w:hint="eastAsia" w:ascii="Calibri" w:hAnsi="Calibri" w:eastAsia="宋体" w:cs="Times New Roman"/>
          <w:b w:val="0"/>
          <w:bCs/>
          <w:sz w:val="24"/>
          <w:szCs w:val="24"/>
          <w:highlight w:val="none"/>
        </w:rPr>
        <w:t>3</w:t>
      </w:r>
      <w:r>
        <w:rPr>
          <w:rStyle w:val="67"/>
          <w:rFonts w:ascii="Calibri" w:hAnsi="Calibri" w:eastAsia="宋体" w:cs="Times New Roman"/>
          <w:b w:val="0"/>
          <w:bCs/>
          <w:sz w:val="24"/>
          <w:szCs w:val="24"/>
          <w:highlight w:val="none"/>
        </w:rPr>
        <w:t>）</w:t>
      </w:r>
      <w:r>
        <w:rPr>
          <w:rStyle w:val="67"/>
          <w:rFonts w:hint="eastAsia" w:ascii="Calibri" w:hAnsi="Calibri" w:cs="Times New Roman"/>
          <w:b w:val="0"/>
          <w:bCs/>
          <w:sz w:val="24"/>
          <w:szCs w:val="24"/>
          <w:highlight w:val="none"/>
          <w:lang w:eastAsia="zh-CN"/>
        </w:rPr>
        <w:t>投标人</w:t>
      </w:r>
      <w:r>
        <w:rPr>
          <w:rStyle w:val="67"/>
          <w:rFonts w:ascii="Calibri" w:hAnsi="Calibri" w:eastAsia="宋体" w:cs="Times New Roman"/>
          <w:b w:val="0"/>
          <w:bCs/>
          <w:sz w:val="24"/>
          <w:szCs w:val="24"/>
          <w:highlight w:val="none"/>
        </w:rPr>
        <w:t>免费提供的项目，应先填写该项目的实际价格，并注明免费。此项不计入总报价。</w:t>
      </w:r>
      <w:bookmarkEnd w:id="188"/>
      <w:bookmarkEnd w:id="189"/>
      <w:bookmarkEnd w:id="190"/>
    </w:p>
    <w:p w14:paraId="6B33952C">
      <w:pPr>
        <w:pStyle w:val="66"/>
        <w:numPr>
          <w:ilvl w:val="1"/>
          <w:numId w:val="0"/>
        </w:numPr>
        <w:ind w:firstLine="480" w:firstLineChars="200"/>
        <w:rPr>
          <w:rStyle w:val="67"/>
          <w:rFonts w:hint="eastAsia" w:ascii="Calibri" w:hAnsi="Calibri" w:eastAsia="宋体" w:cs="Times New Roman"/>
          <w:b w:val="0"/>
          <w:bCs/>
          <w:sz w:val="24"/>
          <w:szCs w:val="24"/>
          <w:highlight w:val="none"/>
        </w:rPr>
      </w:pPr>
      <w:bookmarkStart w:id="191" w:name="_Toc10146"/>
      <w:bookmarkStart w:id="192" w:name="_Toc4135"/>
      <w:bookmarkStart w:id="193" w:name="_Toc3789"/>
      <w:r>
        <w:rPr>
          <w:rStyle w:val="67"/>
          <w:rFonts w:hint="eastAsia" w:ascii="Calibri" w:hAnsi="Calibri" w:eastAsia="宋体" w:cs="Times New Roman"/>
          <w:b w:val="0"/>
          <w:bCs/>
          <w:sz w:val="24"/>
          <w:szCs w:val="24"/>
          <w:highlight w:val="none"/>
        </w:rPr>
        <w:t>4</w:t>
      </w:r>
      <w:r>
        <w:rPr>
          <w:rStyle w:val="67"/>
          <w:rFonts w:ascii="Calibri" w:hAnsi="Calibri" w:eastAsia="宋体" w:cs="Times New Roman"/>
          <w:b w:val="0"/>
          <w:bCs/>
          <w:sz w:val="24"/>
          <w:szCs w:val="24"/>
          <w:highlight w:val="none"/>
        </w:rPr>
        <w:t>）项目的报价货币单位为：人民币（</w:t>
      </w:r>
      <w:r>
        <w:rPr>
          <w:rStyle w:val="67"/>
          <w:rFonts w:hint="default" w:ascii="Calibri" w:hAnsi="Calibri" w:eastAsia="宋体" w:cs="Times New Roman"/>
          <w:b w:val="0"/>
          <w:bCs/>
          <w:sz w:val="24"/>
          <w:szCs w:val="24"/>
          <w:highlight w:val="none"/>
          <w:lang w:val="en-US" w:eastAsia="zh-CN"/>
        </w:rPr>
        <w:t>不</w:t>
      </w:r>
      <w:r>
        <w:rPr>
          <w:rStyle w:val="67"/>
          <w:rFonts w:ascii="Calibri" w:hAnsi="Calibri" w:eastAsia="宋体" w:cs="Times New Roman"/>
          <w:b w:val="0"/>
          <w:bCs/>
          <w:sz w:val="24"/>
          <w:szCs w:val="24"/>
          <w:highlight w:val="none"/>
        </w:rPr>
        <w:t>含税）。</w:t>
      </w:r>
      <w:bookmarkEnd w:id="191"/>
      <w:bookmarkEnd w:id="192"/>
      <w:bookmarkEnd w:id="193"/>
    </w:p>
    <w:p w14:paraId="7AA1B3A5">
      <w:pPr>
        <w:pStyle w:val="66"/>
        <w:numPr>
          <w:ilvl w:val="1"/>
          <w:numId w:val="0"/>
        </w:numPr>
        <w:ind w:firstLine="480" w:firstLineChars="200"/>
        <w:rPr>
          <w:rStyle w:val="67"/>
          <w:rFonts w:ascii="Calibri" w:hAnsi="Calibri" w:eastAsia="宋体" w:cs="Times New Roman"/>
          <w:b w:val="0"/>
          <w:bCs/>
          <w:sz w:val="24"/>
          <w:szCs w:val="24"/>
          <w:highlight w:val="none"/>
        </w:rPr>
      </w:pPr>
      <w:bookmarkStart w:id="194" w:name="_Toc20087"/>
      <w:bookmarkStart w:id="195" w:name="_Toc14794"/>
      <w:bookmarkStart w:id="196" w:name="_Toc16000"/>
      <w:r>
        <w:rPr>
          <w:rStyle w:val="67"/>
          <w:rFonts w:hint="eastAsia" w:ascii="Calibri" w:hAnsi="Calibri" w:eastAsia="宋体" w:cs="Times New Roman"/>
          <w:b w:val="0"/>
          <w:bCs/>
          <w:sz w:val="24"/>
          <w:szCs w:val="24"/>
          <w:highlight w:val="none"/>
        </w:rPr>
        <w:t>5</w:t>
      </w:r>
      <w:r>
        <w:rPr>
          <w:rStyle w:val="67"/>
          <w:rFonts w:ascii="Calibri" w:hAnsi="Calibri" w:eastAsia="宋体" w:cs="Times New Roman"/>
          <w:b w:val="0"/>
          <w:bCs/>
          <w:sz w:val="24"/>
          <w:szCs w:val="24"/>
          <w:highlight w:val="none"/>
        </w:rPr>
        <w:t>）最后磋商报价在合同执行过程中是固定不变的，不得以任何理由予以变更。</w:t>
      </w:r>
      <w:bookmarkEnd w:id="194"/>
      <w:bookmarkEnd w:id="195"/>
      <w:bookmarkEnd w:id="196"/>
    </w:p>
    <w:p w14:paraId="1DE9574B">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197" w:name="_Toc1257"/>
      <w:bookmarkStart w:id="198" w:name="_Toc95148178"/>
      <w:bookmarkStart w:id="199" w:name="_Toc74143837"/>
      <w:bookmarkStart w:id="200" w:name="_Toc14181"/>
      <w:bookmarkStart w:id="201" w:name="_Toc109031552"/>
      <w:bookmarkStart w:id="202" w:name="_Toc7717"/>
      <w:bookmarkStart w:id="203" w:name="_Toc50742893"/>
      <w:r>
        <w:rPr>
          <w:rStyle w:val="67"/>
          <w:rFonts w:hint="eastAsia" w:ascii="Calibri" w:hAnsi="Calibri" w:eastAsia="宋体" w:cs="Times New Roman"/>
          <w:b/>
          <w:sz w:val="24"/>
          <w:szCs w:val="24"/>
          <w:highlight w:val="none"/>
          <w:lang w:val="en-US" w:eastAsia="zh-CN"/>
        </w:rPr>
        <w:t>5.3</w:t>
      </w:r>
      <w:r>
        <w:rPr>
          <w:rStyle w:val="67"/>
          <w:rFonts w:ascii="Calibri" w:hAnsi="Calibri" w:eastAsia="宋体" w:cs="Times New Roman"/>
          <w:b/>
          <w:sz w:val="24"/>
          <w:szCs w:val="24"/>
          <w:highlight w:val="none"/>
        </w:rPr>
        <w:t>招标文件的组成</w:t>
      </w:r>
      <w:bookmarkEnd w:id="197"/>
      <w:bookmarkEnd w:id="198"/>
      <w:bookmarkEnd w:id="199"/>
      <w:bookmarkEnd w:id="200"/>
      <w:bookmarkEnd w:id="201"/>
      <w:bookmarkEnd w:id="202"/>
      <w:bookmarkEnd w:id="203"/>
    </w:p>
    <w:p w14:paraId="634BBADC">
      <w:pPr>
        <w:pStyle w:val="66"/>
        <w:numPr>
          <w:ilvl w:val="1"/>
          <w:numId w:val="0"/>
        </w:numPr>
        <w:ind w:firstLine="480" w:firstLineChars="200"/>
        <w:rPr>
          <w:rStyle w:val="67"/>
          <w:rFonts w:ascii="Calibri" w:hAnsi="Calibri" w:eastAsia="宋体" w:cs="Times New Roman"/>
          <w:b w:val="0"/>
          <w:bCs/>
          <w:sz w:val="24"/>
          <w:szCs w:val="24"/>
          <w:highlight w:val="none"/>
        </w:rPr>
      </w:pPr>
      <w:bookmarkStart w:id="204" w:name="_Toc17776"/>
      <w:bookmarkStart w:id="205" w:name="_Toc28429"/>
      <w:bookmarkStart w:id="206" w:name="_Toc10264"/>
      <w:r>
        <w:rPr>
          <w:rStyle w:val="67"/>
          <w:rFonts w:ascii="Calibri" w:hAnsi="Calibri" w:eastAsia="宋体" w:cs="Times New Roman"/>
          <w:b w:val="0"/>
          <w:bCs/>
          <w:sz w:val="24"/>
          <w:szCs w:val="24"/>
          <w:highlight w:val="none"/>
        </w:rPr>
        <w:t>1）招标文件由招标文件总目录所列内容组成。</w:t>
      </w:r>
      <w:bookmarkEnd w:id="204"/>
      <w:bookmarkEnd w:id="205"/>
      <w:bookmarkEnd w:id="206"/>
    </w:p>
    <w:p w14:paraId="2A146C01">
      <w:pPr>
        <w:pStyle w:val="66"/>
        <w:numPr>
          <w:ilvl w:val="1"/>
          <w:numId w:val="0"/>
        </w:numPr>
        <w:ind w:firstLine="480" w:firstLineChars="200"/>
        <w:rPr>
          <w:rStyle w:val="67"/>
          <w:rFonts w:ascii="Calibri" w:hAnsi="Calibri" w:eastAsia="宋体" w:cs="Times New Roman"/>
          <w:b w:val="0"/>
          <w:bCs/>
          <w:sz w:val="24"/>
          <w:szCs w:val="24"/>
          <w:highlight w:val="none"/>
        </w:rPr>
      </w:pPr>
      <w:bookmarkStart w:id="207" w:name="_Toc14494"/>
      <w:bookmarkStart w:id="208" w:name="_Toc20047"/>
      <w:bookmarkStart w:id="209" w:name="_Toc27191"/>
      <w:r>
        <w:rPr>
          <w:rStyle w:val="67"/>
          <w:rFonts w:ascii="Calibri" w:hAnsi="Calibri" w:eastAsia="宋体" w:cs="Times New Roman"/>
          <w:b w:val="0"/>
          <w:bCs/>
          <w:sz w:val="24"/>
          <w:szCs w:val="24"/>
          <w:highlight w:val="none"/>
        </w:rPr>
        <w:t>2）投标人详细阅读招标文件的全部内容。不按招标文件的要求提供的投标文件和资料，可能导致投标被拒绝。</w:t>
      </w:r>
      <w:bookmarkEnd w:id="207"/>
      <w:bookmarkEnd w:id="208"/>
      <w:bookmarkEnd w:id="209"/>
    </w:p>
    <w:p w14:paraId="2A94E628">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210" w:name="_Toc17537"/>
      <w:bookmarkStart w:id="211" w:name="_Toc21245"/>
      <w:bookmarkStart w:id="212" w:name="_Toc536867084"/>
      <w:bookmarkStart w:id="213" w:name="_Toc533413548"/>
      <w:bookmarkStart w:id="214" w:name="_Toc533413149"/>
      <w:bookmarkStart w:id="215" w:name="_Toc109031553"/>
      <w:bookmarkStart w:id="216" w:name="_Toc4968"/>
      <w:bookmarkStart w:id="217" w:name="_Toc74143838"/>
      <w:bookmarkStart w:id="218" w:name="_Toc534087348"/>
      <w:bookmarkStart w:id="219" w:name="_Toc50742894"/>
      <w:bookmarkStart w:id="220" w:name="_Toc533998779"/>
      <w:bookmarkStart w:id="221" w:name="_Toc95148179"/>
      <w:r>
        <w:rPr>
          <w:rStyle w:val="67"/>
          <w:rFonts w:hint="eastAsia" w:ascii="Calibri" w:hAnsi="Calibri" w:eastAsia="宋体" w:cs="Times New Roman"/>
          <w:b/>
          <w:sz w:val="24"/>
          <w:szCs w:val="24"/>
          <w:highlight w:val="none"/>
          <w:lang w:val="en-US" w:eastAsia="zh-CN"/>
        </w:rPr>
        <w:t>5.4</w:t>
      </w:r>
      <w:r>
        <w:rPr>
          <w:rStyle w:val="67"/>
          <w:rFonts w:ascii="Calibri" w:hAnsi="Calibri" w:eastAsia="宋体" w:cs="Times New Roman"/>
          <w:b/>
          <w:sz w:val="24"/>
          <w:szCs w:val="24"/>
          <w:highlight w:val="none"/>
        </w:rPr>
        <w:t>招标文件的澄清</w:t>
      </w:r>
      <w:bookmarkEnd w:id="210"/>
      <w:bookmarkEnd w:id="211"/>
      <w:bookmarkEnd w:id="212"/>
      <w:bookmarkEnd w:id="213"/>
      <w:bookmarkEnd w:id="214"/>
      <w:bookmarkEnd w:id="215"/>
      <w:bookmarkEnd w:id="216"/>
      <w:bookmarkEnd w:id="217"/>
      <w:bookmarkEnd w:id="218"/>
      <w:bookmarkEnd w:id="219"/>
      <w:bookmarkEnd w:id="220"/>
      <w:bookmarkEnd w:id="221"/>
    </w:p>
    <w:p w14:paraId="18230207">
      <w:pPr>
        <w:pStyle w:val="66"/>
        <w:numPr>
          <w:ilvl w:val="1"/>
          <w:numId w:val="0"/>
        </w:numPr>
        <w:ind w:firstLine="480" w:firstLineChars="200"/>
        <w:rPr>
          <w:rStyle w:val="67"/>
          <w:rFonts w:ascii="Calibri" w:hAnsi="Calibri" w:eastAsia="宋体" w:cs="Times New Roman"/>
          <w:b w:val="0"/>
          <w:bCs/>
          <w:sz w:val="24"/>
          <w:szCs w:val="24"/>
          <w:highlight w:val="none"/>
        </w:rPr>
      </w:pPr>
      <w:bookmarkStart w:id="222" w:name="_Toc20165"/>
      <w:bookmarkStart w:id="223" w:name="_Toc13517"/>
      <w:bookmarkStart w:id="224" w:name="_Toc31439"/>
      <w:r>
        <w:rPr>
          <w:rStyle w:val="67"/>
          <w:rFonts w:ascii="Calibri" w:hAnsi="Calibri" w:eastAsia="宋体" w:cs="Times New Roman"/>
          <w:b w:val="0"/>
          <w:bCs/>
          <w:sz w:val="24"/>
          <w:szCs w:val="24"/>
          <w:highlight w:val="none"/>
        </w:rPr>
        <w:t>投标人对招标文件如有疑点要求澄清，或认为有必要与招标人进行技术交流时，可用书面形式通知招标人，招标人将视情况以书面形式予以答复，并将答复内容包括原提出的问题（但不标明问题查询的来源），分发给所有取得同一招标文件的投标人。</w:t>
      </w:r>
      <w:bookmarkEnd w:id="222"/>
      <w:bookmarkEnd w:id="223"/>
      <w:bookmarkEnd w:id="224"/>
    </w:p>
    <w:p w14:paraId="2E3314B6">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225" w:name="_Toc18095"/>
      <w:bookmarkStart w:id="226" w:name="_Toc109031554"/>
      <w:bookmarkStart w:id="227" w:name="_Toc74143839"/>
      <w:bookmarkStart w:id="228" w:name="_Toc536867085"/>
      <w:bookmarkStart w:id="229" w:name="_Toc533413150"/>
      <w:bookmarkStart w:id="230" w:name="_Toc5796"/>
      <w:bookmarkStart w:id="231" w:name="_Toc95148180"/>
      <w:bookmarkStart w:id="232" w:name="_Toc12065"/>
      <w:bookmarkStart w:id="233" w:name="_Toc50742895"/>
      <w:bookmarkStart w:id="234" w:name="_Toc533998780"/>
      <w:bookmarkStart w:id="235" w:name="_Toc534087349"/>
      <w:bookmarkStart w:id="236" w:name="_Toc533413549"/>
      <w:r>
        <w:rPr>
          <w:rStyle w:val="67"/>
          <w:rFonts w:hint="eastAsia" w:ascii="Calibri" w:hAnsi="Calibri" w:eastAsia="宋体" w:cs="Times New Roman"/>
          <w:b/>
          <w:sz w:val="24"/>
          <w:szCs w:val="24"/>
          <w:highlight w:val="none"/>
          <w:lang w:val="en-US" w:eastAsia="zh-CN"/>
        </w:rPr>
        <w:t>5.5</w:t>
      </w:r>
      <w:r>
        <w:rPr>
          <w:rStyle w:val="67"/>
          <w:rFonts w:ascii="Calibri" w:hAnsi="Calibri" w:eastAsia="宋体" w:cs="Times New Roman"/>
          <w:b/>
          <w:sz w:val="24"/>
          <w:szCs w:val="24"/>
          <w:highlight w:val="none"/>
        </w:rPr>
        <w:t>招标文件的修改</w:t>
      </w:r>
      <w:bookmarkEnd w:id="225"/>
      <w:bookmarkEnd w:id="226"/>
      <w:bookmarkEnd w:id="227"/>
      <w:bookmarkEnd w:id="228"/>
      <w:bookmarkEnd w:id="229"/>
      <w:bookmarkEnd w:id="230"/>
      <w:bookmarkEnd w:id="231"/>
      <w:bookmarkEnd w:id="232"/>
      <w:bookmarkEnd w:id="233"/>
      <w:bookmarkEnd w:id="234"/>
      <w:bookmarkEnd w:id="235"/>
      <w:bookmarkEnd w:id="236"/>
    </w:p>
    <w:p w14:paraId="528EC3AD">
      <w:pPr>
        <w:pStyle w:val="66"/>
        <w:numPr>
          <w:ilvl w:val="1"/>
          <w:numId w:val="0"/>
        </w:numPr>
        <w:ind w:firstLine="480" w:firstLineChars="200"/>
        <w:rPr>
          <w:rStyle w:val="67"/>
          <w:rFonts w:ascii="Calibri" w:hAnsi="Calibri" w:eastAsia="宋体" w:cs="Times New Roman"/>
          <w:b w:val="0"/>
          <w:bCs/>
          <w:sz w:val="24"/>
          <w:szCs w:val="24"/>
          <w:highlight w:val="none"/>
        </w:rPr>
      </w:pPr>
      <w:bookmarkStart w:id="237" w:name="_Toc10818"/>
      <w:bookmarkStart w:id="238" w:name="_Toc13765"/>
      <w:bookmarkStart w:id="239" w:name="_Toc2107"/>
      <w:r>
        <w:rPr>
          <w:rStyle w:val="67"/>
          <w:rFonts w:ascii="Calibri" w:hAnsi="Calibri" w:eastAsia="宋体" w:cs="Times New Roman"/>
          <w:b w:val="0"/>
          <w:bCs/>
          <w:sz w:val="24"/>
          <w:szCs w:val="24"/>
          <w:highlight w:val="none"/>
        </w:rPr>
        <w:t>1）在投标截止时间前，招标人无论出于自己的考虑，还是出于对投标人提问的澄清，均可对招标文件用补充文件的方式进行修改。</w:t>
      </w:r>
      <w:bookmarkEnd w:id="237"/>
      <w:bookmarkEnd w:id="238"/>
      <w:bookmarkEnd w:id="239"/>
    </w:p>
    <w:p w14:paraId="2A1D68CA">
      <w:pPr>
        <w:pStyle w:val="66"/>
        <w:numPr>
          <w:ilvl w:val="1"/>
          <w:numId w:val="0"/>
        </w:numPr>
        <w:ind w:firstLine="480" w:firstLineChars="200"/>
        <w:rPr>
          <w:rStyle w:val="67"/>
          <w:rFonts w:ascii="Calibri" w:hAnsi="Calibri" w:eastAsia="宋体" w:cs="Times New Roman"/>
          <w:b w:val="0"/>
          <w:bCs/>
          <w:sz w:val="24"/>
          <w:szCs w:val="24"/>
          <w:highlight w:val="none"/>
        </w:rPr>
      </w:pPr>
      <w:bookmarkStart w:id="240" w:name="_Toc420"/>
      <w:bookmarkStart w:id="241" w:name="_Toc31518"/>
      <w:bookmarkStart w:id="242" w:name="_Toc10064"/>
      <w:r>
        <w:rPr>
          <w:rStyle w:val="67"/>
          <w:rFonts w:ascii="Calibri" w:hAnsi="Calibri" w:eastAsia="宋体" w:cs="Times New Roman"/>
          <w:b w:val="0"/>
          <w:bCs/>
          <w:sz w:val="24"/>
          <w:szCs w:val="24"/>
          <w:highlight w:val="none"/>
        </w:rPr>
        <w:t>2）对招标文件的修改，将以书面的形式通知已收到招标文件的每一投标人。补充文件将作为招标文件的组成部分，对所有投标人有约束力。</w:t>
      </w:r>
      <w:bookmarkEnd w:id="240"/>
      <w:bookmarkEnd w:id="241"/>
      <w:bookmarkEnd w:id="242"/>
    </w:p>
    <w:p w14:paraId="5150E821">
      <w:pPr>
        <w:pStyle w:val="66"/>
        <w:numPr>
          <w:ilvl w:val="1"/>
          <w:numId w:val="0"/>
        </w:numPr>
        <w:ind w:firstLine="480" w:firstLineChars="200"/>
        <w:rPr>
          <w:rStyle w:val="67"/>
          <w:rFonts w:ascii="Calibri" w:hAnsi="Calibri" w:eastAsia="宋体" w:cs="Times New Roman"/>
          <w:b w:val="0"/>
          <w:bCs/>
          <w:sz w:val="24"/>
          <w:szCs w:val="24"/>
          <w:highlight w:val="none"/>
        </w:rPr>
      </w:pPr>
      <w:bookmarkStart w:id="243" w:name="_Toc754"/>
      <w:bookmarkStart w:id="244" w:name="_Toc28152"/>
      <w:bookmarkStart w:id="245" w:name="_Toc11808"/>
      <w:r>
        <w:rPr>
          <w:rStyle w:val="67"/>
          <w:rFonts w:ascii="Calibri" w:hAnsi="Calibri" w:eastAsia="宋体" w:cs="Times New Roman"/>
          <w:b w:val="0"/>
          <w:bCs/>
          <w:sz w:val="24"/>
          <w:szCs w:val="24"/>
          <w:highlight w:val="none"/>
        </w:rPr>
        <w:t>3）为使投标人有足够的时间按招标文件的修改要求考虑修正投标文件，招标人可酌情推迟投标和开标日期，并将这些变更通知上述每一投标人。</w:t>
      </w:r>
      <w:bookmarkEnd w:id="243"/>
      <w:bookmarkEnd w:id="244"/>
      <w:bookmarkEnd w:id="245"/>
    </w:p>
    <w:p w14:paraId="2C4B40A2">
      <w:pPr>
        <w:pStyle w:val="36"/>
        <w:numPr>
          <w:ilvl w:val="0"/>
          <w:numId w:val="6"/>
        </w:numPr>
        <w:rPr>
          <w:highlight w:val="none"/>
        </w:rPr>
      </w:pPr>
      <w:bookmarkStart w:id="246" w:name="_Toc9712"/>
      <w:bookmarkStart w:id="247" w:name="_Toc109031555"/>
      <w:bookmarkStart w:id="248" w:name="_Toc8364"/>
      <w:bookmarkStart w:id="249" w:name="_Toc95148181"/>
      <w:bookmarkStart w:id="250" w:name="_Toc74143840"/>
      <w:bookmarkStart w:id="251" w:name="_Toc18458"/>
      <w:r>
        <w:rPr>
          <w:rFonts w:hint="eastAsia"/>
          <w:highlight w:val="none"/>
        </w:rPr>
        <w:t>投标文件的内容和要求</w:t>
      </w:r>
      <w:bookmarkEnd w:id="246"/>
      <w:bookmarkEnd w:id="247"/>
      <w:bookmarkEnd w:id="248"/>
      <w:bookmarkEnd w:id="249"/>
      <w:bookmarkEnd w:id="250"/>
      <w:bookmarkEnd w:id="251"/>
    </w:p>
    <w:p w14:paraId="3C3D0478">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252" w:name="_Toc74143841"/>
      <w:bookmarkStart w:id="253" w:name="_Toc10347"/>
      <w:bookmarkStart w:id="254" w:name="_Toc109031556"/>
      <w:bookmarkStart w:id="255" w:name="_Toc18209"/>
      <w:bookmarkStart w:id="256" w:name="_Toc10999"/>
      <w:bookmarkStart w:id="257" w:name="_Toc95148182"/>
      <w:r>
        <w:rPr>
          <w:rStyle w:val="67"/>
          <w:rFonts w:hint="eastAsia" w:ascii="Calibri" w:hAnsi="Calibri" w:eastAsia="宋体" w:cs="Times New Roman"/>
          <w:b/>
          <w:sz w:val="24"/>
          <w:szCs w:val="24"/>
          <w:highlight w:val="none"/>
          <w:lang w:val="en-US" w:eastAsia="zh-CN"/>
        </w:rPr>
        <w:t>6.1</w:t>
      </w:r>
      <w:r>
        <w:rPr>
          <w:rStyle w:val="67"/>
          <w:rFonts w:ascii="Calibri" w:hAnsi="Calibri" w:eastAsia="宋体" w:cs="Times New Roman"/>
          <w:b/>
          <w:sz w:val="24"/>
          <w:szCs w:val="24"/>
          <w:highlight w:val="none"/>
        </w:rPr>
        <w:t>投标文件计量单位</w:t>
      </w:r>
      <w:bookmarkEnd w:id="252"/>
      <w:bookmarkEnd w:id="253"/>
      <w:bookmarkEnd w:id="254"/>
      <w:bookmarkEnd w:id="255"/>
      <w:bookmarkEnd w:id="256"/>
      <w:bookmarkEnd w:id="257"/>
    </w:p>
    <w:p w14:paraId="5C2D6F3C">
      <w:pPr>
        <w:pStyle w:val="37"/>
        <w:widowControl/>
        <w:ind w:firstLine="480"/>
        <w:rPr>
          <w:highlight w:val="none"/>
        </w:rPr>
      </w:pPr>
      <w:r>
        <w:rPr>
          <w:rFonts w:hint="eastAsia" w:cs="宋体"/>
          <w:highlight w:val="none"/>
        </w:rPr>
        <w:t>投标文件中所使用的计量单位，除招标文件中有特殊要求外，应采用国家法定计量单位。</w:t>
      </w:r>
    </w:p>
    <w:p w14:paraId="6BD4FD6A">
      <w:pPr>
        <w:pStyle w:val="66"/>
        <w:keepNext w:val="0"/>
        <w:widowControl/>
        <w:numPr>
          <w:ilvl w:val="1"/>
          <w:numId w:val="0"/>
        </w:numPr>
        <w:ind w:firstLine="482" w:firstLineChars="200"/>
        <w:rPr>
          <w:rStyle w:val="67"/>
          <w:rFonts w:hint="eastAsia" w:ascii="Calibri" w:hAnsi="Calibri" w:eastAsia="宋体" w:cs="Times New Roman"/>
          <w:b/>
          <w:sz w:val="24"/>
          <w:szCs w:val="24"/>
          <w:highlight w:val="none"/>
        </w:rPr>
      </w:pPr>
      <w:bookmarkStart w:id="258" w:name="_Toc6228"/>
      <w:bookmarkStart w:id="259" w:name="_Toc4176"/>
      <w:bookmarkStart w:id="260" w:name="_Toc109031557"/>
      <w:bookmarkStart w:id="261" w:name="_Toc2144"/>
      <w:bookmarkStart w:id="262" w:name="_Toc74143842"/>
      <w:bookmarkStart w:id="263" w:name="_Toc95148183"/>
      <w:r>
        <w:rPr>
          <w:rStyle w:val="67"/>
          <w:rFonts w:ascii="Calibri" w:hAnsi="Calibri" w:eastAsia="宋体" w:cs="Times New Roman"/>
          <w:b/>
          <w:sz w:val="24"/>
          <w:szCs w:val="24"/>
          <w:highlight w:val="none"/>
        </w:rPr>
        <w:t>6.2投标文件组成</w:t>
      </w:r>
      <w:bookmarkEnd w:id="258"/>
      <w:bookmarkEnd w:id="259"/>
      <w:bookmarkEnd w:id="260"/>
      <w:bookmarkEnd w:id="261"/>
      <w:bookmarkEnd w:id="262"/>
      <w:bookmarkEnd w:id="263"/>
    </w:p>
    <w:p w14:paraId="2FD18CD1">
      <w:pPr>
        <w:pStyle w:val="37"/>
        <w:widowControl/>
        <w:ind w:firstLine="480"/>
        <w:rPr>
          <w:rFonts w:cs="宋体"/>
          <w:highlight w:val="none"/>
        </w:rPr>
      </w:pPr>
      <w:r>
        <w:rPr>
          <w:rFonts w:hint="eastAsia" w:cs="宋体"/>
          <w:highlight w:val="none"/>
        </w:rPr>
        <w:t>投标文件由以下部分组成（请按照下述组织投标书各章节内容）：</w:t>
      </w:r>
    </w:p>
    <w:p w14:paraId="5B91293A">
      <w:pPr>
        <w:pStyle w:val="37"/>
        <w:widowControl/>
        <w:numPr>
          <w:ilvl w:val="0"/>
          <w:numId w:val="0"/>
        </w:numPr>
        <w:ind w:left="480" w:leftChars="0"/>
        <w:rPr>
          <w:rFonts w:cs="宋体"/>
          <w:highlight w:val="none"/>
        </w:rPr>
      </w:pPr>
      <w:r>
        <w:rPr>
          <w:rFonts w:hint="eastAsia"/>
          <w:b/>
          <w:bCs/>
          <w:highlight w:val="none"/>
          <w:lang w:val="en-US" w:eastAsia="zh-CN"/>
        </w:rPr>
        <w:t>6.2.1</w:t>
      </w:r>
      <w:r>
        <w:rPr>
          <w:rFonts w:hint="eastAsia"/>
          <w:b/>
          <w:bCs/>
          <w:highlight w:val="none"/>
        </w:rPr>
        <w:t>资质文件</w:t>
      </w:r>
      <w:r>
        <w:rPr>
          <w:rFonts w:hint="eastAsia"/>
          <w:highlight w:val="none"/>
        </w:rPr>
        <w:t>（独立封装在一个档案袋，一式两份）：</w:t>
      </w:r>
    </w:p>
    <w:p w14:paraId="7459CA2E">
      <w:pPr>
        <w:pStyle w:val="37"/>
        <w:ind w:firstLine="480"/>
        <w:rPr>
          <w:rFonts w:hint="eastAsia" w:ascii="Times New Roman" w:hAnsi="Times New Roman" w:eastAsia="宋体" w:cs="宋体"/>
          <w:highlight w:val="none"/>
        </w:rPr>
      </w:pPr>
      <w:r>
        <w:rPr>
          <w:rFonts w:hint="eastAsia" w:ascii="Times New Roman" w:hAnsi="Times New Roman" w:eastAsia="宋体" w:cs="宋体"/>
          <w:sz w:val="24"/>
          <w:szCs w:val="22"/>
          <w:highlight w:val="none"/>
          <w:lang w:val="en-US" w:eastAsia="zh-CN"/>
        </w:rPr>
        <w:t>1）</w:t>
      </w:r>
      <w:r>
        <w:rPr>
          <w:rFonts w:hint="eastAsia" w:ascii="Times New Roman" w:hAnsi="Times New Roman" w:eastAsia="宋体" w:cs="宋体"/>
          <w:sz w:val="24"/>
          <w:szCs w:val="22"/>
          <w:highlight w:val="none"/>
        </w:rPr>
        <w:t>营业执照副本复印件（需加盖公章</w:t>
      </w:r>
      <w:r>
        <w:rPr>
          <w:rFonts w:hint="eastAsia" w:ascii="Times New Roman" w:hAnsi="Times New Roman" w:eastAsia="宋体" w:cs="宋体"/>
          <w:highlight w:val="none"/>
        </w:rPr>
        <w:t>）</w:t>
      </w:r>
      <w:r>
        <w:rPr>
          <w:rFonts w:hint="eastAsia" w:ascii="Times New Roman" w:hAnsi="Times New Roman" w:eastAsia="宋体" w:cs="宋体"/>
          <w:highlight w:val="none"/>
          <w:lang w:eastAsia="zh-CN"/>
        </w:rPr>
        <w:t>。</w:t>
      </w:r>
    </w:p>
    <w:p w14:paraId="23D8CAF9">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法定代表人授权委托书（见附件2）</w:t>
      </w:r>
      <w:r>
        <w:rPr>
          <w:rFonts w:hint="eastAsia" w:ascii="Times New Roman" w:hAnsi="Times New Roman" w:eastAsia="宋体" w:cs="宋体"/>
          <w:highlight w:val="none"/>
          <w:lang w:eastAsia="zh-CN"/>
        </w:rPr>
        <w:t>，法定代表人参加投标的，提供法人身份证明文件即可；被授权人参加投标的，需提供法定代表人授权委托书（含法人身份证和被授权人身份证正反面复印件）。</w:t>
      </w:r>
    </w:p>
    <w:p w14:paraId="3BCC4136">
      <w:pPr>
        <w:pStyle w:val="37"/>
        <w:widowControl/>
        <w:rPr>
          <w:rFonts w:hint="eastAsia" w:ascii="Times New Roman" w:hAnsi="Times New Roman" w:eastAsia="宋体" w:cs="宋体"/>
          <w:sz w:val="24"/>
          <w:szCs w:val="22"/>
          <w:highlight w:val="none"/>
        </w:rPr>
      </w:pPr>
      <w:r>
        <w:rPr>
          <w:rFonts w:hint="eastAsia" w:ascii="Times New Roman" w:hAnsi="Times New Roman" w:eastAsia="宋体" w:cs="宋体"/>
          <w:sz w:val="24"/>
          <w:szCs w:val="22"/>
          <w:highlight w:val="none"/>
          <w:lang w:val="en-US" w:eastAsia="zh-CN"/>
        </w:rPr>
        <w:t>3）</w:t>
      </w:r>
      <w:r>
        <w:rPr>
          <w:rFonts w:hint="eastAsia" w:ascii="Times New Roman" w:hAnsi="Times New Roman" w:eastAsia="宋体" w:cs="宋体"/>
          <w:sz w:val="24"/>
          <w:szCs w:val="22"/>
          <w:highlight w:val="none"/>
        </w:rPr>
        <w:t>近半年的完税证明</w:t>
      </w:r>
      <w:r>
        <w:rPr>
          <w:rFonts w:hint="eastAsia" w:ascii="Times New Roman" w:hAnsi="Times New Roman" w:eastAsia="宋体" w:cs="宋体"/>
          <w:sz w:val="24"/>
          <w:szCs w:val="22"/>
          <w:highlight w:val="none"/>
          <w:lang w:eastAsia="zh-CN"/>
        </w:rPr>
        <w:t>，</w:t>
      </w:r>
      <w:r>
        <w:rPr>
          <w:rFonts w:hint="eastAsia" w:ascii="Times New Roman" w:hAnsi="Times New Roman" w:eastAsia="宋体" w:cs="宋体"/>
          <w:sz w:val="24"/>
          <w:szCs w:val="22"/>
          <w:highlight w:val="none"/>
          <w:lang w:val="en-US" w:eastAsia="zh-CN"/>
        </w:rPr>
        <w:t>并附</w:t>
      </w:r>
      <w:r>
        <w:rPr>
          <w:rFonts w:hint="eastAsia" w:ascii="Times New Roman" w:hAnsi="Times New Roman" w:eastAsia="宋体" w:cs="宋体"/>
          <w:sz w:val="24"/>
          <w:szCs w:val="22"/>
          <w:highlight w:val="none"/>
        </w:rPr>
        <w:t>年度纳税信用评价信息（可从电子税务局查询截图，需加盖公章）</w:t>
      </w:r>
      <w:r>
        <w:rPr>
          <w:rFonts w:hint="eastAsia" w:ascii="Times New Roman" w:hAnsi="Times New Roman" w:eastAsia="宋体" w:cs="宋体"/>
          <w:sz w:val="24"/>
          <w:szCs w:val="22"/>
          <w:highlight w:val="none"/>
          <w:lang w:eastAsia="zh-CN"/>
        </w:rPr>
        <w:t>。</w:t>
      </w:r>
    </w:p>
    <w:p w14:paraId="08FA642C">
      <w:pPr>
        <w:pStyle w:val="37"/>
        <w:widowControl/>
        <w:numPr>
          <w:ilvl w:val="0"/>
          <w:numId w:val="8"/>
        </w:numPr>
        <w:rPr>
          <w:rFonts w:hint="eastAsia" w:ascii="Times New Roman" w:hAnsi="Times New Roman" w:eastAsia="宋体" w:cs="宋体"/>
          <w:b w:val="0"/>
          <w:sz w:val="24"/>
          <w:szCs w:val="22"/>
          <w:highlight w:val="none"/>
          <w:lang w:eastAsia="zh-CN"/>
        </w:rPr>
      </w:pPr>
      <w:r>
        <w:rPr>
          <w:rFonts w:hint="eastAsia" w:ascii="Times New Roman" w:hAnsi="Times New Roman" w:eastAsia="宋体" w:cs="宋体"/>
          <w:sz w:val="24"/>
          <w:szCs w:val="22"/>
          <w:highlight w:val="none"/>
        </w:rPr>
        <w:t>近</w:t>
      </w:r>
      <w:r>
        <w:rPr>
          <w:rFonts w:hint="eastAsia" w:ascii="Times New Roman" w:hAnsi="Times New Roman" w:eastAsia="宋体" w:cs="宋体"/>
          <w:sz w:val="24"/>
          <w:szCs w:val="22"/>
          <w:highlight w:val="none"/>
          <w:lang w:val="en-US" w:eastAsia="zh-CN"/>
        </w:rPr>
        <w:t>三年经第三方机构审计的</w:t>
      </w:r>
      <w:r>
        <w:rPr>
          <w:rFonts w:hint="eastAsia" w:ascii="Times New Roman" w:hAnsi="Times New Roman" w:eastAsia="宋体" w:cs="宋体"/>
          <w:sz w:val="24"/>
          <w:szCs w:val="22"/>
          <w:highlight w:val="none"/>
        </w:rPr>
        <w:t>财务报表（</w:t>
      </w:r>
      <w:r>
        <w:rPr>
          <w:rFonts w:hint="eastAsia" w:ascii="Times New Roman" w:hAnsi="Times New Roman" w:eastAsia="宋体" w:cs="宋体"/>
          <w:sz w:val="24"/>
          <w:szCs w:val="22"/>
          <w:highlight w:val="none"/>
          <w:lang w:val="en-US" w:eastAsia="zh-CN"/>
        </w:rPr>
        <w:t>报告页、</w:t>
      </w:r>
      <w:r>
        <w:rPr>
          <w:rFonts w:hint="eastAsia" w:ascii="Times New Roman" w:hAnsi="Times New Roman" w:eastAsia="宋体" w:cs="宋体"/>
          <w:sz w:val="24"/>
          <w:szCs w:val="22"/>
          <w:highlight w:val="none"/>
        </w:rPr>
        <w:t>资产负债表、损益表、现金流量表）复印件（需加盖公章）</w:t>
      </w:r>
      <w:r>
        <w:rPr>
          <w:rFonts w:hint="eastAsia" w:ascii="Times New Roman" w:hAnsi="Times New Roman" w:eastAsia="宋体" w:cs="宋体"/>
          <w:b w:val="0"/>
          <w:sz w:val="24"/>
          <w:szCs w:val="22"/>
          <w:highlight w:val="none"/>
          <w:lang w:eastAsia="zh-CN"/>
        </w:rPr>
        <w:t>。</w:t>
      </w:r>
    </w:p>
    <w:p w14:paraId="4809B4E3">
      <w:pPr>
        <w:pStyle w:val="37"/>
        <w:widowControl/>
        <w:numPr>
          <w:ilvl w:val="0"/>
          <w:numId w:val="8"/>
        </w:numPr>
        <w:rPr>
          <w:rFonts w:hint="eastAsia" w:ascii="Times New Roman" w:hAnsi="Times New Roman" w:eastAsia="宋体" w:cs="宋体"/>
          <w:b w:val="0"/>
          <w:sz w:val="24"/>
          <w:szCs w:val="22"/>
          <w:highlight w:val="none"/>
          <w:lang w:eastAsia="zh-CN"/>
        </w:rPr>
      </w:pPr>
      <w:r>
        <w:rPr>
          <w:rFonts w:hint="eastAsia" w:ascii="宋体" w:hAnsi="宋体" w:cs="宋体"/>
          <w:sz w:val="24"/>
          <w:highlight w:val="none"/>
        </w:rPr>
        <w:t>在“国家企业信用信息公示系统”或“信用中国”等信息平台中，无行政处罚及失信记录等信息</w:t>
      </w:r>
      <w:r>
        <w:rPr>
          <w:rFonts w:hint="eastAsia" w:ascii="宋体" w:hAnsi="宋体" w:cs="宋体"/>
          <w:sz w:val="24"/>
          <w:highlight w:val="none"/>
          <w:lang w:val="en-US" w:eastAsia="zh-CN"/>
        </w:rPr>
        <w:t>截图（加盖公章）。</w:t>
      </w:r>
    </w:p>
    <w:p w14:paraId="2EF46FB9">
      <w:pPr>
        <w:pStyle w:val="37"/>
        <w:widowControl/>
        <w:numPr>
          <w:ilvl w:val="0"/>
          <w:numId w:val="8"/>
        </w:numPr>
        <w:rPr>
          <w:rFonts w:hint="eastAsia" w:ascii="Times New Roman" w:hAnsi="Times New Roman" w:eastAsia="宋体" w:cs="宋体"/>
          <w:b w:val="0"/>
          <w:sz w:val="24"/>
          <w:szCs w:val="22"/>
          <w:highlight w:val="none"/>
          <w:lang w:eastAsia="zh-CN"/>
        </w:rPr>
      </w:pPr>
      <w:r>
        <w:rPr>
          <w:rFonts w:hint="eastAsia" w:ascii="Times New Roman" w:hAnsi="Times New Roman" w:eastAsia="宋体" w:cs="宋体"/>
          <w:b w:val="0"/>
          <w:sz w:val="24"/>
          <w:szCs w:val="22"/>
          <w:highlight w:val="none"/>
          <w:lang w:eastAsia="zh-CN"/>
        </w:rPr>
        <w:t>成功案例。列举与</w:t>
      </w:r>
      <w:r>
        <w:rPr>
          <w:rFonts w:hint="eastAsia" w:cs="宋体"/>
          <w:b w:val="0"/>
          <w:sz w:val="24"/>
          <w:szCs w:val="22"/>
          <w:highlight w:val="none"/>
          <w:lang w:eastAsia="zh-CN"/>
        </w:rPr>
        <w:t>此次</w:t>
      </w:r>
      <w:r>
        <w:rPr>
          <w:rFonts w:hint="eastAsia" w:ascii="Times New Roman" w:hAnsi="Times New Roman" w:eastAsia="宋体" w:cs="宋体"/>
          <w:b w:val="0"/>
          <w:sz w:val="24"/>
          <w:szCs w:val="22"/>
          <w:highlight w:val="none"/>
          <w:lang w:eastAsia="zh-CN"/>
        </w:rPr>
        <w:t>招标项目类似的成功案例，包括项目实施时间、单位、应用范围、投标人参与的核心成员等。</w:t>
      </w:r>
    </w:p>
    <w:p w14:paraId="2FA7E4BB">
      <w:pPr>
        <w:pStyle w:val="37"/>
        <w:widowControl/>
        <w:numPr>
          <w:ilvl w:val="0"/>
          <w:numId w:val="8"/>
        </w:numPr>
        <w:rPr>
          <w:rFonts w:hint="eastAsia" w:ascii="Times New Roman" w:hAnsi="Times New Roman" w:eastAsia="宋体" w:cs="宋体"/>
          <w:b w:val="0"/>
          <w:sz w:val="24"/>
          <w:szCs w:val="22"/>
          <w:highlight w:val="none"/>
          <w:lang w:eastAsia="zh-CN"/>
        </w:rPr>
      </w:pPr>
      <w:r>
        <w:rPr>
          <w:rFonts w:hint="eastAsia" w:ascii="Times New Roman" w:hAnsi="Times New Roman" w:eastAsia="宋体" w:cs="宋体"/>
          <w:b w:val="0"/>
          <w:sz w:val="24"/>
          <w:szCs w:val="22"/>
          <w:highlight w:val="none"/>
          <w:lang w:eastAsia="zh-CN"/>
        </w:rPr>
        <w:t>投标保证金</w:t>
      </w:r>
      <w:r>
        <w:rPr>
          <w:rFonts w:hint="eastAsia" w:cs="宋体"/>
          <w:b w:val="0"/>
          <w:sz w:val="24"/>
          <w:szCs w:val="22"/>
          <w:highlight w:val="none"/>
          <w:lang w:val="en-US" w:eastAsia="zh-CN"/>
        </w:rPr>
        <w:t>交</w:t>
      </w:r>
      <w:r>
        <w:rPr>
          <w:rFonts w:hint="eastAsia" w:ascii="Times New Roman" w:hAnsi="Times New Roman" w:eastAsia="宋体" w:cs="宋体"/>
          <w:b w:val="0"/>
          <w:sz w:val="24"/>
          <w:szCs w:val="22"/>
          <w:highlight w:val="none"/>
          <w:lang w:eastAsia="zh-CN"/>
        </w:rPr>
        <w:t>纳电子回单。</w:t>
      </w:r>
    </w:p>
    <w:p w14:paraId="50606989">
      <w:pPr>
        <w:pStyle w:val="37"/>
        <w:widowControl/>
        <w:ind w:firstLine="480"/>
        <w:rPr>
          <w:rFonts w:hint="eastAsia"/>
          <w:highlight w:val="none"/>
        </w:rPr>
      </w:pPr>
      <w:r>
        <w:rPr>
          <w:rFonts w:hint="default" w:ascii="Times New Roman" w:hAnsi="Times New Roman" w:eastAsia="宋体" w:cs="Times New Roman"/>
          <w:b/>
          <w:bCs/>
          <w:highlight w:val="none"/>
          <w:lang w:val="en-US" w:eastAsia="zh-CN"/>
        </w:rPr>
        <w:t>6.2.2</w:t>
      </w:r>
      <w:r>
        <w:rPr>
          <w:rFonts w:hint="default" w:ascii="Times New Roman" w:hAnsi="Times New Roman" w:eastAsia="宋体" w:cs="Times New Roman"/>
          <w:b/>
          <w:bCs/>
          <w:highlight w:val="none"/>
        </w:rPr>
        <w:t>技术标</w:t>
      </w:r>
      <w:r>
        <w:rPr>
          <w:rFonts w:hint="eastAsia"/>
          <w:highlight w:val="none"/>
        </w:rPr>
        <w:t>（独立封装在一个档案袋，一式四份，其中正本一份，副本三份，并附存有电子版投标文件的</w:t>
      </w:r>
      <w:r>
        <w:rPr>
          <w:highlight w:val="none"/>
        </w:rPr>
        <w:t>U</w:t>
      </w:r>
      <w:r>
        <w:rPr>
          <w:rFonts w:hint="eastAsia"/>
          <w:highlight w:val="none"/>
        </w:rPr>
        <w:t>盘，电子版要求详见后面投标文件格式，此U盘和技术标封装在一起，注意和讲标文件U盘做好区分，讲标U盘独立封装，现场讲标时开启使用）：</w:t>
      </w:r>
    </w:p>
    <w:p w14:paraId="6A2C39BD">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项目实施方案（见附件7）。针对招标文件项目技术要求，提出相应的解决方案；</w:t>
      </w:r>
    </w:p>
    <w:p w14:paraId="2974B78D">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关于汽车金融公司、</w:t>
      </w:r>
      <w:r>
        <w:rPr>
          <w:rFonts w:hint="eastAsia" w:ascii="Times New Roman" w:hAnsi="Times New Roman" w:eastAsia="宋体" w:cs="宋体"/>
          <w:highlight w:val="none"/>
          <w:lang w:val="en-US" w:eastAsia="zh-CN"/>
        </w:rPr>
        <w:t>财务公司、</w:t>
      </w:r>
      <w:r>
        <w:rPr>
          <w:rFonts w:hint="eastAsia" w:ascii="Times New Roman" w:hAnsi="Times New Roman" w:eastAsia="宋体" w:cs="宋体"/>
          <w:highlight w:val="none"/>
        </w:rPr>
        <w:t>银行</w:t>
      </w:r>
      <w:r>
        <w:rPr>
          <w:rFonts w:hint="eastAsia" w:ascii="Times New Roman" w:hAnsi="Times New Roman" w:eastAsia="宋体" w:cs="宋体"/>
          <w:highlight w:val="none"/>
          <w:lang w:val="en-US" w:eastAsia="zh-CN"/>
        </w:rPr>
        <w:t>内部控制审计</w:t>
      </w:r>
      <w:r>
        <w:rPr>
          <w:rFonts w:hint="eastAsia" w:ascii="Times New Roman" w:hAnsi="Times New Roman" w:eastAsia="宋体" w:cs="宋体"/>
          <w:highlight w:val="none"/>
        </w:rPr>
        <w:t>项目相关案例，包括项目实施时间、单位、</w:t>
      </w:r>
      <w:r>
        <w:rPr>
          <w:rFonts w:hint="eastAsia" w:ascii="Times New Roman" w:hAnsi="Times New Roman" w:eastAsia="宋体" w:cs="宋体"/>
          <w:highlight w:val="none"/>
          <w:lang w:val="en-US" w:eastAsia="zh-CN"/>
        </w:rPr>
        <w:t>项目</w:t>
      </w:r>
      <w:r>
        <w:rPr>
          <w:rFonts w:hint="eastAsia" w:ascii="Times New Roman" w:hAnsi="Times New Roman" w:eastAsia="宋体" w:cs="宋体"/>
          <w:highlight w:val="none"/>
        </w:rPr>
        <w:t xml:space="preserve">范围等； </w:t>
      </w:r>
    </w:p>
    <w:p w14:paraId="7BE4F351">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rPr>
        <w:t>技术规格、参数偏离表（见附件6）；</w:t>
      </w:r>
    </w:p>
    <w:p w14:paraId="752FA925">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投标报名表（见附件8）；</w:t>
      </w:r>
    </w:p>
    <w:p w14:paraId="471B0453">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出具提供服务的《承诺函》（对服务内容、服务质量等内容进行承诺）；</w:t>
      </w:r>
    </w:p>
    <w:p w14:paraId="62BF3473">
      <w:pPr>
        <w:pStyle w:val="37"/>
        <w:ind w:firstLine="480"/>
        <w:rPr>
          <w:rFonts w:hint="eastAsia" w:ascii="Times New Roman" w:hAnsi="Times New Roman" w:eastAsia="宋体" w:cs="宋体"/>
          <w:szCs w:val="22"/>
          <w:highlight w:val="none"/>
        </w:rPr>
      </w:pPr>
      <w:r>
        <w:rPr>
          <w:rFonts w:hint="eastAsia" w:ascii="Times New Roman" w:hAnsi="Times New Roman" w:eastAsia="宋体" w:cs="宋体"/>
          <w:szCs w:val="22"/>
          <w:highlight w:val="none"/>
          <w:lang w:val="en-US" w:eastAsia="zh-CN"/>
        </w:rPr>
        <w:t>6）</w:t>
      </w:r>
      <w:r>
        <w:rPr>
          <w:rFonts w:hint="eastAsia" w:ascii="Times New Roman" w:hAnsi="Times New Roman" w:eastAsia="宋体" w:cs="宋体"/>
          <w:szCs w:val="22"/>
          <w:highlight w:val="none"/>
        </w:rPr>
        <w:t>投标人自行编写的技术文件；</w:t>
      </w:r>
    </w:p>
    <w:p w14:paraId="5F8DEA9F">
      <w:pPr>
        <w:pStyle w:val="37"/>
        <w:ind w:firstLine="480"/>
        <w:rPr>
          <w:rFonts w:cs="宋体"/>
          <w:highlight w:val="none"/>
        </w:rPr>
      </w:pPr>
      <w:r>
        <w:rPr>
          <w:rFonts w:hint="eastAsia" w:ascii="Times New Roman" w:hAnsi="Times New Roman" w:eastAsia="宋体" w:cs="宋体"/>
          <w:szCs w:val="22"/>
          <w:highlight w:val="none"/>
          <w:lang w:val="en-US" w:eastAsia="zh-CN"/>
        </w:rPr>
        <w:t>7）</w:t>
      </w:r>
      <w:r>
        <w:rPr>
          <w:rFonts w:hint="eastAsia" w:ascii="Times New Roman" w:hAnsi="Times New Roman" w:eastAsia="宋体" w:cs="宋体"/>
          <w:szCs w:val="22"/>
          <w:highlight w:val="none"/>
        </w:rPr>
        <w:t>投标人认为需要提供的</w:t>
      </w:r>
      <w:r>
        <w:rPr>
          <w:rFonts w:hint="eastAsia" w:cs="宋体"/>
          <w:szCs w:val="22"/>
          <w:highlight w:val="none"/>
          <w:lang w:eastAsia="zh-CN"/>
        </w:rPr>
        <w:t>其他</w:t>
      </w:r>
      <w:r>
        <w:rPr>
          <w:rFonts w:hint="eastAsia" w:ascii="Times New Roman" w:hAnsi="Times New Roman" w:eastAsia="宋体" w:cs="宋体"/>
          <w:szCs w:val="22"/>
          <w:highlight w:val="none"/>
        </w:rPr>
        <w:t>说明和资料</w:t>
      </w:r>
      <w:r>
        <w:rPr>
          <w:rFonts w:hint="eastAsia" w:ascii="宋体" w:hAnsi="宋体" w:cs="宋体"/>
          <w:color w:val="000000"/>
          <w:szCs w:val="21"/>
          <w:highlight w:val="none"/>
        </w:rPr>
        <w:t>。</w:t>
      </w:r>
    </w:p>
    <w:p w14:paraId="6413E6C8">
      <w:pPr>
        <w:pStyle w:val="38"/>
        <w:widowControl/>
        <w:numPr>
          <w:ilvl w:val="0"/>
          <w:numId w:val="0"/>
        </w:numPr>
        <w:tabs>
          <w:tab w:val="left" w:pos="0"/>
          <w:tab w:val="left" w:pos="420"/>
        </w:tabs>
        <w:adjustRightInd w:val="0"/>
        <w:snapToGrid w:val="0"/>
        <w:spacing w:line="300" w:lineRule="auto"/>
        <w:ind w:left="0" w:firstLine="482" w:firstLineChars="200"/>
        <w:rPr>
          <w:rFonts w:cs="宋体"/>
          <w:b/>
          <w:bCs/>
          <w:color w:val="FF0000"/>
          <w:highlight w:val="none"/>
        </w:rPr>
      </w:pPr>
      <w:r>
        <w:rPr>
          <w:rFonts w:hint="eastAsia" w:cs="宋体"/>
          <w:b/>
          <w:bCs/>
          <w:color w:val="FF0000"/>
          <w:highlight w:val="none"/>
        </w:rPr>
        <w:t>特别注意：技术标资料中一定不要包含报价内容。</w:t>
      </w:r>
    </w:p>
    <w:p w14:paraId="5CDB0211">
      <w:pPr>
        <w:pStyle w:val="37"/>
        <w:widowControl/>
        <w:ind w:firstLine="480"/>
        <w:rPr>
          <w:highlight w:val="none"/>
        </w:rPr>
      </w:pPr>
      <w:r>
        <w:rPr>
          <w:rFonts w:hint="eastAsia" w:ascii="Times New Roman" w:hAnsi="Times New Roman" w:eastAsia="宋体" w:cs="Times New Roman"/>
          <w:b/>
          <w:bCs/>
          <w:highlight w:val="none"/>
          <w:lang w:eastAsia="zh-CN"/>
        </w:rPr>
        <w:t>6</w:t>
      </w:r>
      <w:r>
        <w:rPr>
          <w:rFonts w:hint="eastAsia" w:ascii="Times New Roman" w:hAnsi="Times New Roman" w:eastAsia="宋体" w:cs="Times New Roman"/>
          <w:b/>
          <w:bCs/>
          <w:highlight w:val="none"/>
          <w:lang w:val="en-US" w:eastAsia="zh-CN"/>
        </w:rPr>
        <w:t>.2.3</w:t>
      </w:r>
      <w:r>
        <w:rPr>
          <w:rFonts w:hint="default" w:ascii="Times New Roman" w:hAnsi="Times New Roman" w:eastAsia="宋体" w:cs="Times New Roman"/>
          <w:b/>
          <w:bCs/>
          <w:highlight w:val="none"/>
        </w:rPr>
        <w:t>商务标</w:t>
      </w:r>
      <w:r>
        <w:rPr>
          <w:rFonts w:hint="eastAsia"/>
          <w:highlight w:val="none"/>
        </w:rPr>
        <w:t>（独立封装在一个档案袋，一式四份，其中正本一份，副本三份）：</w:t>
      </w:r>
    </w:p>
    <w:p w14:paraId="2BE4BED3">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投标函（见附件1）。</w:t>
      </w:r>
    </w:p>
    <w:p w14:paraId="696FB89E">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开标一览表（见附件4）。</w:t>
      </w:r>
    </w:p>
    <w:p w14:paraId="7788C865">
      <w:pPr>
        <w:pStyle w:val="37"/>
        <w:ind w:firstLine="480"/>
        <w:rPr>
          <w:rFonts w:hint="eastAsia" w:ascii="Times New Roman" w:hAnsi="Times New Roman" w:eastAsia="宋体" w:cs="宋体"/>
          <w:szCs w:val="22"/>
          <w:highlight w:val="none"/>
        </w:rPr>
      </w:pPr>
      <w:r>
        <w:rPr>
          <w:rFonts w:hint="eastAsia" w:ascii="Times New Roman" w:hAnsi="Times New Roman" w:eastAsia="宋体" w:cs="宋体"/>
          <w:szCs w:val="22"/>
          <w:highlight w:val="none"/>
          <w:lang w:val="en-US" w:eastAsia="zh-CN"/>
        </w:rPr>
        <w:t>3）</w:t>
      </w:r>
      <w:r>
        <w:rPr>
          <w:rFonts w:hint="eastAsia" w:ascii="Times New Roman" w:hAnsi="Times New Roman" w:eastAsia="宋体" w:cs="宋体"/>
          <w:szCs w:val="22"/>
          <w:highlight w:val="none"/>
        </w:rPr>
        <w:t>开标一览表中所有报价均采用人民币报价，其金额应包括：</w:t>
      </w:r>
      <w:r>
        <w:rPr>
          <w:rFonts w:hint="eastAsia" w:ascii="Times New Roman" w:hAnsi="Times New Roman" w:eastAsia="宋体" w:cs="宋体"/>
          <w:szCs w:val="22"/>
          <w:highlight w:val="none"/>
          <w:lang w:val="en-US" w:eastAsia="zh-CN"/>
        </w:rPr>
        <w:t>内部控制审计服务</w:t>
      </w:r>
      <w:r>
        <w:rPr>
          <w:rFonts w:hint="eastAsia" w:ascii="Times New Roman" w:hAnsi="Times New Roman" w:eastAsia="宋体" w:cs="宋体"/>
          <w:szCs w:val="22"/>
          <w:highlight w:val="none"/>
        </w:rPr>
        <w:t>费、税费等一切费用。</w:t>
      </w:r>
    </w:p>
    <w:p w14:paraId="263CF237">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商务条款偏离表（见附件5）。</w:t>
      </w:r>
    </w:p>
    <w:p w14:paraId="0E50E9F0">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服务承诺及优惠条件。</w:t>
      </w:r>
    </w:p>
    <w:p w14:paraId="40F656C8">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6）</w:t>
      </w:r>
      <w:r>
        <w:rPr>
          <w:rFonts w:hint="eastAsia" w:cs="宋体"/>
          <w:highlight w:val="none"/>
          <w:lang w:val="en-US" w:eastAsia="zh-CN"/>
        </w:rPr>
        <w:t>其他</w:t>
      </w:r>
      <w:r>
        <w:rPr>
          <w:rFonts w:hint="eastAsia" w:ascii="Times New Roman" w:hAnsi="Times New Roman" w:eastAsia="宋体" w:cs="宋体"/>
          <w:highlight w:val="none"/>
        </w:rPr>
        <w:t>需要说明的事项。</w:t>
      </w:r>
    </w:p>
    <w:p w14:paraId="6CE6C478">
      <w:pPr>
        <w:pStyle w:val="66"/>
        <w:numPr>
          <w:ilvl w:val="-1"/>
          <w:numId w:val="0"/>
        </w:numPr>
        <w:ind w:left="440" w:firstLine="0"/>
        <w:rPr>
          <w:rFonts w:ascii="Times New Roman" w:hAnsi="Times New Roman" w:eastAsia="宋体" w:cs="Times New Roman"/>
          <w:bCs/>
          <w:sz w:val="24"/>
          <w:szCs w:val="22"/>
          <w:highlight w:val="none"/>
        </w:rPr>
      </w:pPr>
      <w:bookmarkStart w:id="264" w:name="_Toc74143844"/>
      <w:bookmarkStart w:id="265" w:name="_Toc13707"/>
      <w:bookmarkStart w:id="266" w:name="_Toc4403"/>
      <w:bookmarkStart w:id="267" w:name="_Toc23072"/>
      <w:bookmarkStart w:id="268" w:name="_Toc95148185"/>
      <w:bookmarkStart w:id="269" w:name="_Toc109031558"/>
      <w:r>
        <w:rPr>
          <w:rFonts w:hint="default" w:ascii="Times New Roman" w:hAnsi="Times New Roman" w:eastAsia="宋体" w:cs="Times New Roman"/>
          <w:bCs/>
          <w:sz w:val="24"/>
          <w:szCs w:val="22"/>
          <w:highlight w:val="none"/>
          <w:lang w:val="en-US" w:eastAsia="zh-CN"/>
        </w:rPr>
        <w:t>6.2.4</w:t>
      </w:r>
      <w:r>
        <w:rPr>
          <w:rFonts w:hint="default" w:ascii="Times New Roman" w:hAnsi="Times New Roman" w:eastAsia="宋体" w:cs="Times New Roman"/>
          <w:bCs/>
          <w:sz w:val="24"/>
          <w:szCs w:val="22"/>
          <w:highlight w:val="none"/>
        </w:rPr>
        <w:t>投标文件格式</w:t>
      </w:r>
      <w:bookmarkEnd w:id="264"/>
      <w:bookmarkEnd w:id="265"/>
      <w:bookmarkEnd w:id="266"/>
      <w:bookmarkEnd w:id="267"/>
      <w:bookmarkEnd w:id="268"/>
      <w:bookmarkEnd w:id="269"/>
    </w:p>
    <w:p w14:paraId="25C0725D">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投标文件语言应采用中文。</w:t>
      </w:r>
    </w:p>
    <w:p w14:paraId="3C83FBF4">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投标文件字体书写必须工整清楚，易于辨认，文义明白准确。投标文件不得涂改和增删。如因字迹潦草或表达不清所引起的后果由投标人负责。</w:t>
      </w:r>
    </w:p>
    <w:p w14:paraId="304625B1">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rPr>
        <w:t>投标文件必须用不褪色的墨水填写或打印。</w:t>
      </w:r>
    </w:p>
    <w:p w14:paraId="7B3AACA7">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投标文件必须由法人代表或授权代表签署，投标人应填写全称，并加盖公章（含骑缝章）。</w:t>
      </w:r>
    </w:p>
    <w:p w14:paraId="31D60933">
      <w:pPr>
        <w:pStyle w:val="37"/>
        <w:ind w:firstLine="480"/>
        <w:rPr>
          <w:rFonts w:hint="eastAsia" w:ascii="Times New Roman" w:hAnsi="Times New Roman" w:eastAsia="宋体" w:cs="宋体"/>
          <w:b/>
          <w:bCs/>
          <w:highlight w:val="none"/>
        </w:rPr>
      </w:pPr>
      <w:r>
        <w:rPr>
          <w:rFonts w:hint="eastAsia" w:ascii="Times New Roman" w:hAnsi="Times New Roman" w:eastAsia="宋体" w:cs="宋体"/>
          <w:b/>
          <w:bCs/>
          <w:highlight w:val="none"/>
        </w:rPr>
        <w:t>不按上述规定编写的投标文件将视为主动放弃，不予评标。</w:t>
      </w:r>
    </w:p>
    <w:p w14:paraId="177105FF">
      <w:pPr>
        <w:pStyle w:val="66"/>
        <w:numPr>
          <w:ilvl w:val="-1"/>
          <w:numId w:val="0"/>
        </w:numPr>
        <w:ind w:left="440"/>
        <w:rPr>
          <w:rFonts w:ascii="Times New Roman" w:hAnsi="Times New Roman" w:eastAsia="宋体" w:cs="Times New Roman"/>
          <w:bCs/>
          <w:sz w:val="24"/>
          <w:szCs w:val="22"/>
          <w:highlight w:val="none"/>
        </w:rPr>
      </w:pPr>
      <w:bookmarkStart w:id="270" w:name="_Toc95148186"/>
      <w:bookmarkStart w:id="271" w:name="_Toc9620"/>
      <w:bookmarkStart w:id="272" w:name="_Toc74143845"/>
      <w:bookmarkStart w:id="273" w:name="_Toc2248"/>
      <w:bookmarkStart w:id="274" w:name="_Toc264881859"/>
      <w:bookmarkStart w:id="275" w:name="_Toc265850579"/>
      <w:bookmarkStart w:id="276" w:name="_Toc29346"/>
      <w:bookmarkStart w:id="277" w:name="_Toc234922354"/>
      <w:bookmarkStart w:id="278" w:name="_Toc109031559"/>
      <w:r>
        <w:rPr>
          <w:rFonts w:hint="eastAsia" w:ascii="Times New Roman" w:hAnsi="Times New Roman" w:eastAsia="宋体" w:cs="Times New Roman"/>
          <w:bCs/>
          <w:sz w:val="24"/>
          <w:szCs w:val="22"/>
          <w:highlight w:val="none"/>
          <w:lang w:val="en-US" w:eastAsia="zh-CN"/>
        </w:rPr>
        <w:t>6.2.5</w:t>
      </w:r>
      <w:r>
        <w:rPr>
          <w:rFonts w:hint="default" w:ascii="Times New Roman" w:hAnsi="Times New Roman" w:eastAsia="宋体" w:cs="Times New Roman"/>
          <w:bCs/>
          <w:sz w:val="24"/>
          <w:szCs w:val="22"/>
          <w:highlight w:val="none"/>
        </w:rPr>
        <w:t>投标文件的装袋、密封和递交</w:t>
      </w:r>
      <w:bookmarkEnd w:id="270"/>
      <w:bookmarkEnd w:id="271"/>
      <w:bookmarkEnd w:id="272"/>
      <w:bookmarkEnd w:id="273"/>
      <w:bookmarkEnd w:id="274"/>
      <w:bookmarkEnd w:id="275"/>
      <w:bookmarkEnd w:id="276"/>
      <w:bookmarkEnd w:id="277"/>
      <w:bookmarkEnd w:id="278"/>
    </w:p>
    <w:p w14:paraId="4801669F">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投标文件在封页正面右上角标明“正本</w:t>
      </w:r>
      <w:r>
        <w:rPr>
          <w:rFonts w:hint="eastAsia" w:cs="宋体"/>
          <w:highlight w:val="none"/>
          <w:lang w:eastAsia="zh-CN"/>
        </w:rPr>
        <w:t>”“</w:t>
      </w:r>
      <w:r>
        <w:rPr>
          <w:rFonts w:hint="eastAsia" w:ascii="Times New Roman" w:hAnsi="Times New Roman" w:eastAsia="宋体" w:cs="宋体"/>
          <w:highlight w:val="none"/>
        </w:rPr>
        <w:t>副本”字样，保证正本与副本的内容一致。如果正本与副本内容不一致以正本为准。提交电子版标书一份。</w:t>
      </w:r>
    </w:p>
    <w:p w14:paraId="21D0656D">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正面封皮应标明投标人单位名称、地址，并在单位名称处加盖公章。</w:t>
      </w:r>
    </w:p>
    <w:p w14:paraId="65D4967F">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rPr>
        <w:t>投标书正本内封和投标书副本内封封口处应有投标全权代表的签字或投标单位公章，并注明“开标时启封”字样。</w:t>
      </w:r>
    </w:p>
    <w:p w14:paraId="021853A9">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4）</w:t>
      </w:r>
      <w:r>
        <w:rPr>
          <w:rFonts w:hint="eastAsia" w:ascii="Times New Roman" w:hAnsi="Times New Roman" w:eastAsia="宋体" w:cs="宋体"/>
          <w:highlight w:val="none"/>
        </w:rPr>
        <w:t>开标一览表内封封口处应加盖投标单位公章。</w:t>
      </w:r>
    </w:p>
    <w:p w14:paraId="55269E17">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5）</w:t>
      </w:r>
      <w:r>
        <w:rPr>
          <w:rFonts w:hint="eastAsia" w:ascii="Times New Roman" w:hAnsi="Times New Roman" w:eastAsia="宋体" w:cs="宋体"/>
          <w:highlight w:val="none"/>
        </w:rPr>
        <w:t>投标文件由投标人在开标日自行带到开标现场，在开标时当场</w:t>
      </w:r>
      <w:r>
        <w:rPr>
          <w:rFonts w:hint="eastAsia" w:cs="宋体"/>
          <w:highlight w:val="none"/>
          <w:lang w:eastAsia="zh-CN"/>
        </w:rPr>
        <w:t>交予</w:t>
      </w:r>
      <w:r>
        <w:rPr>
          <w:rFonts w:hint="eastAsia" w:ascii="Times New Roman" w:hAnsi="Times New Roman" w:eastAsia="宋体" w:cs="宋体"/>
          <w:highlight w:val="none"/>
        </w:rPr>
        <w:t>招标负责人。</w:t>
      </w:r>
    </w:p>
    <w:p w14:paraId="0B173CB7">
      <w:pPr>
        <w:pStyle w:val="66"/>
        <w:numPr>
          <w:ilvl w:val="-1"/>
          <w:numId w:val="0"/>
        </w:numPr>
        <w:ind w:left="440"/>
        <w:rPr>
          <w:rFonts w:hint="eastAsia" w:ascii="Times New Roman" w:hAnsi="Times New Roman" w:eastAsia="宋体" w:cs="Times New Roman"/>
          <w:bCs/>
          <w:sz w:val="24"/>
          <w:szCs w:val="22"/>
          <w:highlight w:val="none"/>
        </w:rPr>
      </w:pPr>
      <w:bookmarkStart w:id="279" w:name="_Toc74143846"/>
      <w:bookmarkStart w:id="280" w:name="_Toc95148187"/>
      <w:bookmarkStart w:id="281" w:name="_Toc31025"/>
      <w:bookmarkStart w:id="282" w:name="_Toc15157"/>
      <w:bookmarkStart w:id="283" w:name="_Toc109031560"/>
      <w:bookmarkStart w:id="284" w:name="_Toc32099"/>
      <w:r>
        <w:rPr>
          <w:rFonts w:hint="eastAsia" w:ascii="Times New Roman" w:hAnsi="Times New Roman" w:eastAsia="宋体" w:cs="Times New Roman"/>
          <w:bCs/>
          <w:sz w:val="24"/>
          <w:szCs w:val="22"/>
          <w:highlight w:val="none"/>
          <w:lang w:val="en-US" w:eastAsia="zh-CN"/>
        </w:rPr>
        <w:t>6.2.6</w:t>
      </w:r>
      <w:r>
        <w:rPr>
          <w:rFonts w:hint="eastAsia" w:ascii="Times New Roman" w:hAnsi="Times New Roman" w:eastAsia="宋体" w:cs="Times New Roman"/>
          <w:bCs/>
          <w:sz w:val="24"/>
          <w:szCs w:val="22"/>
          <w:highlight w:val="none"/>
        </w:rPr>
        <w:t>投标文件的澄清</w:t>
      </w:r>
      <w:bookmarkEnd w:id="279"/>
      <w:bookmarkEnd w:id="280"/>
      <w:bookmarkEnd w:id="281"/>
      <w:bookmarkEnd w:id="282"/>
      <w:bookmarkEnd w:id="283"/>
      <w:bookmarkEnd w:id="284"/>
    </w:p>
    <w:p w14:paraId="08D9CDDE">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为</w:t>
      </w:r>
      <w:r>
        <w:rPr>
          <w:rFonts w:hint="eastAsia" w:cs="宋体"/>
          <w:highlight w:val="none"/>
          <w:lang w:eastAsia="zh-CN"/>
        </w:rPr>
        <w:t>有助于</w:t>
      </w:r>
      <w:r>
        <w:rPr>
          <w:rFonts w:hint="eastAsia" w:ascii="Times New Roman" w:hAnsi="Times New Roman" w:eastAsia="宋体" w:cs="宋体"/>
          <w:highlight w:val="none"/>
        </w:rPr>
        <w:t>投标文件进行审查、综合评定，招标人有权向投标人</w:t>
      </w:r>
      <w:r>
        <w:rPr>
          <w:rFonts w:hint="eastAsia" w:cs="宋体"/>
          <w:highlight w:val="none"/>
          <w:lang w:eastAsia="zh-CN"/>
        </w:rPr>
        <w:t>提出疑问</w:t>
      </w:r>
      <w:r>
        <w:rPr>
          <w:rFonts w:hint="eastAsia" w:ascii="Times New Roman" w:hAnsi="Times New Roman" w:eastAsia="宋体" w:cs="宋体"/>
          <w:highlight w:val="none"/>
        </w:rPr>
        <w:t>，请其澄清投标内容。</w:t>
      </w:r>
    </w:p>
    <w:p w14:paraId="7BF38EFC">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重要的澄清答复应是书面的，并作为投标文件的一部分，但不得对投标内容作实质性修改。</w:t>
      </w:r>
    </w:p>
    <w:p w14:paraId="1C5B8407">
      <w:pPr>
        <w:pStyle w:val="66"/>
        <w:numPr>
          <w:ilvl w:val="-1"/>
          <w:numId w:val="0"/>
        </w:numPr>
        <w:ind w:left="440"/>
        <w:rPr>
          <w:rFonts w:hint="eastAsia" w:ascii="Times New Roman" w:hAnsi="Times New Roman" w:eastAsia="宋体" w:cs="Times New Roman"/>
          <w:bCs/>
          <w:sz w:val="24"/>
          <w:szCs w:val="22"/>
          <w:highlight w:val="none"/>
        </w:rPr>
      </w:pPr>
      <w:bookmarkStart w:id="285" w:name="_Toc4294"/>
      <w:bookmarkStart w:id="286" w:name="_Toc74143847"/>
      <w:bookmarkStart w:id="287" w:name="_Toc17239"/>
      <w:bookmarkStart w:id="288" w:name="_Toc109031561"/>
      <w:bookmarkStart w:id="289" w:name="_Toc22116"/>
      <w:bookmarkStart w:id="290" w:name="_Toc95148188"/>
      <w:r>
        <w:rPr>
          <w:rFonts w:hint="eastAsia" w:ascii="Times New Roman" w:hAnsi="Times New Roman" w:eastAsia="宋体" w:cs="Times New Roman"/>
          <w:bCs/>
          <w:sz w:val="24"/>
          <w:szCs w:val="22"/>
          <w:highlight w:val="none"/>
          <w:lang w:val="en-US" w:eastAsia="zh-CN"/>
        </w:rPr>
        <w:t>6.2.7</w:t>
      </w:r>
      <w:r>
        <w:rPr>
          <w:rFonts w:hint="eastAsia" w:ascii="Times New Roman" w:hAnsi="Times New Roman" w:eastAsia="宋体" w:cs="Times New Roman"/>
          <w:bCs/>
          <w:sz w:val="24"/>
          <w:szCs w:val="22"/>
          <w:highlight w:val="none"/>
        </w:rPr>
        <w:t>开标</w:t>
      </w:r>
      <w:bookmarkEnd w:id="285"/>
      <w:bookmarkEnd w:id="286"/>
      <w:bookmarkEnd w:id="287"/>
      <w:bookmarkEnd w:id="288"/>
      <w:bookmarkEnd w:id="289"/>
      <w:bookmarkEnd w:id="290"/>
    </w:p>
    <w:p w14:paraId="145A7BA0">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1）</w:t>
      </w:r>
      <w:r>
        <w:rPr>
          <w:rFonts w:hint="eastAsia" w:ascii="Times New Roman" w:hAnsi="Times New Roman" w:eastAsia="宋体" w:cs="宋体"/>
          <w:highlight w:val="none"/>
        </w:rPr>
        <w:t>招标人按招标文件规定的时间、地点主持公开开标。开标仪式由招标人主持。</w:t>
      </w:r>
    </w:p>
    <w:p w14:paraId="1743E920">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2）</w:t>
      </w:r>
      <w:r>
        <w:rPr>
          <w:rFonts w:hint="eastAsia" w:ascii="Times New Roman" w:hAnsi="Times New Roman" w:eastAsia="宋体" w:cs="宋体"/>
          <w:highlight w:val="none"/>
        </w:rPr>
        <w:t>投标人派代表参加开标仪式。若需讲标，则由投标人指定的讲标人负责讲标。</w:t>
      </w:r>
    </w:p>
    <w:p w14:paraId="418C8CBE">
      <w:pPr>
        <w:pStyle w:val="37"/>
        <w:ind w:firstLine="480"/>
        <w:rPr>
          <w:rFonts w:hint="eastAsia" w:ascii="Times New Roman" w:hAnsi="Times New Roman" w:eastAsia="宋体" w:cs="宋体"/>
          <w:highlight w:val="none"/>
        </w:rPr>
      </w:pPr>
      <w:r>
        <w:rPr>
          <w:rFonts w:hint="eastAsia" w:ascii="Times New Roman" w:hAnsi="Times New Roman" w:eastAsia="宋体" w:cs="宋体"/>
          <w:highlight w:val="none"/>
          <w:lang w:val="en-US" w:eastAsia="zh-CN"/>
        </w:rPr>
        <w:t>3）</w:t>
      </w:r>
      <w:r>
        <w:rPr>
          <w:rFonts w:hint="eastAsia" w:ascii="Times New Roman" w:hAnsi="Times New Roman" w:eastAsia="宋体" w:cs="宋体"/>
          <w:highlight w:val="none"/>
        </w:rPr>
        <w:t>开标时查验投标文件密封情况，确认无误后拆封唱标。</w:t>
      </w:r>
    </w:p>
    <w:p w14:paraId="6D90BD58">
      <w:pPr>
        <w:pStyle w:val="37"/>
        <w:ind w:firstLine="480"/>
        <w:rPr>
          <w:rFonts w:hint="eastAsia" w:ascii="Times New Roman" w:hAnsi="Times New Roman" w:eastAsia="宋体" w:cs="宋体"/>
          <w:szCs w:val="22"/>
          <w:highlight w:val="none"/>
        </w:rPr>
      </w:pPr>
      <w:r>
        <w:rPr>
          <w:rFonts w:hint="eastAsia" w:ascii="Times New Roman" w:hAnsi="Times New Roman" w:eastAsia="宋体" w:cs="宋体"/>
          <w:szCs w:val="22"/>
          <w:highlight w:val="none"/>
          <w:lang w:val="en-US" w:eastAsia="zh-CN"/>
        </w:rPr>
        <w:t>4）</w:t>
      </w:r>
      <w:r>
        <w:rPr>
          <w:rFonts w:hint="eastAsia" w:ascii="Times New Roman" w:hAnsi="Times New Roman" w:eastAsia="宋体" w:cs="宋体"/>
          <w:szCs w:val="22"/>
          <w:highlight w:val="none"/>
        </w:rPr>
        <w:t>招标人在开标仪式上，将公布投标人的名称、投标产品或服务、投标项目、投标价格及其投标的修改、投标的撤回及其有关声明等，招标人将做唱标记录。</w:t>
      </w:r>
    </w:p>
    <w:p w14:paraId="4D4E286F">
      <w:pPr>
        <w:pStyle w:val="38"/>
        <w:widowControl/>
        <w:numPr>
          <w:ilvl w:val="0"/>
          <w:numId w:val="0"/>
        </w:numPr>
        <w:rPr>
          <w:rFonts w:cs="宋体"/>
          <w:highlight w:val="none"/>
        </w:rPr>
      </w:pPr>
    </w:p>
    <w:p w14:paraId="7D33EDB9">
      <w:pPr>
        <w:pStyle w:val="38"/>
        <w:widowControl/>
        <w:numPr>
          <w:ilvl w:val="0"/>
          <w:numId w:val="0"/>
        </w:numPr>
        <w:rPr>
          <w:rFonts w:cs="宋体"/>
          <w:highlight w:val="none"/>
        </w:rPr>
      </w:pPr>
    </w:p>
    <w:p w14:paraId="7502E696">
      <w:pPr>
        <w:pStyle w:val="38"/>
        <w:widowControl/>
        <w:numPr>
          <w:ilvl w:val="0"/>
          <w:numId w:val="0"/>
        </w:numPr>
        <w:rPr>
          <w:rFonts w:cs="宋体"/>
          <w:highlight w:val="none"/>
        </w:rPr>
      </w:pPr>
    </w:p>
    <w:p w14:paraId="1A7E1F39">
      <w:pPr>
        <w:pStyle w:val="38"/>
        <w:widowControl/>
        <w:numPr>
          <w:ilvl w:val="0"/>
          <w:numId w:val="0"/>
        </w:numPr>
        <w:rPr>
          <w:rFonts w:cs="宋体"/>
          <w:highlight w:val="none"/>
        </w:rPr>
      </w:pPr>
    </w:p>
    <w:p w14:paraId="7A9DBD95">
      <w:pPr>
        <w:pStyle w:val="38"/>
        <w:widowControl/>
        <w:numPr>
          <w:ilvl w:val="0"/>
          <w:numId w:val="0"/>
        </w:numPr>
        <w:rPr>
          <w:rFonts w:cs="宋体"/>
          <w:highlight w:val="none"/>
        </w:rPr>
      </w:pPr>
    </w:p>
    <w:p w14:paraId="231E1BCA">
      <w:pPr>
        <w:pStyle w:val="38"/>
        <w:widowControl/>
        <w:numPr>
          <w:ilvl w:val="0"/>
          <w:numId w:val="0"/>
        </w:numPr>
        <w:rPr>
          <w:rFonts w:cs="宋体"/>
          <w:highlight w:val="none"/>
        </w:rPr>
      </w:pPr>
    </w:p>
    <w:p w14:paraId="6BC06B85">
      <w:pPr>
        <w:pStyle w:val="36"/>
        <w:numPr>
          <w:ilvl w:val="0"/>
          <w:numId w:val="6"/>
        </w:numPr>
        <w:rPr>
          <w:highlight w:val="none"/>
        </w:rPr>
      </w:pPr>
      <w:bookmarkStart w:id="291" w:name="_Toc95148189"/>
      <w:bookmarkStart w:id="292" w:name="_Toc23047"/>
      <w:bookmarkStart w:id="293" w:name="_Toc3142"/>
      <w:bookmarkStart w:id="294" w:name="_Toc74143848"/>
      <w:bookmarkStart w:id="295" w:name="_Toc109031562"/>
      <w:bookmarkStart w:id="296" w:name="_Toc21260"/>
      <w:bookmarkStart w:id="297" w:name="_Toc533251933"/>
      <w:bookmarkStart w:id="298" w:name="_Toc290401052"/>
      <w:r>
        <w:rPr>
          <w:rFonts w:hint="eastAsia"/>
          <w:highlight w:val="none"/>
        </w:rPr>
        <w:t>讲标及评标</w:t>
      </w:r>
      <w:bookmarkEnd w:id="291"/>
      <w:bookmarkEnd w:id="292"/>
      <w:bookmarkEnd w:id="293"/>
      <w:bookmarkEnd w:id="294"/>
      <w:bookmarkEnd w:id="295"/>
      <w:bookmarkEnd w:id="296"/>
    </w:p>
    <w:p w14:paraId="5E7BAF2C">
      <w:pPr>
        <w:tabs>
          <w:tab w:val="left" w:pos="0"/>
        </w:tabs>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为保证项目顺利实施，由招标人组织、按国家法律法规及公司相关规章制度要求，设立评标工作小组，投标人</w:t>
      </w:r>
      <w:r>
        <w:rPr>
          <w:rFonts w:hint="eastAsia" w:ascii="宋体" w:hAnsi="宋体" w:eastAsia="宋体" w:cs="宋体"/>
          <w:b/>
          <w:color w:val="000000" w:themeColor="text1"/>
          <w:kern w:val="0"/>
          <w:sz w:val="24"/>
          <w:highlight w:val="none"/>
          <w14:textFill>
            <w14:solidFill>
              <w14:schemeClr w14:val="tx1"/>
            </w14:solidFill>
          </w14:textFill>
        </w:rPr>
        <w:t>讲标时长为30分钟，答疑时长为10分钟。</w:t>
      </w:r>
      <w:r>
        <w:rPr>
          <w:rFonts w:hint="eastAsia" w:ascii="宋体" w:hAnsi="宋体" w:eastAsia="宋体" w:cs="宋体"/>
          <w:kern w:val="0"/>
          <w:sz w:val="24"/>
          <w:highlight w:val="none"/>
        </w:rPr>
        <w:t>采用综合评定法，本着公平、公正、公开的原则，在最大限度地满足招标文件实质性要求的前提下，对招标文件中规定的各项因素进行综合评审</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技术标70%+商务标30%</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，确定中标候选</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或者中标</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w:t>
      </w:r>
      <w:bookmarkStart w:id="299" w:name="OLE_LINK4"/>
    </w:p>
    <w:p w14:paraId="1A68600B">
      <w:pPr>
        <w:spacing w:line="360" w:lineRule="auto"/>
        <w:ind w:firstLine="480" w:firstLineChars="200"/>
        <w:rPr>
          <w:rFonts w:cs="宋体"/>
          <w:b/>
          <w:bCs/>
          <w:kern w:val="0"/>
          <w:sz w:val="24"/>
          <w:highlight w:val="none"/>
        </w:rPr>
      </w:pPr>
      <w:r>
        <w:rPr>
          <w:rFonts w:hint="eastAsia" w:cs="宋体"/>
          <w:kern w:val="0"/>
          <w:sz w:val="24"/>
          <w:highlight w:val="none"/>
          <w:lang w:val="en-US" w:eastAsia="zh-CN"/>
        </w:rPr>
        <w:t>7.</w:t>
      </w:r>
      <w:r>
        <w:rPr>
          <w:rFonts w:cs="宋体"/>
          <w:kern w:val="0"/>
          <w:sz w:val="24"/>
          <w:highlight w:val="none"/>
        </w:rPr>
        <w:t>1</w:t>
      </w:r>
      <w:r>
        <w:rPr>
          <w:rFonts w:hint="eastAsia" w:ascii="Calibri" w:hAnsi="Calibri" w:eastAsia="宋体" w:cs="宋体"/>
          <w:kern w:val="0"/>
          <w:sz w:val="24"/>
          <w:highlight w:val="none"/>
        </w:rPr>
        <w:t>本次招标的开标、评标由招标人依法组织实施，</w:t>
      </w:r>
      <w:r>
        <w:rPr>
          <w:rFonts w:hint="eastAsia" w:ascii="Calibri" w:hAnsi="Calibri" w:eastAsia="宋体" w:cs="宋体"/>
          <w:b/>
          <w:bCs/>
          <w:kern w:val="0"/>
          <w:sz w:val="24"/>
          <w:highlight w:val="none"/>
        </w:rPr>
        <w:t>本次招标采用技术标和商务标分级开标的模式。</w:t>
      </w:r>
    </w:p>
    <w:p w14:paraId="0C593E04">
      <w:pPr>
        <w:spacing w:line="360" w:lineRule="auto"/>
        <w:ind w:firstLine="480" w:firstLineChars="200"/>
        <w:rPr>
          <w:rFonts w:cs="宋体"/>
          <w:kern w:val="0"/>
          <w:sz w:val="24"/>
          <w:highlight w:val="none"/>
        </w:rPr>
      </w:pPr>
      <w:r>
        <w:rPr>
          <w:rFonts w:hint="eastAsia" w:cs="宋体"/>
          <w:kern w:val="0"/>
          <w:sz w:val="24"/>
          <w:highlight w:val="none"/>
          <w:lang w:val="en-US" w:eastAsia="zh-CN"/>
        </w:rPr>
        <w:t>7.2</w:t>
      </w:r>
      <w:r>
        <w:rPr>
          <w:rFonts w:hint="eastAsia" w:ascii="Calibri" w:hAnsi="Calibri" w:eastAsia="宋体" w:cs="宋体"/>
          <w:kern w:val="0"/>
          <w:sz w:val="24"/>
          <w:highlight w:val="none"/>
        </w:rPr>
        <w:t>本项目开标时间和地点见“招标内容及形式”。开标会议由招标人组织并主持。招标人邀请各投标人派员参加开标会议。投标人未参加开标的，视同认可开标结果。</w:t>
      </w:r>
    </w:p>
    <w:p w14:paraId="0D68264F">
      <w:pPr>
        <w:spacing w:line="360" w:lineRule="auto"/>
        <w:ind w:firstLine="480" w:firstLineChars="200"/>
        <w:rPr>
          <w:rFonts w:cs="宋体"/>
          <w:kern w:val="0"/>
          <w:sz w:val="24"/>
          <w:highlight w:val="none"/>
        </w:rPr>
      </w:pPr>
      <w:r>
        <w:rPr>
          <w:rFonts w:hint="eastAsia" w:cs="宋体"/>
          <w:kern w:val="0"/>
          <w:sz w:val="24"/>
          <w:highlight w:val="none"/>
          <w:lang w:val="en-US" w:eastAsia="zh-CN"/>
        </w:rPr>
        <w:t>7.3</w:t>
      </w:r>
      <w:r>
        <w:rPr>
          <w:rFonts w:hint="eastAsia" w:ascii="Calibri" w:hAnsi="Calibri" w:eastAsia="宋体" w:cs="宋体"/>
          <w:kern w:val="0"/>
          <w:sz w:val="24"/>
          <w:highlight w:val="none"/>
        </w:rPr>
        <w:t>开标程序</w:t>
      </w:r>
    </w:p>
    <w:p w14:paraId="43E6FE5E">
      <w:pPr>
        <w:spacing w:line="360" w:lineRule="auto"/>
        <w:ind w:firstLine="480" w:firstLineChars="200"/>
        <w:rPr>
          <w:rFonts w:cs="宋体"/>
          <w:kern w:val="0"/>
          <w:sz w:val="24"/>
          <w:highlight w:val="none"/>
        </w:rPr>
      </w:pPr>
      <w:r>
        <w:rPr>
          <w:rFonts w:hint="eastAsia" w:ascii="Calibri" w:hAnsi="Calibri" w:eastAsia="宋体" w:cs="宋体"/>
          <w:kern w:val="0"/>
          <w:sz w:val="24"/>
          <w:highlight w:val="none"/>
          <w:lang w:val="en-US" w:eastAsia="zh-CN"/>
        </w:rPr>
        <w:t>1）</w:t>
      </w:r>
      <w:r>
        <w:rPr>
          <w:rFonts w:hint="eastAsia" w:ascii="Calibri" w:hAnsi="Calibri" w:eastAsia="宋体" w:cs="宋体"/>
          <w:kern w:val="0"/>
          <w:sz w:val="24"/>
          <w:highlight w:val="none"/>
        </w:rPr>
        <w:t>宣布开标会议开始。</w:t>
      </w:r>
    </w:p>
    <w:p w14:paraId="2ED788D5">
      <w:pPr>
        <w:spacing w:line="360" w:lineRule="auto"/>
        <w:ind w:firstLine="480" w:firstLineChars="200"/>
        <w:rPr>
          <w:rFonts w:cs="宋体"/>
          <w:kern w:val="0"/>
          <w:sz w:val="24"/>
          <w:highlight w:val="none"/>
        </w:rPr>
      </w:pPr>
      <w:r>
        <w:rPr>
          <w:rFonts w:cs="宋体"/>
          <w:kern w:val="0"/>
          <w:sz w:val="24"/>
          <w:highlight w:val="none"/>
        </w:rPr>
        <w:t>2</w:t>
      </w:r>
      <w:r>
        <w:rPr>
          <w:rFonts w:hint="eastAsia" w:ascii="Calibri" w:hAnsi="Calibri" w:eastAsia="宋体" w:cs="宋体"/>
          <w:kern w:val="0"/>
          <w:sz w:val="24"/>
          <w:highlight w:val="none"/>
        </w:rPr>
        <w:t>）介绍与会人员。</w:t>
      </w:r>
    </w:p>
    <w:p w14:paraId="236E0CEB">
      <w:pPr>
        <w:spacing w:line="360" w:lineRule="auto"/>
        <w:ind w:firstLine="480" w:firstLineChars="200"/>
        <w:rPr>
          <w:rFonts w:cs="宋体"/>
          <w:kern w:val="0"/>
          <w:sz w:val="24"/>
          <w:highlight w:val="none"/>
        </w:rPr>
      </w:pPr>
      <w:r>
        <w:rPr>
          <w:rFonts w:cs="宋体"/>
          <w:kern w:val="0"/>
          <w:sz w:val="24"/>
          <w:highlight w:val="none"/>
        </w:rPr>
        <w:t>3</w:t>
      </w:r>
      <w:r>
        <w:rPr>
          <w:rFonts w:hint="eastAsia" w:ascii="Calibri" w:hAnsi="Calibri" w:eastAsia="宋体" w:cs="宋体"/>
          <w:kern w:val="0"/>
          <w:sz w:val="24"/>
          <w:highlight w:val="none"/>
        </w:rPr>
        <w:t>）核验投标人资格证件。</w:t>
      </w:r>
    </w:p>
    <w:p w14:paraId="7741AFAD">
      <w:pPr>
        <w:spacing w:line="360" w:lineRule="auto"/>
        <w:ind w:firstLine="480" w:firstLineChars="200"/>
        <w:rPr>
          <w:rFonts w:cs="宋体"/>
          <w:kern w:val="0"/>
          <w:sz w:val="24"/>
          <w:highlight w:val="none"/>
        </w:rPr>
      </w:pPr>
      <w:r>
        <w:rPr>
          <w:rFonts w:cs="宋体"/>
          <w:kern w:val="0"/>
          <w:sz w:val="24"/>
          <w:highlight w:val="none"/>
        </w:rPr>
        <w:t>4</w:t>
      </w:r>
      <w:r>
        <w:rPr>
          <w:rFonts w:hint="eastAsia" w:ascii="Calibri" w:hAnsi="Calibri" w:eastAsia="宋体" w:cs="宋体"/>
          <w:kern w:val="0"/>
          <w:sz w:val="24"/>
          <w:highlight w:val="none"/>
        </w:rPr>
        <w:t>）投标人或投标人推选的代表对投标文件密封情况进行检查（投标人未参加开标会议的，视同认可投标文件密封完好）。</w:t>
      </w:r>
    </w:p>
    <w:p w14:paraId="255D66B8">
      <w:pPr>
        <w:spacing w:line="360" w:lineRule="auto"/>
        <w:ind w:firstLine="480" w:firstLineChars="200"/>
        <w:rPr>
          <w:rFonts w:cs="宋体"/>
          <w:kern w:val="0"/>
          <w:sz w:val="24"/>
          <w:highlight w:val="none"/>
        </w:rPr>
      </w:pPr>
      <w:r>
        <w:rPr>
          <w:rFonts w:cs="宋体"/>
          <w:kern w:val="0"/>
          <w:sz w:val="24"/>
          <w:highlight w:val="none"/>
        </w:rPr>
        <w:t>5</w:t>
      </w:r>
      <w:r>
        <w:rPr>
          <w:rFonts w:hint="eastAsia" w:ascii="Calibri" w:hAnsi="Calibri" w:eastAsia="宋体" w:cs="宋体"/>
          <w:kern w:val="0"/>
          <w:sz w:val="24"/>
          <w:highlight w:val="none"/>
        </w:rPr>
        <w:t>）经确认无误后，由工作人员当众拆封，先拆启技术标书，开标一览表及商务标书暂时不拆启，由招标人指定专人保管。由评标专家组对所有投标方的技术方案进行综合评定和打分，确定进入商务标评审阶段的投标方。</w:t>
      </w:r>
    </w:p>
    <w:p w14:paraId="1CB26934">
      <w:pPr>
        <w:spacing w:line="360" w:lineRule="auto"/>
        <w:ind w:firstLine="480" w:firstLineChars="200"/>
        <w:rPr>
          <w:rFonts w:cs="宋体"/>
          <w:kern w:val="0"/>
          <w:sz w:val="24"/>
          <w:highlight w:val="none"/>
        </w:rPr>
      </w:pPr>
      <w:r>
        <w:rPr>
          <w:rFonts w:cs="宋体"/>
          <w:kern w:val="0"/>
          <w:sz w:val="24"/>
          <w:highlight w:val="none"/>
        </w:rPr>
        <w:t>6</w:t>
      </w:r>
      <w:r>
        <w:rPr>
          <w:rFonts w:hint="eastAsia" w:ascii="Calibri" w:hAnsi="Calibri" w:eastAsia="宋体" w:cs="宋体"/>
          <w:kern w:val="0"/>
          <w:sz w:val="24"/>
          <w:highlight w:val="none"/>
        </w:rPr>
        <w:t>）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根据技术标综合得分</w:t>
      </w:r>
      <w:r>
        <w:rPr>
          <w:rFonts w:hint="eastAsia" w:ascii="Calibri" w:hAnsi="Calibri" w:eastAsia="宋体" w:cs="宋体"/>
          <w:kern w:val="0"/>
          <w:sz w:val="24"/>
          <w:highlight w:val="none"/>
          <w:lang w:val="en-US" w:eastAsia="zh-CN"/>
        </w:rPr>
        <w:t>及商务标</w:t>
      </w:r>
      <w:r>
        <w:rPr>
          <w:rFonts w:hint="eastAsia" w:ascii="Calibri" w:hAnsi="Calibri" w:eastAsia="宋体" w:cs="宋体"/>
          <w:kern w:val="0"/>
          <w:sz w:val="24"/>
          <w:highlight w:val="none"/>
        </w:rPr>
        <w:t>最低价中标</w:t>
      </w:r>
      <w:r>
        <w:rPr>
          <w:rFonts w:hint="eastAsia" w:ascii="Calibri" w:hAnsi="Calibri" w:eastAsia="宋体" w:cs="宋体"/>
          <w:kern w:val="0"/>
          <w:sz w:val="24"/>
          <w:highlight w:val="none"/>
          <w:lang w:eastAsia="zh-CN"/>
        </w:rPr>
        <w:t>，</w:t>
      </w:r>
      <w:r>
        <w:rPr>
          <w:rFonts w:hint="eastAsia" w:ascii="Calibri" w:hAnsi="Calibri" w:eastAsia="宋体" w:cs="宋体"/>
          <w:kern w:val="0"/>
          <w:sz w:val="24"/>
          <w:highlight w:val="none"/>
        </w:rPr>
        <w:t>形成专家意见汇总，推荐性价比最优的投标方。</w:t>
      </w:r>
    </w:p>
    <w:p w14:paraId="7F2D1181">
      <w:pPr>
        <w:spacing w:line="360" w:lineRule="auto"/>
        <w:ind w:firstLine="480" w:firstLineChars="200"/>
        <w:rPr>
          <w:rFonts w:cs="宋体"/>
          <w:kern w:val="0"/>
          <w:sz w:val="24"/>
          <w:highlight w:val="none"/>
        </w:rPr>
      </w:pPr>
      <w:r>
        <w:rPr>
          <w:rFonts w:cs="宋体"/>
          <w:kern w:val="0"/>
          <w:sz w:val="24"/>
          <w:highlight w:val="none"/>
        </w:rPr>
        <w:t>7</w:t>
      </w:r>
      <w:r>
        <w:rPr>
          <w:rFonts w:hint="eastAsia" w:ascii="Calibri" w:hAnsi="Calibri" w:eastAsia="宋体" w:cs="宋体"/>
          <w:kern w:val="0"/>
          <w:sz w:val="24"/>
          <w:highlight w:val="none"/>
        </w:rPr>
        <w:t>）招标人有权根据项目情况，采取多级评标模式，最终确定投标人排序。</w:t>
      </w:r>
    </w:p>
    <w:p w14:paraId="1C1E833F">
      <w:pPr>
        <w:spacing w:line="360" w:lineRule="auto"/>
        <w:ind w:firstLine="480" w:firstLineChars="200"/>
        <w:rPr>
          <w:rFonts w:cs="宋体"/>
          <w:kern w:val="0"/>
          <w:sz w:val="24"/>
          <w:highlight w:val="none"/>
        </w:rPr>
      </w:pPr>
      <w:r>
        <w:rPr>
          <w:rFonts w:cs="宋体"/>
          <w:kern w:val="0"/>
          <w:sz w:val="24"/>
          <w:highlight w:val="none"/>
        </w:rPr>
        <w:t>8</w:t>
      </w:r>
      <w:r>
        <w:rPr>
          <w:rFonts w:hint="eastAsia" w:ascii="Calibri" w:hAnsi="Calibri" w:eastAsia="宋体" w:cs="宋体"/>
          <w:kern w:val="0"/>
          <w:sz w:val="24"/>
          <w:highlight w:val="none"/>
        </w:rPr>
        <w:t>）投标前请各投标方按照招标文件要求对项目方案进行充分准备，投标单位已默认认可上述开标、评标过程，无异议。招标人无义务对未入围投标方及未中标方做任何解释。</w:t>
      </w:r>
    </w:p>
    <w:p w14:paraId="5634D213">
      <w:pPr>
        <w:tabs>
          <w:tab w:val="left" w:pos="0"/>
        </w:tabs>
        <w:spacing w:line="360" w:lineRule="auto"/>
        <w:ind w:firstLine="480" w:firstLineChars="200"/>
        <w:rPr>
          <w:rFonts w:ascii="Calibri" w:hAnsi="宋体" w:eastAsia="宋体" w:cs="宋体"/>
          <w:kern w:val="0"/>
          <w:sz w:val="24"/>
          <w:highlight w:val="none"/>
        </w:rPr>
      </w:pPr>
      <w:r>
        <w:rPr>
          <w:rFonts w:hint="eastAsia" w:ascii="Calibri" w:hAnsi="宋体" w:eastAsia="宋体" w:cs="宋体"/>
          <w:kern w:val="0"/>
          <w:sz w:val="24"/>
          <w:highlight w:val="none"/>
          <w:lang w:val="en-US" w:eastAsia="zh-CN"/>
        </w:rPr>
        <w:t>技术标</w:t>
      </w:r>
      <w:r>
        <w:rPr>
          <w:rFonts w:hint="eastAsia" w:ascii="Calibri" w:hAnsi="宋体" w:eastAsia="宋体" w:cs="宋体"/>
          <w:kern w:val="0"/>
          <w:sz w:val="24"/>
          <w:highlight w:val="none"/>
        </w:rPr>
        <w:t>评分标准如下：</w:t>
      </w:r>
      <w:bookmarkEnd w:id="297"/>
      <w:bookmarkEnd w:id="298"/>
      <w:bookmarkEnd w:id="299"/>
    </w:p>
    <w:tbl>
      <w:tblPr>
        <w:tblStyle w:val="2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427"/>
        <w:gridCol w:w="6095"/>
        <w:gridCol w:w="644"/>
      </w:tblGrid>
      <w:tr w14:paraId="113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9" w:type="dxa"/>
            <w:tcMar>
              <w:top w:w="15" w:type="dxa"/>
              <w:left w:w="15" w:type="dxa"/>
              <w:bottom w:w="15" w:type="dxa"/>
              <w:right w:w="15" w:type="dxa"/>
            </w:tcMar>
            <w:vAlign w:val="center"/>
          </w:tcPr>
          <w:p w14:paraId="78D3DA80">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评分项目</w:t>
            </w:r>
          </w:p>
        </w:tc>
        <w:tc>
          <w:tcPr>
            <w:tcW w:w="1427" w:type="dxa"/>
            <w:tcMar>
              <w:top w:w="15" w:type="dxa"/>
              <w:left w:w="15" w:type="dxa"/>
              <w:bottom w:w="15" w:type="dxa"/>
              <w:right w:w="15" w:type="dxa"/>
            </w:tcMar>
            <w:vAlign w:val="center"/>
          </w:tcPr>
          <w:p w14:paraId="2E4FCCB1">
            <w:pPr>
              <w:widowControl/>
              <w:spacing w:line="360" w:lineRule="auto"/>
              <w:jc w:val="center"/>
              <w:textAlignment w:val="center"/>
              <w:rPr>
                <w:rFonts w:ascii="宋体" w:hAnsi="宋体" w:cs="宋体"/>
                <w:b/>
                <w:kern w:val="0"/>
                <w:sz w:val="24"/>
                <w:highlight w:val="none"/>
              </w:rPr>
            </w:pPr>
            <w:r>
              <w:rPr>
                <w:rFonts w:hint="eastAsia" w:ascii="宋体" w:hAnsi="宋体" w:cs="宋体"/>
                <w:b/>
                <w:kern w:val="0"/>
                <w:sz w:val="24"/>
                <w:highlight w:val="none"/>
              </w:rPr>
              <w:t>评分因素</w:t>
            </w:r>
          </w:p>
        </w:tc>
        <w:tc>
          <w:tcPr>
            <w:tcW w:w="6095" w:type="dxa"/>
            <w:tcMar>
              <w:top w:w="15" w:type="dxa"/>
              <w:left w:w="15" w:type="dxa"/>
              <w:bottom w:w="15" w:type="dxa"/>
              <w:right w:w="15" w:type="dxa"/>
            </w:tcMar>
            <w:vAlign w:val="center"/>
          </w:tcPr>
          <w:p w14:paraId="0DC1DE5A">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说明</w:t>
            </w:r>
          </w:p>
        </w:tc>
        <w:tc>
          <w:tcPr>
            <w:tcW w:w="644" w:type="dxa"/>
            <w:tcMar>
              <w:top w:w="15" w:type="dxa"/>
              <w:left w:w="15" w:type="dxa"/>
              <w:bottom w:w="15" w:type="dxa"/>
              <w:right w:w="15" w:type="dxa"/>
            </w:tcMar>
            <w:vAlign w:val="center"/>
          </w:tcPr>
          <w:p w14:paraId="0ECB0F73">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分值分配</w:t>
            </w:r>
          </w:p>
        </w:tc>
      </w:tr>
      <w:tr w14:paraId="7F6C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89" w:type="dxa"/>
            <w:vMerge w:val="restart"/>
            <w:tcMar>
              <w:top w:w="15" w:type="dxa"/>
              <w:left w:w="15" w:type="dxa"/>
              <w:bottom w:w="15" w:type="dxa"/>
              <w:right w:w="15" w:type="dxa"/>
            </w:tcMar>
            <w:vAlign w:val="center"/>
          </w:tcPr>
          <w:p w14:paraId="6ABDD329">
            <w:pPr>
              <w:spacing w:line="360" w:lineRule="auto"/>
              <w:jc w:val="center"/>
              <w:textAlignment w:val="center"/>
              <w:rPr>
                <w:rFonts w:ascii="宋体" w:hAnsi="宋体" w:cs="宋体"/>
                <w:b/>
                <w:kern w:val="0"/>
                <w:sz w:val="24"/>
                <w:highlight w:val="none"/>
              </w:rPr>
            </w:pPr>
            <w:r>
              <w:rPr>
                <w:rFonts w:hint="eastAsia" w:ascii="宋体" w:hAnsi="宋体" w:cs="宋体"/>
                <w:b/>
                <w:sz w:val="24"/>
                <w:highlight w:val="none"/>
              </w:rPr>
              <w:t>技术部分</w:t>
            </w:r>
            <w:r>
              <w:rPr>
                <w:rFonts w:hint="eastAsia" w:ascii="宋体" w:hAnsi="宋体" w:cs="宋体"/>
                <w:b/>
                <w:kern w:val="0"/>
                <w:sz w:val="24"/>
                <w:highlight w:val="none"/>
              </w:rPr>
              <w:t>（</w:t>
            </w:r>
            <w:r>
              <w:rPr>
                <w:rFonts w:hint="eastAsia" w:ascii="宋体" w:hAnsi="宋体" w:cs="宋体"/>
                <w:b/>
                <w:kern w:val="0"/>
                <w:sz w:val="24"/>
                <w:highlight w:val="none"/>
                <w:lang w:val="en-US" w:eastAsia="zh-CN"/>
              </w:rPr>
              <w:t>10</w:t>
            </w:r>
            <w:r>
              <w:rPr>
                <w:rFonts w:hint="eastAsia" w:ascii="宋体" w:hAnsi="宋体" w:cs="宋体"/>
                <w:b/>
                <w:kern w:val="0"/>
                <w:sz w:val="24"/>
                <w:highlight w:val="none"/>
              </w:rPr>
              <w:t>0分）</w:t>
            </w:r>
          </w:p>
        </w:tc>
        <w:tc>
          <w:tcPr>
            <w:tcW w:w="1427" w:type="dxa"/>
            <w:tcMar>
              <w:top w:w="15" w:type="dxa"/>
              <w:left w:w="15" w:type="dxa"/>
              <w:bottom w:w="15" w:type="dxa"/>
              <w:right w:w="15" w:type="dxa"/>
            </w:tcMar>
            <w:vAlign w:val="center"/>
          </w:tcPr>
          <w:p w14:paraId="4C310482">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项目实施方案</w:t>
            </w:r>
          </w:p>
        </w:tc>
        <w:tc>
          <w:tcPr>
            <w:tcW w:w="6095" w:type="dxa"/>
            <w:tcMar>
              <w:top w:w="15" w:type="dxa"/>
              <w:left w:w="15" w:type="dxa"/>
              <w:bottom w:w="15" w:type="dxa"/>
              <w:right w:w="15" w:type="dxa"/>
            </w:tcMar>
            <w:vAlign w:val="center"/>
          </w:tcPr>
          <w:p w14:paraId="41EA29F3">
            <w:pPr>
              <w:widowControl/>
              <w:jc w:val="left"/>
              <w:rPr>
                <w:rFonts w:ascii="宋体" w:hAnsi="宋体" w:eastAsia="宋体"/>
                <w:szCs w:val="21"/>
                <w:highlight w:val="none"/>
              </w:rPr>
            </w:pPr>
            <w:r>
              <w:rPr>
                <w:rFonts w:hint="eastAsia" w:ascii="宋体" w:hAnsi="宋体" w:eastAsia="宋体"/>
                <w:szCs w:val="21"/>
                <w:highlight w:val="none"/>
              </w:rPr>
              <w:t>专项服务方案，包括但不限于规划蓝图及本项目实施内容、实施计划、实施效果、项目实施保障、项目团队介绍等：</w:t>
            </w:r>
          </w:p>
          <w:p w14:paraId="32750A13">
            <w:pPr>
              <w:widowControl/>
              <w:jc w:val="left"/>
              <w:rPr>
                <w:rFonts w:hint="eastAsia" w:ascii="宋体" w:hAnsi="宋体" w:eastAsia="宋体"/>
                <w:szCs w:val="21"/>
                <w:highlight w:val="none"/>
                <w:lang w:eastAsia="zh-CN"/>
              </w:rPr>
            </w:pPr>
            <w:r>
              <w:rPr>
                <w:rFonts w:ascii="宋体" w:hAnsi="宋体" w:eastAsia="宋体"/>
                <w:szCs w:val="21"/>
                <w:highlight w:val="none"/>
              </w:rPr>
              <w:t>1）服务团队具备丰富的同类型项目经验，对汽车金融公司</w:t>
            </w:r>
            <w:r>
              <w:rPr>
                <w:rFonts w:hint="eastAsia" w:ascii="宋体" w:hAnsi="宋体" w:eastAsia="宋体"/>
                <w:szCs w:val="21"/>
                <w:highlight w:val="none"/>
                <w:lang w:val="en-US" w:eastAsia="zh-CN"/>
              </w:rPr>
              <w:t>内部控制审计</w:t>
            </w:r>
            <w:r>
              <w:rPr>
                <w:rFonts w:ascii="宋体" w:hAnsi="宋体" w:eastAsia="宋体"/>
                <w:szCs w:val="21"/>
                <w:highlight w:val="none"/>
              </w:rPr>
              <w:t>项目非常了解；服务方案编制科学、合理，符合</w:t>
            </w:r>
            <w:r>
              <w:rPr>
                <w:rFonts w:hint="eastAsia" w:ascii="宋体" w:hAnsi="宋体" w:eastAsia="宋体"/>
                <w:szCs w:val="21"/>
                <w:highlight w:val="none"/>
                <w:lang w:val="en-US" w:eastAsia="zh-CN"/>
              </w:rPr>
              <w:t>监管法规</w:t>
            </w:r>
            <w:r>
              <w:rPr>
                <w:rFonts w:hint="eastAsia" w:ascii="宋体" w:hAnsi="宋体" w:eastAsia="宋体"/>
                <w:szCs w:val="21"/>
                <w:highlight w:val="none"/>
              </w:rPr>
              <w:t>要求，工作思路清晰，可行性强，方案完善；对项目重点、难点的针对性设置强；得</w:t>
            </w:r>
            <w:r>
              <w:rPr>
                <w:rFonts w:hint="eastAsia" w:ascii="宋体" w:hAnsi="宋体" w:eastAsia="宋体"/>
                <w:szCs w:val="21"/>
                <w:highlight w:val="none"/>
                <w:lang w:val="en-US" w:eastAsia="zh-CN"/>
              </w:rPr>
              <w:t>46-60</w:t>
            </w:r>
            <w:r>
              <w:rPr>
                <w:rFonts w:ascii="宋体" w:hAnsi="宋体" w:eastAsia="宋体"/>
                <w:szCs w:val="21"/>
                <w:highlight w:val="none"/>
              </w:rPr>
              <w:t>分</w:t>
            </w:r>
            <w:r>
              <w:rPr>
                <w:rFonts w:hint="eastAsia" w:ascii="宋体" w:hAnsi="宋体" w:eastAsia="宋体"/>
                <w:szCs w:val="21"/>
                <w:highlight w:val="none"/>
                <w:lang w:eastAsia="zh-CN"/>
              </w:rPr>
              <w:t>。</w:t>
            </w:r>
          </w:p>
          <w:p w14:paraId="76C70317">
            <w:pPr>
              <w:widowControl/>
              <w:jc w:val="left"/>
              <w:rPr>
                <w:rFonts w:hint="eastAsia" w:ascii="宋体" w:hAnsi="宋体" w:eastAsia="宋体"/>
                <w:szCs w:val="21"/>
                <w:highlight w:val="none"/>
                <w:lang w:eastAsia="zh-CN"/>
              </w:rPr>
            </w:pPr>
            <w:r>
              <w:rPr>
                <w:rFonts w:ascii="宋体" w:hAnsi="宋体" w:eastAsia="宋体"/>
                <w:szCs w:val="21"/>
                <w:highlight w:val="none"/>
              </w:rPr>
              <w:t>2</w:t>
            </w:r>
            <w:r>
              <w:rPr>
                <w:rFonts w:hint="eastAsia" w:ascii="宋体" w:hAnsi="宋体" w:eastAsia="宋体"/>
                <w:szCs w:val="21"/>
                <w:highlight w:val="none"/>
              </w:rPr>
              <w:t>）服务团队具备一定的同类型项目经验，对汽车金融公司</w:t>
            </w:r>
            <w:r>
              <w:rPr>
                <w:rFonts w:hint="eastAsia" w:ascii="宋体" w:hAnsi="宋体" w:eastAsia="宋体"/>
                <w:szCs w:val="21"/>
                <w:highlight w:val="none"/>
                <w:lang w:val="en-US" w:eastAsia="zh-CN"/>
              </w:rPr>
              <w:t>内部控制审计</w:t>
            </w:r>
            <w:r>
              <w:rPr>
                <w:rFonts w:hint="eastAsia" w:ascii="宋体" w:hAnsi="宋体" w:eastAsia="宋体"/>
                <w:szCs w:val="21"/>
                <w:highlight w:val="none"/>
              </w:rPr>
              <w:t>项目较为了解；服务方案编制科学、合理，基本符合</w:t>
            </w:r>
            <w:r>
              <w:rPr>
                <w:rFonts w:hint="eastAsia" w:ascii="宋体" w:hAnsi="宋体" w:eastAsia="宋体"/>
                <w:szCs w:val="21"/>
                <w:highlight w:val="none"/>
                <w:lang w:val="en-US" w:eastAsia="zh-CN"/>
              </w:rPr>
              <w:t>监管法规</w:t>
            </w:r>
            <w:r>
              <w:rPr>
                <w:rFonts w:hint="eastAsia" w:ascii="宋体" w:hAnsi="宋体" w:eastAsia="宋体"/>
                <w:szCs w:val="21"/>
                <w:highlight w:val="none"/>
              </w:rPr>
              <w:t>要求，工作思路较为清晰，可行性较强，方案较为完善，对项目重点、难点的针对性设置较强；得</w:t>
            </w:r>
            <w:r>
              <w:rPr>
                <w:rFonts w:hint="eastAsia" w:ascii="宋体" w:hAnsi="宋体" w:eastAsia="宋体"/>
                <w:szCs w:val="21"/>
                <w:highlight w:val="none"/>
                <w:lang w:val="en-US" w:eastAsia="zh-CN"/>
              </w:rPr>
              <w:t>31-45</w:t>
            </w:r>
            <w:r>
              <w:rPr>
                <w:rFonts w:ascii="宋体" w:hAnsi="宋体" w:eastAsia="宋体"/>
                <w:szCs w:val="21"/>
                <w:highlight w:val="none"/>
              </w:rPr>
              <w:t>分</w:t>
            </w:r>
            <w:r>
              <w:rPr>
                <w:rFonts w:hint="eastAsia" w:ascii="宋体" w:hAnsi="宋体" w:eastAsia="宋体"/>
                <w:szCs w:val="21"/>
                <w:highlight w:val="none"/>
                <w:lang w:eastAsia="zh-CN"/>
              </w:rPr>
              <w:t>。</w:t>
            </w:r>
          </w:p>
          <w:p w14:paraId="48DDDC9C">
            <w:pPr>
              <w:widowControl/>
              <w:jc w:val="left"/>
              <w:rPr>
                <w:rFonts w:ascii="宋体" w:hAnsi="宋体" w:cs="宋体"/>
                <w:color w:val="000000"/>
                <w:kern w:val="0"/>
                <w:sz w:val="20"/>
                <w:szCs w:val="20"/>
                <w:highlight w:val="none"/>
              </w:rPr>
            </w:pPr>
            <w:r>
              <w:rPr>
                <w:rFonts w:ascii="宋体" w:hAnsi="宋体" w:eastAsia="宋体"/>
                <w:szCs w:val="21"/>
                <w:highlight w:val="none"/>
              </w:rPr>
              <w:t>3</w:t>
            </w:r>
            <w:r>
              <w:rPr>
                <w:rFonts w:hint="eastAsia" w:ascii="宋体" w:hAnsi="宋体" w:eastAsia="宋体"/>
                <w:szCs w:val="21"/>
                <w:highlight w:val="none"/>
              </w:rPr>
              <w:t>）服务团队具备的同类型项目经验较少，对汽车金融公司</w:t>
            </w:r>
            <w:r>
              <w:rPr>
                <w:rFonts w:hint="eastAsia" w:ascii="宋体" w:hAnsi="宋体" w:eastAsia="宋体"/>
                <w:szCs w:val="21"/>
                <w:highlight w:val="none"/>
                <w:lang w:val="en-US" w:eastAsia="zh-CN"/>
              </w:rPr>
              <w:t>内部控制审计</w:t>
            </w:r>
            <w:r>
              <w:rPr>
                <w:rFonts w:hint="eastAsia" w:ascii="宋体" w:hAnsi="宋体" w:eastAsia="宋体"/>
                <w:szCs w:val="21"/>
                <w:highlight w:val="none"/>
              </w:rPr>
              <w:t>项目不够了解；提供了服务方案，但方案与</w:t>
            </w:r>
            <w:r>
              <w:rPr>
                <w:rFonts w:hint="eastAsia" w:ascii="宋体" w:hAnsi="宋体" w:eastAsia="宋体"/>
                <w:szCs w:val="21"/>
                <w:highlight w:val="none"/>
                <w:lang w:val="en-US" w:eastAsia="zh-CN"/>
              </w:rPr>
              <w:t>监管法规</w:t>
            </w:r>
            <w:r>
              <w:rPr>
                <w:rFonts w:hint="eastAsia" w:ascii="宋体" w:hAnsi="宋体" w:eastAsia="宋体"/>
                <w:szCs w:val="21"/>
                <w:highlight w:val="none"/>
              </w:rPr>
              <w:t>要求符合程度较低，工作思路较为模糊，可行性较低，方案内容混乱，没有针对性，拟交付成果与项目需求契合度较低；得</w:t>
            </w:r>
            <w:r>
              <w:rPr>
                <w:rFonts w:hint="eastAsia" w:ascii="宋体" w:hAnsi="宋体" w:eastAsia="宋体"/>
                <w:szCs w:val="21"/>
                <w:highlight w:val="none"/>
                <w:lang w:val="en-US" w:eastAsia="zh-CN"/>
              </w:rPr>
              <w:t>0-30</w:t>
            </w:r>
            <w:r>
              <w:rPr>
                <w:rFonts w:ascii="宋体" w:hAnsi="宋体" w:eastAsia="宋体"/>
                <w:szCs w:val="21"/>
                <w:highlight w:val="none"/>
              </w:rPr>
              <w:t>分。</w:t>
            </w:r>
          </w:p>
        </w:tc>
        <w:tc>
          <w:tcPr>
            <w:tcW w:w="644" w:type="dxa"/>
            <w:tcMar>
              <w:top w:w="15" w:type="dxa"/>
              <w:left w:w="15" w:type="dxa"/>
              <w:bottom w:w="15" w:type="dxa"/>
              <w:right w:w="15" w:type="dxa"/>
            </w:tcMar>
            <w:vAlign w:val="center"/>
          </w:tcPr>
          <w:p w14:paraId="1AB4EF06">
            <w:pPr>
              <w:widowControl/>
              <w:spacing w:line="360" w:lineRule="auto"/>
              <w:jc w:val="center"/>
              <w:textAlignment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60</w:t>
            </w:r>
          </w:p>
        </w:tc>
      </w:tr>
      <w:tr w14:paraId="1301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289" w:type="dxa"/>
            <w:vMerge w:val="continue"/>
            <w:tcMar>
              <w:top w:w="15" w:type="dxa"/>
              <w:left w:w="15" w:type="dxa"/>
              <w:bottom w:w="15" w:type="dxa"/>
              <w:right w:w="15" w:type="dxa"/>
            </w:tcMar>
            <w:vAlign w:val="center"/>
          </w:tcPr>
          <w:p w14:paraId="6AA75F48">
            <w:pPr>
              <w:widowControl/>
              <w:spacing w:line="360" w:lineRule="auto"/>
              <w:jc w:val="center"/>
              <w:textAlignment w:val="center"/>
              <w:rPr>
                <w:rFonts w:ascii="宋体" w:hAnsi="宋体" w:cs="宋体"/>
                <w:b/>
                <w:sz w:val="24"/>
                <w:highlight w:val="none"/>
              </w:rPr>
            </w:pPr>
          </w:p>
        </w:tc>
        <w:tc>
          <w:tcPr>
            <w:tcW w:w="1427" w:type="dxa"/>
            <w:tcMar>
              <w:top w:w="15" w:type="dxa"/>
              <w:left w:w="15" w:type="dxa"/>
              <w:bottom w:w="15" w:type="dxa"/>
              <w:right w:w="15" w:type="dxa"/>
            </w:tcMar>
            <w:vAlign w:val="center"/>
          </w:tcPr>
          <w:p w14:paraId="28162FE5">
            <w:pPr>
              <w:pStyle w:val="70"/>
              <w:widowControl/>
              <w:spacing w:line="360" w:lineRule="auto"/>
              <w:ind w:firstLine="0" w:firstLineChars="0"/>
              <w:jc w:val="center"/>
              <w:rPr>
                <w:rFonts w:ascii="宋体" w:hAnsi="宋体" w:eastAsia="宋体" w:cs="宋体"/>
                <w:szCs w:val="21"/>
                <w:highlight w:val="none"/>
              </w:rPr>
            </w:pPr>
            <w:r>
              <w:rPr>
                <w:rFonts w:hint="eastAsia" w:ascii="宋体" w:hAnsi="宋体" w:eastAsia="宋体" w:cs="宋体"/>
                <w:szCs w:val="21"/>
                <w:highlight w:val="none"/>
              </w:rPr>
              <w:t>项目需求理解</w:t>
            </w:r>
          </w:p>
        </w:tc>
        <w:tc>
          <w:tcPr>
            <w:tcW w:w="6095" w:type="dxa"/>
            <w:tcMar>
              <w:top w:w="15" w:type="dxa"/>
              <w:left w:w="15" w:type="dxa"/>
              <w:bottom w:w="15" w:type="dxa"/>
              <w:right w:w="15" w:type="dxa"/>
            </w:tcMar>
            <w:vAlign w:val="center"/>
          </w:tcPr>
          <w:p w14:paraId="5D26C65E">
            <w:pPr>
              <w:widowControl/>
              <w:jc w:val="left"/>
              <w:rPr>
                <w:rFonts w:ascii="宋体" w:hAnsi="宋体" w:eastAsia="宋体"/>
                <w:szCs w:val="21"/>
                <w:highlight w:val="none"/>
              </w:rPr>
            </w:pPr>
            <w:r>
              <w:rPr>
                <w:rFonts w:hint="eastAsia" w:ascii="宋体" w:hAnsi="宋体" w:eastAsia="宋体"/>
                <w:szCs w:val="21"/>
                <w:highlight w:val="none"/>
              </w:rPr>
              <w:t>项目理解的描述及需求分析情况：</w:t>
            </w:r>
          </w:p>
          <w:p w14:paraId="1173998A">
            <w:pPr>
              <w:widowControl/>
              <w:jc w:val="left"/>
              <w:rPr>
                <w:rFonts w:hint="eastAsia" w:ascii="宋体" w:hAnsi="宋体" w:eastAsia="宋体"/>
                <w:szCs w:val="21"/>
                <w:highlight w:val="none"/>
                <w:lang w:eastAsia="zh-CN"/>
              </w:rPr>
            </w:pPr>
            <w:r>
              <w:rPr>
                <w:rFonts w:ascii="宋体" w:hAnsi="宋体" w:eastAsia="宋体"/>
                <w:szCs w:val="21"/>
                <w:highlight w:val="none"/>
              </w:rPr>
              <w:t>1</w:t>
            </w:r>
            <w:r>
              <w:rPr>
                <w:rFonts w:hint="eastAsia" w:ascii="宋体" w:hAnsi="宋体" w:eastAsia="宋体"/>
                <w:szCs w:val="21"/>
                <w:highlight w:val="none"/>
              </w:rPr>
              <w:t>）对项目理解准确、重点突出，分析到位，充分了解招标人需求的得</w:t>
            </w:r>
            <w:r>
              <w:rPr>
                <w:rFonts w:hint="eastAsia" w:ascii="宋体" w:hAnsi="宋体" w:eastAsia="宋体"/>
                <w:szCs w:val="21"/>
                <w:highlight w:val="none"/>
                <w:lang w:val="en-US" w:eastAsia="zh-CN"/>
              </w:rPr>
              <w:t>21—3</w:t>
            </w:r>
            <w:r>
              <w:rPr>
                <w:rFonts w:ascii="宋体" w:hAnsi="宋体" w:eastAsia="宋体"/>
                <w:szCs w:val="21"/>
                <w:highlight w:val="none"/>
              </w:rPr>
              <w:t>0分</w:t>
            </w:r>
            <w:r>
              <w:rPr>
                <w:rFonts w:hint="eastAsia" w:ascii="宋体" w:hAnsi="宋体" w:eastAsia="宋体"/>
                <w:szCs w:val="21"/>
                <w:highlight w:val="none"/>
                <w:lang w:eastAsia="zh-CN"/>
              </w:rPr>
              <w:t>。</w:t>
            </w:r>
          </w:p>
          <w:p w14:paraId="61E7AB36">
            <w:pPr>
              <w:widowControl/>
              <w:jc w:val="left"/>
              <w:rPr>
                <w:rFonts w:hint="eastAsia" w:ascii="宋体" w:hAnsi="宋体" w:eastAsia="宋体"/>
                <w:szCs w:val="21"/>
                <w:highlight w:val="none"/>
                <w:lang w:eastAsia="zh-CN"/>
              </w:rPr>
            </w:pPr>
            <w:r>
              <w:rPr>
                <w:rFonts w:ascii="宋体" w:hAnsi="宋体" w:eastAsia="宋体"/>
                <w:szCs w:val="21"/>
                <w:highlight w:val="none"/>
              </w:rPr>
              <w:t>2</w:t>
            </w:r>
            <w:r>
              <w:rPr>
                <w:rFonts w:hint="eastAsia" w:ascii="宋体" w:hAnsi="宋体" w:eastAsia="宋体"/>
                <w:szCs w:val="21"/>
                <w:highlight w:val="none"/>
              </w:rPr>
              <w:t>）对项目理解准确，重点较为突出、分析合理，了解招标人需求的得</w:t>
            </w:r>
            <w:r>
              <w:rPr>
                <w:rFonts w:hint="eastAsia" w:ascii="宋体" w:hAnsi="宋体" w:eastAsia="宋体"/>
                <w:szCs w:val="21"/>
                <w:highlight w:val="none"/>
                <w:lang w:val="en-US" w:eastAsia="zh-CN"/>
              </w:rPr>
              <w:t>10—20</w:t>
            </w:r>
            <w:r>
              <w:rPr>
                <w:rFonts w:ascii="宋体" w:hAnsi="宋体" w:eastAsia="宋体"/>
                <w:szCs w:val="21"/>
                <w:highlight w:val="none"/>
              </w:rPr>
              <w:t>分</w:t>
            </w:r>
            <w:r>
              <w:rPr>
                <w:rFonts w:hint="eastAsia" w:ascii="宋体" w:hAnsi="宋体" w:eastAsia="宋体"/>
                <w:szCs w:val="21"/>
                <w:highlight w:val="none"/>
                <w:lang w:eastAsia="zh-CN"/>
              </w:rPr>
              <w:t>。</w:t>
            </w:r>
          </w:p>
          <w:p w14:paraId="1118E519">
            <w:pPr>
              <w:widowControl/>
              <w:jc w:val="left"/>
              <w:rPr>
                <w:rFonts w:ascii="宋体" w:hAnsi="宋体" w:eastAsia="宋体" w:cs="宋体"/>
                <w:szCs w:val="21"/>
                <w:highlight w:val="none"/>
              </w:rPr>
            </w:pPr>
            <w:r>
              <w:rPr>
                <w:rFonts w:ascii="宋体" w:hAnsi="宋体" w:eastAsia="宋体"/>
                <w:szCs w:val="21"/>
                <w:highlight w:val="none"/>
              </w:rPr>
              <w:t>3</w:t>
            </w:r>
            <w:r>
              <w:rPr>
                <w:rFonts w:hint="eastAsia" w:ascii="宋体" w:hAnsi="宋体" w:eastAsia="宋体"/>
                <w:szCs w:val="21"/>
                <w:highlight w:val="none"/>
              </w:rPr>
              <w:t>）对项目理解一般，分析不太符合实际情况，对招标人需求了解不到位的得</w:t>
            </w:r>
            <w:r>
              <w:rPr>
                <w:rFonts w:ascii="宋体" w:hAnsi="宋体" w:eastAsia="宋体"/>
                <w:szCs w:val="21"/>
                <w:highlight w:val="none"/>
              </w:rPr>
              <w:t>0</w:t>
            </w:r>
            <w:r>
              <w:rPr>
                <w:rFonts w:hint="eastAsia" w:ascii="宋体" w:hAnsi="宋体" w:eastAsia="宋体"/>
                <w:szCs w:val="21"/>
                <w:highlight w:val="none"/>
                <w:lang w:val="en-US" w:eastAsia="zh-CN"/>
              </w:rPr>
              <w:t>-9</w:t>
            </w:r>
            <w:r>
              <w:rPr>
                <w:rFonts w:ascii="宋体" w:hAnsi="宋体" w:eastAsia="宋体"/>
                <w:szCs w:val="21"/>
                <w:highlight w:val="none"/>
              </w:rPr>
              <w:t>分。</w:t>
            </w:r>
          </w:p>
        </w:tc>
        <w:tc>
          <w:tcPr>
            <w:tcW w:w="644" w:type="dxa"/>
            <w:tcMar>
              <w:top w:w="15" w:type="dxa"/>
              <w:left w:w="15" w:type="dxa"/>
              <w:bottom w:w="15" w:type="dxa"/>
              <w:right w:w="15" w:type="dxa"/>
            </w:tcMar>
            <w:vAlign w:val="center"/>
          </w:tcPr>
          <w:p w14:paraId="191F4807">
            <w:pPr>
              <w:widowControl/>
              <w:spacing w:line="360" w:lineRule="auto"/>
              <w:jc w:val="center"/>
              <w:textAlignment w:val="center"/>
              <w:rPr>
                <w:rFonts w:hint="default" w:ascii="宋体" w:hAnsi="宋体" w:cs="宋体" w:eastAsiaTheme="minorEastAsia"/>
                <w:kern w:val="0"/>
                <w:sz w:val="24"/>
                <w:highlight w:val="none"/>
                <w:lang w:val="en-US" w:eastAsia="zh-CN"/>
              </w:rPr>
            </w:pPr>
            <w:r>
              <w:rPr>
                <w:rFonts w:hint="eastAsia" w:ascii="宋体" w:hAnsi="宋体" w:cs="宋体"/>
                <w:kern w:val="0"/>
                <w:sz w:val="24"/>
                <w:highlight w:val="none"/>
                <w:lang w:val="en-US" w:eastAsia="zh-CN"/>
              </w:rPr>
              <w:t>30</w:t>
            </w:r>
          </w:p>
        </w:tc>
      </w:tr>
      <w:tr w14:paraId="0AEA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89" w:type="dxa"/>
            <w:vMerge w:val="continue"/>
            <w:tcMar>
              <w:top w:w="15" w:type="dxa"/>
              <w:left w:w="15" w:type="dxa"/>
              <w:bottom w:w="15" w:type="dxa"/>
              <w:right w:w="15" w:type="dxa"/>
            </w:tcMar>
            <w:vAlign w:val="center"/>
          </w:tcPr>
          <w:p w14:paraId="069797BA">
            <w:pPr>
              <w:widowControl/>
              <w:spacing w:line="360" w:lineRule="auto"/>
              <w:jc w:val="center"/>
              <w:textAlignment w:val="center"/>
              <w:rPr>
                <w:rFonts w:ascii="宋体" w:hAnsi="宋体" w:cs="宋体"/>
                <w:b/>
                <w:sz w:val="24"/>
                <w:highlight w:val="none"/>
              </w:rPr>
            </w:pPr>
          </w:p>
        </w:tc>
        <w:tc>
          <w:tcPr>
            <w:tcW w:w="1427" w:type="dxa"/>
            <w:tcMar>
              <w:top w:w="15" w:type="dxa"/>
              <w:left w:w="15" w:type="dxa"/>
              <w:bottom w:w="15" w:type="dxa"/>
              <w:right w:w="15" w:type="dxa"/>
            </w:tcMar>
            <w:vAlign w:val="center"/>
          </w:tcPr>
          <w:p w14:paraId="0E074B8E">
            <w:pPr>
              <w:pStyle w:val="70"/>
              <w:widowControl/>
              <w:spacing w:line="360" w:lineRule="auto"/>
              <w:ind w:firstLine="0" w:firstLineChars="0"/>
              <w:jc w:val="center"/>
              <w:rPr>
                <w:rFonts w:ascii="宋体" w:hAnsi="宋体" w:eastAsia="宋体" w:cs="宋体"/>
                <w:szCs w:val="21"/>
                <w:highlight w:val="none"/>
              </w:rPr>
            </w:pPr>
            <w:r>
              <w:rPr>
                <w:rFonts w:hint="eastAsia" w:ascii="宋体" w:hAnsi="宋体" w:eastAsia="宋体" w:cs="宋体"/>
                <w:szCs w:val="21"/>
                <w:highlight w:val="none"/>
              </w:rPr>
              <w:t>项目经验</w:t>
            </w:r>
          </w:p>
        </w:tc>
        <w:tc>
          <w:tcPr>
            <w:tcW w:w="6095" w:type="dxa"/>
            <w:tcMar>
              <w:top w:w="15" w:type="dxa"/>
              <w:left w:w="15" w:type="dxa"/>
              <w:bottom w:w="15" w:type="dxa"/>
              <w:right w:w="15" w:type="dxa"/>
            </w:tcMar>
            <w:vAlign w:val="center"/>
          </w:tcPr>
          <w:p w14:paraId="72009DCB">
            <w:pPr>
              <w:widowControl/>
              <w:jc w:val="left"/>
              <w:rPr>
                <w:rFonts w:ascii="宋体" w:hAnsi="宋体" w:cs="宋体"/>
                <w:kern w:val="0"/>
                <w:sz w:val="20"/>
                <w:szCs w:val="20"/>
                <w:highlight w:val="none"/>
                <w:lang w:val="en-GB"/>
              </w:rPr>
            </w:pPr>
            <w:r>
              <w:rPr>
                <w:rFonts w:hint="eastAsia" w:ascii="宋体" w:hAnsi="宋体" w:eastAsia="宋体"/>
                <w:szCs w:val="21"/>
                <w:highlight w:val="none"/>
              </w:rPr>
              <w:t>关于汽车金融公司、</w:t>
            </w:r>
            <w:r>
              <w:rPr>
                <w:rFonts w:hint="eastAsia" w:ascii="宋体" w:hAnsi="宋体" w:eastAsia="宋体"/>
                <w:szCs w:val="21"/>
                <w:highlight w:val="none"/>
                <w:lang w:val="en-US" w:eastAsia="zh-CN"/>
              </w:rPr>
              <w:t>财务公司、银行</w:t>
            </w:r>
            <w:r>
              <w:rPr>
                <w:rFonts w:hint="eastAsia" w:ascii="宋体" w:hAnsi="宋体" w:eastAsia="宋体"/>
                <w:szCs w:val="21"/>
                <w:highlight w:val="none"/>
              </w:rPr>
              <w:t>项目相关案例进行评分，投标人每具备</w:t>
            </w:r>
            <w:r>
              <w:rPr>
                <w:rFonts w:ascii="宋体" w:hAnsi="宋体" w:eastAsia="宋体"/>
                <w:szCs w:val="21"/>
                <w:highlight w:val="none"/>
              </w:rPr>
              <w:t>1个符合要求的项目经验，得</w:t>
            </w:r>
            <w:r>
              <w:rPr>
                <w:rFonts w:hint="eastAsia" w:ascii="宋体" w:hAnsi="宋体" w:eastAsia="宋体"/>
                <w:szCs w:val="21"/>
                <w:highlight w:val="none"/>
                <w:lang w:val="en-US" w:eastAsia="zh-CN"/>
              </w:rPr>
              <w:t>1</w:t>
            </w:r>
            <w:r>
              <w:rPr>
                <w:rFonts w:hint="eastAsia" w:ascii="宋体" w:hAnsi="宋体" w:eastAsia="宋体"/>
                <w:szCs w:val="21"/>
                <w:highlight w:val="none"/>
              </w:rPr>
              <w:t>分。本项满分</w:t>
            </w:r>
            <w:r>
              <w:rPr>
                <w:rFonts w:hint="eastAsia" w:ascii="宋体" w:hAnsi="宋体" w:eastAsia="宋体"/>
                <w:szCs w:val="21"/>
                <w:highlight w:val="none"/>
                <w:lang w:val="en-US" w:eastAsia="zh-CN"/>
              </w:rPr>
              <w:t>1</w:t>
            </w:r>
            <w:r>
              <w:rPr>
                <w:rFonts w:ascii="宋体" w:hAnsi="宋体" w:eastAsia="宋体"/>
                <w:szCs w:val="21"/>
                <w:highlight w:val="none"/>
              </w:rPr>
              <w:t>0</w:t>
            </w:r>
            <w:r>
              <w:rPr>
                <w:rFonts w:hint="eastAsia" w:ascii="宋体" w:hAnsi="宋体" w:eastAsia="宋体"/>
                <w:szCs w:val="21"/>
                <w:highlight w:val="none"/>
              </w:rPr>
              <w:t>分。</w:t>
            </w:r>
          </w:p>
        </w:tc>
        <w:tc>
          <w:tcPr>
            <w:tcW w:w="644" w:type="dxa"/>
            <w:tcMar>
              <w:top w:w="15" w:type="dxa"/>
              <w:left w:w="15" w:type="dxa"/>
              <w:bottom w:w="15" w:type="dxa"/>
              <w:right w:w="15" w:type="dxa"/>
            </w:tcMar>
            <w:vAlign w:val="center"/>
          </w:tcPr>
          <w:p w14:paraId="61D4C321">
            <w:pPr>
              <w:widowControl/>
              <w:spacing w:line="360" w:lineRule="auto"/>
              <w:jc w:val="center"/>
              <w:textAlignment w:val="center"/>
              <w:rPr>
                <w:rFonts w:ascii="宋体" w:hAnsi="宋体" w:cs="宋体"/>
                <w:kern w:val="0"/>
                <w:sz w:val="24"/>
                <w:highlight w:val="none"/>
              </w:rPr>
            </w:pPr>
            <w:r>
              <w:rPr>
                <w:rFonts w:hint="eastAsia" w:ascii="宋体" w:hAnsi="宋体" w:cs="宋体"/>
                <w:kern w:val="0"/>
                <w:sz w:val="24"/>
                <w:highlight w:val="none"/>
                <w:lang w:val="en-US" w:eastAsia="zh-CN"/>
              </w:rPr>
              <w:t>1</w:t>
            </w:r>
            <w:r>
              <w:rPr>
                <w:rFonts w:hint="eastAsia" w:ascii="宋体" w:hAnsi="宋体" w:cs="宋体"/>
                <w:kern w:val="0"/>
                <w:sz w:val="24"/>
                <w:highlight w:val="none"/>
              </w:rPr>
              <w:t>0</w:t>
            </w:r>
          </w:p>
        </w:tc>
      </w:tr>
      <w:tr w14:paraId="6E89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811" w:type="dxa"/>
            <w:gridSpan w:val="3"/>
            <w:tcMar>
              <w:top w:w="15" w:type="dxa"/>
              <w:left w:w="15" w:type="dxa"/>
              <w:bottom w:w="15" w:type="dxa"/>
              <w:right w:w="15" w:type="dxa"/>
            </w:tcMar>
            <w:vAlign w:val="center"/>
          </w:tcPr>
          <w:p w14:paraId="14B00C38">
            <w:pPr>
              <w:pStyle w:val="70"/>
              <w:widowControl/>
              <w:spacing w:line="276" w:lineRule="auto"/>
              <w:ind w:firstLine="0" w:firstLineChars="0"/>
              <w:jc w:val="center"/>
              <w:rPr>
                <w:rFonts w:ascii="宋体" w:hAnsi="宋体" w:cs="宋体" w:eastAsiaTheme="minorEastAsia"/>
                <w:kern w:val="2"/>
                <w:sz w:val="24"/>
                <w:szCs w:val="24"/>
                <w:highlight w:val="none"/>
                <w:lang w:val="en-US" w:eastAsia="zh-CN" w:bidi="ar-SA"/>
              </w:rPr>
            </w:pPr>
            <w:r>
              <w:rPr>
                <w:rFonts w:hint="eastAsia" w:ascii="宋体" w:hAnsi="宋体" w:cs="宋体"/>
                <w:kern w:val="0"/>
                <w:sz w:val="24"/>
                <w:highlight w:val="none"/>
              </w:rPr>
              <w:t>合计</w:t>
            </w:r>
          </w:p>
        </w:tc>
        <w:tc>
          <w:tcPr>
            <w:tcW w:w="644" w:type="dxa"/>
            <w:tcMar>
              <w:top w:w="15" w:type="dxa"/>
              <w:left w:w="15" w:type="dxa"/>
              <w:bottom w:w="15" w:type="dxa"/>
              <w:right w:w="15" w:type="dxa"/>
            </w:tcMar>
            <w:vAlign w:val="center"/>
          </w:tcPr>
          <w:p w14:paraId="2081298E">
            <w:pPr>
              <w:pStyle w:val="70"/>
              <w:widowControl/>
              <w:spacing w:line="360" w:lineRule="auto"/>
              <w:ind w:firstLine="0" w:firstLineChars="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100</w:t>
            </w:r>
          </w:p>
        </w:tc>
      </w:tr>
      <w:tr w14:paraId="331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455" w:type="dxa"/>
            <w:gridSpan w:val="4"/>
            <w:tcMar>
              <w:top w:w="15" w:type="dxa"/>
              <w:left w:w="15" w:type="dxa"/>
              <w:bottom w:w="15" w:type="dxa"/>
              <w:right w:w="15" w:type="dxa"/>
            </w:tcMar>
            <w:vAlign w:val="center"/>
          </w:tcPr>
          <w:p w14:paraId="0F5CB429">
            <w:pPr>
              <w:tabs>
                <w:tab w:val="left" w:pos="0"/>
              </w:tabs>
              <w:spacing w:line="360" w:lineRule="auto"/>
              <w:ind w:firstLine="482" w:firstLineChars="20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注意：</w:t>
            </w:r>
          </w:p>
          <w:p w14:paraId="70F8B908">
            <w:pPr>
              <w:tabs>
                <w:tab w:val="left" w:pos="0"/>
              </w:tabs>
              <w:spacing w:line="360" w:lineRule="auto"/>
              <w:ind w:firstLine="482" w:firstLineChars="200"/>
              <w:rPr>
                <w:rFonts w:hint="eastAsia" w:ascii="Calibri" w:hAnsi="宋体" w:eastAsia="宋体" w:cs="宋体"/>
                <w:b/>
                <w:bCs/>
                <w:kern w:val="0"/>
                <w:sz w:val="24"/>
                <w:highlight w:val="none"/>
                <w:lang w:val="en-US" w:eastAsia="zh-CN"/>
              </w:rPr>
            </w:pPr>
            <w:r>
              <w:rPr>
                <w:rFonts w:hint="eastAsia" w:ascii="Calibri" w:hAnsi="宋体" w:eastAsia="宋体" w:cs="宋体"/>
                <w:b/>
                <w:bCs/>
                <w:kern w:val="0"/>
                <w:sz w:val="24"/>
                <w:highlight w:val="none"/>
                <w:lang w:val="en-US" w:eastAsia="zh-CN"/>
              </w:rPr>
              <w:t>投标人技术标的最终得分为所有评委打分汇总后的算术平均值。</w:t>
            </w:r>
          </w:p>
          <w:p w14:paraId="67BB56CD">
            <w:pPr>
              <w:tabs>
                <w:tab w:val="left" w:pos="0"/>
              </w:tabs>
              <w:spacing w:line="360" w:lineRule="auto"/>
              <w:ind w:firstLine="482" w:firstLineChars="200"/>
              <w:rPr>
                <w:rFonts w:hint="eastAsia" w:ascii="Calibri" w:hAnsi="宋体" w:eastAsia="宋体" w:cs="宋体"/>
                <w:b/>
                <w:bCs/>
                <w:kern w:val="0"/>
                <w:sz w:val="24"/>
                <w:highlight w:val="none"/>
                <w:lang w:val="en-US" w:eastAsia="zh-CN"/>
              </w:rPr>
            </w:pPr>
            <w:r>
              <w:rPr>
                <w:rFonts w:hint="eastAsia" w:ascii="Calibri" w:hAnsi="宋体" w:eastAsia="宋体" w:cs="宋体"/>
                <w:b/>
                <w:bCs/>
                <w:kern w:val="0"/>
                <w:sz w:val="24"/>
                <w:highlight w:val="none"/>
                <w:lang w:val="en-US" w:eastAsia="zh-CN"/>
              </w:rPr>
              <w:t>技术标根据评分办法进行打分，技术标评标小组推荐至少3家技术得分70分以上的投标人进入商务标。技术入围投标人不足三家时，本次按废标处理，招标人有权根据招标采购管理流程重新组织招标。</w:t>
            </w:r>
          </w:p>
          <w:p w14:paraId="026361E1">
            <w:pPr>
              <w:tabs>
                <w:tab w:val="left" w:pos="0"/>
              </w:tabs>
              <w:ind w:firstLine="482" w:firstLineChars="200"/>
              <w:rPr>
                <w:rFonts w:hint="eastAsia" w:ascii="宋体" w:hAnsi="宋体" w:cs="宋体"/>
                <w:sz w:val="24"/>
                <w:highlight w:val="none"/>
              </w:rPr>
            </w:pPr>
            <w:r>
              <w:rPr>
                <w:rFonts w:hint="eastAsia" w:ascii="Calibri" w:hAnsi="宋体" w:eastAsia="宋体" w:cs="宋体"/>
                <w:b/>
                <w:bCs/>
                <w:kern w:val="0"/>
                <w:sz w:val="24"/>
                <w:highlight w:val="none"/>
                <w:lang w:val="en-US" w:eastAsia="zh-CN"/>
              </w:rPr>
              <w:t>技术标得分占比 70%，计入最终评分。</w:t>
            </w:r>
          </w:p>
        </w:tc>
      </w:tr>
    </w:tbl>
    <w:p w14:paraId="5618AD48">
      <w:pPr>
        <w:tabs>
          <w:tab w:val="left" w:pos="0"/>
        </w:tabs>
        <w:spacing w:line="360" w:lineRule="auto"/>
        <w:ind w:firstLine="480" w:firstLineChars="200"/>
        <w:rPr>
          <w:rFonts w:hint="eastAsia" w:ascii="Calibri" w:hAnsi="宋体" w:eastAsia="宋体" w:cs="宋体"/>
          <w:kern w:val="0"/>
          <w:sz w:val="24"/>
          <w:highlight w:val="none"/>
          <w:lang w:val="en-US" w:eastAsia="zh-CN"/>
        </w:rPr>
      </w:pPr>
    </w:p>
    <w:p w14:paraId="487414EF">
      <w:pPr>
        <w:tabs>
          <w:tab w:val="left" w:pos="0"/>
        </w:tabs>
        <w:spacing w:line="360" w:lineRule="auto"/>
        <w:ind w:firstLine="480" w:firstLineChars="200"/>
        <w:rPr>
          <w:rFonts w:hint="eastAsia" w:ascii="Calibri" w:hAnsi="宋体" w:eastAsia="宋体" w:cs="宋体"/>
          <w:kern w:val="0"/>
          <w:sz w:val="24"/>
          <w:highlight w:val="none"/>
          <w:lang w:val="en-US" w:eastAsia="zh-CN"/>
        </w:rPr>
      </w:pPr>
    </w:p>
    <w:p w14:paraId="33D30AAA">
      <w:pPr>
        <w:tabs>
          <w:tab w:val="left" w:pos="0"/>
        </w:tabs>
        <w:spacing w:line="360" w:lineRule="auto"/>
        <w:ind w:firstLine="480" w:firstLineChars="200"/>
        <w:rPr>
          <w:rFonts w:hint="eastAsia" w:ascii="Calibri" w:hAnsi="宋体" w:eastAsia="宋体" w:cs="宋体"/>
          <w:kern w:val="0"/>
          <w:sz w:val="24"/>
          <w:highlight w:val="none"/>
          <w:lang w:val="en-US" w:eastAsia="zh-CN"/>
        </w:rPr>
      </w:pPr>
    </w:p>
    <w:p w14:paraId="06556569">
      <w:pPr>
        <w:tabs>
          <w:tab w:val="left" w:pos="0"/>
        </w:tabs>
        <w:spacing w:line="360" w:lineRule="auto"/>
        <w:ind w:firstLine="480" w:firstLineChars="200"/>
        <w:rPr>
          <w:highlight w:val="none"/>
        </w:rPr>
      </w:pPr>
      <w:r>
        <w:rPr>
          <w:rFonts w:hint="eastAsia" w:ascii="Calibri" w:hAnsi="宋体" w:eastAsia="宋体" w:cs="宋体"/>
          <w:kern w:val="0"/>
          <w:sz w:val="24"/>
          <w:highlight w:val="none"/>
          <w:lang w:val="en-US" w:eastAsia="zh-CN"/>
        </w:rPr>
        <w:t>商务标</w:t>
      </w:r>
      <w:r>
        <w:rPr>
          <w:rFonts w:hint="eastAsia" w:ascii="Calibri" w:hAnsi="宋体" w:eastAsia="宋体" w:cs="宋体"/>
          <w:kern w:val="0"/>
          <w:sz w:val="24"/>
          <w:highlight w:val="none"/>
        </w:rPr>
        <w:t>评分标准如下：</w:t>
      </w:r>
    </w:p>
    <w:tbl>
      <w:tblPr>
        <w:tblStyle w:val="25"/>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427"/>
        <w:gridCol w:w="6095"/>
        <w:gridCol w:w="644"/>
      </w:tblGrid>
      <w:tr w14:paraId="127B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9" w:type="dxa"/>
            <w:tcMar>
              <w:top w:w="15" w:type="dxa"/>
              <w:left w:w="15" w:type="dxa"/>
              <w:bottom w:w="15" w:type="dxa"/>
              <w:right w:w="15" w:type="dxa"/>
            </w:tcMar>
            <w:vAlign w:val="center"/>
          </w:tcPr>
          <w:p w14:paraId="602BD528">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评分项目</w:t>
            </w:r>
          </w:p>
        </w:tc>
        <w:tc>
          <w:tcPr>
            <w:tcW w:w="1427" w:type="dxa"/>
            <w:tcMar>
              <w:top w:w="15" w:type="dxa"/>
              <w:left w:w="15" w:type="dxa"/>
              <w:bottom w:w="15" w:type="dxa"/>
              <w:right w:w="15" w:type="dxa"/>
            </w:tcMar>
            <w:vAlign w:val="center"/>
          </w:tcPr>
          <w:p w14:paraId="55DEC2DD">
            <w:pPr>
              <w:widowControl/>
              <w:spacing w:line="360" w:lineRule="auto"/>
              <w:jc w:val="center"/>
              <w:textAlignment w:val="center"/>
              <w:rPr>
                <w:rFonts w:ascii="宋体" w:hAnsi="宋体" w:cs="宋体"/>
                <w:b/>
                <w:kern w:val="0"/>
                <w:sz w:val="24"/>
                <w:highlight w:val="none"/>
              </w:rPr>
            </w:pPr>
            <w:r>
              <w:rPr>
                <w:rFonts w:hint="eastAsia" w:ascii="宋体" w:hAnsi="宋体" w:cs="宋体"/>
                <w:b/>
                <w:kern w:val="0"/>
                <w:sz w:val="24"/>
                <w:highlight w:val="none"/>
              </w:rPr>
              <w:t>评分因素</w:t>
            </w:r>
          </w:p>
        </w:tc>
        <w:tc>
          <w:tcPr>
            <w:tcW w:w="6095" w:type="dxa"/>
            <w:tcMar>
              <w:top w:w="15" w:type="dxa"/>
              <w:left w:w="15" w:type="dxa"/>
              <w:bottom w:w="15" w:type="dxa"/>
              <w:right w:w="15" w:type="dxa"/>
            </w:tcMar>
            <w:vAlign w:val="center"/>
          </w:tcPr>
          <w:p w14:paraId="056882CB">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说明</w:t>
            </w:r>
          </w:p>
        </w:tc>
        <w:tc>
          <w:tcPr>
            <w:tcW w:w="644" w:type="dxa"/>
            <w:tcMar>
              <w:top w:w="15" w:type="dxa"/>
              <w:left w:w="15" w:type="dxa"/>
              <w:bottom w:w="15" w:type="dxa"/>
              <w:right w:w="15" w:type="dxa"/>
            </w:tcMar>
            <w:vAlign w:val="center"/>
          </w:tcPr>
          <w:p w14:paraId="6FAEEB9A">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分值分配</w:t>
            </w:r>
          </w:p>
        </w:tc>
      </w:tr>
      <w:tr w14:paraId="02AF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89" w:type="dxa"/>
            <w:tcMar>
              <w:top w:w="15" w:type="dxa"/>
              <w:left w:w="15" w:type="dxa"/>
              <w:bottom w:w="15" w:type="dxa"/>
              <w:right w:w="15" w:type="dxa"/>
            </w:tcMar>
            <w:vAlign w:val="center"/>
          </w:tcPr>
          <w:p w14:paraId="135E4CC5">
            <w:pPr>
              <w:widowControl/>
              <w:spacing w:line="360" w:lineRule="auto"/>
              <w:jc w:val="center"/>
              <w:textAlignment w:val="center"/>
              <w:rPr>
                <w:rFonts w:ascii="宋体" w:hAnsi="宋体" w:cs="宋体"/>
                <w:b/>
                <w:sz w:val="24"/>
                <w:highlight w:val="none"/>
              </w:rPr>
            </w:pPr>
            <w:r>
              <w:rPr>
                <w:rFonts w:hint="eastAsia" w:ascii="宋体" w:hAnsi="宋体" w:cs="宋体"/>
                <w:b/>
                <w:kern w:val="0"/>
                <w:sz w:val="24"/>
                <w:highlight w:val="none"/>
              </w:rPr>
              <w:t>报价部分（</w:t>
            </w:r>
            <w:r>
              <w:rPr>
                <w:rFonts w:hint="eastAsia" w:ascii="宋体" w:hAnsi="宋体" w:cs="宋体"/>
                <w:b/>
                <w:kern w:val="0"/>
                <w:sz w:val="24"/>
                <w:highlight w:val="none"/>
                <w:lang w:val="en-US" w:eastAsia="zh-CN"/>
              </w:rPr>
              <w:t>100</w:t>
            </w:r>
            <w:r>
              <w:rPr>
                <w:rFonts w:hint="eastAsia" w:ascii="宋体" w:hAnsi="宋体" w:cs="宋体"/>
                <w:b/>
                <w:kern w:val="0"/>
                <w:sz w:val="24"/>
                <w:highlight w:val="none"/>
              </w:rPr>
              <w:t>分）</w:t>
            </w:r>
          </w:p>
        </w:tc>
        <w:tc>
          <w:tcPr>
            <w:tcW w:w="1427" w:type="dxa"/>
            <w:tcMar>
              <w:top w:w="15" w:type="dxa"/>
              <w:left w:w="15" w:type="dxa"/>
              <w:bottom w:w="15" w:type="dxa"/>
              <w:right w:w="15" w:type="dxa"/>
            </w:tcMar>
            <w:vAlign w:val="center"/>
          </w:tcPr>
          <w:p w14:paraId="44148DD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最终报价</w:t>
            </w:r>
          </w:p>
        </w:tc>
        <w:tc>
          <w:tcPr>
            <w:tcW w:w="6095" w:type="dxa"/>
            <w:tcMar>
              <w:top w:w="15" w:type="dxa"/>
              <w:left w:w="15" w:type="dxa"/>
              <w:bottom w:w="15" w:type="dxa"/>
              <w:right w:w="15" w:type="dxa"/>
            </w:tcMar>
            <w:vAlign w:val="center"/>
          </w:tcPr>
          <w:p w14:paraId="2334650C">
            <w:pPr>
              <w:pStyle w:val="70"/>
              <w:spacing w:line="276" w:lineRule="auto"/>
              <w:ind w:left="0" w:leftChars="0" w:firstLine="0" w:firstLineChars="0"/>
              <w:rPr>
                <w:rFonts w:ascii="宋体" w:hAnsi="宋体" w:eastAsia="宋体"/>
                <w:szCs w:val="21"/>
                <w:highlight w:val="none"/>
              </w:rPr>
            </w:pPr>
            <w:r>
              <w:rPr>
                <w:rFonts w:hint="eastAsia" w:ascii="宋体" w:hAnsi="宋体" w:eastAsia="宋体"/>
                <w:szCs w:val="21"/>
                <w:highlight w:val="none"/>
              </w:rPr>
              <w:t>1.项目设置上限拦标价，上限拦标价为</w:t>
            </w:r>
            <w:r>
              <w:rPr>
                <w:rFonts w:hint="eastAsia" w:ascii="宋体" w:hAnsi="宋体" w:eastAsia="宋体"/>
                <w:szCs w:val="21"/>
                <w:highlight w:val="none"/>
                <w:lang w:val="en-US" w:eastAsia="zh-CN"/>
              </w:rPr>
              <w:t>10</w:t>
            </w:r>
            <w:r>
              <w:rPr>
                <w:rFonts w:hint="eastAsia" w:ascii="宋体" w:hAnsi="宋体" w:eastAsia="宋体"/>
                <w:szCs w:val="21"/>
                <w:highlight w:val="none"/>
              </w:rPr>
              <w:t>万元人民币</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含税价</w:t>
            </w:r>
            <w:r>
              <w:rPr>
                <w:rFonts w:hint="eastAsia" w:ascii="宋体" w:hAnsi="宋体" w:eastAsia="宋体"/>
                <w:szCs w:val="21"/>
                <w:highlight w:val="none"/>
                <w:lang w:eastAsia="zh-CN"/>
              </w:rPr>
              <w:t>）</w:t>
            </w:r>
            <w:r>
              <w:rPr>
                <w:rFonts w:hint="eastAsia" w:ascii="宋体" w:hAnsi="宋体" w:eastAsia="宋体"/>
                <w:szCs w:val="21"/>
                <w:highlight w:val="none"/>
              </w:rPr>
              <w:t>，投标人应低于上限拦标价报价，否则视为无效报价。</w:t>
            </w:r>
          </w:p>
          <w:p w14:paraId="39490972">
            <w:pPr>
              <w:pStyle w:val="70"/>
              <w:spacing w:line="276" w:lineRule="auto"/>
              <w:ind w:left="0" w:leftChars="0" w:firstLine="0" w:firstLineChars="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lang w:val="en-US" w:eastAsia="zh-CN"/>
              </w:rPr>
              <w:t>商务标采用多轮报价，开标唱标为公开报价，在重汽e采通进行提报。</w:t>
            </w:r>
            <w:r>
              <w:rPr>
                <w:rFonts w:hint="eastAsia" w:ascii="宋体" w:hAnsi="宋体" w:eastAsia="宋体"/>
                <w:szCs w:val="21"/>
                <w:highlight w:val="none"/>
              </w:rPr>
              <w:t>经初审合格且进入商务评标阶段的投标文件其投标报价为有效报价。</w:t>
            </w:r>
          </w:p>
          <w:p w14:paraId="61242935">
            <w:pPr>
              <w:pStyle w:val="70"/>
              <w:widowControl/>
              <w:spacing w:line="276" w:lineRule="auto"/>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rPr>
              <w:t>3</w:t>
            </w:r>
            <w:r>
              <w:rPr>
                <w:rFonts w:ascii="宋体" w:hAnsi="宋体" w:eastAsia="宋体"/>
                <w:szCs w:val="21"/>
                <w:highlight w:val="none"/>
              </w:rPr>
              <w:t>.</w:t>
            </w:r>
            <w:r>
              <w:rPr>
                <w:rFonts w:hint="eastAsia" w:ascii="宋体" w:hAnsi="宋体" w:eastAsia="宋体"/>
                <w:szCs w:val="21"/>
                <w:highlight w:val="none"/>
                <w:lang w:eastAsia="zh-CN"/>
              </w:rPr>
              <w:t>满足招标文件要求且投标报价最低的投标报价为评标基准价，其价格分为</w:t>
            </w:r>
            <w:r>
              <w:rPr>
                <w:rFonts w:hint="eastAsia" w:ascii="宋体" w:hAnsi="宋体" w:eastAsia="宋体"/>
                <w:szCs w:val="21"/>
                <w:highlight w:val="none"/>
                <w:lang w:val="en-US" w:eastAsia="zh-CN"/>
              </w:rPr>
              <w:t>100</w:t>
            </w:r>
            <w:r>
              <w:rPr>
                <w:rFonts w:hint="eastAsia" w:ascii="宋体" w:hAnsi="宋体" w:eastAsia="宋体"/>
                <w:szCs w:val="21"/>
                <w:highlight w:val="none"/>
                <w:lang w:eastAsia="zh-CN"/>
              </w:rPr>
              <w:t>分（标准分）。其他投标方的价格分统一按照下列公式计算：投标报价得分=（评标基准价／投标报价）×</w:t>
            </w:r>
            <w:r>
              <w:rPr>
                <w:rFonts w:hint="eastAsia" w:ascii="宋体" w:hAnsi="宋体" w:eastAsia="宋体"/>
                <w:szCs w:val="21"/>
                <w:highlight w:val="none"/>
                <w:lang w:val="en-US" w:eastAsia="zh-CN"/>
              </w:rPr>
              <w:t>100</w:t>
            </w:r>
            <w:r>
              <w:rPr>
                <w:rFonts w:hint="eastAsia" w:ascii="宋体" w:hAnsi="宋体" w:eastAsia="宋体"/>
                <w:szCs w:val="21"/>
                <w:highlight w:val="none"/>
                <w:lang w:eastAsia="zh-CN"/>
              </w:rPr>
              <w:t>分。</w:t>
            </w:r>
          </w:p>
          <w:p w14:paraId="52862067">
            <w:pPr>
              <w:pStyle w:val="70"/>
              <w:ind w:left="0" w:leftChars="0" w:firstLine="0" w:firstLineChars="0"/>
              <w:rPr>
                <w:rFonts w:hint="eastAsia" w:ascii="宋体" w:hAnsi="宋体" w:eastAsia="宋体"/>
                <w:szCs w:val="21"/>
                <w:highlight w:val="none"/>
                <w:lang w:eastAsia="zh-CN"/>
              </w:rPr>
            </w:pPr>
            <w:r>
              <w:rPr>
                <w:rFonts w:ascii="宋体" w:hAnsi="宋体" w:eastAsia="宋体"/>
                <w:szCs w:val="21"/>
                <w:highlight w:val="none"/>
              </w:rPr>
              <w:t>4</w:t>
            </w:r>
            <w:r>
              <w:rPr>
                <w:rFonts w:hint="eastAsia" w:ascii="宋体" w:hAnsi="宋体" w:eastAsia="宋体"/>
                <w:szCs w:val="21"/>
                <w:highlight w:val="none"/>
              </w:rPr>
              <w:t>.评标价格均以元（RMB）为单位计算</w:t>
            </w:r>
            <w:r>
              <w:rPr>
                <w:rFonts w:hint="eastAsia" w:ascii="宋体" w:hAnsi="宋体" w:eastAsia="宋体"/>
                <w:szCs w:val="21"/>
                <w:highlight w:val="none"/>
                <w:lang w:eastAsia="zh-CN"/>
              </w:rPr>
              <w:t>。</w:t>
            </w:r>
          </w:p>
          <w:p w14:paraId="37F710F1">
            <w:pPr>
              <w:pStyle w:val="70"/>
              <w:widowControl/>
              <w:spacing w:line="276" w:lineRule="auto"/>
              <w:ind w:firstLine="0" w:firstLineChars="0"/>
              <w:rPr>
                <w:rFonts w:hint="eastAsia" w:ascii="宋体" w:hAnsi="宋体" w:eastAsia="宋体"/>
                <w:szCs w:val="21"/>
                <w:highlight w:val="none"/>
                <w:lang w:eastAsia="zh-CN"/>
              </w:rPr>
            </w:pPr>
            <w:r>
              <w:rPr>
                <w:rFonts w:hint="eastAsia" w:ascii="宋体" w:hAnsi="宋体" w:eastAsia="宋体"/>
                <w:szCs w:val="21"/>
                <w:highlight w:val="none"/>
                <w:lang w:val="en-US" w:eastAsia="zh-CN"/>
              </w:rPr>
              <w:t>注意：每一轮填报澄清报价均有时间限制，投标人应关注e采通本轮报价截止时间，到点后未能提交的按无效处理。</w:t>
            </w:r>
          </w:p>
        </w:tc>
        <w:tc>
          <w:tcPr>
            <w:tcW w:w="644" w:type="dxa"/>
            <w:tcMar>
              <w:top w:w="15" w:type="dxa"/>
              <w:left w:w="15" w:type="dxa"/>
              <w:bottom w:w="15" w:type="dxa"/>
              <w:right w:w="15" w:type="dxa"/>
            </w:tcMar>
            <w:vAlign w:val="center"/>
          </w:tcPr>
          <w:p w14:paraId="5E090A28">
            <w:pPr>
              <w:widowControl/>
              <w:spacing w:line="360" w:lineRule="auto"/>
              <w:jc w:val="center"/>
              <w:textAlignment w:val="center"/>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100</w:t>
            </w:r>
          </w:p>
        </w:tc>
      </w:tr>
      <w:tr w14:paraId="1FD4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8811" w:type="dxa"/>
            <w:gridSpan w:val="3"/>
            <w:tcMar>
              <w:top w:w="15" w:type="dxa"/>
              <w:left w:w="15" w:type="dxa"/>
              <w:bottom w:w="15" w:type="dxa"/>
              <w:right w:w="15" w:type="dxa"/>
            </w:tcMar>
            <w:vAlign w:val="center"/>
          </w:tcPr>
          <w:p w14:paraId="13CDC792">
            <w:pPr>
              <w:pStyle w:val="70"/>
              <w:widowControl/>
              <w:spacing w:line="276" w:lineRule="auto"/>
              <w:ind w:firstLine="0" w:firstLineChars="0"/>
              <w:jc w:val="center"/>
              <w:rPr>
                <w:rFonts w:ascii="宋体" w:hAnsi="宋体" w:cs="宋体"/>
                <w:sz w:val="24"/>
                <w:highlight w:val="none"/>
              </w:rPr>
            </w:pPr>
            <w:r>
              <w:rPr>
                <w:rFonts w:hint="eastAsia" w:ascii="宋体" w:hAnsi="宋体" w:cs="宋体"/>
                <w:kern w:val="0"/>
                <w:sz w:val="24"/>
                <w:highlight w:val="none"/>
              </w:rPr>
              <w:t>合计</w:t>
            </w:r>
          </w:p>
        </w:tc>
        <w:tc>
          <w:tcPr>
            <w:tcW w:w="644" w:type="dxa"/>
            <w:tcMar>
              <w:top w:w="15" w:type="dxa"/>
              <w:left w:w="15" w:type="dxa"/>
              <w:bottom w:w="15" w:type="dxa"/>
              <w:right w:w="15" w:type="dxa"/>
            </w:tcMar>
            <w:vAlign w:val="center"/>
          </w:tcPr>
          <w:p w14:paraId="69207BFB">
            <w:pPr>
              <w:pStyle w:val="70"/>
              <w:widowControl/>
              <w:spacing w:line="360" w:lineRule="auto"/>
              <w:ind w:firstLine="0" w:firstLineChars="0"/>
              <w:jc w:val="center"/>
              <w:rPr>
                <w:rFonts w:ascii="宋体" w:hAnsi="宋体" w:cs="宋体"/>
                <w:sz w:val="24"/>
                <w:highlight w:val="none"/>
              </w:rPr>
            </w:pPr>
            <w:r>
              <w:rPr>
                <w:rFonts w:hint="eastAsia" w:ascii="宋体" w:hAnsi="宋体" w:cs="宋体"/>
                <w:sz w:val="24"/>
                <w:highlight w:val="none"/>
              </w:rPr>
              <w:t>100</w:t>
            </w:r>
          </w:p>
        </w:tc>
      </w:tr>
      <w:tr w14:paraId="02E2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455" w:type="dxa"/>
            <w:gridSpan w:val="4"/>
            <w:tcMar>
              <w:top w:w="15" w:type="dxa"/>
              <w:left w:w="15" w:type="dxa"/>
              <w:bottom w:w="15" w:type="dxa"/>
              <w:right w:w="15" w:type="dxa"/>
            </w:tcMar>
            <w:vAlign w:val="center"/>
          </w:tcPr>
          <w:p w14:paraId="44C69087">
            <w:pPr>
              <w:tabs>
                <w:tab w:val="left" w:pos="0"/>
              </w:tabs>
              <w:spacing w:line="240" w:lineRule="auto"/>
              <w:ind w:firstLine="482" w:firstLineChars="200"/>
              <w:rPr>
                <w:rFonts w:hint="eastAsia" w:ascii="Calibri" w:hAnsi="宋体" w:eastAsia="宋体" w:cs="宋体"/>
                <w:b/>
                <w:bCs/>
                <w:kern w:val="0"/>
                <w:sz w:val="24"/>
                <w:highlight w:val="none"/>
                <w:lang w:val="en-US" w:eastAsia="zh-CN"/>
              </w:rPr>
            </w:pPr>
            <w:r>
              <w:rPr>
                <w:rFonts w:hint="eastAsia" w:ascii="Calibri" w:hAnsi="宋体" w:eastAsia="宋体" w:cs="宋体"/>
                <w:b/>
                <w:bCs/>
                <w:kern w:val="0"/>
                <w:sz w:val="24"/>
                <w:highlight w:val="none"/>
                <w:lang w:val="en-US" w:eastAsia="zh-CN"/>
              </w:rPr>
              <w:t>注意：</w:t>
            </w:r>
          </w:p>
          <w:p w14:paraId="3D91BF3B">
            <w:pPr>
              <w:tabs>
                <w:tab w:val="left" w:pos="0"/>
              </w:tabs>
              <w:ind w:firstLine="480"/>
              <w:rPr>
                <w:rFonts w:hint="eastAsia" w:ascii="Calibri" w:hAnsi="宋体" w:eastAsia="宋体" w:cs="宋体"/>
                <w:b/>
                <w:bCs/>
                <w:kern w:val="0"/>
                <w:sz w:val="24"/>
                <w:szCs w:val="24"/>
                <w:highlight w:val="none"/>
                <w:lang w:val="en-US" w:eastAsia="zh-CN"/>
              </w:rPr>
            </w:pPr>
            <w:r>
              <w:rPr>
                <w:rFonts w:hint="eastAsia" w:ascii="Calibri" w:hAnsi="宋体" w:eastAsia="宋体" w:cs="宋体"/>
                <w:b/>
                <w:bCs/>
                <w:kern w:val="0"/>
                <w:sz w:val="24"/>
                <w:szCs w:val="24"/>
                <w:highlight w:val="none"/>
                <w:lang w:val="en-US" w:eastAsia="zh-CN"/>
              </w:rPr>
              <w:t>商务标得分占比 30%，计入最终评分。</w:t>
            </w:r>
          </w:p>
          <w:p w14:paraId="27B9F37B">
            <w:pPr>
              <w:tabs>
                <w:tab w:val="left" w:pos="0"/>
              </w:tabs>
              <w:ind w:firstLine="482" w:firstLineChars="200"/>
              <w:rPr>
                <w:rFonts w:hint="eastAsia" w:ascii="Calibri" w:hAnsi="宋体" w:eastAsia="宋体" w:cs="宋体"/>
                <w:b/>
                <w:bCs/>
                <w:kern w:val="0"/>
                <w:sz w:val="24"/>
                <w:highlight w:val="none"/>
              </w:rPr>
            </w:pPr>
          </w:p>
        </w:tc>
      </w:tr>
    </w:tbl>
    <w:p w14:paraId="3BF09708">
      <w:pPr>
        <w:spacing w:line="360" w:lineRule="auto"/>
        <w:ind w:left="0" w:leftChars="0" w:firstLine="482" w:firstLineChars="200"/>
        <w:rPr>
          <w:rFonts w:hint="eastAsia" w:ascii="Calibri" w:hAnsi="Calibri" w:eastAsia="宋体" w:cs="宋体"/>
          <w:b/>
          <w:bCs/>
          <w:kern w:val="0"/>
          <w:sz w:val="24"/>
          <w:szCs w:val="24"/>
          <w:highlight w:val="none"/>
        </w:rPr>
      </w:pPr>
      <w:r>
        <w:rPr>
          <w:rFonts w:hint="eastAsia" w:ascii="Calibri" w:hAnsi="Calibri" w:eastAsia="宋体" w:cs="宋体"/>
          <w:b/>
          <w:bCs/>
          <w:kern w:val="0"/>
          <w:sz w:val="24"/>
          <w:szCs w:val="24"/>
          <w:highlight w:val="none"/>
        </w:rPr>
        <w:t>备注：</w:t>
      </w:r>
    </w:p>
    <w:p w14:paraId="3A9F4851">
      <w:pPr>
        <w:spacing w:line="360" w:lineRule="auto"/>
        <w:ind w:firstLine="480" w:firstLineChars="200"/>
        <w:rPr>
          <w:rFonts w:hint="eastAsia" w:ascii="Calibri" w:hAnsi="Calibri" w:eastAsia="宋体" w:cs="宋体"/>
          <w:kern w:val="0"/>
          <w:sz w:val="24"/>
          <w:szCs w:val="24"/>
          <w:highlight w:val="none"/>
        </w:rPr>
      </w:pPr>
      <w:r>
        <w:rPr>
          <w:rFonts w:hint="eastAsia" w:ascii="Calibri" w:hAnsi="Calibri" w:eastAsia="宋体" w:cs="宋体"/>
          <w:kern w:val="0"/>
          <w:sz w:val="24"/>
          <w:szCs w:val="24"/>
          <w:highlight w:val="none"/>
          <w:lang w:eastAsia="zh-CN"/>
        </w:rPr>
        <w:t>1）</w:t>
      </w:r>
      <w:r>
        <w:rPr>
          <w:rFonts w:hint="eastAsia" w:ascii="Calibri" w:hAnsi="Calibri" w:eastAsia="宋体" w:cs="宋体"/>
          <w:kern w:val="0"/>
          <w:sz w:val="24"/>
          <w:szCs w:val="24"/>
          <w:highlight w:val="none"/>
        </w:rPr>
        <w:t>涉及具体项目经验的，需提供符合要求项目的包含名称、有效期、签章等信息的合同复印件作为证明材料。</w:t>
      </w:r>
    </w:p>
    <w:p w14:paraId="09FC19A4">
      <w:pPr>
        <w:spacing w:line="360" w:lineRule="auto"/>
        <w:ind w:firstLine="480" w:firstLineChars="200"/>
        <w:rPr>
          <w:rFonts w:hint="eastAsia" w:ascii="Calibri" w:hAnsi="Calibri" w:eastAsia="宋体" w:cs="宋体"/>
          <w:kern w:val="0"/>
          <w:sz w:val="24"/>
          <w:szCs w:val="24"/>
          <w:highlight w:val="none"/>
        </w:rPr>
      </w:pPr>
      <w:r>
        <w:rPr>
          <w:rFonts w:hint="eastAsia" w:ascii="Calibri" w:hAnsi="Calibri" w:eastAsia="宋体" w:cs="宋体"/>
          <w:kern w:val="0"/>
          <w:sz w:val="24"/>
          <w:szCs w:val="24"/>
          <w:highlight w:val="none"/>
          <w:lang w:eastAsia="zh-CN"/>
        </w:rPr>
        <w:t>2）</w:t>
      </w:r>
      <w:r>
        <w:rPr>
          <w:rFonts w:hint="eastAsia" w:ascii="Calibri" w:hAnsi="Calibri" w:eastAsia="宋体" w:cs="宋体"/>
          <w:kern w:val="0"/>
          <w:sz w:val="24"/>
          <w:szCs w:val="24"/>
          <w:highlight w:val="none"/>
        </w:rPr>
        <w:t>百分率、得分值小数点后</w:t>
      </w:r>
      <w:r>
        <w:rPr>
          <w:rFonts w:hint="eastAsia" w:ascii="Calibri" w:hAnsi="Calibri" w:eastAsia="宋体" w:cs="宋体"/>
          <w:kern w:val="0"/>
          <w:sz w:val="24"/>
          <w:szCs w:val="24"/>
          <w:highlight w:val="none"/>
          <w:lang w:eastAsia="zh-CN"/>
        </w:rPr>
        <w:t>保留两位</w:t>
      </w:r>
      <w:r>
        <w:rPr>
          <w:rFonts w:hint="eastAsia" w:ascii="Calibri" w:hAnsi="Calibri" w:eastAsia="宋体" w:cs="宋体"/>
          <w:kern w:val="0"/>
          <w:sz w:val="24"/>
          <w:szCs w:val="24"/>
          <w:highlight w:val="none"/>
        </w:rPr>
        <w:t>，第三位四舍五入。</w:t>
      </w:r>
      <w:bookmarkStart w:id="300" w:name="_Toc264881861"/>
      <w:bookmarkStart w:id="301" w:name="_Toc234922356"/>
      <w:bookmarkStart w:id="302" w:name="_Toc265850581"/>
      <w:bookmarkStart w:id="303" w:name="_Toc74143849"/>
      <w:bookmarkStart w:id="304" w:name="_Toc95148190"/>
    </w:p>
    <w:p w14:paraId="48A71E64">
      <w:pPr>
        <w:ind w:firstLine="482" w:firstLineChars="200"/>
        <w:rPr>
          <w:rFonts w:cs="宋体"/>
          <w:b/>
          <w:bCs/>
          <w:kern w:val="0"/>
          <w:sz w:val="24"/>
          <w:highlight w:val="none"/>
        </w:rPr>
      </w:pPr>
      <w:bookmarkStart w:id="305" w:name="_Toc109031563"/>
      <w:r>
        <w:rPr>
          <w:rFonts w:hint="default" w:cs="宋体"/>
          <w:b/>
          <w:bCs/>
          <w:kern w:val="0"/>
          <w:sz w:val="24"/>
          <w:highlight w:val="none"/>
          <w:lang w:val="en-US" w:eastAsia="zh-CN"/>
        </w:rPr>
        <w:t>7.4</w:t>
      </w:r>
      <w:r>
        <w:rPr>
          <w:rFonts w:hint="default" w:cs="宋体"/>
          <w:b/>
          <w:bCs/>
          <w:kern w:val="0"/>
          <w:sz w:val="24"/>
          <w:highlight w:val="none"/>
        </w:rPr>
        <w:t>中标</w:t>
      </w:r>
      <w:bookmarkEnd w:id="300"/>
      <w:bookmarkEnd w:id="301"/>
      <w:bookmarkEnd w:id="302"/>
      <w:r>
        <w:rPr>
          <w:rFonts w:hint="default" w:cs="宋体"/>
          <w:b/>
          <w:bCs/>
          <w:kern w:val="0"/>
          <w:sz w:val="24"/>
          <w:highlight w:val="none"/>
        </w:rPr>
        <w:t>及合同签订</w:t>
      </w:r>
      <w:bookmarkEnd w:id="303"/>
      <w:bookmarkEnd w:id="304"/>
      <w:bookmarkEnd w:id="305"/>
    </w:p>
    <w:p w14:paraId="06499D66">
      <w:pPr>
        <w:spacing w:line="360" w:lineRule="auto"/>
        <w:ind w:firstLine="482" w:firstLineChars="200"/>
        <w:rPr>
          <w:rFonts w:ascii="Calibri" w:hAnsi="Calibri" w:eastAsia="宋体" w:cs="宋体"/>
          <w:kern w:val="0"/>
          <w:sz w:val="24"/>
          <w:highlight w:val="none"/>
        </w:rPr>
      </w:pPr>
      <w:r>
        <w:rPr>
          <w:rFonts w:hint="eastAsia" w:ascii="Calibri" w:hAnsi="Calibri" w:eastAsia="宋体" w:cs="宋体"/>
          <w:b/>
          <w:bCs/>
          <w:kern w:val="0"/>
          <w:sz w:val="24"/>
          <w:highlight w:val="none"/>
          <w:lang w:val="en-US" w:eastAsia="zh-CN"/>
        </w:rPr>
        <w:t>1）技术部分在总分值占比 70%，商务部分占比30%，按照最终总分由高到低排序，推荐得分最高的投标人中标，不承诺最低价中标。</w:t>
      </w:r>
    </w:p>
    <w:p w14:paraId="76654A6C">
      <w:pPr>
        <w:spacing w:line="360" w:lineRule="auto"/>
        <w:ind w:firstLine="480" w:firstLineChars="200"/>
        <w:rPr>
          <w:rFonts w:ascii="Calibri" w:hAnsi="Calibri" w:eastAsia="宋体" w:cs="宋体"/>
          <w:kern w:val="0"/>
          <w:sz w:val="24"/>
          <w:highlight w:val="none"/>
        </w:rPr>
      </w:pPr>
      <w:r>
        <w:rPr>
          <w:rFonts w:hint="eastAsia" w:ascii="Calibri" w:hAnsi="Calibri" w:eastAsia="宋体" w:cs="宋体"/>
          <w:kern w:val="0"/>
          <w:sz w:val="24"/>
          <w:highlight w:val="none"/>
          <w:lang w:val="en-US" w:eastAsia="zh-CN"/>
        </w:rPr>
        <w:t>2）</w:t>
      </w:r>
      <w:r>
        <w:rPr>
          <w:rFonts w:hint="default" w:ascii="Calibri" w:hAnsi="Calibri" w:eastAsia="宋体" w:cs="宋体"/>
          <w:kern w:val="0"/>
          <w:sz w:val="24"/>
          <w:highlight w:val="none"/>
        </w:rPr>
        <w:t>本项目产生一个中标人。</w:t>
      </w:r>
    </w:p>
    <w:p w14:paraId="5B3A14FB">
      <w:pPr>
        <w:spacing w:line="360" w:lineRule="auto"/>
        <w:ind w:firstLine="480" w:firstLineChars="200"/>
        <w:rPr>
          <w:rFonts w:ascii="Calibri" w:hAnsi="Calibri" w:eastAsia="宋体" w:cs="宋体"/>
          <w:kern w:val="0"/>
          <w:sz w:val="24"/>
          <w:highlight w:val="none"/>
        </w:rPr>
      </w:pPr>
      <w:r>
        <w:rPr>
          <w:rFonts w:hint="eastAsia" w:ascii="Calibri" w:hAnsi="Calibri" w:eastAsia="宋体" w:cs="宋体"/>
          <w:kern w:val="0"/>
          <w:sz w:val="24"/>
          <w:highlight w:val="none"/>
          <w:lang w:val="en-US" w:eastAsia="zh-CN"/>
        </w:rPr>
        <w:t>3）</w:t>
      </w:r>
      <w:r>
        <w:rPr>
          <w:rFonts w:hint="default" w:ascii="Calibri" w:hAnsi="Calibri" w:eastAsia="宋体" w:cs="宋体"/>
          <w:kern w:val="0"/>
          <w:sz w:val="24"/>
          <w:highlight w:val="none"/>
        </w:rPr>
        <w:t>招标人发送中标通知给中标人，中标人应及时与招标人联系，</w:t>
      </w:r>
      <w:r>
        <w:rPr>
          <w:rFonts w:hint="default" w:ascii="Calibri" w:hAnsi="Calibri" w:eastAsia="宋体" w:cs="宋体"/>
          <w:b w:val="0"/>
          <w:bCs w:val="0"/>
          <w:kern w:val="0"/>
          <w:sz w:val="24"/>
          <w:highlight w:val="none"/>
        </w:rPr>
        <w:t>在中标通知书发出之日起</w:t>
      </w:r>
      <w:r>
        <w:rPr>
          <w:rFonts w:ascii="Calibri" w:hAnsi="Calibri" w:eastAsia="宋体" w:cs="宋体"/>
          <w:b w:val="0"/>
          <w:bCs w:val="0"/>
          <w:kern w:val="0"/>
          <w:sz w:val="24"/>
          <w:highlight w:val="none"/>
        </w:rPr>
        <w:t>30</w:t>
      </w:r>
      <w:r>
        <w:rPr>
          <w:rFonts w:hint="default" w:ascii="Calibri" w:hAnsi="Calibri" w:eastAsia="宋体" w:cs="宋体"/>
          <w:b w:val="0"/>
          <w:bCs w:val="0"/>
          <w:kern w:val="0"/>
          <w:sz w:val="24"/>
          <w:highlight w:val="none"/>
        </w:rPr>
        <w:t>日内与项目实施单位签订合同。</w:t>
      </w:r>
      <w:r>
        <w:rPr>
          <w:rFonts w:hint="default" w:ascii="Calibri" w:hAnsi="Calibri" w:eastAsia="宋体" w:cs="宋体"/>
          <w:kern w:val="0"/>
          <w:sz w:val="24"/>
          <w:highlight w:val="none"/>
        </w:rPr>
        <w:t>如果中标人接到中标通知后，无不正当理由拒签合同、在签订合同时向招标人提出无理附加条件的，取消该投标人的入围资格，该投标人</w:t>
      </w:r>
      <w:r>
        <w:rPr>
          <w:rFonts w:ascii="Calibri" w:hAnsi="Calibri" w:eastAsia="宋体" w:cs="宋体"/>
          <w:kern w:val="0"/>
          <w:sz w:val="24"/>
          <w:highlight w:val="none"/>
        </w:rPr>
        <w:t>2</w:t>
      </w:r>
      <w:r>
        <w:rPr>
          <w:rFonts w:hint="default" w:ascii="Calibri" w:hAnsi="Calibri" w:eastAsia="宋体" w:cs="宋体"/>
          <w:kern w:val="0"/>
          <w:sz w:val="24"/>
          <w:highlight w:val="none"/>
        </w:rPr>
        <w:t>年不得参与中国重型汽车集团有限公司及其关联公司发布的招投标项目。</w:t>
      </w:r>
    </w:p>
    <w:p w14:paraId="68628513">
      <w:pPr>
        <w:spacing w:line="360" w:lineRule="auto"/>
        <w:ind w:firstLine="480" w:firstLineChars="200"/>
        <w:rPr>
          <w:rFonts w:ascii="Calibri" w:hAnsi="Calibri" w:eastAsia="宋体" w:cs="宋体"/>
          <w:kern w:val="0"/>
          <w:sz w:val="24"/>
          <w:highlight w:val="none"/>
        </w:rPr>
      </w:pPr>
      <w:r>
        <w:rPr>
          <w:rFonts w:hint="eastAsia" w:ascii="Calibri" w:hAnsi="Calibri" w:eastAsia="宋体" w:cs="宋体"/>
          <w:kern w:val="0"/>
          <w:sz w:val="24"/>
          <w:highlight w:val="none"/>
          <w:lang w:val="en-US" w:eastAsia="zh-CN"/>
        </w:rPr>
        <w:t>4）</w:t>
      </w:r>
      <w:r>
        <w:rPr>
          <w:rFonts w:hint="default" w:ascii="Calibri" w:hAnsi="Calibri" w:eastAsia="宋体" w:cs="宋体"/>
          <w:kern w:val="0"/>
          <w:sz w:val="24"/>
          <w:highlight w:val="none"/>
        </w:rPr>
        <w:t>中标人应当按照合同约定的履约责任，在保证质量的前提下完成中标项目，不得将中标项目转包或分包给他人，否则视为违约，招标人有权解除合同。</w:t>
      </w:r>
    </w:p>
    <w:p w14:paraId="0E43B303">
      <w:pPr>
        <w:spacing w:line="360" w:lineRule="auto"/>
        <w:ind w:firstLine="480" w:firstLineChars="200"/>
        <w:rPr>
          <w:rFonts w:ascii="Calibri" w:hAnsi="Calibri" w:eastAsia="宋体" w:cs="宋体"/>
          <w:kern w:val="0"/>
          <w:sz w:val="24"/>
          <w:highlight w:val="none"/>
        </w:rPr>
      </w:pPr>
      <w:r>
        <w:rPr>
          <w:rFonts w:hint="eastAsia" w:ascii="Calibri" w:hAnsi="Calibri" w:eastAsia="宋体" w:cs="宋体"/>
          <w:kern w:val="0"/>
          <w:sz w:val="24"/>
          <w:highlight w:val="none"/>
          <w:lang w:val="en-US" w:eastAsia="zh-CN"/>
        </w:rPr>
        <w:t>5）</w:t>
      </w:r>
      <w:r>
        <w:rPr>
          <w:rFonts w:hint="default" w:ascii="Calibri" w:hAnsi="Calibri" w:eastAsia="宋体" w:cs="宋体"/>
          <w:kern w:val="0"/>
          <w:sz w:val="24"/>
          <w:highlight w:val="none"/>
        </w:rPr>
        <w:t>在履行合同过程中，中标人由于履行义务的能力或信用有严重缺陷，招标人有权取消其中标资格，招标人将从中标候选单位中依序重新确定中标人，或重新组织招标。</w:t>
      </w:r>
    </w:p>
    <w:p w14:paraId="23A41CB5">
      <w:pPr>
        <w:ind w:firstLine="482" w:firstLineChars="200"/>
        <w:rPr>
          <w:rFonts w:cs="宋体"/>
          <w:b/>
          <w:bCs/>
          <w:kern w:val="0"/>
          <w:sz w:val="24"/>
          <w:highlight w:val="none"/>
        </w:rPr>
      </w:pPr>
      <w:bookmarkStart w:id="306" w:name="_Toc74143850"/>
      <w:bookmarkStart w:id="307" w:name="_Toc109031564"/>
      <w:bookmarkStart w:id="308" w:name="_Toc95148191"/>
      <w:r>
        <w:rPr>
          <w:rFonts w:hint="eastAsia" w:cs="宋体"/>
          <w:b/>
          <w:bCs/>
          <w:kern w:val="0"/>
          <w:sz w:val="24"/>
          <w:highlight w:val="none"/>
          <w:lang w:val="en-US" w:eastAsia="zh-CN"/>
        </w:rPr>
        <w:t>7.5</w:t>
      </w:r>
      <w:r>
        <w:rPr>
          <w:rFonts w:hint="default" w:cs="宋体"/>
          <w:b/>
          <w:bCs/>
          <w:kern w:val="0"/>
          <w:sz w:val="24"/>
          <w:highlight w:val="none"/>
        </w:rPr>
        <w:t>废标</w:t>
      </w:r>
      <w:bookmarkEnd w:id="306"/>
      <w:bookmarkEnd w:id="307"/>
      <w:bookmarkEnd w:id="308"/>
    </w:p>
    <w:p w14:paraId="46AA8F6E">
      <w:pPr>
        <w:spacing w:line="360" w:lineRule="auto"/>
        <w:ind w:right="0" w:firstLine="480" w:firstLineChars="200"/>
        <w:rPr>
          <w:rFonts w:ascii="Calibri" w:hAnsi="Calibri" w:eastAsia="宋体" w:cs="宋体"/>
          <w:kern w:val="0"/>
          <w:sz w:val="24"/>
          <w:szCs w:val="24"/>
          <w:highlight w:val="none"/>
        </w:rPr>
      </w:pPr>
      <w:r>
        <w:rPr>
          <w:rFonts w:hint="eastAsia" w:ascii="Calibri" w:hAnsi="Calibri" w:eastAsia="宋体" w:cs="宋体"/>
          <w:kern w:val="0"/>
          <w:sz w:val="24"/>
          <w:szCs w:val="24"/>
          <w:highlight w:val="none"/>
          <w:lang w:val="en-US" w:eastAsia="zh-CN"/>
        </w:rPr>
        <w:t>7.5.1</w:t>
      </w:r>
      <w:r>
        <w:rPr>
          <w:rFonts w:hint="default" w:ascii="Calibri" w:hAnsi="Calibri" w:eastAsia="宋体" w:cs="宋体"/>
          <w:kern w:val="0"/>
          <w:sz w:val="24"/>
          <w:szCs w:val="24"/>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A064693">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1）投标人提供的有关资格、资质证明文件不合格、不真实或提供虚假投标材料；</w:t>
      </w:r>
    </w:p>
    <w:p w14:paraId="10475DDA">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2）投标人在报价有效期内撤回投标；</w:t>
      </w:r>
    </w:p>
    <w:p w14:paraId="420FB08E">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3）在整个评标过程中，投标人有企图影响评标结果公正性的任何活动；</w:t>
      </w:r>
    </w:p>
    <w:p w14:paraId="7C2F0DF4">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4）投标人以任何方式诋毁其他投标人；</w:t>
      </w:r>
    </w:p>
    <w:p w14:paraId="7926CC88">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5）投标人串通投标；</w:t>
      </w:r>
    </w:p>
    <w:p w14:paraId="1FA10662">
      <w:pPr>
        <w:spacing w:line="520" w:lineRule="exact"/>
        <w:ind w:right="2" w:firstLine="480" w:firstLineChars="200"/>
        <w:rPr>
          <w:rFonts w:hint="eastAsia" w:ascii="宋体" w:hAnsi="Courier New" w:eastAsia="宋体" w:cs="宋体"/>
          <w:sz w:val="24"/>
          <w:szCs w:val="22"/>
          <w:highlight w:val="none"/>
        </w:rPr>
      </w:pPr>
      <w:r>
        <w:rPr>
          <w:rFonts w:hint="eastAsia" w:ascii="宋体" w:hAnsi="Courier New" w:eastAsia="宋体" w:cs="宋体"/>
          <w:sz w:val="24"/>
          <w:szCs w:val="22"/>
          <w:highlight w:val="none"/>
        </w:rPr>
        <w:t>6）以他人名义投标或者以其他方式弄虚作假，骗取中标的；</w:t>
      </w:r>
    </w:p>
    <w:p w14:paraId="1BB9EC81">
      <w:pPr>
        <w:spacing w:line="520" w:lineRule="exact"/>
        <w:ind w:right="2" w:firstLine="480" w:firstLineChars="200"/>
        <w:rPr>
          <w:rFonts w:hint="eastAsia" w:ascii="宋体" w:hAnsi="Courier New" w:eastAsia="宋体" w:cs="宋体"/>
          <w:sz w:val="24"/>
          <w:szCs w:val="22"/>
          <w:highlight w:val="none"/>
          <w:lang w:val="en-US" w:eastAsia="zh-CN"/>
        </w:rPr>
      </w:pPr>
      <w:r>
        <w:rPr>
          <w:rFonts w:hint="eastAsia" w:ascii="宋体" w:hAnsi="Courier New" w:eastAsia="宋体" w:cs="宋体"/>
          <w:sz w:val="24"/>
          <w:szCs w:val="22"/>
          <w:highlight w:val="none"/>
          <w:lang w:val="en-US" w:eastAsia="zh-CN"/>
        </w:rPr>
        <w:t>7</w:t>
      </w:r>
      <w:r>
        <w:rPr>
          <w:rFonts w:hint="eastAsia" w:ascii="宋体" w:hAnsi="Courier New" w:eastAsia="宋体" w:cs="宋体"/>
          <w:sz w:val="24"/>
          <w:szCs w:val="22"/>
          <w:highlight w:val="none"/>
          <w:lang w:eastAsia="zh-CN"/>
        </w:rPr>
        <w:t>）</w:t>
      </w:r>
      <w:r>
        <w:rPr>
          <w:rFonts w:hint="eastAsia" w:ascii="宋体" w:hAnsi="Courier New" w:eastAsia="宋体" w:cs="宋体"/>
          <w:sz w:val="24"/>
          <w:szCs w:val="22"/>
          <w:highlight w:val="none"/>
        </w:rPr>
        <w:t>投标人被举报、检举，并经招标方查实无误的</w:t>
      </w:r>
      <w:r>
        <w:rPr>
          <w:rFonts w:hint="eastAsia" w:ascii="宋体" w:hAnsi="Courier New" w:eastAsia="宋体" w:cs="宋体"/>
          <w:sz w:val="24"/>
          <w:szCs w:val="22"/>
          <w:highlight w:val="none"/>
          <w:lang w:eastAsia="zh-CN"/>
        </w:rPr>
        <w:t>；</w:t>
      </w:r>
    </w:p>
    <w:p w14:paraId="527A3CD0">
      <w:pPr>
        <w:spacing w:line="520" w:lineRule="exact"/>
        <w:ind w:right="2" w:firstLine="480" w:firstLineChars="200"/>
        <w:rPr>
          <w:rFonts w:hint="eastAsia" w:ascii="宋体" w:hAnsi="Courier New" w:eastAsia="宋体" w:cs="宋体"/>
          <w:sz w:val="24"/>
          <w:szCs w:val="22"/>
          <w:highlight w:val="none"/>
          <w:lang w:eastAsia="zh-CN"/>
        </w:rPr>
      </w:pPr>
      <w:r>
        <w:rPr>
          <w:rFonts w:hint="eastAsia" w:ascii="宋体" w:hAnsi="Courier New" w:eastAsia="宋体" w:cs="宋体"/>
          <w:sz w:val="24"/>
          <w:szCs w:val="22"/>
          <w:highlight w:val="none"/>
          <w:lang w:val="en-US" w:eastAsia="zh-CN"/>
        </w:rPr>
        <w:t>8</w:t>
      </w:r>
      <w:r>
        <w:rPr>
          <w:rFonts w:hint="eastAsia" w:ascii="宋体" w:hAnsi="Courier New" w:eastAsia="宋体" w:cs="宋体"/>
          <w:sz w:val="24"/>
          <w:szCs w:val="22"/>
          <w:highlight w:val="none"/>
        </w:rPr>
        <w:t>）法律、法规规定的其他情况</w:t>
      </w:r>
      <w:r>
        <w:rPr>
          <w:rFonts w:hint="eastAsia" w:ascii="宋体" w:hAnsi="Courier New" w:eastAsia="宋体" w:cs="宋体"/>
          <w:sz w:val="24"/>
          <w:szCs w:val="22"/>
          <w:highlight w:val="none"/>
          <w:lang w:eastAsia="zh-CN"/>
        </w:rPr>
        <w:t>；</w:t>
      </w:r>
    </w:p>
    <w:p w14:paraId="7C096FEE">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lang w:val="en-US" w:eastAsia="zh-CN"/>
        </w:rPr>
        <w:t>9</w:t>
      </w:r>
      <w:r>
        <w:rPr>
          <w:rFonts w:hint="eastAsia" w:ascii="宋体" w:hAnsi="Courier New" w:eastAsia="宋体" w:cs="宋体"/>
          <w:sz w:val="24"/>
          <w:szCs w:val="22"/>
          <w:highlight w:val="none"/>
        </w:rPr>
        <w:t>）投标人负责人为同一人或者存在控股、管理关系的不同单位。</w:t>
      </w:r>
    </w:p>
    <w:p w14:paraId="2B2A33F7">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lang w:val="en-US" w:eastAsia="zh-CN"/>
        </w:rPr>
        <w:t>7.5.2</w:t>
      </w:r>
      <w:r>
        <w:rPr>
          <w:rFonts w:hint="eastAsia" w:ascii="宋体" w:hAnsi="Courier New" w:eastAsia="宋体" w:cs="宋体"/>
          <w:sz w:val="24"/>
          <w:szCs w:val="22"/>
          <w:highlight w:val="none"/>
        </w:rPr>
        <w:t>出现下列情形之一，招标人有权否决所有投标人的投标，并终止招标</w:t>
      </w:r>
    </w:p>
    <w:p w14:paraId="74C097C4">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1）出现影响采购公正的违法、违规行为的；</w:t>
      </w:r>
    </w:p>
    <w:p w14:paraId="7786F6F4">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2）评标委员会经评审，认为所有投标都不符合招标文件要求的；</w:t>
      </w:r>
    </w:p>
    <w:p w14:paraId="0F3E47AD">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3）因重大变故，采购任务取消的；</w:t>
      </w:r>
    </w:p>
    <w:p w14:paraId="76EE66FC">
      <w:pPr>
        <w:spacing w:line="520" w:lineRule="exact"/>
        <w:ind w:right="2" w:firstLine="480" w:firstLineChars="200"/>
        <w:rPr>
          <w:rFonts w:ascii="宋体" w:hAnsi="Courier New" w:eastAsia="宋体" w:cs="宋体"/>
          <w:sz w:val="24"/>
          <w:szCs w:val="22"/>
          <w:highlight w:val="none"/>
        </w:rPr>
      </w:pPr>
      <w:r>
        <w:rPr>
          <w:rFonts w:hint="eastAsia" w:ascii="宋体" w:hAnsi="Courier New" w:eastAsia="宋体" w:cs="宋体"/>
          <w:sz w:val="24"/>
          <w:szCs w:val="22"/>
          <w:highlight w:val="none"/>
        </w:rPr>
        <w:t>4）符合条件的投标人或者对招标文件做实质响应的投标人不足三家的；</w:t>
      </w:r>
    </w:p>
    <w:p w14:paraId="16E4E29A">
      <w:pPr>
        <w:spacing w:line="520" w:lineRule="exact"/>
        <w:ind w:right="2" w:firstLine="480" w:firstLineChars="200"/>
        <w:rPr>
          <w:rFonts w:hint="eastAsia" w:ascii="宋体" w:hAnsi="Courier New" w:eastAsia="宋体" w:cs="宋体"/>
          <w:sz w:val="24"/>
          <w:szCs w:val="22"/>
          <w:highlight w:val="none"/>
        </w:rPr>
      </w:pPr>
      <w:r>
        <w:rPr>
          <w:rFonts w:hint="eastAsia" w:ascii="宋体" w:hAnsi="Courier New" w:eastAsia="宋体" w:cs="宋体"/>
          <w:sz w:val="24"/>
          <w:szCs w:val="22"/>
          <w:highlight w:val="none"/>
        </w:rPr>
        <w:t>5）不同投标人的投标文件异常一致或者投标报价呈规律性差异。</w:t>
      </w:r>
    </w:p>
    <w:p w14:paraId="10E996BF">
      <w:pPr>
        <w:spacing w:line="520" w:lineRule="exact"/>
        <w:ind w:right="2" w:firstLine="480" w:firstLineChars="200"/>
        <w:rPr>
          <w:rFonts w:hint="eastAsia" w:cs="Arial" w:asciiTheme="minorEastAsia" w:hAnsiTheme="minorEastAsia"/>
          <w:color w:val="333333"/>
          <w:sz w:val="24"/>
          <w:highlight w:val="none"/>
          <w:shd w:val="clear" w:color="auto" w:fill="FFFFFF"/>
        </w:rPr>
      </w:pPr>
      <w:r>
        <w:rPr>
          <w:rFonts w:hint="eastAsia" w:ascii="宋体" w:hAnsi="Courier New" w:eastAsia="宋体" w:cs="宋体"/>
          <w:sz w:val="24"/>
          <w:szCs w:val="22"/>
          <w:highlight w:val="none"/>
          <w:lang w:val="en-US" w:eastAsia="zh-CN"/>
        </w:rPr>
        <w:t>7.5.3</w:t>
      </w:r>
      <w:r>
        <w:rPr>
          <w:rFonts w:hint="eastAsia" w:ascii="宋体" w:hAnsi="Courier New" w:eastAsia="宋体" w:cs="宋体"/>
          <w:sz w:val="24"/>
          <w:szCs w:val="22"/>
          <w:highlight w:val="none"/>
          <w:lang w:eastAsia="zh-CN"/>
        </w:rPr>
        <w:t>解释权：本招标文件的最终解释权归招标人，当对一个问题有多种解释时以招标人的书面解释为准。招标文件未做须知明示，而又有相关法律、法规规定的，招标人对此所做解释以相关的法律、法规规定为依据。</w:t>
      </w:r>
    </w:p>
    <w:p w14:paraId="795E7677">
      <w:pPr>
        <w:ind w:firstLine="482" w:firstLineChars="200"/>
        <w:rPr>
          <w:rFonts w:hint="eastAsia" w:cs="宋体"/>
          <w:b/>
          <w:bCs/>
          <w:kern w:val="0"/>
          <w:sz w:val="24"/>
          <w:highlight w:val="none"/>
        </w:rPr>
      </w:pPr>
      <w:bookmarkStart w:id="309" w:name="_Toc74143851"/>
      <w:bookmarkStart w:id="310" w:name="_Toc95148192"/>
      <w:bookmarkStart w:id="311" w:name="_Toc109031565"/>
      <w:r>
        <w:rPr>
          <w:rFonts w:hint="eastAsia" w:cs="宋体"/>
          <w:b/>
          <w:bCs/>
          <w:kern w:val="0"/>
          <w:sz w:val="24"/>
          <w:highlight w:val="none"/>
          <w:lang w:val="en-US" w:eastAsia="zh-CN"/>
        </w:rPr>
        <w:t>7.6</w:t>
      </w:r>
      <w:r>
        <w:rPr>
          <w:rFonts w:hint="eastAsia" w:cs="宋体"/>
          <w:b/>
          <w:bCs/>
          <w:kern w:val="0"/>
          <w:sz w:val="24"/>
          <w:highlight w:val="none"/>
        </w:rPr>
        <w:t>瑕疵滞后发现的处理</w:t>
      </w:r>
      <w:bookmarkEnd w:id="309"/>
      <w:bookmarkEnd w:id="310"/>
      <w:bookmarkEnd w:id="311"/>
    </w:p>
    <w:p w14:paraId="68D124E1">
      <w:pPr>
        <w:spacing w:line="520" w:lineRule="exact"/>
        <w:ind w:right="2" w:firstLine="480"/>
        <w:rPr>
          <w:rFonts w:ascii="宋体" w:cs="宋体"/>
          <w:sz w:val="24"/>
          <w:szCs w:val="22"/>
          <w:highlight w:val="none"/>
        </w:rPr>
      </w:pPr>
      <w:r>
        <w:rPr>
          <w:rFonts w:hint="eastAsia" w:ascii="宋体" w:eastAsia="宋体" w:cs="宋体"/>
          <w:sz w:val="24"/>
          <w:szCs w:val="22"/>
          <w:highlight w:val="none"/>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1F971D33">
      <w:pPr>
        <w:ind w:firstLine="482" w:firstLineChars="200"/>
        <w:rPr>
          <w:rFonts w:hint="eastAsia" w:cs="宋体"/>
          <w:b/>
          <w:bCs/>
          <w:kern w:val="0"/>
          <w:sz w:val="24"/>
          <w:highlight w:val="none"/>
        </w:rPr>
      </w:pPr>
      <w:bookmarkStart w:id="312" w:name="_Toc109031566"/>
      <w:bookmarkStart w:id="313" w:name="_Toc95148193"/>
      <w:bookmarkStart w:id="314" w:name="_Toc53753563"/>
      <w:bookmarkStart w:id="315" w:name="_Toc74143852"/>
      <w:r>
        <w:rPr>
          <w:rFonts w:hint="eastAsia" w:cs="宋体"/>
          <w:b/>
          <w:bCs/>
          <w:kern w:val="0"/>
          <w:sz w:val="24"/>
          <w:highlight w:val="none"/>
          <w:lang w:val="en-US" w:eastAsia="zh-CN"/>
        </w:rPr>
        <w:t>7.7</w:t>
      </w:r>
      <w:r>
        <w:rPr>
          <w:rFonts w:hint="eastAsia" w:cs="宋体"/>
          <w:b/>
          <w:bCs/>
          <w:kern w:val="0"/>
          <w:sz w:val="24"/>
          <w:highlight w:val="none"/>
        </w:rPr>
        <w:t>合同以双方最终签署的版本为准</w:t>
      </w:r>
      <w:bookmarkEnd w:id="312"/>
      <w:bookmarkEnd w:id="313"/>
      <w:bookmarkEnd w:id="314"/>
      <w:bookmarkEnd w:id="315"/>
    </w:p>
    <w:p w14:paraId="5E875E9E">
      <w:pPr>
        <w:numPr>
          <w:ilvl w:val="255"/>
          <w:numId w:val="0"/>
        </w:numPr>
        <w:spacing w:line="520" w:lineRule="exact"/>
        <w:ind w:right="2"/>
        <w:rPr>
          <w:rFonts w:ascii="宋体" w:hAnsi="Courier New" w:eastAsia="宋体" w:cs="宋体"/>
          <w:sz w:val="24"/>
          <w:szCs w:val="22"/>
          <w:highlight w:val="none"/>
          <w:lang w:bidi="ar"/>
        </w:rPr>
      </w:pPr>
    </w:p>
    <w:p w14:paraId="4BFC1139">
      <w:pPr>
        <w:spacing w:line="520" w:lineRule="exact"/>
        <w:ind w:right="2" w:firstLine="480"/>
        <w:rPr>
          <w:rFonts w:ascii="宋体" w:hAnsi="Courier New" w:eastAsia="宋体" w:cs="宋体"/>
          <w:sz w:val="24"/>
          <w:szCs w:val="22"/>
          <w:highlight w:val="none"/>
          <w:lang w:bidi="ar"/>
        </w:rPr>
      </w:pPr>
    </w:p>
    <w:p w14:paraId="2C8AD809">
      <w:pPr>
        <w:spacing w:line="520" w:lineRule="exact"/>
        <w:ind w:right="2" w:firstLine="480" w:firstLineChars="200"/>
        <w:rPr>
          <w:rFonts w:ascii="宋体" w:hAnsi="Courier New" w:eastAsia="宋体" w:cs="宋体"/>
          <w:sz w:val="24"/>
          <w:szCs w:val="22"/>
          <w:highlight w:val="none"/>
          <w:lang w:bidi="ar"/>
        </w:rPr>
      </w:pPr>
    </w:p>
    <w:bookmarkEnd w:id="8"/>
    <w:p w14:paraId="4C16979D">
      <w:pPr>
        <w:pStyle w:val="36"/>
        <w:keepNext w:val="0"/>
        <w:widowControl/>
        <w:numPr>
          <w:ilvl w:val="0"/>
          <w:numId w:val="0"/>
        </w:numPr>
        <w:rPr>
          <w:highlight w:val="none"/>
        </w:rPr>
      </w:pPr>
      <w:bookmarkStart w:id="316" w:name="_Toc25054"/>
      <w:bookmarkStart w:id="317" w:name="_Toc109031567"/>
      <w:bookmarkStart w:id="318" w:name="_Toc25102"/>
      <w:bookmarkStart w:id="319" w:name="_Toc95148194"/>
      <w:bookmarkStart w:id="320" w:name="_Toc12020"/>
      <w:bookmarkStart w:id="321" w:name="_Toc36829341"/>
      <w:r>
        <w:rPr>
          <w:rFonts w:hint="eastAsia" w:cs="宋体"/>
          <w:highlight w:val="none"/>
        </w:rPr>
        <w:t>技术及业务部分</w:t>
      </w:r>
      <w:bookmarkEnd w:id="316"/>
      <w:bookmarkEnd w:id="317"/>
      <w:bookmarkEnd w:id="318"/>
      <w:bookmarkEnd w:id="319"/>
      <w:bookmarkEnd w:id="320"/>
    </w:p>
    <w:bookmarkEnd w:id="321"/>
    <w:p w14:paraId="1D58170F">
      <w:pPr>
        <w:pStyle w:val="36"/>
        <w:keepNext w:val="0"/>
        <w:widowControl/>
        <w:numPr>
          <w:ilvl w:val="0"/>
          <w:numId w:val="9"/>
        </w:numPr>
        <w:rPr>
          <w:rFonts w:cs="宋体"/>
          <w:highlight w:val="none"/>
        </w:rPr>
      </w:pPr>
      <w:bookmarkStart w:id="322" w:name="_Toc15376"/>
      <w:bookmarkStart w:id="323" w:name="_Toc109031568"/>
      <w:bookmarkStart w:id="324" w:name="_Toc3466"/>
      <w:bookmarkStart w:id="325" w:name="_Toc74143853"/>
      <w:bookmarkStart w:id="326" w:name="_Toc95148195"/>
      <w:bookmarkStart w:id="327" w:name="_Toc5976"/>
      <w:r>
        <w:rPr>
          <w:rFonts w:cs="宋体"/>
          <w:highlight w:val="none"/>
        </w:rPr>
        <w:t>项目背景</w:t>
      </w:r>
      <w:bookmarkEnd w:id="322"/>
      <w:bookmarkEnd w:id="323"/>
      <w:bookmarkEnd w:id="324"/>
      <w:bookmarkEnd w:id="325"/>
      <w:bookmarkEnd w:id="326"/>
      <w:bookmarkEnd w:id="327"/>
    </w:p>
    <w:p w14:paraId="3D47A579">
      <w:pPr>
        <w:keepNext w:val="0"/>
        <w:keepLines w:val="0"/>
        <w:widowControl/>
        <w:suppressLineNumbers w:val="0"/>
        <w:spacing w:line="360" w:lineRule="auto"/>
        <w:ind w:firstLine="480" w:firstLineChars="200"/>
        <w:jc w:val="left"/>
        <w:rPr>
          <w:rFonts w:ascii="宋体" w:hAnsi="宋体" w:eastAsia="宋体" w:cs="宋体"/>
          <w:kern w:val="0"/>
          <w:sz w:val="24"/>
          <w:szCs w:val="24"/>
          <w:highlight w:val="none"/>
          <w:lang w:val="en-US" w:eastAsia="zh-CN" w:bidi="ar"/>
        </w:rPr>
      </w:pPr>
      <w:bookmarkStart w:id="328" w:name="_Toc95148196"/>
      <w:bookmarkStart w:id="329" w:name="_Toc74143854"/>
      <w:bookmarkStart w:id="330" w:name="_Toc67315530"/>
      <w:r>
        <w:rPr>
          <w:rFonts w:ascii="宋体" w:hAnsi="宋体" w:eastAsia="宋体" w:cs="宋体"/>
          <w:i w:val="0"/>
          <w:iCs w:val="0"/>
          <w:caps w:val="0"/>
          <w:spacing w:val="0"/>
          <w:kern w:val="0"/>
          <w:sz w:val="24"/>
          <w:szCs w:val="24"/>
          <w:highlight w:val="none"/>
          <w:shd w:val="clear"/>
          <w:lang w:bidi="ar"/>
        </w:rPr>
        <w:t>随着汽车金融行业的快速发展，</w:t>
      </w:r>
      <w:r>
        <w:rPr>
          <w:rFonts w:hint="eastAsia" w:ascii="宋体" w:hAnsi="宋体" w:eastAsia="宋体" w:cs="宋体"/>
          <w:i w:val="0"/>
          <w:iCs w:val="0"/>
          <w:caps w:val="0"/>
          <w:spacing w:val="0"/>
          <w:kern w:val="0"/>
          <w:sz w:val="24"/>
          <w:szCs w:val="24"/>
          <w:highlight w:val="none"/>
          <w:shd w:val="clear"/>
          <w:lang w:val="en-US" w:eastAsia="zh-CN" w:bidi="ar"/>
        </w:rPr>
        <w:t>公司</w:t>
      </w:r>
      <w:r>
        <w:rPr>
          <w:rFonts w:ascii="宋体" w:hAnsi="宋体" w:eastAsia="宋体" w:cs="宋体"/>
          <w:i w:val="0"/>
          <w:iCs w:val="0"/>
          <w:caps w:val="0"/>
          <w:spacing w:val="0"/>
          <w:kern w:val="0"/>
          <w:sz w:val="24"/>
          <w:szCs w:val="24"/>
          <w:highlight w:val="none"/>
          <w:shd w:val="clear"/>
          <w:lang w:bidi="ar"/>
        </w:rPr>
        <w:t>面临着</w:t>
      </w:r>
      <w:r>
        <w:rPr>
          <w:rFonts w:ascii="宋体" w:hAnsi="宋体" w:eastAsia="宋体" w:cs="宋体"/>
          <w:kern w:val="0"/>
          <w:sz w:val="24"/>
          <w:szCs w:val="24"/>
          <w:highlight w:val="none"/>
          <w:lang w:val="en-US" w:eastAsia="zh-CN" w:bidi="ar"/>
        </w:rPr>
        <w:t>日益复杂的经营环境与监管要求</w:t>
      </w:r>
      <w:r>
        <w:rPr>
          <w:rFonts w:hint="eastAsia" w:ascii="宋体" w:hAnsi="宋体" w:eastAsia="宋体" w:cs="宋体"/>
          <w:i w:val="0"/>
          <w:iCs w:val="0"/>
          <w:caps w:val="0"/>
          <w:spacing w:val="0"/>
          <w:kern w:val="0"/>
          <w:sz w:val="24"/>
          <w:szCs w:val="24"/>
          <w:highlight w:val="none"/>
          <w:shd w:val="clear"/>
          <w:lang w:eastAsia="zh-CN" w:bidi="ar"/>
        </w:rPr>
        <w:t>，</w:t>
      </w:r>
      <w:r>
        <w:rPr>
          <w:rFonts w:ascii="宋体" w:hAnsi="宋体" w:eastAsia="宋体" w:cs="宋体"/>
          <w:i w:val="0"/>
          <w:iCs w:val="0"/>
          <w:caps w:val="0"/>
          <w:spacing w:val="0"/>
          <w:kern w:val="0"/>
          <w:sz w:val="24"/>
          <w:szCs w:val="24"/>
          <w:highlight w:val="none"/>
          <w:shd w:val="clear"/>
          <w:lang w:bidi="ar"/>
        </w:rPr>
        <w:t>为了保障公司的稳健运营和持续发展，必须加强对内部控制的监督和评估。外部审计作为一种独立的、客观的评估机制，能够有效地发现公司内部控制的缺陷和不足，并提出改进建议。</w:t>
      </w:r>
      <w:r>
        <w:rPr>
          <w:rFonts w:ascii="宋体" w:hAnsi="宋体" w:eastAsia="宋体" w:cs="宋体"/>
          <w:kern w:val="0"/>
          <w:sz w:val="24"/>
          <w:szCs w:val="24"/>
          <w:highlight w:val="none"/>
          <w:lang w:val="en-US" w:eastAsia="zh-CN" w:bidi="ar"/>
        </w:rPr>
        <w:t>为强化自身风险管理，提升内部控制有效性，</w:t>
      </w:r>
      <w:r>
        <w:rPr>
          <w:rFonts w:hint="eastAsia" w:ascii="宋体" w:hAnsi="宋体" w:eastAsia="宋体" w:cs="宋体"/>
          <w:kern w:val="0"/>
          <w:sz w:val="24"/>
          <w:szCs w:val="24"/>
          <w:highlight w:val="none"/>
          <w:lang w:val="en-US" w:eastAsia="zh-CN" w:bidi="ar"/>
        </w:rPr>
        <w:t>开展</w:t>
      </w:r>
      <w:r>
        <w:rPr>
          <w:rFonts w:ascii="宋体" w:hAnsi="宋体" w:eastAsia="宋体" w:cs="宋体"/>
          <w:kern w:val="0"/>
          <w:sz w:val="24"/>
          <w:szCs w:val="24"/>
          <w:highlight w:val="none"/>
          <w:lang w:val="en-US" w:eastAsia="zh-CN" w:bidi="ar"/>
        </w:rPr>
        <w:t>外部审计</w:t>
      </w:r>
      <w:r>
        <w:rPr>
          <w:rFonts w:hint="eastAsia" w:ascii="宋体" w:hAnsi="宋体" w:eastAsia="宋体" w:cs="宋体"/>
          <w:kern w:val="0"/>
          <w:sz w:val="24"/>
          <w:szCs w:val="24"/>
          <w:highlight w:val="none"/>
          <w:lang w:val="en-US" w:eastAsia="zh-CN" w:bidi="ar"/>
        </w:rPr>
        <w:t>项目</w:t>
      </w:r>
      <w:r>
        <w:rPr>
          <w:rFonts w:ascii="宋体" w:hAnsi="宋体" w:eastAsia="宋体" w:cs="宋体"/>
          <w:kern w:val="0"/>
          <w:sz w:val="24"/>
          <w:szCs w:val="24"/>
          <w:highlight w:val="none"/>
          <w:lang w:val="en-US" w:eastAsia="zh-CN" w:bidi="ar"/>
        </w:rPr>
        <w:t>，全面审视公司</w:t>
      </w:r>
      <w:r>
        <w:rPr>
          <w:rFonts w:hint="eastAsia" w:ascii="宋体" w:hAnsi="宋体" w:eastAsia="宋体" w:cs="宋体"/>
          <w:kern w:val="0"/>
          <w:sz w:val="24"/>
          <w:szCs w:val="24"/>
          <w:highlight w:val="none"/>
          <w:lang w:val="en-US" w:eastAsia="zh-CN" w:bidi="ar"/>
        </w:rPr>
        <w:t>2025年度</w:t>
      </w:r>
      <w:r>
        <w:rPr>
          <w:rFonts w:ascii="宋体" w:hAnsi="宋体" w:eastAsia="宋体" w:cs="宋体"/>
          <w:kern w:val="0"/>
          <w:sz w:val="24"/>
          <w:szCs w:val="24"/>
          <w:highlight w:val="none"/>
          <w:lang w:val="en-US" w:eastAsia="zh-CN" w:bidi="ar"/>
        </w:rPr>
        <w:t>内部控制体系</w:t>
      </w:r>
      <w:r>
        <w:rPr>
          <w:rFonts w:hint="eastAsia" w:ascii="宋体" w:hAnsi="宋体" w:eastAsia="宋体" w:cs="宋体"/>
          <w:kern w:val="0"/>
          <w:sz w:val="24"/>
          <w:szCs w:val="24"/>
          <w:highlight w:val="none"/>
          <w:lang w:val="en-US" w:eastAsia="zh-CN" w:bidi="ar"/>
        </w:rPr>
        <w:t>。</w:t>
      </w:r>
    </w:p>
    <w:p w14:paraId="3B6ECE94">
      <w:pPr>
        <w:pStyle w:val="36"/>
        <w:keepNext w:val="0"/>
        <w:widowControl/>
        <w:numPr>
          <w:ilvl w:val="0"/>
          <w:numId w:val="9"/>
        </w:numPr>
        <w:rPr>
          <w:rFonts w:cs="宋体"/>
          <w:highlight w:val="none"/>
        </w:rPr>
      </w:pPr>
      <w:bookmarkStart w:id="331" w:name="_Toc109031569"/>
      <w:bookmarkStart w:id="332" w:name="_Toc3740"/>
      <w:bookmarkStart w:id="333" w:name="_Toc22336"/>
      <w:bookmarkStart w:id="334" w:name="_Toc14965"/>
      <w:r>
        <w:rPr>
          <w:rFonts w:cs="宋体"/>
          <w:highlight w:val="none"/>
        </w:rPr>
        <w:t>项目目标</w:t>
      </w:r>
      <w:bookmarkEnd w:id="328"/>
      <w:bookmarkEnd w:id="329"/>
      <w:bookmarkEnd w:id="330"/>
      <w:bookmarkEnd w:id="331"/>
      <w:bookmarkEnd w:id="332"/>
      <w:bookmarkEnd w:id="333"/>
      <w:bookmarkEnd w:id="334"/>
    </w:p>
    <w:p w14:paraId="4DBF5069">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2" w:firstLineChars="200"/>
        <w:jc w:val="left"/>
        <w:rPr>
          <w:rFonts w:ascii="宋体" w:hAnsi="宋体" w:eastAsia="宋体" w:cs="宋体"/>
          <w:kern w:val="0"/>
          <w:sz w:val="24"/>
          <w:highlight w:val="none"/>
          <w:lang w:bidi="ar"/>
        </w:rPr>
      </w:pPr>
      <w:r>
        <w:rPr>
          <w:rFonts w:hint="eastAsia" w:ascii="宋体" w:hAnsi="宋体" w:eastAsia="宋体" w:cs="宋体"/>
          <w:b/>
          <w:bCs/>
          <w:kern w:val="0"/>
          <w:sz w:val="24"/>
          <w:highlight w:val="none"/>
          <w:lang w:eastAsia="zh-CN" w:bidi="ar"/>
        </w:rPr>
        <w:t>（</w:t>
      </w:r>
      <w:r>
        <w:rPr>
          <w:rFonts w:hint="eastAsia" w:ascii="宋体" w:hAnsi="宋体" w:eastAsia="宋体" w:cs="宋体"/>
          <w:b/>
          <w:bCs/>
          <w:kern w:val="0"/>
          <w:sz w:val="24"/>
          <w:highlight w:val="none"/>
          <w:lang w:val="en-US" w:eastAsia="zh-CN" w:bidi="ar"/>
        </w:rPr>
        <w:t>1</w:t>
      </w:r>
      <w:r>
        <w:rPr>
          <w:rFonts w:hint="eastAsia" w:ascii="宋体" w:hAnsi="宋体" w:eastAsia="宋体" w:cs="宋体"/>
          <w:b/>
          <w:bCs/>
          <w:kern w:val="0"/>
          <w:sz w:val="24"/>
          <w:highlight w:val="none"/>
          <w:lang w:eastAsia="zh-CN" w:bidi="ar"/>
        </w:rPr>
        <w:t>）</w:t>
      </w:r>
      <w:r>
        <w:rPr>
          <w:rFonts w:ascii="宋体" w:hAnsi="宋体" w:eastAsia="宋体" w:cs="宋体"/>
          <w:b/>
          <w:bCs/>
          <w:kern w:val="0"/>
          <w:sz w:val="24"/>
          <w:highlight w:val="none"/>
          <w:lang w:bidi="ar"/>
        </w:rPr>
        <w:t>评价内部控制设计的合理性：</w:t>
      </w:r>
      <w:r>
        <w:rPr>
          <w:rFonts w:ascii="宋体" w:hAnsi="宋体" w:eastAsia="宋体" w:cs="宋体"/>
          <w:kern w:val="0"/>
          <w:sz w:val="24"/>
          <w:highlight w:val="none"/>
          <w:lang w:bidi="ar"/>
        </w:rPr>
        <w:t>确认公司各项内部控制制度是否依据行业最佳实践与法规要求进行设计，能否有效预防风险，涵盖业务流程、合规管理等关键领域。</w:t>
      </w:r>
    </w:p>
    <w:p w14:paraId="3F15ED35">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2" w:firstLineChars="200"/>
        <w:jc w:val="left"/>
        <w:rPr>
          <w:rFonts w:ascii="宋体" w:hAnsi="宋体" w:eastAsia="宋体" w:cs="宋体"/>
          <w:kern w:val="0"/>
          <w:sz w:val="24"/>
          <w:highlight w:val="none"/>
          <w:lang w:bidi="ar"/>
        </w:rPr>
      </w:pPr>
      <w:r>
        <w:rPr>
          <w:rFonts w:hint="eastAsia" w:ascii="宋体" w:hAnsi="宋体" w:eastAsia="宋体" w:cs="宋体"/>
          <w:b/>
          <w:bCs/>
          <w:kern w:val="0"/>
          <w:sz w:val="24"/>
          <w:highlight w:val="none"/>
          <w:lang w:eastAsia="zh-CN" w:bidi="ar"/>
        </w:rPr>
        <w:t>（</w:t>
      </w:r>
      <w:r>
        <w:rPr>
          <w:rFonts w:hint="eastAsia" w:ascii="宋体" w:hAnsi="宋体" w:eastAsia="宋体" w:cs="宋体"/>
          <w:b/>
          <w:bCs/>
          <w:kern w:val="0"/>
          <w:sz w:val="24"/>
          <w:highlight w:val="none"/>
          <w:lang w:val="en-US" w:eastAsia="zh-CN" w:bidi="ar"/>
        </w:rPr>
        <w:t>2</w:t>
      </w:r>
      <w:r>
        <w:rPr>
          <w:rFonts w:hint="eastAsia" w:ascii="宋体" w:hAnsi="宋体" w:eastAsia="宋体" w:cs="宋体"/>
          <w:b/>
          <w:bCs/>
          <w:kern w:val="0"/>
          <w:sz w:val="24"/>
          <w:highlight w:val="none"/>
          <w:lang w:eastAsia="zh-CN" w:bidi="ar"/>
        </w:rPr>
        <w:t>）</w:t>
      </w:r>
      <w:r>
        <w:rPr>
          <w:rFonts w:ascii="宋体" w:hAnsi="宋体" w:eastAsia="宋体" w:cs="宋体"/>
          <w:b/>
          <w:bCs/>
          <w:kern w:val="0"/>
          <w:sz w:val="24"/>
          <w:highlight w:val="none"/>
          <w:lang w:bidi="ar"/>
        </w:rPr>
        <w:t>测试内部控制执行的有效性：</w:t>
      </w:r>
      <w:r>
        <w:rPr>
          <w:rFonts w:ascii="宋体" w:hAnsi="宋体" w:eastAsia="宋体" w:cs="宋体"/>
          <w:kern w:val="0"/>
          <w:sz w:val="24"/>
          <w:highlight w:val="none"/>
          <w:lang w:bidi="ar"/>
        </w:rPr>
        <w:t>通过选取样本进行测试，判断既定内部控制流程在日常运营中是否被严格遵循，识别执行偏差及潜在原因。</w:t>
      </w:r>
    </w:p>
    <w:p w14:paraId="353BF521">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2" w:firstLineChars="200"/>
        <w:jc w:val="left"/>
        <w:rPr>
          <w:rFonts w:ascii="宋体" w:hAnsi="宋体" w:eastAsia="宋体" w:cs="宋体"/>
          <w:kern w:val="0"/>
          <w:sz w:val="24"/>
          <w:highlight w:val="none"/>
          <w:lang w:bidi="ar"/>
        </w:rPr>
      </w:pPr>
      <w:r>
        <w:rPr>
          <w:rFonts w:hint="eastAsia" w:ascii="宋体" w:hAnsi="宋体" w:eastAsia="宋体" w:cs="宋体"/>
          <w:b/>
          <w:bCs/>
          <w:kern w:val="0"/>
          <w:sz w:val="24"/>
          <w:highlight w:val="none"/>
          <w:lang w:eastAsia="zh-CN" w:bidi="ar"/>
        </w:rPr>
        <w:t>（</w:t>
      </w:r>
      <w:r>
        <w:rPr>
          <w:rFonts w:hint="eastAsia" w:ascii="宋体" w:hAnsi="宋体" w:eastAsia="宋体" w:cs="宋体"/>
          <w:b/>
          <w:bCs/>
          <w:kern w:val="0"/>
          <w:sz w:val="24"/>
          <w:highlight w:val="none"/>
          <w:lang w:val="en-US" w:eastAsia="zh-CN" w:bidi="ar"/>
        </w:rPr>
        <w:t>3</w:t>
      </w:r>
      <w:r>
        <w:rPr>
          <w:rFonts w:hint="eastAsia" w:ascii="宋体" w:hAnsi="宋体" w:eastAsia="宋体" w:cs="宋体"/>
          <w:b/>
          <w:bCs/>
          <w:kern w:val="0"/>
          <w:sz w:val="24"/>
          <w:highlight w:val="none"/>
          <w:lang w:eastAsia="zh-CN" w:bidi="ar"/>
        </w:rPr>
        <w:t>）</w:t>
      </w:r>
      <w:r>
        <w:rPr>
          <w:rFonts w:ascii="宋体" w:hAnsi="宋体" w:eastAsia="宋体" w:cs="宋体"/>
          <w:b/>
          <w:bCs/>
          <w:kern w:val="0"/>
          <w:sz w:val="24"/>
          <w:highlight w:val="none"/>
          <w:lang w:bidi="ar"/>
        </w:rPr>
        <w:t>发现内部控制缺陷与风险点：</w:t>
      </w:r>
      <w:r>
        <w:rPr>
          <w:rFonts w:ascii="宋体" w:hAnsi="宋体" w:eastAsia="宋体" w:cs="宋体"/>
          <w:kern w:val="0"/>
          <w:sz w:val="24"/>
          <w:highlight w:val="none"/>
          <w:lang w:bidi="ar"/>
        </w:rPr>
        <w:t>精准定位内部控制体系中的薄弱环节，包括制度缺失、流程不畅、监督不力等方面，量化潜在风险影响程度。</w:t>
      </w:r>
    </w:p>
    <w:p w14:paraId="4A4CA7D3">
      <w:pPr>
        <w:keepNext w:val="0"/>
        <w:keepLines w:val="0"/>
        <w:widowControl/>
        <w:numPr>
          <w:ilvl w:val="-1"/>
          <w:numId w:val="0"/>
        </w:numPr>
        <w:suppressLineNumbers w:val="0"/>
        <w:pBdr>
          <w:left w:val="none" w:color="auto" w:sz="0" w:space="0"/>
        </w:pBdr>
        <w:spacing w:before="0" w:beforeAutospacing="0" w:after="0" w:afterAutospacing="0" w:line="360" w:lineRule="auto"/>
        <w:ind w:left="0" w:firstLine="482" w:firstLineChars="200"/>
        <w:jc w:val="left"/>
        <w:rPr>
          <w:rFonts w:ascii="宋体" w:hAnsi="宋体" w:eastAsia="宋体" w:cs="宋体"/>
          <w:kern w:val="0"/>
          <w:sz w:val="24"/>
          <w:highlight w:val="none"/>
          <w:lang w:bidi="ar"/>
        </w:rPr>
      </w:pPr>
      <w:r>
        <w:rPr>
          <w:rFonts w:hint="eastAsia" w:ascii="宋体" w:hAnsi="宋体" w:eastAsia="宋体" w:cs="宋体"/>
          <w:b/>
          <w:bCs/>
          <w:kern w:val="0"/>
          <w:sz w:val="24"/>
          <w:highlight w:val="none"/>
          <w:lang w:eastAsia="zh-CN" w:bidi="ar"/>
        </w:rPr>
        <w:t>（</w:t>
      </w:r>
      <w:r>
        <w:rPr>
          <w:rFonts w:hint="eastAsia" w:ascii="宋体" w:hAnsi="宋体" w:eastAsia="宋体" w:cs="宋体"/>
          <w:b/>
          <w:bCs/>
          <w:kern w:val="0"/>
          <w:sz w:val="24"/>
          <w:highlight w:val="none"/>
          <w:lang w:val="en-US" w:eastAsia="zh-CN" w:bidi="ar"/>
        </w:rPr>
        <w:t>4</w:t>
      </w:r>
      <w:r>
        <w:rPr>
          <w:rFonts w:hint="eastAsia" w:ascii="宋体" w:hAnsi="宋体" w:eastAsia="宋体" w:cs="宋体"/>
          <w:b/>
          <w:bCs/>
          <w:kern w:val="0"/>
          <w:sz w:val="24"/>
          <w:highlight w:val="none"/>
          <w:lang w:eastAsia="zh-CN" w:bidi="ar"/>
        </w:rPr>
        <w:t>）</w:t>
      </w:r>
      <w:r>
        <w:rPr>
          <w:rFonts w:ascii="宋体" w:hAnsi="宋体" w:eastAsia="宋体" w:cs="宋体"/>
          <w:b/>
          <w:bCs/>
          <w:kern w:val="0"/>
          <w:sz w:val="24"/>
          <w:highlight w:val="none"/>
          <w:lang w:bidi="ar"/>
        </w:rPr>
        <w:t>提出改进建议与优化方案：</w:t>
      </w:r>
      <w:r>
        <w:rPr>
          <w:rFonts w:ascii="宋体" w:hAnsi="宋体" w:eastAsia="宋体" w:cs="宋体"/>
          <w:kern w:val="0"/>
          <w:sz w:val="24"/>
          <w:highlight w:val="none"/>
          <w:lang w:bidi="ar"/>
        </w:rPr>
        <w:t>基于审计发现，为公司量身定制切实可行的整改措施，助力公司完善内部控制架构，提升整体运营效率与风险抵御能力。</w:t>
      </w:r>
    </w:p>
    <w:p w14:paraId="4B0E077E">
      <w:pPr>
        <w:pStyle w:val="37"/>
        <w:rPr>
          <w:highlight w:val="none"/>
        </w:rPr>
      </w:pPr>
    </w:p>
    <w:p w14:paraId="0ACD519F">
      <w:pPr>
        <w:pStyle w:val="36"/>
        <w:keepNext w:val="0"/>
        <w:widowControl/>
        <w:numPr>
          <w:ilvl w:val="0"/>
          <w:numId w:val="9"/>
        </w:numPr>
        <w:rPr>
          <w:rFonts w:ascii="宋体" w:hAnsi="宋体" w:cs="宋体"/>
          <w:szCs w:val="28"/>
          <w:highlight w:val="none"/>
        </w:rPr>
      </w:pPr>
      <w:bookmarkStart w:id="335" w:name="_Toc19347"/>
      <w:bookmarkStart w:id="336" w:name="_Toc74143857"/>
      <w:bookmarkStart w:id="337" w:name="_Toc2655"/>
      <w:bookmarkStart w:id="338" w:name="_Toc109031570"/>
      <w:bookmarkStart w:id="339" w:name="_Toc67315533"/>
      <w:bookmarkStart w:id="340" w:name="_Toc8919"/>
      <w:bookmarkStart w:id="341" w:name="_Toc95148199"/>
      <w:r>
        <w:rPr>
          <w:rFonts w:ascii="宋体" w:hAnsi="宋体" w:cs="宋体"/>
          <w:szCs w:val="28"/>
          <w:highlight w:val="none"/>
        </w:rPr>
        <w:t>项目范围</w:t>
      </w:r>
      <w:bookmarkEnd w:id="335"/>
      <w:bookmarkEnd w:id="336"/>
      <w:bookmarkEnd w:id="337"/>
      <w:bookmarkEnd w:id="338"/>
      <w:bookmarkEnd w:id="339"/>
      <w:bookmarkEnd w:id="340"/>
      <w:bookmarkEnd w:id="341"/>
    </w:p>
    <w:p w14:paraId="5AF26B56">
      <w:pPr>
        <w:pStyle w:val="37"/>
        <w:ind w:firstLine="480"/>
        <w:rPr>
          <w:rFonts w:hint="eastAsia" w:asciiTheme="minorEastAsia" w:hAnsiTheme="minorEastAsia"/>
          <w:sz w:val="24"/>
          <w:highlight w:val="none"/>
          <w:lang w:val="en-US" w:eastAsia="zh-CN"/>
        </w:rPr>
      </w:pPr>
      <w:r>
        <w:rPr>
          <w:rFonts w:hint="eastAsia" w:asciiTheme="minorEastAsia" w:hAnsiTheme="minorEastAsia"/>
          <w:sz w:val="24"/>
          <w:highlight w:val="none"/>
        </w:rPr>
        <w:t>本项目范围涵盖对</w:t>
      </w:r>
      <w:r>
        <w:rPr>
          <w:rFonts w:hint="eastAsia" w:asciiTheme="minorEastAsia" w:hAnsiTheme="minorEastAsia"/>
          <w:sz w:val="24"/>
          <w:highlight w:val="none"/>
          <w:lang w:val="en-US" w:eastAsia="zh-CN"/>
        </w:rPr>
        <w:t>公司2025年度</w:t>
      </w:r>
      <w:r>
        <w:rPr>
          <w:rFonts w:hint="eastAsia" w:asciiTheme="minorEastAsia" w:hAnsiTheme="minorEastAsia"/>
          <w:sz w:val="24"/>
          <w:highlight w:val="none"/>
        </w:rPr>
        <w:t>公司治理、内部控制</w:t>
      </w:r>
      <w:r>
        <w:rPr>
          <w:rFonts w:hint="eastAsia" w:asciiTheme="minorEastAsia" w:hAnsiTheme="minorEastAsia"/>
          <w:sz w:val="24"/>
          <w:highlight w:val="none"/>
          <w:lang w:eastAsia="zh-CN"/>
        </w:rPr>
        <w:t>、</w:t>
      </w:r>
      <w:r>
        <w:rPr>
          <w:rFonts w:hint="eastAsia" w:asciiTheme="minorEastAsia" w:hAnsiTheme="minorEastAsia"/>
          <w:sz w:val="24"/>
          <w:highlight w:val="none"/>
        </w:rPr>
        <w:t>经营管理情况</w:t>
      </w:r>
      <w:r>
        <w:rPr>
          <w:rFonts w:hint="eastAsia" w:asciiTheme="minorEastAsia" w:hAnsiTheme="minorEastAsia"/>
          <w:sz w:val="24"/>
          <w:highlight w:val="none"/>
          <w:lang w:val="en-US" w:eastAsia="zh-CN"/>
        </w:rPr>
        <w:t>、</w:t>
      </w:r>
      <w:r>
        <w:rPr>
          <w:rFonts w:hint="eastAsia" w:asciiTheme="minorEastAsia" w:hAnsiTheme="minorEastAsia"/>
          <w:sz w:val="24"/>
          <w:highlight w:val="none"/>
        </w:rPr>
        <w:t>薪酬制度的设计和执行情况</w:t>
      </w:r>
      <w:r>
        <w:rPr>
          <w:rFonts w:hint="eastAsia" w:asciiTheme="minorEastAsia" w:hAnsiTheme="minorEastAsia"/>
          <w:sz w:val="24"/>
          <w:highlight w:val="none"/>
          <w:lang w:val="en-US" w:eastAsia="zh-CN"/>
        </w:rPr>
        <w:t>的</w:t>
      </w:r>
      <w:r>
        <w:rPr>
          <w:rFonts w:hint="eastAsia" w:asciiTheme="minorEastAsia" w:hAnsiTheme="minorEastAsia"/>
          <w:sz w:val="24"/>
          <w:highlight w:val="none"/>
        </w:rPr>
        <w:t>审计</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出具审计报告及审计管理建议书，提供内部控制管理工具，并应配合监管举行的双方或三方会谈。</w:t>
      </w:r>
    </w:p>
    <w:p w14:paraId="7978D417">
      <w:pPr>
        <w:pStyle w:val="37"/>
        <w:ind w:firstLine="480"/>
        <w:rPr>
          <w:highlight w:val="none"/>
        </w:rPr>
      </w:pPr>
    </w:p>
    <w:p w14:paraId="005E2043">
      <w:pPr>
        <w:pStyle w:val="36"/>
        <w:keepNext w:val="0"/>
        <w:widowControl/>
        <w:numPr>
          <w:ilvl w:val="0"/>
          <w:numId w:val="9"/>
        </w:numPr>
        <w:rPr>
          <w:rFonts w:ascii="宋体" w:hAnsi="宋体" w:cs="宋体"/>
          <w:szCs w:val="28"/>
          <w:highlight w:val="none"/>
        </w:rPr>
      </w:pPr>
      <w:bookmarkStart w:id="342" w:name="_Toc67315537"/>
      <w:bookmarkStart w:id="343" w:name="_Toc74143861"/>
      <w:bookmarkStart w:id="344" w:name="_Toc95148202"/>
      <w:bookmarkStart w:id="345" w:name="_Toc13476"/>
      <w:bookmarkStart w:id="346" w:name="_Toc10323"/>
      <w:bookmarkStart w:id="347" w:name="_Toc109031571"/>
      <w:bookmarkStart w:id="348" w:name="_Toc29892"/>
      <w:r>
        <w:rPr>
          <w:rFonts w:ascii="宋体" w:hAnsi="宋体" w:cs="宋体"/>
          <w:szCs w:val="28"/>
          <w:highlight w:val="none"/>
        </w:rPr>
        <w:t>项目</w:t>
      </w:r>
      <w:bookmarkEnd w:id="342"/>
      <w:bookmarkEnd w:id="343"/>
      <w:bookmarkEnd w:id="344"/>
      <w:r>
        <w:rPr>
          <w:rFonts w:hint="eastAsia" w:ascii="宋体" w:hAnsi="宋体" w:cs="宋体"/>
          <w:szCs w:val="28"/>
          <w:highlight w:val="none"/>
        </w:rPr>
        <w:t>内容</w:t>
      </w:r>
      <w:bookmarkEnd w:id="345"/>
      <w:bookmarkEnd w:id="346"/>
      <w:bookmarkEnd w:id="347"/>
      <w:bookmarkEnd w:id="348"/>
    </w:p>
    <w:p w14:paraId="20D12860">
      <w:pPr>
        <w:pStyle w:val="37"/>
        <w:ind w:firstLine="480"/>
        <w:rPr>
          <w:rFonts w:hint="default" w:asciiTheme="minorEastAsia" w:hAnsiTheme="minorEastAsia"/>
          <w:sz w:val="24"/>
          <w:highlight w:val="none"/>
          <w:lang w:val="en-US" w:eastAsia="zh-CN"/>
        </w:rPr>
      </w:pPr>
      <w:bookmarkStart w:id="349" w:name="_Toc95148210"/>
      <w:bookmarkStart w:id="350" w:name="_Toc74143869"/>
      <w:bookmarkStart w:id="351" w:name="_Toc67315565"/>
      <w:bookmarkStart w:id="352" w:name="_Toc109031572"/>
      <w:r>
        <w:rPr>
          <w:rFonts w:hint="eastAsia" w:asciiTheme="minorEastAsia" w:hAnsiTheme="minorEastAsia"/>
          <w:sz w:val="24"/>
          <w:highlight w:val="none"/>
        </w:rPr>
        <w:t>对公司治理、内部控制</w:t>
      </w:r>
      <w:r>
        <w:rPr>
          <w:rFonts w:hint="eastAsia" w:asciiTheme="minorEastAsia" w:hAnsiTheme="minorEastAsia"/>
          <w:sz w:val="24"/>
          <w:highlight w:val="none"/>
          <w:lang w:eastAsia="zh-CN"/>
        </w:rPr>
        <w:t>、</w:t>
      </w:r>
      <w:r>
        <w:rPr>
          <w:rFonts w:hint="eastAsia" w:asciiTheme="minorEastAsia" w:hAnsiTheme="minorEastAsia"/>
          <w:sz w:val="24"/>
          <w:highlight w:val="none"/>
        </w:rPr>
        <w:t>经营管理情况</w:t>
      </w:r>
      <w:r>
        <w:rPr>
          <w:rFonts w:hint="eastAsia" w:asciiTheme="minorEastAsia" w:hAnsiTheme="minorEastAsia"/>
          <w:sz w:val="24"/>
          <w:highlight w:val="none"/>
          <w:lang w:val="en-US" w:eastAsia="zh-CN"/>
        </w:rPr>
        <w:t>、</w:t>
      </w:r>
      <w:r>
        <w:rPr>
          <w:rFonts w:hint="eastAsia" w:asciiTheme="minorEastAsia" w:hAnsiTheme="minorEastAsia"/>
          <w:sz w:val="24"/>
          <w:highlight w:val="none"/>
        </w:rPr>
        <w:t>薪酬制度的设计和执行情况</w:t>
      </w:r>
      <w:r>
        <w:rPr>
          <w:rFonts w:hint="eastAsia" w:asciiTheme="minorEastAsia" w:hAnsiTheme="minorEastAsia"/>
          <w:sz w:val="24"/>
          <w:highlight w:val="none"/>
          <w:lang w:val="en-US" w:eastAsia="zh-CN"/>
        </w:rPr>
        <w:t>进行</w:t>
      </w:r>
      <w:r>
        <w:rPr>
          <w:rFonts w:hint="eastAsia" w:asciiTheme="minorEastAsia" w:hAnsiTheme="minorEastAsia"/>
          <w:sz w:val="24"/>
          <w:highlight w:val="none"/>
        </w:rPr>
        <w:t>审计</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出具审计报告及审计管理建议书，提供内部控制管理工作，并应配合监管举行的双方或三方会谈，具体应包括但不限于以下工作内容：</w:t>
      </w:r>
    </w:p>
    <w:p w14:paraId="21D3CBFD">
      <w:pPr>
        <w:pStyle w:val="37"/>
        <w:ind w:firstLine="480"/>
        <w:rPr>
          <w:rFonts w:hint="eastAsia" w:asciiTheme="minorEastAsia" w:hAnsiTheme="minorEastAsia"/>
          <w:sz w:val="24"/>
          <w:highlight w:val="none"/>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1</w:t>
      </w:r>
      <w:r>
        <w:rPr>
          <w:rFonts w:hint="eastAsia" w:asciiTheme="minorEastAsia" w:hAnsiTheme="minorEastAsia"/>
          <w:sz w:val="24"/>
          <w:highlight w:val="none"/>
          <w:lang w:eastAsia="zh-CN"/>
        </w:rPr>
        <w:t>）</w:t>
      </w:r>
      <w:r>
        <w:rPr>
          <w:rFonts w:hint="eastAsia" w:asciiTheme="minorEastAsia" w:hAnsiTheme="minorEastAsia"/>
          <w:sz w:val="24"/>
          <w:highlight w:val="none"/>
        </w:rPr>
        <w:t>制度文件审查：收集整理公司各项内部控制制度、管理办法，比对法规政策与行业标杆，分析制度完备性、更新及时性；检查制度是否明确各部门岗位职责、业务流程标准及风险防控要点。</w:t>
      </w:r>
    </w:p>
    <w:p w14:paraId="7A2E9F34">
      <w:pPr>
        <w:pStyle w:val="37"/>
        <w:ind w:firstLine="480"/>
        <w:rPr>
          <w:rFonts w:hint="eastAsia" w:asciiTheme="minorEastAsia" w:hAnsiTheme="minorEastAsia"/>
          <w:sz w:val="24"/>
          <w:highlight w:val="none"/>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2</w:t>
      </w:r>
      <w:r>
        <w:rPr>
          <w:rFonts w:hint="eastAsia" w:asciiTheme="minorEastAsia" w:hAnsiTheme="minorEastAsia"/>
          <w:sz w:val="24"/>
          <w:highlight w:val="none"/>
          <w:lang w:eastAsia="zh-CN"/>
        </w:rPr>
        <w:t>）</w:t>
      </w:r>
      <w:r>
        <w:rPr>
          <w:rFonts w:hint="eastAsia" w:asciiTheme="minorEastAsia" w:hAnsiTheme="minorEastAsia"/>
          <w:sz w:val="24"/>
          <w:highlight w:val="none"/>
        </w:rPr>
        <w:t>流程穿行测试：选取一定数量代表性样本，从发起至终结全程跟踪，记录各环节实际操作与制度要求一致性，验证流程执行连贯性，识别潜在断点与冗余环节。</w:t>
      </w:r>
    </w:p>
    <w:p w14:paraId="5FEA8639">
      <w:pPr>
        <w:pStyle w:val="37"/>
        <w:ind w:firstLine="480"/>
        <w:rPr>
          <w:rFonts w:hint="eastAsia" w:asciiTheme="minorEastAsia" w:hAnsiTheme="minorEastAsia"/>
          <w:sz w:val="24"/>
          <w:highlight w:val="none"/>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3</w:t>
      </w:r>
      <w:r>
        <w:rPr>
          <w:rFonts w:hint="eastAsia" w:asciiTheme="minorEastAsia" w:hAnsiTheme="minorEastAsia"/>
          <w:sz w:val="24"/>
          <w:highlight w:val="none"/>
          <w:lang w:eastAsia="zh-CN"/>
        </w:rPr>
        <w:t>）</w:t>
      </w:r>
      <w:r>
        <w:rPr>
          <w:rFonts w:hint="eastAsia" w:asciiTheme="minorEastAsia" w:hAnsiTheme="minorEastAsia"/>
          <w:sz w:val="24"/>
          <w:highlight w:val="none"/>
        </w:rPr>
        <w:t>风险评估建模：运用量化风险评估模型，结合公司历史风险事件、行业风险数据，对识别出的内部控制缺陷进行风险量化打分，区分高、中、低风险领域，为后续整改资源分配提供依据。</w:t>
      </w:r>
    </w:p>
    <w:p w14:paraId="748E7D88">
      <w:pPr>
        <w:pStyle w:val="37"/>
        <w:keepNext w:val="0"/>
        <w:keepLines w:val="0"/>
        <w:widowControl/>
        <w:suppressLineNumbers w:val="0"/>
        <w:spacing w:before="0" w:beforeAutospacing="0" w:after="0" w:afterAutospacing="0"/>
        <w:ind w:left="0" w:right="0" w:firstLine="480"/>
        <w:rPr>
          <w:rFonts w:hint="eastAsia" w:asciiTheme="minorEastAsia" w:hAnsiTheme="minorEastAsia"/>
          <w:highlight w:val="none"/>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4</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内部控制管理工具：</w:t>
      </w:r>
      <w:r>
        <w:rPr>
          <w:rFonts w:hint="eastAsia" w:eastAsia="宋体" w:cs="Times New Roman" w:asciiTheme="minorEastAsia" w:hAnsiTheme="minorEastAsia"/>
          <w:i w:val="0"/>
          <w:iCs w:val="0"/>
          <w:caps w:val="0"/>
          <w:color w:val="0F1115"/>
          <w:spacing w:val="0"/>
          <w:sz w:val="24"/>
          <w:szCs w:val="22"/>
          <w:highlight w:val="none"/>
          <w:shd w:val="clear" w:fill="FFFFFF"/>
        </w:rPr>
        <w:t>提供开展内部控制体系建设、评估、监测与改进</w:t>
      </w:r>
      <w:r>
        <w:rPr>
          <w:rFonts w:hint="eastAsia" w:eastAsia="宋体" w:cs="Times New Roman" w:asciiTheme="minorEastAsia" w:hAnsiTheme="minorEastAsia"/>
          <w:i w:val="0"/>
          <w:iCs w:val="0"/>
          <w:caps w:val="0"/>
          <w:color w:val="0F1115"/>
          <w:spacing w:val="0"/>
          <w:sz w:val="24"/>
          <w:szCs w:val="22"/>
          <w:highlight w:val="none"/>
          <w:shd w:val="clear" w:fill="FFFFFF"/>
          <w:lang w:val="en-US" w:eastAsia="zh-CN"/>
        </w:rPr>
        <w:t>的相关模板参考，如</w:t>
      </w:r>
      <w:r>
        <w:rPr>
          <w:rFonts w:hint="eastAsia" w:eastAsia="宋体" w:cs="Times New Roman" w:asciiTheme="minorEastAsia" w:hAnsiTheme="minorEastAsia"/>
          <w:i w:val="0"/>
          <w:iCs w:val="0"/>
          <w:caps w:val="0"/>
          <w:color w:val="0F1115"/>
          <w:spacing w:val="0"/>
          <w:sz w:val="24"/>
          <w:szCs w:val="22"/>
          <w:highlight w:val="none"/>
          <w:shd w:val="clear" w:fill="FFFFFF"/>
        </w:rPr>
        <w:t>内部控制自我评估工具</w:t>
      </w:r>
      <w:r>
        <w:rPr>
          <w:rFonts w:hint="eastAsia" w:eastAsia="宋体" w:cs="Times New Roman" w:asciiTheme="minorEastAsia" w:hAnsiTheme="minorEastAsia"/>
          <w:i w:val="0"/>
          <w:iCs w:val="0"/>
          <w:caps w:val="0"/>
          <w:color w:val="0F1115"/>
          <w:spacing w:val="0"/>
          <w:sz w:val="24"/>
          <w:szCs w:val="22"/>
          <w:highlight w:val="none"/>
          <w:shd w:val="clear" w:fill="FFFFFF"/>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标准化自查问卷、检查清单及评分模板</w:t>
      </w:r>
      <w:r>
        <w:rPr>
          <w:rFonts w:hint="eastAsia" w:eastAsia="宋体" w:cs="Times New Roman" w:asciiTheme="minorEastAsia" w:hAnsiTheme="minorEastAsia"/>
          <w:i w:val="0"/>
          <w:iCs w:val="0"/>
          <w:caps w:val="0"/>
          <w:color w:val="0F1115"/>
          <w:spacing w:val="0"/>
          <w:sz w:val="24"/>
          <w:szCs w:val="22"/>
          <w:highlight w:val="none"/>
          <w:shd w:val="clear" w:fill="FFFFFF"/>
          <w:lang w:eastAsia="zh-CN"/>
        </w:rPr>
        <w:t>）</w:t>
      </w:r>
      <w:r>
        <w:rPr>
          <w:rFonts w:hint="eastAsia" w:cs="Times New Roman" w:asciiTheme="minorEastAsia" w:hAnsiTheme="minorEastAsia"/>
          <w:i w:val="0"/>
          <w:iCs w:val="0"/>
          <w:caps w:val="0"/>
          <w:spacing w:val="0"/>
          <w:sz w:val="24"/>
          <w:szCs w:val="22"/>
          <w:highlight w:val="none"/>
          <w:shd w:val="clear"/>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关键控制活动监控工具</w:t>
      </w:r>
      <w:r>
        <w:rPr>
          <w:rFonts w:hint="eastAsia" w:eastAsia="宋体" w:cs="Times New Roman" w:asciiTheme="minorEastAsia" w:hAnsiTheme="minorEastAsia"/>
          <w:i w:val="0"/>
          <w:iCs w:val="0"/>
          <w:caps w:val="0"/>
          <w:color w:val="0F1115"/>
          <w:spacing w:val="0"/>
          <w:sz w:val="24"/>
          <w:szCs w:val="22"/>
          <w:highlight w:val="none"/>
          <w:shd w:val="clear" w:fill="FFFFFF"/>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重要业务流程与高风险领域</w:t>
      </w:r>
      <w:r>
        <w:rPr>
          <w:rFonts w:hint="eastAsia" w:eastAsia="宋体" w:cs="Times New Roman" w:asciiTheme="minorEastAsia" w:hAnsiTheme="minorEastAsia"/>
          <w:i w:val="0"/>
          <w:iCs w:val="0"/>
          <w:caps w:val="0"/>
          <w:color w:val="0F1115"/>
          <w:spacing w:val="0"/>
          <w:sz w:val="24"/>
          <w:szCs w:val="22"/>
          <w:highlight w:val="none"/>
          <w:shd w:val="clear" w:fill="FFFFFF"/>
          <w:lang w:val="en-US" w:eastAsia="zh-CN"/>
        </w:rPr>
        <w:t>的</w:t>
      </w:r>
      <w:r>
        <w:rPr>
          <w:rFonts w:hint="eastAsia" w:eastAsia="宋体" w:cs="Times New Roman" w:asciiTheme="minorEastAsia" w:hAnsiTheme="minorEastAsia"/>
          <w:i w:val="0"/>
          <w:iCs w:val="0"/>
          <w:caps w:val="0"/>
          <w:color w:val="0F1115"/>
          <w:spacing w:val="0"/>
          <w:sz w:val="24"/>
          <w:szCs w:val="22"/>
          <w:highlight w:val="none"/>
          <w:shd w:val="clear" w:fill="FFFFFF"/>
        </w:rPr>
        <w:t>关键控制点监测指标与报告模板</w:t>
      </w:r>
      <w:r>
        <w:rPr>
          <w:rFonts w:hint="eastAsia" w:eastAsia="宋体" w:cs="Times New Roman" w:asciiTheme="minorEastAsia" w:hAnsiTheme="minorEastAsia"/>
          <w:i w:val="0"/>
          <w:iCs w:val="0"/>
          <w:caps w:val="0"/>
          <w:color w:val="0F1115"/>
          <w:spacing w:val="0"/>
          <w:sz w:val="24"/>
          <w:szCs w:val="22"/>
          <w:highlight w:val="none"/>
          <w:shd w:val="clear" w:fill="FFFFFF"/>
          <w:lang w:eastAsia="zh-CN"/>
        </w:rPr>
        <w:t>）</w:t>
      </w:r>
      <w:r>
        <w:rPr>
          <w:rFonts w:hint="eastAsia" w:cs="Times New Roman" w:asciiTheme="minorEastAsia" w:hAnsiTheme="minorEastAsia"/>
          <w:i w:val="0"/>
          <w:iCs w:val="0"/>
          <w:caps w:val="0"/>
          <w:spacing w:val="0"/>
          <w:sz w:val="24"/>
          <w:szCs w:val="22"/>
          <w:highlight w:val="none"/>
          <w:shd w:val="clear"/>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内部控制缺陷整改跟踪工具</w:t>
      </w:r>
      <w:r>
        <w:rPr>
          <w:rFonts w:hint="eastAsia" w:cs="Times New Roman" w:asciiTheme="minorEastAsia" w:hAnsiTheme="minorEastAsia"/>
          <w:i w:val="0"/>
          <w:iCs w:val="0"/>
          <w:caps w:val="0"/>
          <w:spacing w:val="0"/>
          <w:sz w:val="24"/>
          <w:szCs w:val="22"/>
          <w:highlight w:val="none"/>
          <w:shd w:val="clear"/>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内部控制缺陷登记、整改责任分配、整改进度跟踪与验收销号流程管理模板</w:t>
      </w:r>
      <w:r>
        <w:rPr>
          <w:rFonts w:hint="eastAsia" w:cs="Times New Roman" w:asciiTheme="minorEastAsia" w:hAnsiTheme="minorEastAsia"/>
          <w:i w:val="0"/>
          <w:iCs w:val="0"/>
          <w:caps w:val="0"/>
          <w:spacing w:val="0"/>
          <w:sz w:val="24"/>
          <w:szCs w:val="22"/>
          <w:highlight w:val="none"/>
          <w:shd w:val="clear"/>
          <w:lang w:eastAsia="zh-CN"/>
        </w:rPr>
        <w:t>）</w:t>
      </w:r>
      <w:r>
        <w:rPr>
          <w:rFonts w:hint="eastAsia" w:eastAsia="宋体" w:cs="Times New Roman" w:asciiTheme="minorEastAsia" w:hAnsiTheme="minorEastAsia"/>
          <w:i w:val="0"/>
          <w:iCs w:val="0"/>
          <w:caps w:val="0"/>
          <w:color w:val="0F1115"/>
          <w:spacing w:val="0"/>
          <w:sz w:val="24"/>
          <w:szCs w:val="22"/>
          <w:highlight w:val="none"/>
          <w:shd w:val="clear" w:fill="FFFFFF"/>
        </w:rPr>
        <w:t>。</w:t>
      </w:r>
    </w:p>
    <w:p w14:paraId="2F707926">
      <w:pPr>
        <w:pStyle w:val="37"/>
        <w:ind w:firstLine="480"/>
        <w:rPr>
          <w:rFonts w:hint="default" w:eastAsia="宋体" w:asciiTheme="minorEastAsia" w:hAnsiTheme="minorEastAsia"/>
          <w:sz w:val="24"/>
          <w:highlight w:val="none"/>
          <w:lang w:val="en-US" w:eastAsia="zh-CN"/>
        </w:rPr>
      </w:pPr>
    </w:p>
    <w:p w14:paraId="701AD8A0">
      <w:pPr>
        <w:spacing w:line="560" w:lineRule="exact"/>
        <w:rPr>
          <w:rFonts w:hint="default" w:cs="Times New Roman" w:asciiTheme="minorEastAsia" w:hAnsiTheme="minorEastAsia"/>
          <w:sz w:val="24"/>
          <w:highlight w:val="none"/>
          <w:lang w:val="en-US" w:eastAsia="zh-CN"/>
        </w:rPr>
      </w:pPr>
    </w:p>
    <w:p w14:paraId="7E169A2D">
      <w:pPr>
        <w:pStyle w:val="36"/>
        <w:numPr>
          <w:ilvl w:val="0"/>
          <w:numId w:val="9"/>
        </w:numPr>
        <w:rPr>
          <w:rFonts w:hint="eastAsia" w:asciiTheme="minorEastAsia" w:hAnsiTheme="minorEastAsia"/>
          <w:sz w:val="24"/>
          <w:highlight w:val="none"/>
        </w:rPr>
      </w:pPr>
      <w:bookmarkStart w:id="353" w:name="_Toc8259"/>
      <w:bookmarkStart w:id="354" w:name="_Toc5201"/>
      <w:bookmarkStart w:id="355" w:name="_Toc14610"/>
      <w:r>
        <w:rPr>
          <w:rFonts w:hint="eastAsia" w:ascii="宋体" w:hAnsi="宋体" w:cs="宋体"/>
          <w:szCs w:val="28"/>
          <w:highlight w:val="none"/>
        </w:rPr>
        <w:t>项目建设计划</w:t>
      </w:r>
      <w:bookmarkEnd w:id="349"/>
      <w:bookmarkEnd w:id="350"/>
      <w:bookmarkEnd w:id="351"/>
      <w:bookmarkEnd w:id="352"/>
      <w:bookmarkEnd w:id="353"/>
      <w:bookmarkEnd w:id="354"/>
      <w:bookmarkEnd w:id="355"/>
    </w:p>
    <w:p w14:paraId="0A53BFDF">
      <w:pPr>
        <w:pStyle w:val="13"/>
        <w:spacing w:line="360" w:lineRule="auto"/>
        <w:ind w:left="114" w:firstLine="420"/>
        <w:jc w:val="both"/>
        <w:rPr>
          <w:rFonts w:hint="default" w:eastAsia="宋体" w:asciiTheme="minorEastAsia" w:hAnsiTheme="minorEastAsia"/>
          <w:sz w:val="24"/>
          <w:highlight w:val="none"/>
          <w:lang w:val="en-US" w:eastAsia="zh-CN"/>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1</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项目建设周期</w:t>
      </w:r>
    </w:p>
    <w:p w14:paraId="6E6B1F4A">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第一阶段：审计准备期</w:t>
      </w:r>
    </w:p>
    <w:p w14:paraId="2CF8768B">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成立审计项目组，明确成员分工。</w:t>
      </w:r>
    </w:p>
    <w:p w14:paraId="31487AA8">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开展审前调研，收集公司基本资料，制定审计方案初稿，与公司管理层沟通确认。</w:t>
      </w:r>
    </w:p>
    <w:p w14:paraId="4BB6D5CE">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发送审计通知书，明确审计目标、范围、时间安排及所需资料清单。</w:t>
      </w:r>
    </w:p>
    <w:p w14:paraId="33C7EF90">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第二阶段：现场审计期</w:t>
      </w:r>
    </w:p>
    <w:p w14:paraId="4C9AEBBB">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项目组进驻公司，按计划开展工作。</w:t>
      </w:r>
    </w:p>
    <w:p w14:paraId="495F9E8D">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lang w:val="en-US" w:eastAsia="zh-CN"/>
        </w:rPr>
        <w:t>定期组织</w:t>
      </w:r>
      <w:r>
        <w:rPr>
          <w:rFonts w:hint="eastAsia" w:asciiTheme="minorEastAsia" w:hAnsiTheme="minorEastAsia"/>
          <w:sz w:val="24"/>
          <w:highlight w:val="none"/>
        </w:rPr>
        <w:t>审计工作例会，汇报进展、解答疑问，获取必要支持。</w:t>
      </w:r>
    </w:p>
    <w:p w14:paraId="46B63D70">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整理审计工作底稿，详细记录审计发现问题，包括问题描述、证据支持、相关制度依据、影响程度评估，确保审计证据充分、定性准确。</w:t>
      </w:r>
    </w:p>
    <w:p w14:paraId="2155363A">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第三阶段：审计报告期</w:t>
      </w:r>
    </w:p>
    <w:p w14:paraId="2421AA90">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基于审计工作底稿，撰写审计报告初稿，内容涵盖审计概况、发现问题、风险评估、整改建议；组织项目组内部讨论、审核，优化报告内容逻辑与表述准确性。</w:t>
      </w:r>
    </w:p>
    <w:p w14:paraId="30A662F8">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向公司高级管理层正式汇报审计结果，就重点问题进行深入沟通，征求意见反馈，确保报告客观公正，得到公司认可。</w:t>
      </w:r>
    </w:p>
    <w:p w14:paraId="3E9A2111">
      <w:pPr>
        <w:pStyle w:val="13"/>
        <w:spacing w:line="360" w:lineRule="auto"/>
        <w:ind w:left="114" w:firstLine="420"/>
        <w:jc w:val="both"/>
        <w:rPr>
          <w:rFonts w:hint="default" w:eastAsia="宋体" w:asciiTheme="minorEastAsia" w:hAnsiTheme="minorEastAsia"/>
          <w:sz w:val="24"/>
          <w:highlight w:val="none"/>
          <w:lang w:val="en-US" w:eastAsia="zh-CN"/>
        </w:rPr>
      </w:pPr>
      <w:r>
        <w:rPr>
          <w:rFonts w:hint="eastAsia" w:asciiTheme="minorEastAsia" w:hAnsiTheme="minorEastAsia"/>
          <w:sz w:val="24"/>
          <w:highlight w:val="none"/>
          <w:lang w:val="en-US" w:eastAsia="zh-CN"/>
        </w:rPr>
        <w:t>提供内部控制管理工具。</w:t>
      </w:r>
    </w:p>
    <w:p w14:paraId="48B12EC8">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第四阶段：后续跟踪期</w:t>
      </w:r>
    </w:p>
    <w:p w14:paraId="4E607B66">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根据公司管理层批准的整改方案，建立整改跟踪台账，明确整改责任人、时间节点、验收标准；按季度对整改情况进行回访检查，核实整改进度与成效。</w:t>
      </w:r>
    </w:p>
    <w:p w14:paraId="0FF96352">
      <w:pPr>
        <w:pStyle w:val="13"/>
        <w:spacing w:line="360" w:lineRule="auto"/>
        <w:ind w:left="114" w:firstLine="420"/>
        <w:jc w:val="both"/>
        <w:rPr>
          <w:rFonts w:hint="eastAsia" w:asciiTheme="minorEastAsia" w:hAnsiTheme="minorEastAsia"/>
          <w:sz w:val="24"/>
          <w:highlight w:val="none"/>
        </w:rPr>
      </w:pPr>
      <w:r>
        <w:rPr>
          <w:rFonts w:hint="eastAsia" w:asciiTheme="minorEastAsia" w:hAnsiTheme="minorEastAsia"/>
          <w:sz w:val="24"/>
          <w:highlight w:val="none"/>
        </w:rPr>
        <w:t>持续关注公司内部控制体系优化动态，收集整改后业务运行数据，评估内部控制改进效果，为下一次审计提供参考依据，形成审计闭环管理。</w:t>
      </w:r>
    </w:p>
    <w:p w14:paraId="01A750E6">
      <w:pPr>
        <w:pStyle w:val="13"/>
        <w:spacing w:line="360" w:lineRule="auto"/>
        <w:ind w:left="114" w:firstLine="420"/>
        <w:jc w:val="both"/>
        <w:rPr>
          <w:rFonts w:hint="eastAsia" w:asciiTheme="minorEastAsia" w:hAnsiTheme="minorEastAsia"/>
          <w:sz w:val="24"/>
          <w:highlight w:val="none"/>
          <w:lang w:val="en-US" w:eastAsia="zh-CN"/>
        </w:rPr>
      </w:pPr>
      <w:r>
        <w:rPr>
          <w:rFonts w:hint="eastAsia" w:asciiTheme="minorEastAsia" w:hAnsiTheme="minorEastAsia"/>
          <w:sz w:val="24"/>
          <w:highlight w:val="none"/>
          <w:lang w:val="en-US" w:eastAsia="zh-CN"/>
        </w:rPr>
        <w:t>配合监管举行的双方或三方会谈。</w:t>
      </w:r>
    </w:p>
    <w:p w14:paraId="0E7A56E2">
      <w:pPr>
        <w:pStyle w:val="13"/>
        <w:spacing w:line="360" w:lineRule="auto"/>
        <w:ind w:left="114" w:firstLine="420"/>
        <w:jc w:val="both"/>
        <w:rPr>
          <w:rFonts w:hint="default" w:asciiTheme="minorEastAsia" w:hAnsiTheme="minorEastAsia"/>
          <w:sz w:val="24"/>
          <w:highlight w:val="none"/>
        </w:rPr>
      </w:pP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2</w:t>
      </w:r>
      <w:r>
        <w:rPr>
          <w:rFonts w:hint="eastAsia" w:asciiTheme="minorEastAsia" w:hAnsiTheme="minorEastAsia"/>
          <w:sz w:val="24"/>
          <w:highlight w:val="none"/>
          <w:lang w:eastAsia="zh-CN"/>
        </w:rPr>
        <w:t>）</w:t>
      </w:r>
      <w:r>
        <w:rPr>
          <w:rFonts w:hint="eastAsia" w:asciiTheme="minorEastAsia" w:hAnsiTheme="minorEastAsia"/>
          <w:b/>
          <w:bCs/>
          <w:sz w:val="24"/>
          <w:highlight w:val="none"/>
          <w:lang w:val="en-US" w:eastAsia="zh-CN"/>
        </w:rPr>
        <w:t>2026年3月31日前</w:t>
      </w:r>
      <w:r>
        <w:rPr>
          <w:rFonts w:hint="eastAsia" w:asciiTheme="minorEastAsia" w:hAnsiTheme="minorEastAsia"/>
          <w:sz w:val="24"/>
          <w:highlight w:val="none"/>
          <w:lang w:val="en-US" w:eastAsia="zh-CN"/>
        </w:rPr>
        <w:t>完成审计报告及审计管理建议书出具，提供内部控制管理工具。</w:t>
      </w:r>
    </w:p>
    <w:p w14:paraId="5D29A804">
      <w:pPr>
        <w:pStyle w:val="13"/>
        <w:spacing w:line="360" w:lineRule="auto"/>
        <w:ind w:left="114" w:firstLine="420"/>
        <w:jc w:val="both"/>
        <w:rPr>
          <w:rFonts w:hint="eastAsia" w:asciiTheme="minorEastAsia" w:hAnsiTheme="minorEastAsia"/>
          <w:sz w:val="24"/>
          <w:highlight w:val="none"/>
        </w:rPr>
      </w:pPr>
    </w:p>
    <w:p w14:paraId="02442853">
      <w:pPr>
        <w:pStyle w:val="36"/>
        <w:keepNext w:val="0"/>
        <w:widowControl/>
        <w:numPr>
          <w:ilvl w:val="0"/>
          <w:numId w:val="9"/>
        </w:numPr>
        <w:rPr>
          <w:rFonts w:cs="宋体" w:asciiTheme="minorEastAsia" w:hAnsiTheme="minorEastAsia" w:eastAsiaTheme="minorEastAsia"/>
          <w:sz w:val="24"/>
          <w:szCs w:val="24"/>
          <w:highlight w:val="none"/>
        </w:rPr>
      </w:pPr>
      <w:bookmarkStart w:id="356" w:name="_Toc29213"/>
      <w:bookmarkStart w:id="357" w:name="_Toc95148211"/>
      <w:bookmarkStart w:id="358" w:name="_Toc15901"/>
      <w:bookmarkStart w:id="359" w:name="_Toc109031573"/>
      <w:bookmarkStart w:id="360" w:name="_Toc74143870"/>
      <w:bookmarkStart w:id="361" w:name="_Toc19441"/>
      <w:r>
        <w:rPr>
          <w:rFonts w:cs="宋体" w:asciiTheme="minorEastAsia" w:hAnsiTheme="minorEastAsia" w:eastAsiaTheme="minorEastAsia"/>
          <w:sz w:val="24"/>
          <w:szCs w:val="24"/>
          <w:highlight w:val="none"/>
        </w:rPr>
        <w:t>投标文件格式</w:t>
      </w:r>
      <w:bookmarkEnd w:id="356"/>
      <w:bookmarkEnd w:id="357"/>
      <w:bookmarkEnd w:id="358"/>
      <w:bookmarkEnd w:id="359"/>
      <w:bookmarkEnd w:id="360"/>
      <w:bookmarkEnd w:id="361"/>
    </w:p>
    <w:p w14:paraId="5EAAEF3C">
      <w:pPr>
        <w:rPr>
          <w:rFonts w:eastAsia="黑体"/>
          <w:b/>
          <w:sz w:val="28"/>
          <w:szCs w:val="22"/>
          <w:highlight w:val="none"/>
        </w:rPr>
      </w:pPr>
      <w:r>
        <w:rPr>
          <w:rFonts w:hint="eastAsia" w:ascii="Calibri" w:hAnsi="Calibri" w:eastAsia="黑体" w:cs="黑体"/>
          <w:b/>
          <w:sz w:val="28"/>
          <w:szCs w:val="22"/>
          <w:highlight w:val="none"/>
        </w:rPr>
        <w:t>附件</w:t>
      </w:r>
      <w:r>
        <w:rPr>
          <w:rFonts w:ascii="Calibri" w:hAnsi="Calibri" w:eastAsia="黑体" w:cs="Times New Roman"/>
          <w:b/>
          <w:sz w:val="28"/>
          <w:szCs w:val="22"/>
          <w:highlight w:val="none"/>
        </w:rPr>
        <w:t>1</w:t>
      </w:r>
    </w:p>
    <w:p w14:paraId="77141B1C">
      <w:pPr>
        <w:jc w:val="center"/>
        <w:rPr>
          <w:rFonts w:eastAsia="黑体"/>
          <w:b/>
          <w:sz w:val="28"/>
          <w:szCs w:val="22"/>
          <w:highlight w:val="none"/>
        </w:rPr>
      </w:pPr>
      <w:bookmarkStart w:id="362" w:name="_Toc533251966"/>
      <w:bookmarkStart w:id="363" w:name="_Toc283368335"/>
      <w:bookmarkStart w:id="364" w:name="_Toc278876641"/>
      <w:bookmarkStart w:id="365" w:name="_Toc290401063"/>
      <w:r>
        <w:rPr>
          <w:rFonts w:hint="eastAsia" w:ascii="Calibri" w:hAnsi="Calibri" w:eastAsia="黑体" w:cs="黑体"/>
          <w:b/>
          <w:sz w:val="28"/>
          <w:szCs w:val="22"/>
          <w:highlight w:val="none"/>
        </w:rPr>
        <w:t>投标函</w:t>
      </w:r>
    </w:p>
    <w:p w14:paraId="146A08D2">
      <w:pPr>
        <w:tabs>
          <w:tab w:val="left" w:pos="720"/>
        </w:tabs>
        <w:spacing w:line="312" w:lineRule="auto"/>
        <w:ind w:right="3"/>
        <w:rPr>
          <w:rFonts w:ascii="宋体" w:hAnsi="宋体" w:eastAsia="宋体" w:cs="宋体"/>
          <w:sz w:val="24"/>
          <w:szCs w:val="22"/>
          <w:highlight w:val="none"/>
        </w:rPr>
      </w:pPr>
      <w:r>
        <w:rPr>
          <w:rFonts w:hint="eastAsia" w:ascii="宋体" w:hAnsi="宋体" w:eastAsia="宋体" w:cs="宋体"/>
          <w:sz w:val="24"/>
          <w:szCs w:val="22"/>
          <w:highlight w:val="none"/>
        </w:rPr>
        <w:t xml:space="preserve">致重汽汽车金融有限公司：              </w:t>
      </w:r>
    </w:p>
    <w:p w14:paraId="68020214">
      <w:pPr>
        <w:spacing w:before="156" w:beforeLines="50" w:line="312" w:lineRule="auto"/>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lang w:val="en-US" w:eastAsia="zh-CN"/>
        </w:rPr>
        <w:t>1.</w:t>
      </w:r>
      <w:r>
        <w:rPr>
          <w:rFonts w:hint="eastAsia" w:ascii="宋体" w:hAnsi="宋体" w:eastAsia="宋体" w:cs="宋体"/>
          <w:sz w:val="24"/>
          <w:szCs w:val="22"/>
          <w:highlight w:val="none"/>
        </w:rPr>
        <w:t>根据贵司</w:t>
      </w:r>
      <w:r>
        <w:rPr>
          <w:rFonts w:hint="eastAsia" w:ascii="宋体" w:hAnsi="宋体" w:eastAsia="宋体" w:cs="宋体"/>
          <w:sz w:val="24"/>
          <w:szCs w:val="22"/>
          <w:highlight w:val="none"/>
          <w:lang w:val="en-US" w:eastAsia="zh-CN"/>
        </w:rPr>
        <w:t>内部控制外部审计</w:t>
      </w:r>
      <w:r>
        <w:rPr>
          <w:rFonts w:hint="eastAsia" w:ascii="宋体" w:hAnsi="宋体" w:eastAsia="宋体" w:cs="宋体"/>
          <w:sz w:val="24"/>
          <w:szCs w:val="22"/>
          <w:highlight w:val="none"/>
        </w:rPr>
        <w:t>项目</w:t>
      </w:r>
      <w:r>
        <w:rPr>
          <w:rFonts w:hint="eastAsia" w:ascii="宋体" w:hAnsi="宋体" w:eastAsia="宋体" w:cs="宋体"/>
          <w:sz w:val="24"/>
          <w:szCs w:val="22"/>
          <w:highlight w:val="none"/>
          <w:lang w:val="en-US" w:eastAsia="zh-CN"/>
        </w:rPr>
        <w:t>招标文件</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en-US" w:eastAsia="zh-CN"/>
        </w:rPr>
        <w:t>本人</w:t>
      </w:r>
      <w:r>
        <w:rPr>
          <w:rFonts w:hint="eastAsia" w:ascii="宋体" w:hAnsi="宋体" w:eastAsia="宋体" w:cs="宋体"/>
          <w:sz w:val="24"/>
          <w:szCs w:val="22"/>
          <w:highlight w:val="none"/>
        </w:rPr>
        <w:t>代表投标人_____________（投标人名称）提交下述文件</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资质证明文件、技术标书、商务标书。</w:t>
      </w:r>
    </w:p>
    <w:p w14:paraId="38290B49">
      <w:pPr>
        <w:spacing w:before="156" w:beforeLines="50" w:line="312"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2、我方郑重承诺：投标人将全部满足招标文件中的各项实质性要求，若有与招标文件中有偏离的，已在《商务条款偏离表》或《技术规格、参数偏离表》中陈述。除了《商务条款偏离表》或《技术规格、参数偏离表》陈述的偏离外，如果发现投标文件中另有与招标文件中不一致的响应或没有响应，投标人同意招标人有权要求投标人按照招标文件的要求提供服务。投标人并同意按照招标文件的规定履行合同责任和义务。</w:t>
      </w:r>
    </w:p>
    <w:p w14:paraId="0ABD0078">
      <w:pPr>
        <w:spacing w:before="156" w:beforeLines="50" w:line="312"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3、我方已详细审查全部招标文件，包括修改文件（如有的话）以及全部参考资料和有关附件。我们完全理解并同意放弃对这方面有不明及误解的权利。</w:t>
      </w:r>
    </w:p>
    <w:p w14:paraId="5D5FED67">
      <w:pPr>
        <w:spacing w:before="156" w:beforeLines="50" w:line="312"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4、我方的投标自投标截止之日起至合同签署日一直有效。</w:t>
      </w:r>
    </w:p>
    <w:p w14:paraId="741D8846">
      <w:pPr>
        <w:spacing w:before="156" w:beforeLines="50" w:line="312"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5、我方同意提供按照贵方可能要求的与我方投标有关的一切数据或资料，理解贵方不一定要接受最低价的投标或收到的任何投标。</w:t>
      </w:r>
    </w:p>
    <w:p w14:paraId="492776C7">
      <w:pPr>
        <w:spacing w:before="156" w:beforeLines="50" w:line="312"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投标人承诺所提供的所有数据和资料均真实有效，如存在虚报情况，投标人愿为此承担一切法律责任，并主动退出本项目竞标。</w:t>
      </w:r>
    </w:p>
    <w:p w14:paraId="6142D0E2">
      <w:pPr>
        <w:spacing w:before="156" w:beforeLines="50" w:line="312"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6、与本投标有关的一切正式往来通讯请寄：</w:t>
      </w:r>
    </w:p>
    <w:p w14:paraId="66294F47">
      <w:pPr>
        <w:spacing w:before="156" w:beforeLines="50" w:line="312"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地址：                                   邮编：</w:t>
      </w:r>
    </w:p>
    <w:p w14:paraId="1E23AC26">
      <w:pPr>
        <w:spacing w:before="156" w:beforeLines="50" w:line="312"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电话：                                   传真：</w:t>
      </w:r>
    </w:p>
    <w:p w14:paraId="31B27DD4">
      <w:pPr>
        <w:tabs>
          <w:tab w:val="left" w:pos="720"/>
        </w:tabs>
        <w:spacing w:line="312" w:lineRule="auto"/>
        <w:ind w:right="3" w:firstLine="2640" w:firstLineChars="1100"/>
        <w:rPr>
          <w:rFonts w:ascii="宋体" w:hAnsi="宋体" w:eastAsia="宋体" w:cs="宋体"/>
          <w:sz w:val="24"/>
          <w:szCs w:val="22"/>
          <w:highlight w:val="none"/>
        </w:rPr>
      </w:pPr>
      <w:r>
        <w:rPr>
          <w:rFonts w:hint="eastAsia" w:ascii="宋体" w:hAnsi="宋体" w:eastAsia="宋体" w:cs="宋体"/>
          <w:sz w:val="24"/>
          <w:szCs w:val="22"/>
          <w:highlight w:val="none"/>
        </w:rPr>
        <w:t xml:space="preserve"> 投    标    人（公章）：                 </w:t>
      </w:r>
    </w:p>
    <w:p w14:paraId="709DEEF1">
      <w:pPr>
        <w:spacing w:line="312" w:lineRule="auto"/>
        <w:ind w:right="-687" w:rightChars="-327" w:firstLine="2760" w:firstLineChars="1150"/>
        <w:rPr>
          <w:rFonts w:hint="eastAsia" w:ascii="宋体" w:hAnsi="宋体" w:eastAsia="宋体" w:cs="宋体"/>
          <w:sz w:val="24"/>
          <w:szCs w:val="22"/>
          <w:highlight w:val="none"/>
        </w:rPr>
      </w:pPr>
      <w:r>
        <w:rPr>
          <w:rFonts w:hint="eastAsia" w:ascii="宋体" w:hAnsi="宋体" w:eastAsia="宋体" w:cs="宋体"/>
          <w:sz w:val="24"/>
          <w:szCs w:val="22"/>
          <w:highlight w:val="none"/>
        </w:rPr>
        <w:t>法定代表人或授权委托人（签字或盖章）：</w:t>
      </w:r>
    </w:p>
    <w:p w14:paraId="2C31B13A">
      <w:pPr>
        <w:spacing w:line="312" w:lineRule="auto"/>
        <w:ind w:right="-687" w:rightChars="-327" w:firstLine="2760" w:firstLineChars="1150"/>
        <w:rPr>
          <w:rFonts w:ascii="宋体" w:hAnsi="宋体" w:eastAsia="宋体" w:cs="宋体"/>
          <w:sz w:val="24"/>
          <w:szCs w:val="22"/>
          <w:highlight w:val="none"/>
        </w:rPr>
      </w:pPr>
      <w:r>
        <w:rPr>
          <w:rFonts w:hint="eastAsia" w:ascii="宋体" w:hAnsi="宋体" w:eastAsia="宋体" w:cs="宋体"/>
          <w:sz w:val="24"/>
          <w:szCs w:val="22"/>
          <w:highlight w:val="none"/>
        </w:rPr>
        <w:t xml:space="preserve">日       期：         年      </w:t>
      </w:r>
      <w:bookmarkStart w:id="367" w:name="_GoBack"/>
      <w:r>
        <w:rPr>
          <w:rFonts w:hint="eastAsia" w:ascii="宋体" w:hAnsi="宋体" w:eastAsia="宋体" w:cs="宋体"/>
          <w:sz w:val="24"/>
          <w:szCs w:val="22"/>
          <w:highlight w:val="none"/>
        </w:rPr>
        <w:t>月</w:t>
      </w:r>
      <w:bookmarkEnd w:id="367"/>
      <w:r>
        <w:rPr>
          <w:rFonts w:hint="eastAsia" w:ascii="宋体" w:hAnsi="宋体" w:eastAsia="宋体" w:cs="宋体"/>
          <w:sz w:val="24"/>
          <w:szCs w:val="22"/>
          <w:highlight w:val="none"/>
        </w:rPr>
        <w:t xml:space="preserve">      日</w:t>
      </w:r>
    </w:p>
    <w:bookmarkEnd w:id="362"/>
    <w:bookmarkEnd w:id="363"/>
    <w:bookmarkEnd w:id="364"/>
    <w:bookmarkEnd w:id="365"/>
    <w:p w14:paraId="20A9C1EC">
      <w:pPr>
        <w:rPr>
          <w:rFonts w:hint="eastAsia" w:ascii="Calibri" w:hAnsi="Calibri" w:eastAsia="黑体" w:cs="黑体"/>
          <w:b/>
          <w:sz w:val="28"/>
          <w:szCs w:val="22"/>
          <w:highlight w:val="none"/>
        </w:rPr>
      </w:pPr>
    </w:p>
    <w:p w14:paraId="4909AB7B">
      <w:pPr>
        <w:rPr>
          <w:rFonts w:eastAsia="黑体"/>
          <w:highlight w:val="none"/>
        </w:rPr>
      </w:pPr>
      <w:r>
        <w:rPr>
          <w:rFonts w:hint="eastAsia" w:ascii="Calibri" w:hAnsi="Calibri" w:eastAsia="黑体" w:cs="黑体"/>
          <w:b/>
          <w:sz w:val="28"/>
          <w:szCs w:val="22"/>
          <w:highlight w:val="none"/>
        </w:rPr>
        <w:t>附件</w:t>
      </w:r>
      <w:r>
        <w:rPr>
          <w:rFonts w:ascii="Calibri" w:hAnsi="Calibri" w:eastAsia="黑体" w:cs="Times New Roman"/>
          <w:b/>
          <w:sz w:val="28"/>
          <w:szCs w:val="22"/>
          <w:highlight w:val="none"/>
        </w:rPr>
        <w:t>2</w:t>
      </w:r>
    </w:p>
    <w:p w14:paraId="0179E87D">
      <w:pPr>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b/>
          <w:bCs/>
          <w:color w:val="000000"/>
          <w:sz w:val="32"/>
          <w:szCs w:val="32"/>
          <w:highlight w:val="none"/>
        </w:rPr>
        <w:t>法定代表人授权委托书</w:t>
      </w:r>
    </w:p>
    <w:p w14:paraId="19A97CD6">
      <w:pPr>
        <w:spacing w:line="360" w:lineRule="auto"/>
        <w:ind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本授权委托书声明：我</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（姓名）系</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（投标人全称）的法定代表人，就</w:t>
      </w:r>
      <w:r>
        <w:rPr>
          <w:rFonts w:hint="eastAsia" w:ascii="宋体" w:hAnsi="宋体" w:eastAsia="宋体" w:cs="Times New Roman"/>
          <w:b w:val="0"/>
          <w:bCs w:val="0"/>
          <w:color w:val="000000"/>
          <w:sz w:val="24"/>
          <w:szCs w:val="24"/>
          <w:highlight w:val="none"/>
          <w:u w:val="single"/>
          <w:lang w:val="en-US" w:eastAsia="zh-CN"/>
        </w:rPr>
        <w:t>重汽汽金内部控制外部审计项目</w:t>
      </w:r>
      <w:r>
        <w:rPr>
          <w:rFonts w:hint="eastAsia" w:ascii="宋体" w:hAnsi="宋体" w:eastAsia="宋体" w:cs="Times New Roman"/>
          <w:color w:val="000000"/>
          <w:sz w:val="24"/>
          <w:szCs w:val="24"/>
          <w:highlight w:val="none"/>
        </w:rPr>
        <w:t>现授权委托</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（单位名称）的</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rPr>
        <w:t>（姓名、职务）为我公司全权代表，全权代表在投标文件、评标过程中的书面承诺、合同等所签署的一切文件和处理与之有关的一切事务，我均予以承认。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全权代表无转委权。特此委托。</w:t>
      </w:r>
    </w:p>
    <w:tbl>
      <w:tblPr>
        <w:tblStyle w:val="25"/>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highlight w:val="none"/>
                <w:u w:val="none"/>
              </w:rPr>
            </w:pPr>
            <w:r>
              <w:rPr>
                <w:rFonts w:hint="eastAsia" w:ascii="宋体" w:hAnsi="宋体" w:eastAsia="宋体" w:cs="Times New Roman"/>
                <w:sz w:val="24"/>
                <w:szCs w:val="20"/>
                <w:highlight w:val="none"/>
              </w:rPr>
              <w:t>附法人身份证明复印件</w:t>
            </w:r>
            <w:r>
              <w:rPr>
                <w:rFonts w:hint="eastAsia" w:ascii="宋体" w:hAnsi="宋体" w:eastAsia="宋体" w:cs="Times New Roman"/>
                <w:sz w:val="24"/>
                <w:szCs w:val="20"/>
                <w:highlight w:val="none"/>
                <w:u w:val="none"/>
                <w:lang w:eastAsia="zh-CN"/>
              </w:rPr>
              <w:t>（</w:t>
            </w:r>
            <w:r>
              <w:rPr>
                <w:rFonts w:hint="eastAsia" w:ascii="宋体" w:hAnsi="宋体" w:eastAsia="宋体" w:cs="Times New Roman"/>
                <w:color w:val="000000" w:themeColor="text1"/>
                <w:sz w:val="24"/>
                <w:szCs w:val="20"/>
                <w:highlight w:val="none"/>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highlight w:val="none"/>
              </w:rPr>
            </w:pPr>
            <w:r>
              <w:rPr>
                <w:rFonts w:hint="eastAsia" w:ascii="宋体" w:hAnsi="宋体" w:eastAsia="宋体" w:cs="Times New Roman"/>
                <w:sz w:val="24"/>
                <w:szCs w:val="20"/>
                <w:highlight w:val="none"/>
              </w:rPr>
              <w:t>附授权代理人身份证明复印件</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正反面</w:t>
            </w:r>
            <w:r>
              <w:rPr>
                <w:rFonts w:hint="eastAsia" w:ascii="宋体" w:hAnsi="宋体" w:eastAsia="宋体" w:cs="Times New Roman"/>
                <w:sz w:val="24"/>
                <w:szCs w:val="20"/>
                <w:highlight w:val="none"/>
                <w:lang w:eastAsia="zh-CN"/>
              </w:rPr>
              <w:t>）</w:t>
            </w:r>
          </w:p>
        </w:tc>
      </w:tr>
    </w:tbl>
    <w:p w14:paraId="37BFA8A8">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全权代表姓名：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性别：</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年龄：</w:t>
      </w:r>
    </w:p>
    <w:p w14:paraId="3B6DD363">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部门：</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职务：</w:t>
      </w:r>
    </w:p>
    <w:p w14:paraId="0F64A2A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法定代表人签字或盖章</w:t>
      </w:r>
      <w:r>
        <w:rPr>
          <w:rFonts w:ascii="宋体" w:hAnsi="宋体" w:eastAsia="宋体" w:cs="Times New Roman"/>
          <w:color w:val="000000"/>
          <w:sz w:val="24"/>
          <w:szCs w:val="24"/>
          <w:highlight w:val="none"/>
        </w:rPr>
        <w:t xml:space="preserve">                          </w:t>
      </w:r>
    </w:p>
    <w:p w14:paraId="100F211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被授权人签字</w:t>
      </w:r>
      <w:r>
        <w:rPr>
          <w:rFonts w:ascii="宋体" w:hAnsi="宋体" w:eastAsia="宋体" w:cs="Times New Roman"/>
          <w:color w:val="000000"/>
          <w:sz w:val="24"/>
          <w:szCs w:val="24"/>
          <w:highlight w:val="none"/>
        </w:rPr>
        <w:t xml:space="preserve">  </w:t>
      </w:r>
    </w:p>
    <w:p w14:paraId="7B47F762">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被授权人电话：</w:t>
      </w:r>
      <w:r>
        <w:rPr>
          <w:rFonts w:ascii="宋体" w:hAnsi="宋体" w:eastAsia="宋体" w:cs="Times New Roman"/>
          <w:color w:val="000000"/>
          <w:sz w:val="24"/>
          <w:szCs w:val="24"/>
          <w:highlight w:val="none"/>
        </w:rPr>
        <w:t xml:space="preserve">   </w:t>
      </w:r>
    </w:p>
    <w:p w14:paraId="6B9DBB7C">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投标人名称（公章）</w:t>
      </w:r>
      <w:r>
        <w:rPr>
          <w:rFonts w:ascii="宋体" w:hAnsi="宋体" w:eastAsia="宋体" w:cs="Times New Roman"/>
          <w:color w:val="000000"/>
          <w:sz w:val="24"/>
          <w:szCs w:val="24"/>
          <w:highlight w:val="none"/>
        </w:rPr>
        <w:t xml:space="preserve">                       </w:t>
      </w:r>
    </w:p>
    <w:p w14:paraId="152336F1">
      <w:pPr>
        <w:spacing w:line="460" w:lineRule="exact"/>
        <w:ind w:firstLine="5520" w:firstLineChars="2300"/>
        <w:rPr>
          <w:rFonts w:ascii="宋体" w:hAnsi="Calibri"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年</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月</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日</w:t>
      </w:r>
    </w:p>
    <w:p w14:paraId="2B3FEAEC">
      <w:pPr>
        <w:spacing w:line="360" w:lineRule="auto"/>
        <w:ind w:firstLine="4800" w:firstLineChars="2000"/>
        <w:rPr>
          <w:rFonts w:ascii="宋体" w:hAnsi="宋体" w:cs="宋体"/>
          <w:sz w:val="24"/>
          <w:szCs w:val="21"/>
          <w:highlight w:val="none"/>
        </w:rPr>
      </w:pPr>
    </w:p>
    <w:p w14:paraId="42BBE3A2">
      <w:pPr>
        <w:spacing w:line="360" w:lineRule="auto"/>
        <w:ind w:firstLine="4800" w:firstLineChars="2000"/>
        <w:rPr>
          <w:rFonts w:ascii="宋体" w:hAnsi="宋体" w:cs="宋体"/>
          <w:sz w:val="24"/>
          <w:szCs w:val="21"/>
          <w:highlight w:val="none"/>
        </w:rPr>
      </w:pPr>
    </w:p>
    <w:p w14:paraId="3D18A567">
      <w:pPr>
        <w:spacing w:line="360" w:lineRule="auto"/>
        <w:ind w:firstLine="4800" w:firstLineChars="2000"/>
        <w:rPr>
          <w:rFonts w:ascii="宋体" w:hAnsi="宋体" w:cs="宋体"/>
          <w:sz w:val="24"/>
          <w:szCs w:val="21"/>
          <w:highlight w:val="none"/>
        </w:rPr>
      </w:pPr>
    </w:p>
    <w:p w14:paraId="758E3B4E">
      <w:pPr>
        <w:spacing w:line="360" w:lineRule="auto"/>
        <w:ind w:firstLine="4800" w:firstLineChars="2000"/>
        <w:rPr>
          <w:rFonts w:ascii="宋体" w:hAnsi="宋体" w:cs="宋体"/>
          <w:sz w:val="24"/>
          <w:szCs w:val="21"/>
          <w:highlight w:val="none"/>
        </w:rPr>
      </w:pPr>
    </w:p>
    <w:p w14:paraId="031B00E6">
      <w:pPr>
        <w:rPr>
          <w:rFonts w:eastAsia="黑体"/>
          <w:b/>
          <w:sz w:val="28"/>
          <w:szCs w:val="22"/>
          <w:highlight w:val="none"/>
        </w:rPr>
      </w:pPr>
      <w:r>
        <w:rPr>
          <w:rFonts w:ascii="Calibri" w:hAnsi="Calibri" w:eastAsia="宋体" w:cs="Times New Roman"/>
          <w:szCs w:val="22"/>
          <w:highlight w:val="none"/>
        </w:rPr>
        <w:br w:type="page"/>
      </w:r>
      <w:bookmarkStart w:id="366" w:name="_Toc386297882"/>
      <w:r>
        <w:rPr>
          <w:rFonts w:hint="eastAsia" w:ascii="Calibri" w:hAnsi="Calibri" w:eastAsia="黑体" w:cs="黑体"/>
          <w:b/>
          <w:sz w:val="28"/>
          <w:szCs w:val="22"/>
          <w:highlight w:val="none"/>
        </w:rPr>
        <w:t>附件</w:t>
      </w:r>
      <w:r>
        <w:rPr>
          <w:rFonts w:ascii="Calibri" w:hAnsi="Calibri" w:eastAsia="黑体" w:cs="Times New Roman"/>
          <w:b/>
          <w:sz w:val="28"/>
          <w:szCs w:val="22"/>
          <w:highlight w:val="none"/>
        </w:rPr>
        <w:t>3</w:t>
      </w:r>
    </w:p>
    <w:p w14:paraId="18BF5347">
      <w:pPr>
        <w:jc w:val="center"/>
        <w:rPr>
          <w:sz w:val="32"/>
          <w:szCs w:val="22"/>
          <w:highlight w:val="none"/>
        </w:rPr>
      </w:pPr>
      <w:r>
        <w:rPr>
          <w:rFonts w:hint="eastAsia" w:ascii="Calibri" w:hAnsi="Calibri" w:eastAsia="黑体" w:cs="黑体"/>
          <w:b/>
          <w:sz w:val="28"/>
          <w:szCs w:val="22"/>
          <w:highlight w:val="none"/>
        </w:rPr>
        <w:t>竞标人资格证明文件</w:t>
      </w:r>
      <w:bookmarkEnd w:id="366"/>
    </w:p>
    <w:p w14:paraId="49AF798C">
      <w:pPr>
        <w:spacing w:line="360" w:lineRule="auto"/>
        <w:rPr>
          <w:rFonts w:ascii="宋体" w:hAnsi="宋体" w:eastAsia="宋体" w:cs="宋体"/>
          <w:sz w:val="24"/>
          <w:szCs w:val="22"/>
          <w:highlight w:val="none"/>
        </w:rPr>
      </w:pPr>
      <w:r>
        <w:rPr>
          <w:rFonts w:hint="eastAsia" w:ascii="宋体" w:hAnsi="宋体" w:eastAsia="宋体" w:cs="宋体"/>
          <w:sz w:val="24"/>
          <w:szCs w:val="22"/>
          <w:highlight w:val="none"/>
        </w:rPr>
        <w:t>重汽汽车金融有限公司：</w:t>
      </w:r>
    </w:p>
    <w:p w14:paraId="317B1547">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贵公司组织的</w:t>
      </w:r>
      <w:r>
        <w:rPr>
          <w:rFonts w:ascii="宋体" w:hAnsi="宋体" w:eastAsia="宋体" w:cs="宋体"/>
          <w:sz w:val="24"/>
          <w:szCs w:val="22"/>
          <w:highlight w:val="none"/>
          <w:u w:val="single"/>
        </w:rPr>
        <w:t xml:space="preserve">                </w:t>
      </w:r>
      <w:r>
        <w:rPr>
          <w:rFonts w:hint="eastAsia" w:ascii="宋体" w:hAnsi="宋体" w:eastAsia="宋体" w:cs="宋体"/>
          <w:sz w:val="24"/>
          <w:szCs w:val="22"/>
          <w:highlight w:val="none"/>
        </w:rPr>
        <w:t>项目</w:t>
      </w:r>
      <w:r>
        <w:rPr>
          <w:rFonts w:hint="eastAsia" w:ascii="宋体" w:hAnsi="宋体" w:eastAsia="宋体" w:cs="宋体"/>
          <w:sz w:val="24"/>
          <w:szCs w:val="22"/>
          <w:highlight w:val="none"/>
          <w:lang w:val="en-US" w:eastAsia="zh-CN"/>
        </w:rPr>
        <w:t>招标</w:t>
      </w:r>
      <w:r>
        <w:rPr>
          <w:rFonts w:hint="eastAsia" w:ascii="宋体" w:hAnsi="宋体" w:eastAsia="宋体" w:cs="宋体"/>
          <w:sz w:val="24"/>
          <w:szCs w:val="22"/>
          <w:highlight w:val="none"/>
        </w:rPr>
        <w:t>采购活动，我公司愿意参加，并证明提交的下列文件、证明和陈述均是准确的、真实的。若与真实情况不符，我公司愿意承担由此而产生的一切后果。</w:t>
      </w:r>
    </w:p>
    <w:p w14:paraId="66E3FCBA">
      <w:pPr>
        <w:numPr>
          <w:ilvl w:val="0"/>
          <w:numId w:val="10"/>
        </w:num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工商营业执照副本复印件（加盖公章）。</w:t>
      </w:r>
    </w:p>
    <w:p w14:paraId="7C15CE2B">
      <w:pPr>
        <w:numPr>
          <w:ilvl w:val="0"/>
          <w:numId w:val="10"/>
        </w:num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竞标人认为有必要提供的其他证明文件（加盖公章）。</w:t>
      </w:r>
    </w:p>
    <w:p w14:paraId="1914A5AA">
      <w:pPr>
        <w:spacing w:line="360" w:lineRule="auto"/>
        <w:rPr>
          <w:sz w:val="24"/>
          <w:szCs w:val="22"/>
          <w:highlight w:val="none"/>
        </w:rPr>
      </w:pPr>
    </w:p>
    <w:p w14:paraId="54458BF4">
      <w:pPr>
        <w:spacing w:line="360" w:lineRule="auto"/>
        <w:rPr>
          <w:rFonts w:ascii="宋体" w:hAnsi="宋体" w:eastAsia="宋体" w:cs="宋体"/>
          <w:sz w:val="24"/>
          <w:szCs w:val="22"/>
          <w:highlight w:val="none"/>
        </w:rPr>
      </w:pPr>
    </w:p>
    <w:p w14:paraId="4FB42F3C">
      <w:pPr>
        <w:spacing w:line="360" w:lineRule="auto"/>
        <w:rPr>
          <w:rFonts w:ascii="宋体" w:hAnsi="宋体" w:eastAsia="宋体" w:cs="宋体"/>
          <w:sz w:val="24"/>
          <w:szCs w:val="22"/>
          <w:highlight w:val="none"/>
        </w:rPr>
      </w:pPr>
    </w:p>
    <w:p w14:paraId="17A8BD0E">
      <w:pPr>
        <w:spacing w:line="360" w:lineRule="auto"/>
        <w:rPr>
          <w:rFonts w:ascii="宋体" w:hAnsi="宋体" w:eastAsia="宋体" w:cs="宋体"/>
          <w:sz w:val="24"/>
          <w:szCs w:val="22"/>
          <w:highlight w:val="none"/>
        </w:rPr>
      </w:pPr>
    </w:p>
    <w:p w14:paraId="2F8638CD">
      <w:pPr>
        <w:spacing w:line="360" w:lineRule="auto"/>
        <w:rPr>
          <w:rFonts w:ascii="宋体" w:hAnsi="宋体" w:eastAsia="宋体" w:cs="宋体"/>
          <w:sz w:val="24"/>
          <w:szCs w:val="22"/>
          <w:highlight w:val="none"/>
        </w:rPr>
      </w:pPr>
    </w:p>
    <w:p w14:paraId="320B1FD7">
      <w:pPr>
        <w:spacing w:line="360" w:lineRule="auto"/>
        <w:rPr>
          <w:sz w:val="24"/>
          <w:szCs w:val="22"/>
          <w:highlight w:val="none"/>
        </w:rPr>
      </w:pPr>
    </w:p>
    <w:p w14:paraId="6C17A0C0">
      <w:pPr>
        <w:spacing w:line="360" w:lineRule="auto"/>
        <w:rPr>
          <w:sz w:val="24"/>
          <w:szCs w:val="22"/>
          <w:highlight w:val="none"/>
        </w:rPr>
      </w:pPr>
    </w:p>
    <w:p w14:paraId="6E45847A">
      <w:pPr>
        <w:spacing w:line="360" w:lineRule="auto"/>
        <w:rPr>
          <w:sz w:val="24"/>
          <w:highlight w:val="none"/>
        </w:rPr>
      </w:pPr>
      <w:r>
        <w:rPr>
          <w:rFonts w:ascii="Calibri" w:hAnsi="Calibri" w:eastAsia="宋体" w:cs="Times New Roman"/>
          <w:sz w:val="24"/>
          <w:szCs w:val="22"/>
          <w:highlight w:val="none"/>
        </w:rPr>
        <w:br w:type="textWrapping"/>
      </w:r>
      <w:r>
        <w:rPr>
          <w:rFonts w:hint="eastAsia" w:ascii="Calibri" w:hAnsi="Calibri" w:eastAsia="宋体" w:cs="宋体"/>
          <w:sz w:val="24"/>
          <w:highlight w:val="none"/>
        </w:rPr>
        <w:t>竞标人名称：（加盖公章）</w:t>
      </w:r>
    </w:p>
    <w:p w14:paraId="4DACFBFF">
      <w:pPr>
        <w:spacing w:line="360" w:lineRule="auto"/>
        <w:rPr>
          <w:sz w:val="24"/>
          <w:highlight w:val="none"/>
        </w:rPr>
      </w:pPr>
      <w:r>
        <w:rPr>
          <w:rFonts w:hint="eastAsia" w:ascii="Calibri" w:hAnsi="Calibri" w:eastAsia="宋体" w:cs="宋体"/>
          <w:sz w:val="24"/>
          <w:highlight w:val="none"/>
        </w:rPr>
        <w:t>法定代表人或其代理人：（签字）</w:t>
      </w:r>
    </w:p>
    <w:p w14:paraId="56F2CCB3">
      <w:pPr>
        <w:spacing w:line="360" w:lineRule="auto"/>
        <w:rPr>
          <w:rFonts w:ascii="黑体" w:hAnsi="Calibri" w:eastAsia="黑体" w:cs="黑体"/>
          <w:sz w:val="30"/>
          <w:szCs w:val="22"/>
          <w:highlight w:val="none"/>
        </w:rPr>
      </w:pPr>
    </w:p>
    <w:p w14:paraId="144E1051">
      <w:pPr>
        <w:widowControl/>
        <w:jc w:val="left"/>
        <w:rPr>
          <w:rFonts w:eastAsia="黑体"/>
          <w:b/>
          <w:sz w:val="28"/>
          <w:szCs w:val="22"/>
          <w:highlight w:val="none"/>
        </w:rPr>
      </w:pPr>
      <w:r>
        <w:rPr>
          <w:rFonts w:hint="eastAsia" w:ascii="宋体" w:hAnsi="宋体" w:eastAsia="宋体" w:cs="Times New Roman"/>
          <w:sz w:val="24"/>
          <w:szCs w:val="22"/>
          <w:highlight w:val="none"/>
        </w:rPr>
        <w:br w:type="page"/>
      </w:r>
      <w:r>
        <w:rPr>
          <w:rFonts w:hint="eastAsia" w:ascii="Calibri" w:hAnsi="Calibri" w:eastAsia="黑体" w:cs="黑体"/>
          <w:b/>
          <w:sz w:val="28"/>
          <w:szCs w:val="22"/>
          <w:highlight w:val="none"/>
        </w:rPr>
        <w:t>附件</w:t>
      </w:r>
      <w:r>
        <w:rPr>
          <w:rFonts w:ascii="Calibri" w:hAnsi="Calibri" w:eastAsia="黑体" w:cs="Times New Roman"/>
          <w:b/>
          <w:sz w:val="28"/>
          <w:szCs w:val="22"/>
          <w:highlight w:val="none"/>
        </w:rPr>
        <w:t>4</w:t>
      </w:r>
    </w:p>
    <w:p w14:paraId="5885DDAC">
      <w:pPr>
        <w:widowControl/>
        <w:jc w:val="center"/>
        <w:rPr>
          <w:rFonts w:eastAsia="黑体"/>
          <w:b/>
          <w:sz w:val="28"/>
          <w:szCs w:val="22"/>
          <w:highlight w:val="none"/>
        </w:rPr>
      </w:pPr>
      <w:r>
        <w:rPr>
          <w:rFonts w:hint="eastAsia" w:ascii="Calibri" w:hAnsi="Calibri" w:eastAsia="黑体" w:cs="黑体"/>
          <w:b/>
          <w:sz w:val="28"/>
          <w:szCs w:val="22"/>
          <w:highlight w:val="none"/>
        </w:rPr>
        <w:t>开标一览表</w:t>
      </w:r>
    </w:p>
    <w:p w14:paraId="37DE137D">
      <w:pPr>
        <w:spacing w:before="6"/>
        <w:ind w:right="88"/>
        <w:jc w:val="left"/>
        <w:rPr>
          <w:rFonts w:ascii="宋体" w:hAnsi="宋体" w:eastAsia="宋体" w:cs="宋体"/>
          <w:color w:val="000000"/>
          <w:sz w:val="24"/>
          <w:highlight w:val="none"/>
          <w:u w:val="single"/>
        </w:rPr>
      </w:pPr>
      <w:r>
        <w:rPr>
          <w:rFonts w:hint="eastAsia" w:ascii="宋体" w:hAnsi="宋体" w:eastAsia="宋体" w:cs="宋体"/>
          <w:color w:val="000000"/>
          <w:sz w:val="24"/>
          <w:highlight w:val="none"/>
        </w:rPr>
        <w:t>项目名称：</w:t>
      </w:r>
    </w:p>
    <w:p w14:paraId="67171F7D">
      <w:pPr>
        <w:spacing w:before="6"/>
        <w:ind w:right="88"/>
        <w:jc w:val="left"/>
        <w:rPr>
          <w:rFonts w:ascii="宋体" w:hAnsi="宋体" w:eastAsia="宋体" w:cs="宋体"/>
          <w:color w:val="000000"/>
          <w:sz w:val="24"/>
          <w:highlight w:val="none"/>
          <w:u w:val="single"/>
        </w:rPr>
      </w:pPr>
      <w:r>
        <w:rPr>
          <w:rFonts w:hint="eastAsia" w:ascii="宋体" w:hAnsi="宋体" w:eastAsia="宋体" w:cs="宋体"/>
          <w:color w:val="000000"/>
          <w:sz w:val="24"/>
          <w:highlight w:val="none"/>
        </w:rPr>
        <w:t>投标人名称（公章）：</w:t>
      </w:r>
    </w:p>
    <w:p w14:paraId="72C004AC">
      <w:pPr>
        <w:spacing w:before="6"/>
        <w:ind w:right="88"/>
        <w:jc w:val="left"/>
        <w:rPr>
          <w:rFonts w:ascii="宋体" w:hAnsi="宋体" w:eastAsia="宋体" w:cs="宋体"/>
          <w:color w:val="000000"/>
          <w:sz w:val="24"/>
          <w:highlight w:val="none"/>
          <w:u w:val="single"/>
        </w:rPr>
      </w:pPr>
      <w:r>
        <w:rPr>
          <w:rFonts w:hint="eastAsia" w:ascii="Calibri" w:hAnsi="Calibri" w:eastAsia="宋体" w:cs="宋体"/>
          <w:sz w:val="24"/>
          <w:highlight w:val="none"/>
        </w:rPr>
        <w:t>投标人代表签字：</w:t>
      </w:r>
    </w:p>
    <w:p w14:paraId="52A5D907">
      <w:pPr>
        <w:spacing w:before="62"/>
        <w:ind w:right="88"/>
        <w:jc w:val="right"/>
        <w:rPr>
          <w:rFonts w:ascii="宋体" w:hAnsi="宋体" w:eastAsia="宋体" w:cs="宋体"/>
          <w:color w:val="000000"/>
          <w:sz w:val="24"/>
          <w:highlight w:val="none"/>
        </w:rPr>
      </w:pPr>
      <w:r>
        <w:rPr>
          <w:rFonts w:hint="eastAsia" w:ascii="宋体" w:hAnsi="宋体" w:eastAsia="宋体" w:cs="宋体"/>
          <w:color w:val="000000"/>
          <w:sz w:val="24"/>
          <w:highlight w:val="none"/>
        </w:rPr>
        <w:t>价格单位：元</w:t>
      </w:r>
    </w:p>
    <w:tbl>
      <w:tblPr>
        <w:tblStyle w:val="25"/>
        <w:tblW w:w="11645" w:type="dxa"/>
        <w:jc w:val="center"/>
        <w:tblLayout w:type="fixed"/>
        <w:tblCellMar>
          <w:top w:w="0" w:type="dxa"/>
          <w:left w:w="108" w:type="dxa"/>
          <w:bottom w:w="0" w:type="dxa"/>
          <w:right w:w="108" w:type="dxa"/>
        </w:tblCellMar>
      </w:tblPr>
      <w:tblGrid>
        <w:gridCol w:w="2552"/>
        <w:gridCol w:w="3031"/>
        <w:gridCol w:w="3031"/>
        <w:gridCol w:w="3031"/>
      </w:tblGrid>
      <w:tr w14:paraId="0742770C">
        <w:tblPrEx>
          <w:tblCellMar>
            <w:top w:w="0" w:type="dxa"/>
            <w:left w:w="108" w:type="dxa"/>
            <w:bottom w:w="0" w:type="dxa"/>
            <w:right w:w="108" w:type="dxa"/>
          </w:tblCellMar>
        </w:tblPrEx>
        <w:trPr>
          <w:trHeight w:val="748" w:hRule="atLeast"/>
          <w:jc w:val="center"/>
        </w:trPr>
        <w:tc>
          <w:tcPr>
            <w:tcW w:w="2552" w:type="dxa"/>
            <w:tcBorders>
              <w:top w:val="single" w:color="000000" w:sz="12" w:space="0"/>
              <w:left w:val="single" w:color="auto" w:sz="4" w:space="0"/>
              <w:bottom w:val="single" w:color="000000" w:sz="8" w:space="0"/>
              <w:right w:val="single" w:color="000000" w:sz="8" w:space="0"/>
            </w:tcBorders>
            <w:shd w:val="clear" w:color="auto" w:fill="auto"/>
            <w:vAlign w:val="center"/>
          </w:tcPr>
          <w:p w14:paraId="6C220B7C">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3031" w:type="dxa"/>
            <w:tcBorders>
              <w:top w:val="single" w:color="000000" w:sz="12" w:space="0"/>
              <w:left w:val="nil"/>
              <w:bottom w:val="single" w:color="000000" w:sz="8" w:space="0"/>
              <w:right w:val="single" w:color="000000" w:sz="12" w:space="0"/>
            </w:tcBorders>
            <w:shd w:val="clear" w:color="auto" w:fill="auto"/>
            <w:vAlign w:val="center"/>
          </w:tcPr>
          <w:p w14:paraId="4BD0F183">
            <w:pPr>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投标总价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不含税</w:t>
            </w:r>
            <w:r>
              <w:rPr>
                <w:rFonts w:hint="eastAsia" w:ascii="宋体" w:hAnsi="宋体" w:eastAsia="宋体" w:cs="宋体"/>
                <w:color w:val="000000"/>
                <w:sz w:val="24"/>
                <w:highlight w:val="none"/>
                <w:lang w:eastAsia="zh-CN"/>
              </w:rPr>
              <w:t>）</w:t>
            </w:r>
          </w:p>
        </w:tc>
        <w:tc>
          <w:tcPr>
            <w:tcW w:w="3031" w:type="dxa"/>
            <w:tcBorders>
              <w:top w:val="single" w:color="000000" w:sz="12" w:space="0"/>
              <w:left w:val="nil"/>
              <w:bottom w:val="single" w:color="000000" w:sz="8" w:space="0"/>
              <w:right w:val="single" w:color="000000" w:sz="12" w:space="0"/>
            </w:tcBorders>
            <w:shd w:val="clear" w:color="auto" w:fill="auto"/>
            <w:vAlign w:val="center"/>
          </w:tcPr>
          <w:p w14:paraId="5D95540F">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税率</w:t>
            </w:r>
          </w:p>
        </w:tc>
        <w:tc>
          <w:tcPr>
            <w:tcW w:w="3031" w:type="dxa"/>
            <w:tcBorders>
              <w:top w:val="single" w:color="000000" w:sz="12" w:space="0"/>
              <w:left w:val="nil"/>
              <w:bottom w:val="single" w:color="000000" w:sz="8" w:space="0"/>
              <w:right w:val="single" w:color="000000" w:sz="12" w:space="0"/>
            </w:tcBorders>
            <w:shd w:val="clear" w:color="auto" w:fill="auto"/>
            <w:vAlign w:val="center"/>
          </w:tcPr>
          <w:p w14:paraId="01A89BBA">
            <w:pPr>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投标总价</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含税</w:t>
            </w:r>
            <w:r>
              <w:rPr>
                <w:rFonts w:hint="eastAsia" w:ascii="宋体" w:hAnsi="宋体" w:eastAsia="宋体" w:cs="宋体"/>
                <w:color w:val="000000"/>
                <w:sz w:val="24"/>
                <w:highlight w:val="none"/>
                <w:lang w:eastAsia="zh-CN"/>
              </w:rPr>
              <w:t>）</w:t>
            </w:r>
          </w:p>
        </w:tc>
      </w:tr>
      <w:tr w14:paraId="4334283C">
        <w:tblPrEx>
          <w:tblCellMar>
            <w:top w:w="0" w:type="dxa"/>
            <w:left w:w="108" w:type="dxa"/>
            <w:bottom w:w="0" w:type="dxa"/>
            <w:right w:w="108" w:type="dxa"/>
          </w:tblCellMar>
        </w:tblPrEx>
        <w:trPr>
          <w:trHeight w:val="748" w:hRule="atLeast"/>
          <w:jc w:val="center"/>
        </w:trPr>
        <w:tc>
          <w:tcPr>
            <w:tcW w:w="2552" w:type="dxa"/>
            <w:tcBorders>
              <w:top w:val="nil"/>
              <w:left w:val="single" w:color="auto" w:sz="4" w:space="0"/>
              <w:bottom w:val="single" w:color="000000" w:sz="8" w:space="0"/>
              <w:right w:val="single" w:color="000000" w:sz="8" w:space="0"/>
            </w:tcBorders>
            <w:shd w:val="clear" w:color="auto" w:fill="auto"/>
            <w:vAlign w:val="center"/>
          </w:tcPr>
          <w:p w14:paraId="70DAAB05">
            <w:pPr>
              <w:jc w:val="center"/>
              <w:rPr>
                <w:rFonts w:hint="eastAsia" w:cs="宋体"/>
                <w:b/>
                <w:highlight w:val="none"/>
              </w:rPr>
            </w:pPr>
            <w:r>
              <w:rPr>
                <w:rFonts w:hint="eastAsia" w:cs="宋体"/>
                <w:b/>
                <w:highlight w:val="none"/>
              </w:rPr>
              <w:t>重汽汽车金融有限公司</w:t>
            </w:r>
          </w:p>
          <w:p w14:paraId="0074C684">
            <w:pPr>
              <w:jc w:val="center"/>
              <w:rPr>
                <w:rFonts w:ascii="宋体" w:hAnsi="宋体" w:eastAsia="宋体" w:cs="宋体"/>
                <w:b/>
                <w:sz w:val="48"/>
                <w:szCs w:val="48"/>
                <w:highlight w:val="none"/>
                <w:lang w:bidi="ar"/>
              </w:rPr>
            </w:pPr>
            <w:r>
              <w:rPr>
                <w:rFonts w:hint="eastAsia" w:cs="宋体"/>
                <w:b/>
                <w:highlight w:val="none"/>
                <w:lang w:val="en-US" w:eastAsia="zh-CN"/>
              </w:rPr>
              <w:t>内部控制外部审计</w:t>
            </w:r>
            <w:r>
              <w:rPr>
                <w:rFonts w:hint="eastAsia" w:cs="宋体"/>
                <w:b/>
                <w:highlight w:val="none"/>
              </w:rPr>
              <w:t>项目</w:t>
            </w:r>
          </w:p>
        </w:tc>
        <w:tc>
          <w:tcPr>
            <w:tcW w:w="3031" w:type="dxa"/>
            <w:tcBorders>
              <w:top w:val="nil"/>
              <w:left w:val="nil"/>
              <w:bottom w:val="single" w:color="000000" w:sz="8" w:space="0"/>
              <w:right w:val="single" w:color="000000" w:sz="12" w:space="0"/>
            </w:tcBorders>
            <w:shd w:val="clear" w:color="auto" w:fill="auto"/>
            <w:vAlign w:val="center"/>
          </w:tcPr>
          <w:p w14:paraId="0852CEBB">
            <w:pPr>
              <w:jc w:val="center"/>
              <w:rPr>
                <w:rFonts w:ascii="宋体" w:hAnsi="宋体" w:eastAsia="宋体" w:cs="宋体"/>
                <w:sz w:val="24"/>
                <w:highlight w:val="none"/>
              </w:rPr>
            </w:pPr>
          </w:p>
        </w:tc>
        <w:tc>
          <w:tcPr>
            <w:tcW w:w="3031" w:type="dxa"/>
            <w:tcBorders>
              <w:top w:val="nil"/>
              <w:left w:val="nil"/>
              <w:bottom w:val="single" w:color="000000" w:sz="8" w:space="0"/>
              <w:right w:val="single" w:color="000000" w:sz="12" w:space="0"/>
            </w:tcBorders>
            <w:shd w:val="clear" w:color="auto" w:fill="auto"/>
            <w:vAlign w:val="center"/>
          </w:tcPr>
          <w:p w14:paraId="0F44937D">
            <w:pPr>
              <w:jc w:val="center"/>
              <w:rPr>
                <w:rFonts w:ascii="宋体" w:hAnsi="宋体" w:eastAsia="宋体" w:cs="宋体"/>
                <w:sz w:val="24"/>
                <w:highlight w:val="none"/>
              </w:rPr>
            </w:pPr>
          </w:p>
        </w:tc>
        <w:tc>
          <w:tcPr>
            <w:tcW w:w="3031" w:type="dxa"/>
            <w:tcBorders>
              <w:top w:val="nil"/>
              <w:left w:val="nil"/>
              <w:bottom w:val="single" w:color="000000" w:sz="8" w:space="0"/>
              <w:right w:val="single" w:color="000000" w:sz="12" w:space="0"/>
            </w:tcBorders>
            <w:shd w:val="clear" w:color="auto" w:fill="auto"/>
            <w:vAlign w:val="center"/>
          </w:tcPr>
          <w:p w14:paraId="2B4FF51C">
            <w:pPr>
              <w:jc w:val="center"/>
              <w:rPr>
                <w:rFonts w:ascii="宋体" w:hAnsi="宋体" w:eastAsia="宋体" w:cs="宋体"/>
                <w:sz w:val="24"/>
                <w:highlight w:val="none"/>
              </w:rPr>
            </w:pPr>
          </w:p>
        </w:tc>
      </w:tr>
    </w:tbl>
    <w:p w14:paraId="64B52053">
      <w:pPr>
        <w:pStyle w:val="13"/>
        <w:spacing w:before="48"/>
        <w:ind w:left="400" w:hanging="400"/>
        <w:rPr>
          <w:sz w:val="24"/>
          <w:szCs w:val="24"/>
          <w:highlight w:val="none"/>
        </w:rPr>
      </w:pPr>
    </w:p>
    <w:p w14:paraId="66A618EA">
      <w:pPr>
        <w:pStyle w:val="13"/>
        <w:spacing w:before="48"/>
        <w:ind w:left="400" w:hanging="400"/>
        <w:rPr>
          <w:rFonts w:ascii="宋体" w:hAnsi="宋体" w:cs="宋体"/>
          <w:spacing w:val="-1"/>
          <w:sz w:val="24"/>
          <w:szCs w:val="24"/>
          <w:highlight w:val="none"/>
        </w:rPr>
      </w:pPr>
      <w:r>
        <w:rPr>
          <w:rFonts w:hint="eastAsia" w:ascii="宋体" w:hAnsi="宋体" w:cs="宋体"/>
          <w:sz w:val="24"/>
          <w:szCs w:val="24"/>
          <w:highlight w:val="none"/>
        </w:rPr>
        <w:t>说明：</w:t>
      </w:r>
    </w:p>
    <w:p w14:paraId="6B55379C">
      <w:pPr>
        <w:pStyle w:val="13"/>
        <w:numPr>
          <w:ilvl w:val="0"/>
          <w:numId w:val="11"/>
        </w:numPr>
        <w:spacing w:before="48"/>
        <w:ind w:left="400" w:hanging="400"/>
        <w:rPr>
          <w:rFonts w:ascii="宋体" w:hAnsi="宋体" w:cs="宋体"/>
          <w:sz w:val="24"/>
          <w:szCs w:val="24"/>
          <w:highlight w:val="none"/>
        </w:rPr>
      </w:pPr>
      <w:r>
        <w:rPr>
          <w:rFonts w:hint="eastAsia" w:ascii="宋体" w:hAnsi="宋体" w:cs="宋体"/>
          <w:sz w:val="24"/>
          <w:szCs w:val="24"/>
          <w:highlight w:val="none"/>
        </w:rPr>
        <w:t>开标一览表中“投标总价”是指提供服务的全部费用的报价。</w:t>
      </w:r>
    </w:p>
    <w:p w14:paraId="6746AD77">
      <w:pPr>
        <w:pStyle w:val="13"/>
        <w:spacing w:before="48"/>
        <w:ind w:left="400" w:hanging="400"/>
        <w:rPr>
          <w:rFonts w:ascii="宋体" w:hAns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、投标人严格按照规定的格式填写。</w:t>
      </w:r>
    </w:p>
    <w:p w14:paraId="1192FF93">
      <w:pPr>
        <w:rPr>
          <w:rFonts w:ascii="宋体" w:hAnsi="宋体" w:eastAsia="宋体" w:cs="宋体"/>
          <w:color w:val="000000"/>
          <w:sz w:val="24"/>
          <w:highlight w:val="none"/>
        </w:rPr>
      </w:pPr>
    </w:p>
    <w:p w14:paraId="4C27AA80">
      <w:pPr>
        <w:spacing w:before="2"/>
        <w:rPr>
          <w:rFonts w:ascii="宋体" w:hAnsi="宋体" w:eastAsia="宋体" w:cs="宋体"/>
          <w:color w:val="000000"/>
          <w:highlight w:val="none"/>
        </w:rPr>
      </w:pPr>
    </w:p>
    <w:p w14:paraId="2FCB740C">
      <w:pPr>
        <w:pStyle w:val="13"/>
        <w:spacing w:before="48"/>
        <w:ind w:left="400" w:hanging="400"/>
        <w:jc w:val="right"/>
        <w:rPr>
          <w:rFonts w:ascii="宋体" w:hAnsi="宋体" w:cs="宋体"/>
          <w:color w:val="000000"/>
          <w:sz w:val="24"/>
          <w:szCs w:val="24"/>
          <w:highlight w:val="none"/>
        </w:rPr>
      </w:pPr>
      <w:r>
        <w:rPr>
          <w:rFonts w:hint="eastAsia" w:ascii="宋体" w:hAnsi="宋体" w:cs="宋体"/>
          <w:color w:val="000000"/>
          <w:sz w:val="24"/>
          <w:szCs w:val="24"/>
          <w:highlight w:val="none"/>
        </w:rPr>
        <w:t>日期：  年 月  日</w:t>
      </w:r>
    </w:p>
    <w:p w14:paraId="2A5D55B3">
      <w:pPr>
        <w:rPr>
          <w:rFonts w:ascii="Calibri" w:hAnsi="Calibri" w:eastAsia="黑体" w:cs="黑体"/>
          <w:b/>
          <w:sz w:val="28"/>
          <w:szCs w:val="22"/>
          <w:highlight w:val="none"/>
        </w:rPr>
      </w:pPr>
    </w:p>
    <w:p w14:paraId="641DEA4C">
      <w:pPr>
        <w:rPr>
          <w:rFonts w:ascii="Calibri" w:hAnsi="Calibri" w:eastAsia="黑体" w:cs="黑体"/>
          <w:b/>
          <w:sz w:val="28"/>
          <w:szCs w:val="22"/>
          <w:highlight w:val="none"/>
        </w:rPr>
      </w:pPr>
    </w:p>
    <w:p w14:paraId="47606E46">
      <w:pPr>
        <w:rPr>
          <w:rFonts w:ascii="Calibri" w:hAnsi="Calibri" w:eastAsia="黑体" w:cs="黑体"/>
          <w:b/>
          <w:sz w:val="28"/>
          <w:szCs w:val="22"/>
          <w:highlight w:val="none"/>
        </w:rPr>
      </w:pPr>
    </w:p>
    <w:p w14:paraId="1BBDC31A">
      <w:pPr>
        <w:rPr>
          <w:rFonts w:ascii="Calibri" w:hAnsi="Calibri" w:eastAsia="黑体" w:cs="黑体"/>
          <w:b/>
          <w:sz w:val="28"/>
          <w:szCs w:val="22"/>
          <w:highlight w:val="none"/>
        </w:rPr>
      </w:pPr>
    </w:p>
    <w:p w14:paraId="11C20C69">
      <w:pPr>
        <w:rPr>
          <w:rFonts w:ascii="Calibri" w:hAnsi="Calibri" w:eastAsia="黑体" w:cs="黑体"/>
          <w:b/>
          <w:sz w:val="28"/>
          <w:szCs w:val="22"/>
          <w:highlight w:val="none"/>
        </w:rPr>
      </w:pPr>
    </w:p>
    <w:p w14:paraId="372444E0">
      <w:pPr>
        <w:rPr>
          <w:rFonts w:ascii="Calibri" w:hAnsi="Calibri" w:eastAsia="黑体" w:cs="黑体"/>
          <w:b/>
          <w:sz w:val="28"/>
          <w:szCs w:val="22"/>
          <w:highlight w:val="none"/>
        </w:rPr>
      </w:pPr>
    </w:p>
    <w:p w14:paraId="7DAA146C">
      <w:pPr>
        <w:rPr>
          <w:rFonts w:ascii="Calibri" w:hAnsi="Calibri" w:eastAsia="黑体" w:cs="黑体"/>
          <w:b/>
          <w:sz w:val="28"/>
          <w:szCs w:val="22"/>
          <w:highlight w:val="none"/>
        </w:rPr>
      </w:pPr>
    </w:p>
    <w:p w14:paraId="1A8B6731">
      <w:pPr>
        <w:rPr>
          <w:rFonts w:ascii="Calibri" w:hAnsi="Calibri" w:eastAsia="黑体" w:cs="黑体"/>
          <w:b/>
          <w:sz w:val="28"/>
          <w:szCs w:val="22"/>
          <w:highlight w:val="none"/>
        </w:rPr>
      </w:pPr>
    </w:p>
    <w:p w14:paraId="6CE670A9">
      <w:pPr>
        <w:rPr>
          <w:rFonts w:ascii="Calibri" w:hAnsi="Calibri" w:eastAsia="黑体" w:cs="黑体"/>
          <w:b/>
          <w:sz w:val="28"/>
          <w:szCs w:val="22"/>
          <w:highlight w:val="none"/>
        </w:rPr>
      </w:pPr>
    </w:p>
    <w:p w14:paraId="1691B5BA">
      <w:pPr>
        <w:rPr>
          <w:rFonts w:ascii="Calibri" w:hAnsi="Calibri" w:eastAsia="黑体" w:cs="黑体"/>
          <w:b/>
          <w:sz w:val="28"/>
          <w:szCs w:val="22"/>
          <w:highlight w:val="none"/>
        </w:rPr>
      </w:pPr>
    </w:p>
    <w:p w14:paraId="1438FB8B">
      <w:pPr>
        <w:rPr>
          <w:rFonts w:eastAsia="黑体"/>
          <w:b/>
          <w:sz w:val="28"/>
          <w:szCs w:val="22"/>
          <w:highlight w:val="none"/>
        </w:rPr>
      </w:pPr>
      <w:r>
        <w:rPr>
          <w:rFonts w:hint="eastAsia" w:ascii="Calibri" w:hAnsi="Calibri" w:eastAsia="黑体" w:cs="黑体"/>
          <w:b/>
          <w:sz w:val="28"/>
          <w:szCs w:val="22"/>
          <w:highlight w:val="none"/>
        </w:rPr>
        <w:t>附件</w:t>
      </w:r>
      <w:r>
        <w:rPr>
          <w:rFonts w:ascii="Calibri" w:hAnsi="Calibri" w:eastAsia="黑体" w:cs="Times New Roman"/>
          <w:b/>
          <w:sz w:val="28"/>
          <w:szCs w:val="22"/>
          <w:highlight w:val="none"/>
        </w:rPr>
        <w:t>5</w:t>
      </w:r>
    </w:p>
    <w:p w14:paraId="615793E8">
      <w:pPr>
        <w:jc w:val="center"/>
        <w:rPr>
          <w:rFonts w:eastAsia="黑体"/>
          <w:b/>
          <w:sz w:val="28"/>
          <w:szCs w:val="22"/>
          <w:highlight w:val="none"/>
        </w:rPr>
      </w:pPr>
      <w:r>
        <w:rPr>
          <w:rFonts w:hint="eastAsia" w:ascii="Calibri" w:hAnsi="Calibri" w:eastAsia="黑体" w:cs="黑体"/>
          <w:b/>
          <w:sz w:val="28"/>
          <w:szCs w:val="22"/>
          <w:highlight w:val="none"/>
        </w:rPr>
        <w:t>商务条款偏离表</w:t>
      </w:r>
    </w:p>
    <w:p w14:paraId="19D73695">
      <w:pPr>
        <w:rPr>
          <w:rFonts w:eastAsia="黑体"/>
          <w:b/>
          <w:sz w:val="22"/>
          <w:szCs w:val="22"/>
          <w:highlight w:val="none"/>
        </w:rPr>
      </w:pPr>
    </w:p>
    <w:tbl>
      <w:tblPr>
        <w:tblStyle w:val="2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9"/>
        <w:gridCol w:w="3060"/>
        <w:gridCol w:w="1079"/>
        <w:gridCol w:w="2474"/>
      </w:tblGrid>
      <w:tr w14:paraId="4633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033E165">
            <w:pPr>
              <w:jc w:val="center"/>
              <w:rPr>
                <w:rFonts w:ascii="宋体" w:hAnsi="宋体" w:eastAsia="宋体" w:cs="宋体"/>
                <w:sz w:val="24"/>
                <w:szCs w:val="22"/>
                <w:highlight w:val="none"/>
              </w:rPr>
            </w:pPr>
            <w:r>
              <w:rPr>
                <w:rFonts w:hint="eastAsia" w:ascii="宋体" w:hAnsi="宋体" w:eastAsia="宋体" w:cs="宋体"/>
                <w:sz w:val="24"/>
                <w:szCs w:val="22"/>
                <w:highlight w:val="none"/>
              </w:rPr>
              <w:t>序号</w:t>
            </w:r>
          </w:p>
        </w:tc>
        <w:tc>
          <w:tcPr>
            <w:tcW w:w="4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AA7C00">
            <w:pPr>
              <w:jc w:val="center"/>
              <w:rPr>
                <w:rFonts w:ascii="宋体" w:hAnsi="宋体" w:eastAsia="宋体" w:cs="宋体"/>
                <w:sz w:val="24"/>
                <w:szCs w:val="22"/>
                <w:highlight w:val="none"/>
              </w:rPr>
            </w:pPr>
            <w:r>
              <w:rPr>
                <w:rFonts w:hint="eastAsia" w:ascii="宋体" w:hAnsi="宋体" w:eastAsia="宋体" w:cs="宋体"/>
                <w:sz w:val="24"/>
                <w:szCs w:val="22"/>
                <w:highlight w:val="none"/>
              </w:rPr>
              <w:t>招标文件条款</w:t>
            </w:r>
          </w:p>
        </w:tc>
        <w:tc>
          <w:tcPr>
            <w:tcW w:w="3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C36F6">
            <w:pPr>
              <w:jc w:val="center"/>
              <w:rPr>
                <w:rFonts w:ascii="宋体" w:hAnsi="宋体" w:eastAsia="宋体" w:cs="宋体"/>
                <w:sz w:val="24"/>
                <w:szCs w:val="22"/>
                <w:highlight w:val="none"/>
              </w:rPr>
            </w:pPr>
            <w:r>
              <w:rPr>
                <w:rFonts w:hint="eastAsia" w:ascii="宋体" w:hAnsi="宋体" w:eastAsia="宋体" w:cs="宋体"/>
                <w:sz w:val="24"/>
                <w:szCs w:val="22"/>
                <w:highlight w:val="none"/>
              </w:rPr>
              <w:t>投标书条款</w:t>
            </w:r>
          </w:p>
        </w:tc>
      </w:tr>
      <w:tr w14:paraId="3E1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5DC89142">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1E5043E">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条款号</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766E807D">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条款内容</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F2D682D">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条款号</w:t>
            </w: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4E6696D7">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条款内容</w:t>
            </w:r>
          </w:p>
        </w:tc>
      </w:tr>
      <w:tr w14:paraId="69AC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CEEC5D8">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6D7BCCF">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96A9505">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5F36965">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32AC347F">
            <w:pPr>
              <w:rPr>
                <w:rFonts w:ascii="宋体" w:hAnsi="宋体" w:eastAsia="宋体" w:cs="宋体"/>
                <w:sz w:val="24"/>
                <w:szCs w:val="22"/>
                <w:highlight w:val="none"/>
              </w:rPr>
            </w:pPr>
          </w:p>
        </w:tc>
      </w:tr>
      <w:tr w14:paraId="2A3B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D36653E">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33EEEB4">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40A66049">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1B4C24E">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266A0506">
            <w:pPr>
              <w:rPr>
                <w:rFonts w:ascii="宋体" w:hAnsi="宋体" w:eastAsia="宋体" w:cs="宋体"/>
                <w:sz w:val="24"/>
                <w:szCs w:val="22"/>
                <w:highlight w:val="none"/>
              </w:rPr>
            </w:pPr>
          </w:p>
        </w:tc>
      </w:tr>
      <w:tr w14:paraId="7283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1ED60385">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9CE3D81">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2BC27A3F">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C50D1C7">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77571585">
            <w:pPr>
              <w:rPr>
                <w:rFonts w:ascii="宋体" w:hAnsi="宋体" w:eastAsia="宋体" w:cs="宋体"/>
                <w:sz w:val="24"/>
                <w:szCs w:val="22"/>
                <w:highlight w:val="none"/>
              </w:rPr>
            </w:pPr>
          </w:p>
        </w:tc>
      </w:tr>
      <w:tr w14:paraId="5F1B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2D03306">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122B642">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D669A3A">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3EA4C53">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2A374F22">
            <w:pPr>
              <w:rPr>
                <w:rFonts w:ascii="宋体" w:hAnsi="宋体" w:eastAsia="宋体" w:cs="宋体"/>
                <w:sz w:val="24"/>
                <w:szCs w:val="22"/>
                <w:highlight w:val="none"/>
              </w:rPr>
            </w:pPr>
          </w:p>
        </w:tc>
      </w:tr>
      <w:tr w14:paraId="2863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A5A83FE">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40B42F0">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3E8C4151">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5BAADD4">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042D0DA3">
            <w:pPr>
              <w:rPr>
                <w:rFonts w:ascii="宋体" w:hAnsi="宋体" w:eastAsia="宋体" w:cs="宋体"/>
                <w:sz w:val="24"/>
                <w:szCs w:val="22"/>
                <w:highlight w:val="none"/>
              </w:rPr>
            </w:pPr>
          </w:p>
        </w:tc>
      </w:tr>
      <w:tr w14:paraId="7CA0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23D956F">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4DDE68A">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32072219">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CE21D3B">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05AF26DA">
            <w:pPr>
              <w:rPr>
                <w:rFonts w:ascii="宋体" w:hAnsi="宋体" w:eastAsia="宋体" w:cs="宋体"/>
                <w:sz w:val="24"/>
                <w:szCs w:val="22"/>
                <w:highlight w:val="none"/>
              </w:rPr>
            </w:pPr>
          </w:p>
        </w:tc>
      </w:tr>
      <w:tr w14:paraId="676F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29846D2">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58A49C10">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8C9C91D">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22B54E03">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6FA2F4B7">
            <w:pPr>
              <w:rPr>
                <w:rFonts w:ascii="宋体" w:hAnsi="宋体" w:eastAsia="宋体" w:cs="宋体"/>
                <w:sz w:val="24"/>
                <w:szCs w:val="22"/>
                <w:highlight w:val="none"/>
              </w:rPr>
            </w:pPr>
          </w:p>
        </w:tc>
      </w:tr>
      <w:tr w14:paraId="2C81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619002AA">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90D4D99">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512F57FE">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B94345F">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275BFFC6">
            <w:pPr>
              <w:rPr>
                <w:rFonts w:ascii="宋体" w:hAnsi="宋体" w:eastAsia="宋体" w:cs="宋体"/>
                <w:sz w:val="24"/>
                <w:szCs w:val="22"/>
                <w:highlight w:val="none"/>
              </w:rPr>
            </w:pPr>
          </w:p>
        </w:tc>
      </w:tr>
      <w:tr w14:paraId="621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2BE61EED">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288E8C5">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29229C4B">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888EB89">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4E61F380">
            <w:pPr>
              <w:rPr>
                <w:rFonts w:ascii="宋体" w:hAnsi="宋体" w:eastAsia="宋体" w:cs="宋体"/>
                <w:sz w:val="24"/>
                <w:szCs w:val="22"/>
                <w:highlight w:val="none"/>
              </w:rPr>
            </w:pPr>
          </w:p>
        </w:tc>
      </w:tr>
      <w:tr w14:paraId="6D37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29E866E">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4DC64CB">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23744585">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520B08E">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6861A6C9">
            <w:pPr>
              <w:rPr>
                <w:rFonts w:ascii="宋体" w:hAnsi="宋体" w:eastAsia="宋体" w:cs="宋体"/>
                <w:sz w:val="24"/>
                <w:szCs w:val="22"/>
                <w:highlight w:val="none"/>
              </w:rPr>
            </w:pPr>
          </w:p>
        </w:tc>
      </w:tr>
      <w:tr w14:paraId="42C7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0D14AD6">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EB4F13A">
            <w:pPr>
              <w:rPr>
                <w:rFonts w:ascii="宋体" w:hAnsi="宋体" w:eastAsia="宋体" w:cs="宋体"/>
                <w:sz w:val="24"/>
                <w:szCs w:val="22"/>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52E1D14C">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352D662">
            <w:pPr>
              <w:rPr>
                <w:rFonts w:ascii="宋体" w:hAnsi="宋体" w:eastAsia="宋体" w:cs="宋体"/>
                <w:sz w:val="24"/>
                <w:szCs w:val="22"/>
                <w:highlight w:val="none"/>
              </w:rPr>
            </w:pPr>
          </w:p>
        </w:tc>
        <w:tc>
          <w:tcPr>
            <w:tcW w:w="2474" w:type="dxa"/>
            <w:tcBorders>
              <w:top w:val="single" w:color="auto" w:sz="4" w:space="0"/>
              <w:left w:val="single" w:color="auto" w:sz="4" w:space="0"/>
              <w:bottom w:val="single" w:color="auto" w:sz="4" w:space="0"/>
              <w:right w:val="single" w:color="auto" w:sz="4" w:space="0"/>
            </w:tcBorders>
            <w:shd w:val="clear" w:color="auto" w:fill="auto"/>
            <w:vAlign w:val="center"/>
          </w:tcPr>
          <w:p w14:paraId="3F8C54EF">
            <w:pPr>
              <w:rPr>
                <w:rFonts w:ascii="宋体" w:hAnsi="宋体" w:eastAsia="宋体" w:cs="宋体"/>
                <w:sz w:val="24"/>
                <w:szCs w:val="22"/>
                <w:highlight w:val="none"/>
              </w:rPr>
            </w:pPr>
          </w:p>
        </w:tc>
      </w:tr>
    </w:tbl>
    <w:p w14:paraId="5A9B203D">
      <w:pPr>
        <w:rPr>
          <w:rFonts w:ascii="宋体" w:hAnsi="宋体" w:eastAsia="宋体" w:cs="宋体"/>
          <w:sz w:val="24"/>
          <w:szCs w:val="22"/>
          <w:highlight w:val="none"/>
        </w:rPr>
      </w:pPr>
      <w:r>
        <w:rPr>
          <w:rFonts w:hint="eastAsia" w:ascii="宋体" w:hAnsi="宋体" w:eastAsia="宋体" w:cs="宋体"/>
          <w:sz w:val="24"/>
          <w:szCs w:val="22"/>
          <w:highlight w:val="none"/>
        </w:rPr>
        <w:t>投标人名称：                   投标人代表签字：            日期：</w:t>
      </w:r>
    </w:p>
    <w:p w14:paraId="43469D94">
      <w:pPr>
        <w:rPr>
          <w:rFonts w:ascii="宋体" w:hAnsi="宋体" w:eastAsia="宋体" w:cs="宋体"/>
          <w:sz w:val="24"/>
          <w:szCs w:val="22"/>
          <w:highlight w:val="none"/>
        </w:rPr>
      </w:pPr>
      <w:r>
        <w:rPr>
          <w:rFonts w:hint="eastAsia" w:ascii="宋体" w:hAnsi="宋体" w:eastAsia="宋体" w:cs="宋体"/>
          <w:sz w:val="24"/>
          <w:szCs w:val="22"/>
          <w:highlight w:val="none"/>
        </w:rPr>
        <w:t>注：为避免歧义，无偏离也</w:t>
      </w:r>
      <w:r>
        <w:rPr>
          <w:rFonts w:hint="eastAsia" w:ascii="宋体" w:hAnsi="宋体" w:eastAsia="宋体" w:cs="宋体"/>
          <w:sz w:val="24"/>
          <w:szCs w:val="22"/>
          <w:highlight w:val="none"/>
          <w:lang w:eastAsia="zh-CN"/>
        </w:rPr>
        <w:t>应</w:t>
      </w:r>
      <w:r>
        <w:rPr>
          <w:rFonts w:hint="eastAsia" w:ascii="宋体" w:hAnsi="宋体" w:eastAsia="宋体" w:cs="宋体"/>
          <w:sz w:val="24"/>
          <w:szCs w:val="22"/>
          <w:highlight w:val="none"/>
        </w:rPr>
        <w:t>提报该表，并注明“无”字。如无该表则即使在</w:t>
      </w:r>
      <w:r>
        <w:rPr>
          <w:rFonts w:hint="eastAsia" w:ascii="宋体" w:hAnsi="宋体" w:eastAsia="宋体" w:cs="宋体"/>
          <w:sz w:val="24"/>
          <w:szCs w:val="22"/>
          <w:highlight w:val="none"/>
          <w:lang w:eastAsia="zh-CN"/>
        </w:rPr>
        <w:t>其他部分</w:t>
      </w:r>
      <w:r>
        <w:rPr>
          <w:rFonts w:hint="eastAsia" w:ascii="宋体" w:hAnsi="宋体" w:eastAsia="宋体" w:cs="宋体"/>
          <w:sz w:val="24"/>
          <w:szCs w:val="22"/>
          <w:highlight w:val="none"/>
        </w:rPr>
        <w:t>已反映，也被视为“无偏离”。</w:t>
      </w:r>
    </w:p>
    <w:p w14:paraId="16CB7D84">
      <w:pPr>
        <w:rPr>
          <w:rFonts w:ascii="宋体" w:hAnsi="宋体" w:eastAsia="宋体" w:cs="宋体"/>
          <w:sz w:val="24"/>
          <w:szCs w:val="22"/>
          <w:highlight w:val="none"/>
        </w:rPr>
      </w:pPr>
    </w:p>
    <w:p w14:paraId="6319DAB6">
      <w:pPr>
        <w:rPr>
          <w:rFonts w:ascii="Calibri" w:hAnsi="Calibri" w:eastAsia="黑体" w:cs="黑体"/>
          <w:b/>
          <w:sz w:val="28"/>
          <w:szCs w:val="22"/>
          <w:highlight w:val="none"/>
        </w:rPr>
      </w:pPr>
    </w:p>
    <w:p w14:paraId="5685EF02">
      <w:pPr>
        <w:rPr>
          <w:rFonts w:ascii="Calibri" w:hAnsi="Calibri" w:eastAsia="黑体" w:cs="黑体"/>
          <w:b/>
          <w:sz w:val="28"/>
          <w:szCs w:val="22"/>
          <w:highlight w:val="none"/>
        </w:rPr>
      </w:pPr>
    </w:p>
    <w:p w14:paraId="20239ADB">
      <w:pPr>
        <w:rPr>
          <w:rFonts w:eastAsia="黑体"/>
          <w:b/>
          <w:sz w:val="28"/>
          <w:szCs w:val="22"/>
          <w:highlight w:val="none"/>
        </w:rPr>
      </w:pPr>
      <w:r>
        <w:rPr>
          <w:rFonts w:hint="eastAsia" w:ascii="Calibri" w:hAnsi="Calibri" w:eastAsia="黑体" w:cs="黑体"/>
          <w:b/>
          <w:sz w:val="28"/>
          <w:szCs w:val="22"/>
          <w:highlight w:val="none"/>
        </w:rPr>
        <w:t>附件</w:t>
      </w:r>
      <w:r>
        <w:rPr>
          <w:rFonts w:hint="eastAsia" w:ascii="Calibri" w:hAnsi="Calibri" w:eastAsia="黑体" w:cs="Times New Roman"/>
          <w:b/>
          <w:sz w:val="28"/>
          <w:szCs w:val="22"/>
          <w:highlight w:val="none"/>
        </w:rPr>
        <w:t>6</w:t>
      </w:r>
    </w:p>
    <w:p w14:paraId="7D72F838">
      <w:pPr>
        <w:jc w:val="center"/>
        <w:rPr>
          <w:rFonts w:eastAsia="黑体"/>
          <w:b/>
          <w:sz w:val="28"/>
          <w:szCs w:val="22"/>
          <w:highlight w:val="none"/>
        </w:rPr>
      </w:pPr>
      <w:r>
        <w:rPr>
          <w:rFonts w:hint="eastAsia" w:ascii="Calibri" w:hAnsi="Calibri" w:eastAsia="黑体" w:cs="黑体"/>
          <w:b/>
          <w:sz w:val="28"/>
          <w:szCs w:val="22"/>
          <w:highlight w:val="none"/>
        </w:rPr>
        <w:t>技术规格、参数偏离表</w:t>
      </w:r>
    </w:p>
    <w:p w14:paraId="748E4B65">
      <w:pPr>
        <w:rPr>
          <w:rFonts w:ascii="宋体" w:hAnsi="宋体" w:eastAsia="宋体" w:cs="宋体"/>
          <w:sz w:val="24"/>
          <w:szCs w:val="22"/>
          <w:highlight w:val="none"/>
        </w:rPr>
      </w:pPr>
    </w:p>
    <w:tbl>
      <w:tblPr>
        <w:tblStyle w:val="2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79"/>
        <w:gridCol w:w="2893"/>
        <w:gridCol w:w="1109"/>
        <w:gridCol w:w="2612"/>
      </w:tblGrid>
      <w:tr w14:paraId="08A0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4CEE3001">
            <w:pPr>
              <w:jc w:val="center"/>
              <w:rPr>
                <w:rFonts w:ascii="宋体" w:hAnsi="宋体" w:eastAsia="宋体" w:cs="宋体"/>
                <w:sz w:val="24"/>
                <w:szCs w:val="22"/>
                <w:highlight w:val="none"/>
              </w:rPr>
            </w:pPr>
            <w:r>
              <w:rPr>
                <w:rFonts w:hint="eastAsia" w:ascii="宋体" w:hAnsi="宋体" w:eastAsia="宋体" w:cs="宋体"/>
                <w:sz w:val="24"/>
                <w:szCs w:val="22"/>
                <w:highlight w:val="none"/>
              </w:rPr>
              <w:t>序号</w:t>
            </w:r>
          </w:p>
        </w:tc>
        <w:tc>
          <w:tcPr>
            <w:tcW w:w="3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04D687">
            <w:pPr>
              <w:jc w:val="center"/>
              <w:rPr>
                <w:rFonts w:ascii="宋体" w:hAnsi="宋体" w:eastAsia="宋体" w:cs="宋体"/>
                <w:sz w:val="24"/>
                <w:szCs w:val="22"/>
                <w:highlight w:val="none"/>
              </w:rPr>
            </w:pPr>
            <w:r>
              <w:rPr>
                <w:rFonts w:hint="eastAsia" w:ascii="宋体" w:hAnsi="宋体" w:eastAsia="宋体" w:cs="宋体"/>
                <w:sz w:val="24"/>
                <w:szCs w:val="22"/>
                <w:highlight w:val="none"/>
              </w:rPr>
              <w:t>招标文件条款</w:t>
            </w:r>
          </w:p>
        </w:tc>
        <w:tc>
          <w:tcPr>
            <w:tcW w:w="3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6FA66">
            <w:pPr>
              <w:jc w:val="center"/>
              <w:rPr>
                <w:rFonts w:ascii="宋体" w:hAnsi="宋体" w:eastAsia="宋体" w:cs="宋体"/>
                <w:sz w:val="24"/>
                <w:szCs w:val="22"/>
                <w:highlight w:val="none"/>
              </w:rPr>
            </w:pPr>
            <w:r>
              <w:rPr>
                <w:rFonts w:hint="eastAsia" w:ascii="宋体" w:hAnsi="宋体" w:eastAsia="宋体" w:cs="宋体"/>
                <w:sz w:val="24"/>
                <w:szCs w:val="22"/>
                <w:highlight w:val="none"/>
              </w:rPr>
              <w:t>投标书条款</w:t>
            </w:r>
          </w:p>
        </w:tc>
      </w:tr>
      <w:tr w14:paraId="15C5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340C581C">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051EFEF">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条款号</w:t>
            </w: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063CFC2E">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条款内容</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66616D1">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条款号</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7AB32802">
            <w:pPr>
              <w:jc w:val="center"/>
              <w:rPr>
                <w:rFonts w:ascii="宋体" w:hAnsi="宋体" w:eastAsia="宋体" w:cs="宋体"/>
                <w:sz w:val="24"/>
                <w:szCs w:val="22"/>
                <w:highlight w:val="none"/>
              </w:rPr>
            </w:pPr>
            <w:r>
              <w:rPr>
                <w:rFonts w:hint="eastAsia" w:ascii="宋体" w:hAnsi="宋体" w:eastAsia="宋体" w:cs="宋体"/>
                <w:sz w:val="24"/>
                <w:szCs w:val="22"/>
                <w:highlight w:val="none"/>
              </w:rPr>
              <w:t>条款内容</w:t>
            </w:r>
          </w:p>
        </w:tc>
      </w:tr>
      <w:tr w14:paraId="64DD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5CD23B72">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61407E8">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6613AD70">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BBB2F34">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2BEC744C">
            <w:pPr>
              <w:rPr>
                <w:rFonts w:ascii="宋体" w:hAnsi="宋体" w:eastAsia="宋体" w:cs="宋体"/>
                <w:sz w:val="24"/>
                <w:szCs w:val="22"/>
                <w:highlight w:val="none"/>
              </w:rPr>
            </w:pPr>
          </w:p>
        </w:tc>
      </w:tr>
      <w:tr w14:paraId="26F4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30B6237F">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9975317">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084BB4C2">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2ADD86E">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046BEFB6">
            <w:pPr>
              <w:rPr>
                <w:rFonts w:ascii="宋体" w:hAnsi="宋体" w:eastAsia="宋体" w:cs="宋体"/>
                <w:sz w:val="24"/>
                <w:szCs w:val="22"/>
                <w:highlight w:val="none"/>
              </w:rPr>
            </w:pPr>
          </w:p>
        </w:tc>
      </w:tr>
      <w:tr w14:paraId="27B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73D61101">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39EA8524">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6CAB950A">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CC95FC0">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11599A67">
            <w:pPr>
              <w:rPr>
                <w:rFonts w:ascii="宋体" w:hAnsi="宋体" w:eastAsia="宋体" w:cs="宋体"/>
                <w:sz w:val="24"/>
                <w:szCs w:val="22"/>
                <w:highlight w:val="none"/>
              </w:rPr>
            </w:pPr>
          </w:p>
        </w:tc>
      </w:tr>
      <w:tr w14:paraId="09FC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3B8B2AA3">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5AC3052">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6F9D0BA2">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0FB14EB">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28879816">
            <w:pPr>
              <w:rPr>
                <w:rFonts w:ascii="宋体" w:hAnsi="宋体" w:eastAsia="宋体" w:cs="宋体"/>
                <w:sz w:val="24"/>
                <w:szCs w:val="22"/>
                <w:highlight w:val="none"/>
              </w:rPr>
            </w:pPr>
          </w:p>
        </w:tc>
      </w:tr>
      <w:tr w14:paraId="6474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6D28BCD8">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7741368">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016BAD48">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E512CAF">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11CA80F0">
            <w:pPr>
              <w:rPr>
                <w:rFonts w:ascii="宋体" w:hAnsi="宋体" w:eastAsia="宋体" w:cs="宋体"/>
                <w:sz w:val="24"/>
                <w:szCs w:val="22"/>
                <w:highlight w:val="none"/>
              </w:rPr>
            </w:pPr>
          </w:p>
        </w:tc>
      </w:tr>
      <w:tr w14:paraId="07BA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7B738459">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4495B91">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6D7C6FB9">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BF6A706">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16548702">
            <w:pPr>
              <w:rPr>
                <w:rFonts w:ascii="宋体" w:hAnsi="宋体" w:eastAsia="宋体" w:cs="宋体"/>
                <w:sz w:val="24"/>
                <w:szCs w:val="22"/>
                <w:highlight w:val="none"/>
              </w:rPr>
            </w:pPr>
          </w:p>
        </w:tc>
      </w:tr>
      <w:tr w14:paraId="2D2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57ED4A1">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75ED4E3">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23199DBB">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D4A1464">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14679F4C">
            <w:pPr>
              <w:rPr>
                <w:rFonts w:ascii="宋体" w:hAnsi="宋体" w:eastAsia="宋体" w:cs="宋体"/>
                <w:sz w:val="24"/>
                <w:szCs w:val="22"/>
                <w:highlight w:val="none"/>
              </w:rPr>
            </w:pPr>
          </w:p>
        </w:tc>
      </w:tr>
      <w:tr w14:paraId="776A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63A9884E">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4FFC883B">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130B86C8">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4F7CFEA">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3892E480">
            <w:pPr>
              <w:rPr>
                <w:rFonts w:ascii="宋体" w:hAnsi="宋体" w:eastAsia="宋体" w:cs="宋体"/>
                <w:sz w:val="24"/>
                <w:szCs w:val="22"/>
                <w:highlight w:val="none"/>
              </w:rPr>
            </w:pPr>
          </w:p>
        </w:tc>
      </w:tr>
      <w:tr w14:paraId="490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35534774">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7BA8CCC5">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3D400241">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3FD8EA8">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4C7E46F1">
            <w:pPr>
              <w:rPr>
                <w:rFonts w:ascii="宋体" w:hAnsi="宋体" w:eastAsia="宋体" w:cs="宋体"/>
                <w:sz w:val="24"/>
                <w:szCs w:val="22"/>
                <w:highlight w:val="none"/>
              </w:rPr>
            </w:pPr>
          </w:p>
        </w:tc>
      </w:tr>
      <w:tr w14:paraId="356D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3D4FFE71">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1A0B5103">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58460532">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8557B62">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2504F984">
            <w:pPr>
              <w:rPr>
                <w:rFonts w:ascii="宋体" w:hAnsi="宋体" w:eastAsia="宋体" w:cs="宋体"/>
                <w:sz w:val="24"/>
                <w:szCs w:val="22"/>
                <w:highlight w:val="none"/>
              </w:rPr>
            </w:pPr>
          </w:p>
        </w:tc>
      </w:tr>
      <w:tr w14:paraId="7D68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5AE0E9B1">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6DF172A3">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11ED49A1">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54EEA230">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56882AA6">
            <w:pPr>
              <w:rPr>
                <w:rFonts w:ascii="宋体" w:hAnsi="宋体" w:eastAsia="宋体" w:cs="宋体"/>
                <w:sz w:val="24"/>
                <w:szCs w:val="22"/>
                <w:highlight w:val="none"/>
              </w:rPr>
            </w:pPr>
          </w:p>
        </w:tc>
      </w:tr>
      <w:tr w14:paraId="7B72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5F766C9F">
            <w:pPr>
              <w:rPr>
                <w:rFonts w:ascii="宋体" w:hAnsi="宋体" w:eastAsia="宋体" w:cs="宋体"/>
                <w:sz w:val="24"/>
                <w:szCs w:val="22"/>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14:paraId="097FA42D">
            <w:pPr>
              <w:rPr>
                <w:rFonts w:ascii="宋体" w:hAnsi="宋体" w:eastAsia="宋体" w:cs="宋体"/>
                <w:sz w:val="24"/>
                <w:szCs w:val="22"/>
                <w:highlight w:val="none"/>
              </w:rPr>
            </w:pPr>
          </w:p>
        </w:tc>
        <w:tc>
          <w:tcPr>
            <w:tcW w:w="2893" w:type="dxa"/>
            <w:tcBorders>
              <w:top w:val="single" w:color="auto" w:sz="4" w:space="0"/>
              <w:left w:val="single" w:color="auto" w:sz="4" w:space="0"/>
              <w:bottom w:val="single" w:color="auto" w:sz="4" w:space="0"/>
              <w:right w:val="single" w:color="auto" w:sz="4" w:space="0"/>
            </w:tcBorders>
            <w:shd w:val="clear" w:color="auto" w:fill="auto"/>
            <w:vAlign w:val="center"/>
          </w:tcPr>
          <w:p w14:paraId="5CA7DEF5">
            <w:pPr>
              <w:rPr>
                <w:rFonts w:ascii="宋体" w:hAnsi="宋体" w:eastAsia="宋体" w:cs="宋体"/>
                <w:sz w:val="24"/>
                <w:szCs w:val="22"/>
                <w:highlight w:val="none"/>
              </w:rPr>
            </w:pP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55381EB">
            <w:pPr>
              <w:rPr>
                <w:rFonts w:ascii="宋体" w:hAnsi="宋体" w:eastAsia="宋体" w:cs="宋体"/>
                <w:sz w:val="24"/>
                <w:szCs w:val="22"/>
                <w:highlight w:val="none"/>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2A899719">
            <w:pPr>
              <w:rPr>
                <w:rFonts w:ascii="宋体" w:hAnsi="宋体" w:eastAsia="宋体" w:cs="宋体"/>
                <w:sz w:val="24"/>
                <w:szCs w:val="22"/>
                <w:highlight w:val="none"/>
              </w:rPr>
            </w:pPr>
          </w:p>
        </w:tc>
      </w:tr>
    </w:tbl>
    <w:p w14:paraId="146A34D4">
      <w:pPr>
        <w:rPr>
          <w:sz w:val="24"/>
          <w:highlight w:val="none"/>
        </w:rPr>
      </w:pPr>
      <w:r>
        <w:rPr>
          <w:rFonts w:hint="eastAsia" w:ascii="Calibri" w:hAnsi="Calibri" w:eastAsia="宋体" w:cs="宋体"/>
          <w:sz w:val="24"/>
          <w:highlight w:val="none"/>
        </w:rPr>
        <w:t>投标人名称：投标人代表签字：日期：</w:t>
      </w:r>
    </w:p>
    <w:p w14:paraId="6335404A">
      <w:pPr>
        <w:rPr>
          <w:sz w:val="24"/>
          <w:highlight w:val="none"/>
        </w:rPr>
      </w:pPr>
      <w:r>
        <w:rPr>
          <w:rFonts w:hint="eastAsia" w:ascii="Calibri" w:hAnsi="Calibri" w:eastAsia="宋体" w:cs="宋体"/>
          <w:sz w:val="24"/>
          <w:highlight w:val="none"/>
        </w:rPr>
        <w:t>注：为避免歧义，无偏离也应提报该表，并注明“无”字。如无该表则即使在</w:t>
      </w:r>
      <w:r>
        <w:rPr>
          <w:rFonts w:hint="eastAsia" w:ascii="Calibri" w:hAnsi="Calibri" w:eastAsia="宋体" w:cs="宋体"/>
          <w:sz w:val="24"/>
          <w:highlight w:val="none"/>
          <w:lang w:eastAsia="zh-CN"/>
        </w:rPr>
        <w:t>其他部分</w:t>
      </w:r>
      <w:r>
        <w:rPr>
          <w:rFonts w:hint="eastAsia" w:ascii="Calibri" w:hAnsi="Calibri" w:eastAsia="宋体" w:cs="宋体"/>
          <w:sz w:val="24"/>
          <w:highlight w:val="none"/>
        </w:rPr>
        <w:t>已反映</w:t>
      </w:r>
      <w:r>
        <w:rPr>
          <w:rFonts w:hint="eastAsia" w:ascii="Calibri" w:hAnsi="Calibri" w:eastAsia="宋体" w:cs="宋体"/>
          <w:sz w:val="24"/>
          <w:highlight w:val="none"/>
          <w:lang w:eastAsia="zh-CN"/>
        </w:rPr>
        <w:t>，</w:t>
      </w:r>
      <w:r>
        <w:rPr>
          <w:rFonts w:hint="eastAsia" w:ascii="Calibri" w:hAnsi="Calibri" w:eastAsia="宋体" w:cs="宋体"/>
          <w:sz w:val="24"/>
          <w:highlight w:val="none"/>
        </w:rPr>
        <w:t>也被视为“无偏离”。</w:t>
      </w:r>
    </w:p>
    <w:p w14:paraId="67E129F3">
      <w:pPr>
        <w:rPr>
          <w:rFonts w:ascii="宋体" w:hAnsi="宋体" w:eastAsia="宋体" w:cs="宋体"/>
          <w:sz w:val="24"/>
          <w:szCs w:val="22"/>
          <w:highlight w:val="none"/>
        </w:rPr>
      </w:pPr>
    </w:p>
    <w:p w14:paraId="265E8229">
      <w:pPr>
        <w:pStyle w:val="15"/>
        <w:widowControl/>
        <w:spacing w:line="360" w:lineRule="auto"/>
        <w:ind w:left="820" w:hanging="400"/>
        <w:jc w:val="center"/>
        <w:rPr>
          <w:rFonts w:hint="default"/>
          <w:highlight w:val="none"/>
        </w:rPr>
      </w:pPr>
    </w:p>
    <w:p w14:paraId="28BA47B3">
      <w:pPr>
        <w:rPr>
          <w:rFonts w:eastAsia="黑体"/>
          <w:b/>
          <w:sz w:val="28"/>
          <w:szCs w:val="22"/>
          <w:highlight w:val="none"/>
        </w:rPr>
      </w:pPr>
      <w:r>
        <w:rPr>
          <w:rFonts w:hint="eastAsia" w:ascii="Calibri" w:hAnsi="Calibri" w:eastAsia="黑体" w:cs="黑体"/>
          <w:b/>
          <w:sz w:val="28"/>
          <w:szCs w:val="22"/>
          <w:highlight w:val="none"/>
        </w:rPr>
        <w:t>附件</w:t>
      </w:r>
      <w:r>
        <w:rPr>
          <w:rFonts w:hint="eastAsia" w:ascii="Calibri" w:hAnsi="Calibri" w:eastAsia="黑体" w:cs="Times New Roman"/>
          <w:b/>
          <w:sz w:val="28"/>
          <w:szCs w:val="22"/>
          <w:highlight w:val="none"/>
        </w:rPr>
        <w:t>7</w:t>
      </w:r>
    </w:p>
    <w:p w14:paraId="2454D5C3">
      <w:pPr>
        <w:jc w:val="center"/>
        <w:rPr>
          <w:rFonts w:eastAsia="黑体"/>
          <w:b/>
          <w:sz w:val="28"/>
          <w:szCs w:val="22"/>
          <w:highlight w:val="none"/>
        </w:rPr>
      </w:pPr>
      <w:r>
        <w:rPr>
          <w:rFonts w:hint="eastAsia" w:ascii="Calibri" w:hAnsi="Calibri" w:eastAsia="黑体" w:cs="黑体"/>
          <w:b/>
          <w:sz w:val="28"/>
          <w:szCs w:val="22"/>
          <w:highlight w:val="none"/>
        </w:rPr>
        <w:t>项目实施方案</w:t>
      </w:r>
    </w:p>
    <w:p w14:paraId="6731A89F">
      <w:pPr>
        <w:spacing w:line="360" w:lineRule="auto"/>
        <w:ind w:firstLine="480" w:firstLineChars="200"/>
        <w:rPr>
          <w:rFonts w:ascii="宋体" w:hAnsi="宋体" w:eastAsia="宋体" w:cs="宋体"/>
          <w:sz w:val="24"/>
          <w:szCs w:val="22"/>
          <w:highlight w:val="none"/>
        </w:rPr>
      </w:pPr>
    </w:p>
    <w:p w14:paraId="132238D3">
      <w:pPr>
        <w:spacing w:line="360" w:lineRule="auto"/>
        <w:ind w:firstLine="480" w:firstLineChars="200"/>
        <w:rPr>
          <w:rFonts w:ascii="宋体" w:hAnsi="宋体" w:eastAsia="宋体" w:cs="宋体"/>
          <w:color w:val="000000"/>
          <w:kern w:val="0"/>
          <w:sz w:val="24"/>
          <w:szCs w:val="22"/>
          <w:highlight w:val="none"/>
          <w:lang w:val="zh-CN"/>
        </w:rPr>
      </w:pPr>
      <w:r>
        <w:rPr>
          <w:rFonts w:hint="eastAsia" w:ascii="宋体" w:hAnsi="宋体" w:eastAsia="宋体" w:cs="宋体"/>
          <w:color w:val="000000"/>
          <w:kern w:val="0"/>
          <w:sz w:val="24"/>
          <w:szCs w:val="22"/>
          <w:highlight w:val="none"/>
          <w:lang w:val="zh-CN"/>
        </w:rPr>
        <w:t>1.要求呈现完整实施方案，包括本项目的规划蓝图及本项目实施内容、实施计划、实施效果、项目实施保障、项目团队介绍等。</w:t>
      </w:r>
    </w:p>
    <w:p w14:paraId="310107C4">
      <w:pPr>
        <w:spacing w:line="360" w:lineRule="auto"/>
        <w:ind w:firstLine="480" w:firstLineChars="200"/>
        <w:rPr>
          <w:rFonts w:ascii="宋体" w:hAnsi="宋体" w:eastAsia="宋体" w:cs="宋体"/>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lang w:eastAsia="zh-CN"/>
        </w:rPr>
        <w:t>.</w:t>
      </w:r>
      <w:r>
        <w:rPr>
          <w:rFonts w:hint="eastAsia" w:ascii="宋体" w:hAnsi="宋体" w:eastAsia="宋体" w:cs="宋体"/>
          <w:color w:val="000000"/>
          <w:kern w:val="0"/>
          <w:sz w:val="24"/>
          <w:szCs w:val="22"/>
          <w:highlight w:val="none"/>
          <w:lang w:val="zh-CN"/>
        </w:rPr>
        <w:t>实施方案不提供，按无效投标处理。</w:t>
      </w:r>
    </w:p>
    <w:p w14:paraId="0AA67DC5">
      <w:pPr>
        <w:ind w:left="570"/>
        <w:rPr>
          <w:rFonts w:ascii="宋体" w:hAnsi="宋体" w:eastAsia="宋体" w:cs="宋体"/>
          <w:sz w:val="24"/>
          <w:szCs w:val="22"/>
          <w:highlight w:val="none"/>
        </w:rPr>
      </w:pPr>
    </w:p>
    <w:p w14:paraId="073564F3">
      <w:pPr>
        <w:ind w:left="570"/>
        <w:rPr>
          <w:rFonts w:ascii="宋体" w:hAnsi="宋体" w:eastAsia="宋体" w:cs="宋体"/>
          <w:sz w:val="24"/>
          <w:szCs w:val="22"/>
          <w:highlight w:val="none"/>
        </w:rPr>
      </w:pPr>
    </w:p>
    <w:p w14:paraId="49F85EB7">
      <w:pPr>
        <w:ind w:left="570"/>
        <w:rPr>
          <w:rFonts w:ascii="宋体" w:hAnsi="宋体" w:eastAsia="宋体" w:cs="宋体"/>
          <w:sz w:val="24"/>
          <w:szCs w:val="22"/>
          <w:highlight w:val="none"/>
        </w:rPr>
      </w:pPr>
    </w:p>
    <w:p w14:paraId="7C635AFA">
      <w:pPr>
        <w:ind w:left="570"/>
        <w:rPr>
          <w:rFonts w:ascii="宋体" w:hAnsi="宋体" w:eastAsia="宋体" w:cs="宋体"/>
          <w:sz w:val="24"/>
          <w:szCs w:val="22"/>
          <w:highlight w:val="none"/>
        </w:rPr>
      </w:pPr>
    </w:p>
    <w:p w14:paraId="42460490">
      <w:pPr>
        <w:ind w:left="570"/>
        <w:rPr>
          <w:rFonts w:ascii="宋体" w:hAnsi="宋体" w:eastAsia="宋体" w:cs="宋体"/>
          <w:sz w:val="24"/>
          <w:szCs w:val="22"/>
          <w:highlight w:val="none"/>
        </w:rPr>
      </w:pPr>
    </w:p>
    <w:p w14:paraId="29860DFF">
      <w:pPr>
        <w:ind w:left="570"/>
        <w:rPr>
          <w:rFonts w:ascii="宋体" w:hAnsi="宋体" w:eastAsia="宋体" w:cs="宋体"/>
          <w:b/>
          <w:bCs/>
          <w:sz w:val="24"/>
          <w:szCs w:val="22"/>
          <w:highlight w:val="none"/>
        </w:rPr>
      </w:pPr>
      <w:r>
        <w:rPr>
          <w:rFonts w:hint="eastAsia" w:ascii="宋体" w:hAnsi="宋体" w:eastAsia="宋体" w:cs="宋体"/>
          <w:b/>
          <w:bCs/>
          <w:sz w:val="24"/>
          <w:szCs w:val="22"/>
          <w:highlight w:val="none"/>
        </w:rPr>
        <w:t>重要说明：投标人应根据上述内容、要求自行编制。</w:t>
      </w:r>
    </w:p>
    <w:p w14:paraId="63C864ED">
      <w:pPr>
        <w:ind w:left="900"/>
        <w:rPr>
          <w:rFonts w:ascii="宋体" w:hAnsi="宋体" w:eastAsia="宋体" w:cs="宋体"/>
          <w:sz w:val="24"/>
          <w:szCs w:val="22"/>
          <w:highlight w:val="none"/>
        </w:rPr>
      </w:pPr>
    </w:p>
    <w:p w14:paraId="284FC77D">
      <w:pPr>
        <w:spacing w:line="520" w:lineRule="exact"/>
        <w:ind w:right="2"/>
        <w:rPr>
          <w:rFonts w:ascii="宋体" w:hAnsi="Courier New" w:eastAsia="宋体" w:cs="宋体"/>
          <w:sz w:val="24"/>
          <w:szCs w:val="22"/>
          <w:highlight w:val="none"/>
        </w:rPr>
      </w:pPr>
    </w:p>
    <w:p w14:paraId="7B9E1193">
      <w:pPr>
        <w:spacing w:line="520" w:lineRule="exact"/>
        <w:ind w:right="2"/>
        <w:rPr>
          <w:rFonts w:ascii="宋体" w:hAnsi="Courier New" w:eastAsia="宋体" w:cs="宋体"/>
          <w:sz w:val="24"/>
          <w:szCs w:val="22"/>
          <w:highlight w:val="none"/>
        </w:rPr>
      </w:pPr>
    </w:p>
    <w:p w14:paraId="10996A2E">
      <w:pPr>
        <w:spacing w:line="520" w:lineRule="exact"/>
        <w:ind w:right="2"/>
        <w:rPr>
          <w:rFonts w:ascii="宋体" w:hAnsi="Courier New" w:eastAsia="宋体" w:cs="宋体"/>
          <w:sz w:val="24"/>
          <w:szCs w:val="22"/>
          <w:highlight w:val="none"/>
        </w:rPr>
      </w:pPr>
    </w:p>
    <w:p w14:paraId="362436F9">
      <w:pPr>
        <w:spacing w:line="520" w:lineRule="exact"/>
        <w:ind w:right="2"/>
        <w:rPr>
          <w:rFonts w:ascii="宋体" w:hAnsi="Courier New" w:eastAsia="宋体" w:cs="宋体"/>
          <w:sz w:val="24"/>
          <w:szCs w:val="22"/>
          <w:highlight w:val="none"/>
        </w:rPr>
      </w:pPr>
    </w:p>
    <w:p w14:paraId="3E1607E4">
      <w:pPr>
        <w:spacing w:line="520" w:lineRule="exact"/>
        <w:ind w:right="2"/>
        <w:rPr>
          <w:rFonts w:ascii="宋体" w:hAnsi="Courier New" w:eastAsia="宋体" w:cs="宋体"/>
          <w:sz w:val="24"/>
          <w:szCs w:val="22"/>
          <w:highlight w:val="none"/>
        </w:rPr>
      </w:pPr>
    </w:p>
    <w:p w14:paraId="1CB1266A">
      <w:pPr>
        <w:spacing w:line="520" w:lineRule="exact"/>
        <w:ind w:right="2"/>
        <w:rPr>
          <w:rFonts w:ascii="宋体" w:hAnsi="Courier New" w:eastAsia="宋体" w:cs="宋体"/>
          <w:sz w:val="24"/>
          <w:szCs w:val="22"/>
          <w:highlight w:val="none"/>
        </w:rPr>
      </w:pPr>
    </w:p>
    <w:p w14:paraId="6A7C5086">
      <w:pPr>
        <w:spacing w:line="520" w:lineRule="exact"/>
        <w:ind w:right="2"/>
        <w:rPr>
          <w:rFonts w:ascii="宋体" w:hAnsi="Courier New" w:eastAsia="宋体" w:cs="宋体"/>
          <w:sz w:val="24"/>
          <w:szCs w:val="22"/>
          <w:highlight w:val="none"/>
        </w:rPr>
      </w:pPr>
    </w:p>
    <w:p w14:paraId="4DBA3950">
      <w:pPr>
        <w:spacing w:line="520" w:lineRule="exact"/>
        <w:ind w:right="2"/>
        <w:rPr>
          <w:rFonts w:ascii="宋体" w:hAnsi="Courier New" w:eastAsia="宋体" w:cs="宋体"/>
          <w:sz w:val="24"/>
          <w:szCs w:val="22"/>
          <w:highlight w:val="none"/>
        </w:rPr>
      </w:pPr>
    </w:p>
    <w:p w14:paraId="19C9184E">
      <w:pPr>
        <w:spacing w:line="520" w:lineRule="exact"/>
        <w:ind w:right="2"/>
        <w:rPr>
          <w:rFonts w:ascii="宋体" w:hAnsi="Courier New" w:eastAsia="宋体" w:cs="宋体"/>
          <w:sz w:val="24"/>
          <w:szCs w:val="22"/>
          <w:highlight w:val="none"/>
        </w:rPr>
      </w:pPr>
    </w:p>
    <w:p w14:paraId="745749AD">
      <w:pPr>
        <w:spacing w:line="520" w:lineRule="exact"/>
        <w:ind w:right="2"/>
        <w:rPr>
          <w:rFonts w:ascii="宋体" w:hAnsi="Courier New" w:eastAsia="宋体" w:cs="宋体"/>
          <w:sz w:val="24"/>
          <w:szCs w:val="22"/>
          <w:highlight w:val="none"/>
        </w:rPr>
      </w:pPr>
    </w:p>
    <w:p w14:paraId="5310E5AD">
      <w:pPr>
        <w:spacing w:line="520" w:lineRule="exact"/>
        <w:ind w:right="2"/>
        <w:rPr>
          <w:rFonts w:ascii="宋体" w:hAnsi="Courier New" w:eastAsia="宋体" w:cs="宋体"/>
          <w:sz w:val="24"/>
          <w:szCs w:val="22"/>
          <w:highlight w:val="none"/>
        </w:rPr>
      </w:pPr>
    </w:p>
    <w:p w14:paraId="762BE904">
      <w:pPr>
        <w:spacing w:line="520" w:lineRule="exact"/>
        <w:ind w:right="2"/>
        <w:rPr>
          <w:rFonts w:ascii="宋体" w:hAnsi="Courier New" w:eastAsia="宋体" w:cs="宋体"/>
          <w:sz w:val="24"/>
          <w:szCs w:val="22"/>
          <w:highlight w:val="none"/>
        </w:rPr>
      </w:pPr>
    </w:p>
    <w:p w14:paraId="47195D75">
      <w:pPr>
        <w:spacing w:line="520" w:lineRule="exact"/>
        <w:ind w:right="2"/>
        <w:rPr>
          <w:rFonts w:ascii="宋体" w:hAnsi="Courier New" w:eastAsia="宋体" w:cs="宋体"/>
          <w:sz w:val="24"/>
          <w:szCs w:val="22"/>
          <w:highlight w:val="none"/>
        </w:rPr>
      </w:pPr>
    </w:p>
    <w:p w14:paraId="17678146">
      <w:pPr>
        <w:spacing w:line="520" w:lineRule="exact"/>
        <w:ind w:right="2"/>
        <w:rPr>
          <w:rFonts w:ascii="宋体" w:hAnsi="Courier New" w:eastAsia="宋体" w:cs="宋体"/>
          <w:sz w:val="24"/>
          <w:szCs w:val="22"/>
          <w:highlight w:val="none"/>
        </w:rPr>
      </w:pPr>
    </w:p>
    <w:p w14:paraId="64EF0B9A">
      <w:pPr>
        <w:rPr>
          <w:rFonts w:ascii="宋体" w:hAnsi="Courier New" w:eastAsia="宋体" w:cs="宋体"/>
          <w:sz w:val="24"/>
          <w:szCs w:val="22"/>
          <w:highlight w:val="none"/>
        </w:rPr>
      </w:pPr>
    </w:p>
    <w:p w14:paraId="01C7B6C4">
      <w:pPr>
        <w:rPr>
          <w:highlight w:val="none"/>
        </w:rPr>
      </w:pPr>
    </w:p>
    <w:sectPr>
      <w:pgSz w:w="12242" w:h="15842"/>
      <w:pgMar w:top="1418" w:right="1752" w:bottom="1135" w:left="1418" w:header="737" w:footer="431" w:gutter="357"/>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23888"/>
    </w:sdtPr>
    <w:sdtContent>
      <w:sdt>
        <w:sdtPr>
          <w:id w:val="-861204125"/>
        </w:sdtPr>
        <w:sdtContent>
          <w:p w14:paraId="4399F7D0">
            <w:pPr>
              <w:pStyle w:val="17"/>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31</w:t>
            </w:r>
            <w:r>
              <w:rPr>
                <w:b/>
                <w:bCs/>
                <w:sz w:val="24"/>
              </w:rPr>
              <w:fldChar w:fldCharType="end"/>
            </w:r>
          </w:p>
        </w:sdtContent>
      </w:sdt>
    </w:sdtContent>
  </w:sdt>
  <w:p w14:paraId="45191AC6">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49A9E"/>
    <w:multiLevelType w:val="multilevel"/>
    <w:tmpl w:val="8AC49A9E"/>
    <w:lvl w:ilvl="0" w:tentative="0">
      <w:start w:val="1"/>
      <w:numFmt w:val="decimal"/>
      <w:pStyle w:val="36"/>
      <w:isLgl/>
      <w:suff w:val="space"/>
      <w:lvlText w:val="%1"/>
      <w:lvlJc w:val="left"/>
      <w:pPr>
        <w:ind w:left="2127" w:firstLine="0"/>
      </w:pPr>
      <w:rPr>
        <w:rFonts w:hint="eastAsia"/>
      </w:rPr>
    </w:lvl>
    <w:lvl w:ilvl="1" w:tentative="0">
      <w:start w:val="1"/>
      <w:numFmt w:val="decimal"/>
      <w:pStyle w:val="66"/>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图%1"/>
      <w:lvlJc w:val="center"/>
      <w:pPr>
        <w:ind w:left="0" w:firstLine="0"/>
      </w:pPr>
      <w:rPr>
        <w:rFonts w:hint="eastAsia"/>
      </w:rPr>
    </w:lvl>
    <w:lvl w:ilvl="8" w:tentative="0">
      <w:start w:val="1"/>
      <w:numFmt w:val="decimal"/>
      <w:isLgl/>
      <w:suff w:val="space"/>
      <w:lvlText w:val="%9表%1"/>
      <w:lvlJc w:val="center"/>
      <w:pPr>
        <w:ind w:left="0" w:firstLine="0"/>
      </w:pPr>
      <w:rPr>
        <w:rFonts w:hint="eastAsia"/>
      </w:rPr>
    </w:lvl>
  </w:abstractNum>
  <w:abstractNum w:abstractNumId="1">
    <w:nsid w:val="94608D78"/>
    <w:multiLevelType w:val="singleLevel"/>
    <w:tmpl w:val="94608D78"/>
    <w:lvl w:ilvl="0" w:tentative="0">
      <w:start w:val="1"/>
      <w:numFmt w:val="decimal"/>
      <w:suff w:val="nothing"/>
      <w:lvlText w:val="%1、"/>
      <w:lvlJc w:val="left"/>
    </w:lvl>
  </w:abstractNum>
  <w:abstractNum w:abstractNumId="2">
    <w:nsid w:val="9E0A6A31"/>
    <w:multiLevelType w:val="multilevel"/>
    <w:tmpl w:val="9E0A6A31"/>
    <w:lvl w:ilvl="0" w:tentative="0">
      <w:start w:val="1"/>
      <w:numFmt w:val="decimal"/>
      <w:pStyle w:val="38"/>
      <w:lvlText w:val="%1）"/>
      <w:lvlJc w:val="left"/>
      <w:pPr>
        <w:ind w:left="840" w:hanging="420"/>
      </w:pPr>
      <w:rPr>
        <w:rFonts w:hint="eastAsia" w:ascii="Times New Roman" w:hAnsi="Times New Roman" w:eastAsia="宋体" w:cs="Times New Roman"/>
        <w:b/>
      </w:rPr>
    </w:lvl>
    <w:lvl w:ilvl="1" w:tentative="0">
      <w:start w:val="1"/>
      <w:numFmt w:val="decimal"/>
      <w:lvlText w:val="%2)"/>
      <w:lvlJc w:val="left"/>
      <w:pPr>
        <w:tabs>
          <w:tab w:val="left" w:pos="1113"/>
        </w:tabs>
        <w:ind w:left="1113" w:hanging="420"/>
      </w:p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3">
    <w:nsid w:val="A494FB61"/>
    <w:multiLevelType w:val="multilevel"/>
    <w:tmpl w:val="A494FB61"/>
    <w:lvl w:ilvl="0" w:tentative="0">
      <w:start w:val="1"/>
      <w:numFmt w:val="decimal"/>
      <w:isLgl/>
      <w:suff w:val="space"/>
      <w:lvlText w:val="%1"/>
      <w:lvlJc w:val="left"/>
      <w:pPr>
        <w:ind w:left="0" w:firstLine="0"/>
      </w:pPr>
    </w:lvl>
    <w:lvl w:ilvl="1" w:tentative="0">
      <w:start w:val="1"/>
      <w:numFmt w:val="decimal"/>
      <w:isLgl/>
      <w:suff w:val="space"/>
      <w:lvlText w:val="%1.%2"/>
      <w:lvlJc w:val="left"/>
      <w:pPr>
        <w:ind w:left="0" w:firstLine="0"/>
        <w:textAlignment w:val="baseline"/>
      </w:pPr>
      <w:rPr>
        <w:rFonts w:ascii="Times New Roman" w:hAnsi="Times New Roman" w:cs="Times New Roman"/>
        <w:b w:val="0"/>
        <w:bCs w:val="0"/>
        <w:iCs w:val="0"/>
        <w:caps w:val="0"/>
        <w:strike w:val="0"/>
        <w:dstrike w:val="0"/>
        <w:vanish w:val="0"/>
        <w:spacing w:val="0"/>
        <w:position w:val="0"/>
        <w:u w:val="none"/>
      </w:rPr>
    </w:lvl>
    <w:lvl w:ilvl="2" w:tentative="0">
      <w:start w:val="1"/>
      <w:numFmt w:val="decimal"/>
      <w:isLgl/>
      <w:suff w:val="space"/>
      <w:lvlText w:val="%1.%2.%3"/>
      <w:lvlJc w:val="left"/>
      <w:pPr>
        <w:ind w:left="0" w:firstLine="0"/>
      </w:pPr>
    </w:lvl>
    <w:lvl w:ilvl="3" w:tentative="0">
      <w:start w:val="1"/>
      <w:numFmt w:val="decimal"/>
      <w:pStyle w:val="68"/>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4">
    <w:nsid w:val="B69BB3B5"/>
    <w:multiLevelType w:val="multilevel"/>
    <w:tmpl w:val="B69BB3B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8"/>
    <w:multiLevelType w:val="multilevel"/>
    <w:tmpl w:val="00000008"/>
    <w:lvl w:ilvl="0" w:tentative="0">
      <w:start w:val="1"/>
      <w:numFmt w:val="decimal"/>
      <w:pStyle w:val="72"/>
      <w:lvlText w:val="%1)"/>
      <w:lvlJc w:val="left"/>
      <w:pPr>
        <w:ind w:left="846"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6">
    <w:nsid w:val="16E34142"/>
    <w:multiLevelType w:val="multilevel"/>
    <w:tmpl w:val="16E3414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3876ECF"/>
    <w:multiLevelType w:val="multilevel"/>
    <w:tmpl w:val="23876ECF"/>
    <w:lvl w:ilvl="0" w:tentative="0">
      <w:start w:val="1"/>
      <w:numFmt w:val="decimal"/>
      <w:lvlText w:val="（%1）"/>
      <w:lvlJc w:val="left"/>
      <w:pPr>
        <w:tabs>
          <w:tab w:val="left" w:pos="692"/>
        </w:tabs>
        <w:ind w:left="692" w:hanging="720"/>
      </w:p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abstractNum w:abstractNumId="8">
    <w:nsid w:val="56D20133"/>
    <w:multiLevelType w:val="multilevel"/>
    <w:tmpl w:val="56D20133"/>
    <w:lvl w:ilvl="0" w:tentative="0">
      <w:start w:val="1"/>
      <w:numFmt w:val="chineseCountingThousand"/>
      <w:pStyle w:val="8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5A29D1C2"/>
    <w:multiLevelType w:val="multilevel"/>
    <w:tmpl w:val="5A29D1C2"/>
    <w:lvl w:ilvl="0" w:tentative="0">
      <w:start w:val="1"/>
      <w:numFmt w:val="decimal"/>
      <w:isLgl/>
      <w:suff w:val="space"/>
      <w:lvlText w:val="%1"/>
      <w:lvlJc w:val="left"/>
      <w:pPr>
        <w:ind w:left="0" w:firstLine="0"/>
      </w:pPr>
    </w:lvl>
    <w:lvl w:ilvl="1" w:tentative="0">
      <w:start w:val="1"/>
      <w:numFmt w:val="decimal"/>
      <w:isLgl/>
      <w:suff w:val="space"/>
      <w:lvlText w:val="%1.%2"/>
      <w:lvlJc w:val="left"/>
      <w:pPr>
        <w:ind w:left="1134" w:firstLine="0"/>
      </w:pPr>
    </w:lvl>
    <w:lvl w:ilvl="2" w:tentative="0">
      <w:start w:val="1"/>
      <w:numFmt w:val="decimal"/>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10">
    <w:nsid w:val="76DE6E01"/>
    <w:multiLevelType w:val="singleLevel"/>
    <w:tmpl w:val="76DE6E01"/>
    <w:lvl w:ilvl="0" w:tentative="0">
      <w:start w:val="4"/>
      <w:numFmt w:val="decimal"/>
      <w:suff w:val="nothing"/>
      <w:lvlText w:val="%1）"/>
      <w:lvlJc w:val="left"/>
    </w:lvl>
  </w:abstractNum>
  <w:num w:numId="1">
    <w:abstractNumId w:val="0"/>
  </w:num>
  <w:num w:numId="2">
    <w:abstractNumId w:val="2"/>
  </w:num>
  <w:num w:numId="3">
    <w:abstractNumId w:val="3"/>
  </w:num>
  <w:num w:numId="4">
    <w:abstractNumId w:val="5"/>
  </w:num>
  <w:num w:numId="5">
    <w:abstractNumId w:val="8"/>
  </w:num>
  <w:num w:numId="6">
    <w:abstractNumId w:val="6"/>
  </w:num>
  <w:num w:numId="7">
    <w:abstractNumId w:val="7"/>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M2I3MGExMDliZmYyZTg2ZjRiZDU4NjI5OTMzNTAifQ=="/>
  </w:docVars>
  <w:rsids>
    <w:rsidRoot w:val="006C2C1D"/>
    <w:rsid w:val="00014621"/>
    <w:rsid w:val="00024A95"/>
    <w:rsid w:val="000271A1"/>
    <w:rsid w:val="00030B85"/>
    <w:rsid w:val="000524E2"/>
    <w:rsid w:val="00054D03"/>
    <w:rsid w:val="000646E5"/>
    <w:rsid w:val="00064954"/>
    <w:rsid w:val="0006721E"/>
    <w:rsid w:val="000724B6"/>
    <w:rsid w:val="00072ECC"/>
    <w:rsid w:val="00082773"/>
    <w:rsid w:val="000A0196"/>
    <w:rsid w:val="000A116F"/>
    <w:rsid w:val="000A6010"/>
    <w:rsid w:val="000A75AB"/>
    <w:rsid w:val="000B63DD"/>
    <w:rsid w:val="000C332D"/>
    <w:rsid w:val="000C37FC"/>
    <w:rsid w:val="000C6C9F"/>
    <w:rsid w:val="000D267C"/>
    <w:rsid w:val="000D369B"/>
    <w:rsid w:val="000E53AD"/>
    <w:rsid w:val="000E5A52"/>
    <w:rsid w:val="000E5E20"/>
    <w:rsid w:val="000E6712"/>
    <w:rsid w:val="000F2777"/>
    <w:rsid w:val="000F2A24"/>
    <w:rsid w:val="000F588E"/>
    <w:rsid w:val="000F6185"/>
    <w:rsid w:val="00101B94"/>
    <w:rsid w:val="00102348"/>
    <w:rsid w:val="00111060"/>
    <w:rsid w:val="0011618F"/>
    <w:rsid w:val="00117305"/>
    <w:rsid w:val="00121128"/>
    <w:rsid w:val="00136CBF"/>
    <w:rsid w:val="00141EA0"/>
    <w:rsid w:val="00155F2B"/>
    <w:rsid w:val="00157DFA"/>
    <w:rsid w:val="00167075"/>
    <w:rsid w:val="00171B2C"/>
    <w:rsid w:val="0017507C"/>
    <w:rsid w:val="00180092"/>
    <w:rsid w:val="001915FC"/>
    <w:rsid w:val="001961EF"/>
    <w:rsid w:val="001963AE"/>
    <w:rsid w:val="001A1E1E"/>
    <w:rsid w:val="001B4760"/>
    <w:rsid w:val="001C1C4E"/>
    <w:rsid w:val="001C2537"/>
    <w:rsid w:val="001C37B3"/>
    <w:rsid w:val="001C5BBE"/>
    <w:rsid w:val="001D4940"/>
    <w:rsid w:val="001E5D49"/>
    <w:rsid w:val="001F44E7"/>
    <w:rsid w:val="001F7DA6"/>
    <w:rsid w:val="00237C02"/>
    <w:rsid w:val="00251DC1"/>
    <w:rsid w:val="00253D86"/>
    <w:rsid w:val="0025727E"/>
    <w:rsid w:val="002667BA"/>
    <w:rsid w:val="0029257B"/>
    <w:rsid w:val="00292657"/>
    <w:rsid w:val="002B3B4D"/>
    <w:rsid w:val="002B6655"/>
    <w:rsid w:val="002C273E"/>
    <w:rsid w:val="002D4418"/>
    <w:rsid w:val="002E4622"/>
    <w:rsid w:val="002E6F3F"/>
    <w:rsid w:val="002F06A0"/>
    <w:rsid w:val="002F44FB"/>
    <w:rsid w:val="002F5C70"/>
    <w:rsid w:val="002F6188"/>
    <w:rsid w:val="00300082"/>
    <w:rsid w:val="0030206F"/>
    <w:rsid w:val="00303A1F"/>
    <w:rsid w:val="003115F1"/>
    <w:rsid w:val="0032121C"/>
    <w:rsid w:val="00321F6F"/>
    <w:rsid w:val="003266BF"/>
    <w:rsid w:val="003320D8"/>
    <w:rsid w:val="00333612"/>
    <w:rsid w:val="00334FBE"/>
    <w:rsid w:val="00345530"/>
    <w:rsid w:val="0035250F"/>
    <w:rsid w:val="0035290B"/>
    <w:rsid w:val="0036328F"/>
    <w:rsid w:val="00364DDC"/>
    <w:rsid w:val="0036589B"/>
    <w:rsid w:val="00391278"/>
    <w:rsid w:val="00395E6B"/>
    <w:rsid w:val="0039626B"/>
    <w:rsid w:val="003A540F"/>
    <w:rsid w:val="003B139A"/>
    <w:rsid w:val="003B158D"/>
    <w:rsid w:val="003B54AD"/>
    <w:rsid w:val="003B7C55"/>
    <w:rsid w:val="003C391B"/>
    <w:rsid w:val="003D460C"/>
    <w:rsid w:val="003E24CC"/>
    <w:rsid w:val="003F1F01"/>
    <w:rsid w:val="003F6826"/>
    <w:rsid w:val="00403A6D"/>
    <w:rsid w:val="00407E72"/>
    <w:rsid w:val="00414F00"/>
    <w:rsid w:val="00421BFC"/>
    <w:rsid w:val="00450BE6"/>
    <w:rsid w:val="00451ADB"/>
    <w:rsid w:val="00451F0F"/>
    <w:rsid w:val="00461E05"/>
    <w:rsid w:val="00465C97"/>
    <w:rsid w:val="00473A28"/>
    <w:rsid w:val="00483295"/>
    <w:rsid w:val="00486E0E"/>
    <w:rsid w:val="00492879"/>
    <w:rsid w:val="004B135D"/>
    <w:rsid w:val="004B644E"/>
    <w:rsid w:val="004C1E2A"/>
    <w:rsid w:val="004E120D"/>
    <w:rsid w:val="004E66C5"/>
    <w:rsid w:val="004F746F"/>
    <w:rsid w:val="005016BD"/>
    <w:rsid w:val="005177E3"/>
    <w:rsid w:val="00521757"/>
    <w:rsid w:val="00537E38"/>
    <w:rsid w:val="00554ABF"/>
    <w:rsid w:val="00557548"/>
    <w:rsid w:val="00582AA5"/>
    <w:rsid w:val="0059435D"/>
    <w:rsid w:val="005A6542"/>
    <w:rsid w:val="005C3615"/>
    <w:rsid w:val="005C3895"/>
    <w:rsid w:val="005C6413"/>
    <w:rsid w:val="005C708B"/>
    <w:rsid w:val="005C74B1"/>
    <w:rsid w:val="005C778A"/>
    <w:rsid w:val="005D3CAF"/>
    <w:rsid w:val="005E06FF"/>
    <w:rsid w:val="005E15A8"/>
    <w:rsid w:val="005E4046"/>
    <w:rsid w:val="005F4F79"/>
    <w:rsid w:val="0060372B"/>
    <w:rsid w:val="00604125"/>
    <w:rsid w:val="00605323"/>
    <w:rsid w:val="00611F48"/>
    <w:rsid w:val="00617360"/>
    <w:rsid w:val="00617A98"/>
    <w:rsid w:val="00624713"/>
    <w:rsid w:val="00626450"/>
    <w:rsid w:val="00632534"/>
    <w:rsid w:val="006447C3"/>
    <w:rsid w:val="006460A4"/>
    <w:rsid w:val="0065438D"/>
    <w:rsid w:val="00675F00"/>
    <w:rsid w:val="006834DA"/>
    <w:rsid w:val="00687535"/>
    <w:rsid w:val="006960ED"/>
    <w:rsid w:val="006B7307"/>
    <w:rsid w:val="006C234C"/>
    <w:rsid w:val="006C2C1D"/>
    <w:rsid w:val="006D070B"/>
    <w:rsid w:val="006E3255"/>
    <w:rsid w:val="006E33F2"/>
    <w:rsid w:val="006E6124"/>
    <w:rsid w:val="006E7949"/>
    <w:rsid w:val="006F0451"/>
    <w:rsid w:val="006F3915"/>
    <w:rsid w:val="00703C94"/>
    <w:rsid w:val="007067B0"/>
    <w:rsid w:val="007153CD"/>
    <w:rsid w:val="0073485A"/>
    <w:rsid w:val="00734AE7"/>
    <w:rsid w:val="00745F9F"/>
    <w:rsid w:val="00750B2E"/>
    <w:rsid w:val="00753E1B"/>
    <w:rsid w:val="007564F0"/>
    <w:rsid w:val="00760F51"/>
    <w:rsid w:val="007677E6"/>
    <w:rsid w:val="00772278"/>
    <w:rsid w:val="00775A0D"/>
    <w:rsid w:val="00776606"/>
    <w:rsid w:val="00777D7D"/>
    <w:rsid w:val="00791631"/>
    <w:rsid w:val="007A2B72"/>
    <w:rsid w:val="007C0D6F"/>
    <w:rsid w:val="007C591E"/>
    <w:rsid w:val="007C5E3B"/>
    <w:rsid w:val="007C794D"/>
    <w:rsid w:val="007E76F0"/>
    <w:rsid w:val="007F290A"/>
    <w:rsid w:val="00800BF9"/>
    <w:rsid w:val="008010C0"/>
    <w:rsid w:val="00815E88"/>
    <w:rsid w:val="00817462"/>
    <w:rsid w:val="00821259"/>
    <w:rsid w:val="00834DEC"/>
    <w:rsid w:val="00845E2D"/>
    <w:rsid w:val="00847F64"/>
    <w:rsid w:val="00856E8D"/>
    <w:rsid w:val="00877FD1"/>
    <w:rsid w:val="00880896"/>
    <w:rsid w:val="008A4F34"/>
    <w:rsid w:val="008B226D"/>
    <w:rsid w:val="008C503A"/>
    <w:rsid w:val="008D0BE7"/>
    <w:rsid w:val="008D1299"/>
    <w:rsid w:val="008F263B"/>
    <w:rsid w:val="00905B9D"/>
    <w:rsid w:val="00906E46"/>
    <w:rsid w:val="0091543F"/>
    <w:rsid w:val="00923537"/>
    <w:rsid w:val="009576EF"/>
    <w:rsid w:val="00961C68"/>
    <w:rsid w:val="009647DA"/>
    <w:rsid w:val="009718F1"/>
    <w:rsid w:val="00975938"/>
    <w:rsid w:val="00984ECC"/>
    <w:rsid w:val="00990FC6"/>
    <w:rsid w:val="009946B4"/>
    <w:rsid w:val="009977CC"/>
    <w:rsid w:val="009A53AF"/>
    <w:rsid w:val="009D654C"/>
    <w:rsid w:val="009E2EB8"/>
    <w:rsid w:val="009E45A6"/>
    <w:rsid w:val="009E652F"/>
    <w:rsid w:val="009E7F35"/>
    <w:rsid w:val="009F0F5F"/>
    <w:rsid w:val="009F2784"/>
    <w:rsid w:val="00A0377C"/>
    <w:rsid w:val="00A064D6"/>
    <w:rsid w:val="00A11DAB"/>
    <w:rsid w:val="00A17B9F"/>
    <w:rsid w:val="00A21097"/>
    <w:rsid w:val="00A21AF7"/>
    <w:rsid w:val="00A34D09"/>
    <w:rsid w:val="00A50540"/>
    <w:rsid w:val="00A63DE4"/>
    <w:rsid w:val="00A76F85"/>
    <w:rsid w:val="00A8306E"/>
    <w:rsid w:val="00AB6A8B"/>
    <w:rsid w:val="00AC3C63"/>
    <w:rsid w:val="00AC46B4"/>
    <w:rsid w:val="00AD3CC5"/>
    <w:rsid w:val="00AD7BE5"/>
    <w:rsid w:val="00AE1695"/>
    <w:rsid w:val="00AF6CCF"/>
    <w:rsid w:val="00B00D9F"/>
    <w:rsid w:val="00B073E6"/>
    <w:rsid w:val="00B10566"/>
    <w:rsid w:val="00B1232A"/>
    <w:rsid w:val="00B16826"/>
    <w:rsid w:val="00B178EE"/>
    <w:rsid w:val="00B2237B"/>
    <w:rsid w:val="00B25F63"/>
    <w:rsid w:val="00B30B37"/>
    <w:rsid w:val="00B44E27"/>
    <w:rsid w:val="00B51E65"/>
    <w:rsid w:val="00B60834"/>
    <w:rsid w:val="00B61BE6"/>
    <w:rsid w:val="00B702B1"/>
    <w:rsid w:val="00B759B4"/>
    <w:rsid w:val="00B812F9"/>
    <w:rsid w:val="00B9472A"/>
    <w:rsid w:val="00BC608A"/>
    <w:rsid w:val="00BD0455"/>
    <w:rsid w:val="00BD2C2D"/>
    <w:rsid w:val="00BD5440"/>
    <w:rsid w:val="00BE5C6C"/>
    <w:rsid w:val="00C02E4E"/>
    <w:rsid w:val="00C1103B"/>
    <w:rsid w:val="00C120E7"/>
    <w:rsid w:val="00C14DAC"/>
    <w:rsid w:val="00C14FBD"/>
    <w:rsid w:val="00C24B46"/>
    <w:rsid w:val="00C30CCB"/>
    <w:rsid w:val="00C47BDF"/>
    <w:rsid w:val="00C606F5"/>
    <w:rsid w:val="00C62C21"/>
    <w:rsid w:val="00C76CAE"/>
    <w:rsid w:val="00C77F80"/>
    <w:rsid w:val="00C81E60"/>
    <w:rsid w:val="00C90128"/>
    <w:rsid w:val="00C976C3"/>
    <w:rsid w:val="00CA5DD2"/>
    <w:rsid w:val="00CB40FE"/>
    <w:rsid w:val="00CB6B70"/>
    <w:rsid w:val="00CC1D28"/>
    <w:rsid w:val="00CC6E39"/>
    <w:rsid w:val="00CF4914"/>
    <w:rsid w:val="00CF4C31"/>
    <w:rsid w:val="00CF6A9D"/>
    <w:rsid w:val="00D06816"/>
    <w:rsid w:val="00D1048F"/>
    <w:rsid w:val="00D104C3"/>
    <w:rsid w:val="00D11D26"/>
    <w:rsid w:val="00D16BDB"/>
    <w:rsid w:val="00D205EE"/>
    <w:rsid w:val="00D21FAD"/>
    <w:rsid w:val="00D243EE"/>
    <w:rsid w:val="00D30D3B"/>
    <w:rsid w:val="00D310B8"/>
    <w:rsid w:val="00D41D8C"/>
    <w:rsid w:val="00D45384"/>
    <w:rsid w:val="00D54C22"/>
    <w:rsid w:val="00D54D2C"/>
    <w:rsid w:val="00D60571"/>
    <w:rsid w:val="00D60E99"/>
    <w:rsid w:val="00D6265D"/>
    <w:rsid w:val="00D62A78"/>
    <w:rsid w:val="00D6706A"/>
    <w:rsid w:val="00D920ED"/>
    <w:rsid w:val="00DA48C7"/>
    <w:rsid w:val="00DB77B8"/>
    <w:rsid w:val="00DC6310"/>
    <w:rsid w:val="00DD2426"/>
    <w:rsid w:val="00DE63C8"/>
    <w:rsid w:val="00DF1392"/>
    <w:rsid w:val="00E0159E"/>
    <w:rsid w:val="00E05568"/>
    <w:rsid w:val="00E0564F"/>
    <w:rsid w:val="00E12937"/>
    <w:rsid w:val="00E144C1"/>
    <w:rsid w:val="00E37244"/>
    <w:rsid w:val="00E54A50"/>
    <w:rsid w:val="00E554C8"/>
    <w:rsid w:val="00E5679B"/>
    <w:rsid w:val="00E57283"/>
    <w:rsid w:val="00E628B1"/>
    <w:rsid w:val="00E6466A"/>
    <w:rsid w:val="00E75F53"/>
    <w:rsid w:val="00E7696B"/>
    <w:rsid w:val="00E86DE7"/>
    <w:rsid w:val="00EA7FAD"/>
    <w:rsid w:val="00EB315C"/>
    <w:rsid w:val="00EB6EA2"/>
    <w:rsid w:val="00EE18C9"/>
    <w:rsid w:val="00EE6B89"/>
    <w:rsid w:val="00EF01AE"/>
    <w:rsid w:val="00EF5654"/>
    <w:rsid w:val="00EF69F4"/>
    <w:rsid w:val="00F01DF4"/>
    <w:rsid w:val="00F20055"/>
    <w:rsid w:val="00F23410"/>
    <w:rsid w:val="00F26D30"/>
    <w:rsid w:val="00F350DC"/>
    <w:rsid w:val="00F41957"/>
    <w:rsid w:val="00F46078"/>
    <w:rsid w:val="00F628B9"/>
    <w:rsid w:val="00F62DF1"/>
    <w:rsid w:val="00F63F8C"/>
    <w:rsid w:val="00F86C3F"/>
    <w:rsid w:val="00F92303"/>
    <w:rsid w:val="00F95483"/>
    <w:rsid w:val="00FA0FF5"/>
    <w:rsid w:val="00FA2A8C"/>
    <w:rsid w:val="00FA6250"/>
    <w:rsid w:val="00FB081E"/>
    <w:rsid w:val="00FB4A2F"/>
    <w:rsid w:val="00FB57DB"/>
    <w:rsid w:val="00FC20A0"/>
    <w:rsid w:val="00FC60E7"/>
    <w:rsid w:val="00FD4777"/>
    <w:rsid w:val="00FF3E20"/>
    <w:rsid w:val="00FF4DF2"/>
    <w:rsid w:val="00FF4F7B"/>
    <w:rsid w:val="00FF75DD"/>
    <w:rsid w:val="02246C20"/>
    <w:rsid w:val="04F06E91"/>
    <w:rsid w:val="05826B03"/>
    <w:rsid w:val="0946032A"/>
    <w:rsid w:val="0A5521CF"/>
    <w:rsid w:val="0C920489"/>
    <w:rsid w:val="0D074274"/>
    <w:rsid w:val="0F681690"/>
    <w:rsid w:val="126D3BE6"/>
    <w:rsid w:val="128A572B"/>
    <w:rsid w:val="15D24B1D"/>
    <w:rsid w:val="15F8478D"/>
    <w:rsid w:val="17AE239E"/>
    <w:rsid w:val="1BD217CD"/>
    <w:rsid w:val="1DC37D43"/>
    <w:rsid w:val="1E026578"/>
    <w:rsid w:val="1F224859"/>
    <w:rsid w:val="25723D56"/>
    <w:rsid w:val="26212332"/>
    <w:rsid w:val="27677A5C"/>
    <w:rsid w:val="27E56061"/>
    <w:rsid w:val="2C211363"/>
    <w:rsid w:val="2CA23219"/>
    <w:rsid w:val="2CD47487"/>
    <w:rsid w:val="2F536B07"/>
    <w:rsid w:val="2F6F4BFD"/>
    <w:rsid w:val="301E710F"/>
    <w:rsid w:val="34321327"/>
    <w:rsid w:val="3FB13A48"/>
    <w:rsid w:val="40F166C0"/>
    <w:rsid w:val="43251A01"/>
    <w:rsid w:val="4356624C"/>
    <w:rsid w:val="4A1527B8"/>
    <w:rsid w:val="4BAA0F64"/>
    <w:rsid w:val="508A35A3"/>
    <w:rsid w:val="51B573C7"/>
    <w:rsid w:val="545953B0"/>
    <w:rsid w:val="5487242E"/>
    <w:rsid w:val="54C1656C"/>
    <w:rsid w:val="55E838DF"/>
    <w:rsid w:val="59592D2E"/>
    <w:rsid w:val="5B114ED9"/>
    <w:rsid w:val="5B5F6287"/>
    <w:rsid w:val="5B8E2522"/>
    <w:rsid w:val="5C1D28CD"/>
    <w:rsid w:val="60DF10E3"/>
    <w:rsid w:val="6A7C09BC"/>
    <w:rsid w:val="6AB724F6"/>
    <w:rsid w:val="6EE7650C"/>
    <w:rsid w:val="712437CA"/>
    <w:rsid w:val="73FD43E8"/>
    <w:rsid w:val="74CA6436"/>
    <w:rsid w:val="74E63A35"/>
    <w:rsid w:val="759A5673"/>
    <w:rsid w:val="79B5615A"/>
    <w:rsid w:val="7A41719B"/>
    <w:rsid w:val="7C9E6453"/>
    <w:rsid w:val="7EE80FD3"/>
    <w:rsid w:val="7F3541C2"/>
    <w:rsid w:val="7F447E9C"/>
    <w:rsid w:val="7FB9007F"/>
    <w:rsid w:val="DBE76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0"/>
    <w:qFormat/>
    <w:uiPriority w:val="9"/>
    <w:pPr>
      <w:keepNext/>
      <w:keepLines/>
      <w:spacing w:before="340" w:after="330" w:line="576" w:lineRule="auto"/>
      <w:outlineLvl w:val="0"/>
    </w:pPr>
    <w:rPr>
      <w:b/>
      <w:kern w:val="44"/>
      <w:sz w:val="44"/>
    </w:rPr>
  </w:style>
  <w:style w:type="paragraph" w:styleId="3">
    <w:name w:val="heading 2"/>
    <w:basedOn w:val="1"/>
    <w:next w:val="1"/>
    <w:link w:val="49"/>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43"/>
    <w:unhideWhenUsed/>
    <w:qFormat/>
    <w:uiPriority w:val="9"/>
    <w:pPr>
      <w:keepNext/>
      <w:keepLines/>
      <w:spacing w:before="260" w:after="260" w:line="413" w:lineRule="auto"/>
      <w:outlineLvl w:val="2"/>
    </w:pPr>
    <w:rPr>
      <w:b/>
      <w:sz w:val="32"/>
    </w:rPr>
  </w:style>
  <w:style w:type="paragraph" w:styleId="5">
    <w:name w:val="heading 4"/>
    <w:basedOn w:val="1"/>
    <w:next w:val="1"/>
    <w:link w:val="40"/>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52"/>
    <w:unhideWhenUsed/>
    <w:qFormat/>
    <w:uiPriority w:val="0"/>
    <w:pPr>
      <w:keepNext/>
      <w:keepLines/>
      <w:spacing w:before="280" w:after="290" w:line="372" w:lineRule="auto"/>
      <w:outlineLvl w:val="4"/>
    </w:pPr>
    <w:rPr>
      <w:b/>
      <w:sz w:val="28"/>
    </w:rPr>
  </w:style>
  <w:style w:type="paragraph" w:styleId="7">
    <w:name w:val="heading 6"/>
    <w:basedOn w:val="1"/>
    <w:next w:val="1"/>
    <w:link w:val="45"/>
    <w:semiHidden/>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51"/>
    <w:semiHidden/>
    <w:unhideWhenUsed/>
    <w:qFormat/>
    <w:uiPriority w:val="0"/>
    <w:pPr>
      <w:keepNext/>
      <w:keepLines/>
      <w:spacing w:before="240" w:after="64" w:line="317" w:lineRule="auto"/>
      <w:outlineLvl w:val="6"/>
    </w:pPr>
    <w:rPr>
      <w:b/>
      <w:sz w:val="24"/>
    </w:rPr>
  </w:style>
  <w:style w:type="paragraph" w:styleId="9">
    <w:name w:val="heading 8"/>
    <w:basedOn w:val="1"/>
    <w:next w:val="1"/>
    <w:link w:val="53"/>
    <w:semiHidden/>
    <w:unhideWhenUsed/>
    <w:qFormat/>
    <w:uiPriority w:val="0"/>
    <w:pPr>
      <w:keepNext/>
      <w:keepLines/>
      <w:spacing w:before="240" w:after="64" w:line="317" w:lineRule="auto"/>
      <w:outlineLvl w:val="7"/>
    </w:pPr>
    <w:rPr>
      <w:rFonts w:ascii="Arial" w:hAnsi="Arial" w:eastAsia="黑体"/>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next w:val="1"/>
    <w:qFormat/>
    <w:uiPriority w:val="99"/>
    <w:pPr>
      <w:ind w:firstLine="420" w:firstLineChars="200"/>
    </w:pPr>
    <w:rPr>
      <w:kern w:val="0"/>
    </w:rPr>
  </w:style>
  <w:style w:type="paragraph" w:styleId="11">
    <w:name w:val="Document Map"/>
    <w:basedOn w:val="1"/>
    <w:link w:val="44"/>
    <w:qFormat/>
    <w:uiPriority w:val="0"/>
    <w:pPr>
      <w:shd w:val="clear" w:color="auto" w:fill="000080"/>
    </w:pPr>
  </w:style>
  <w:style w:type="paragraph" w:styleId="12">
    <w:name w:val="annotation text"/>
    <w:basedOn w:val="1"/>
    <w:link w:val="54"/>
    <w:qFormat/>
    <w:uiPriority w:val="99"/>
    <w:pPr>
      <w:jc w:val="left"/>
    </w:pPr>
  </w:style>
  <w:style w:type="paragraph" w:styleId="13">
    <w:name w:val="Body Text"/>
    <w:basedOn w:val="1"/>
    <w:link w:val="55"/>
    <w:qFormat/>
    <w:uiPriority w:val="1"/>
    <w:pPr>
      <w:widowControl/>
      <w:overflowPunct w:val="0"/>
      <w:autoSpaceDE w:val="0"/>
      <w:autoSpaceDN w:val="0"/>
      <w:adjustRightInd w:val="0"/>
      <w:spacing w:before="120" w:after="120"/>
      <w:ind w:left="2520"/>
      <w:jc w:val="left"/>
    </w:pPr>
    <w:rPr>
      <w:rFonts w:ascii="Book Antiqua" w:hAnsi="Book Antiqua" w:eastAsia="宋体" w:cs="Times New Roman"/>
      <w:kern w:val="0"/>
      <w:sz w:val="20"/>
      <w:szCs w:val="20"/>
    </w:rPr>
  </w:style>
  <w:style w:type="paragraph" w:styleId="14">
    <w:name w:val="toc 3"/>
    <w:basedOn w:val="1"/>
    <w:next w:val="1"/>
    <w:qFormat/>
    <w:uiPriority w:val="39"/>
    <w:pPr>
      <w:ind w:left="420"/>
      <w:jc w:val="left"/>
    </w:pPr>
    <w:rPr>
      <w:rFonts w:ascii="Calibri" w:hAnsi="Calibri" w:eastAsia="宋体" w:cs="Times New Roman"/>
      <w:i/>
      <w:sz w:val="20"/>
      <w:szCs w:val="20"/>
    </w:rPr>
  </w:style>
  <w:style w:type="paragraph" w:styleId="15">
    <w:name w:val="Plain Text"/>
    <w:basedOn w:val="1"/>
    <w:link w:val="56"/>
    <w:qFormat/>
    <w:uiPriority w:val="0"/>
    <w:rPr>
      <w:rFonts w:hint="eastAsia" w:ascii="宋体" w:hAnsi="Courier New" w:eastAsia="宋体" w:cs="Times New Roman"/>
      <w:szCs w:val="21"/>
    </w:rPr>
  </w:style>
  <w:style w:type="paragraph" w:styleId="16">
    <w:name w:val="Balloon Text"/>
    <w:basedOn w:val="1"/>
    <w:link w:val="39"/>
    <w:qFormat/>
    <w:uiPriority w:val="99"/>
    <w:rPr>
      <w:sz w:val="18"/>
    </w:rPr>
  </w:style>
  <w:style w:type="paragraph" w:styleId="17">
    <w:name w:val="footer"/>
    <w:basedOn w:val="1"/>
    <w:link w:val="41"/>
    <w:qFormat/>
    <w:uiPriority w:val="99"/>
    <w:pPr>
      <w:tabs>
        <w:tab w:val="center" w:pos="4153"/>
        <w:tab w:val="right" w:pos="8306"/>
      </w:tabs>
      <w:snapToGrid w:val="0"/>
      <w:jc w:val="left"/>
    </w:pPr>
    <w:rPr>
      <w:sz w:val="18"/>
    </w:rPr>
  </w:style>
  <w:style w:type="paragraph" w:styleId="18">
    <w:name w:val="header"/>
    <w:basedOn w:val="1"/>
    <w:link w:val="5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120" w:after="120"/>
      <w:jc w:val="left"/>
    </w:pPr>
    <w:rPr>
      <w:rFonts w:ascii="Calibri" w:hAnsi="Calibri" w:eastAsia="宋体" w:cs="Times New Roman"/>
      <w:b/>
      <w:caps/>
      <w:sz w:val="20"/>
      <w:szCs w:val="20"/>
    </w:rPr>
  </w:style>
  <w:style w:type="paragraph" w:styleId="20">
    <w:name w:val="footnote text"/>
    <w:basedOn w:val="1"/>
    <w:link w:val="59"/>
    <w:qFormat/>
    <w:uiPriority w:val="0"/>
    <w:pPr>
      <w:snapToGrid w:val="0"/>
      <w:jc w:val="left"/>
    </w:pPr>
    <w:rPr>
      <w:sz w:val="18"/>
    </w:rPr>
  </w:style>
  <w:style w:type="paragraph" w:styleId="21">
    <w:name w:val="toc 2"/>
    <w:basedOn w:val="1"/>
    <w:next w:val="1"/>
    <w:qFormat/>
    <w:uiPriority w:val="39"/>
    <w:pPr>
      <w:ind w:left="210"/>
      <w:jc w:val="left"/>
    </w:pPr>
    <w:rPr>
      <w:rFonts w:ascii="Calibri" w:hAnsi="Calibri" w:eastAsia="宋体" w:cs="Times New Roman"/>
      <w:smallCaps/>
      <w:sz w:val="20"/>
      <w:szCs w:val="20"/>
    </w:rPr>
  </w:style>
  <w:style w:type="paragraph" w:styleId="22">
    <w:name w:val="Normal (Web)"/>
    <w:basedOn w:val="1"/>
    <w:qFormat/>
    <w:uiPriority w:val="99"/>
    <w:rPr>
      <w:rFonts w:ascii="Calibri" w:hAnsi="Calibri" w:eastAsia="宋体" w:cs="Times New Roman"/>
      <w:sz w:val="24"/>
      <w:szCs w:val="22"/>
    </w:rPr>
  </w:style>
  <w:style w:type="paragraph" w:styleId="23">
    <w:name w:val="Title"/>
    <w:basedOn w:val="1"/>
    <w:link w:val="42"/>
    <w:qFormat/>
    <w:uiPriority w:val="0"/>
    <w:pPr>
      <w:spacing w:before="240" w:after="60"/>
      <w:jc w:val="center"/>
      <w:outlineLvl w:val="0"/>
    </w:pPr>
    <w:rPr>
      <w:rFonts w:ascii="Arial" w:hAnsi="Arial"/>
      <w:b/>
      <w:sz w:val="32"/>
    </w:rPr>
  </w:style>
  <w:style w:type="paragraph" w:styleId="24">
    <w:name w:val="annotation subject"/>
    <w:basedOn w:val="12"/>
    <w:next w:val="12"/>
    <w:link w:val="60"/>
    <w:qFormat/>
    <w:uiPriority w:val="99"/>
    <w:rPr>
      <w:b/>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8">
    <w:name w:val="Strong"/>
    <w:qFormat/>
    <w:uiPriority w:val="0"/>
    <w:rPr>
      <w:b/>
      <w:bCs/>
    </w:rPr>
  </w:style>
  <w:style w:type="character" w:styleId="29">
    <w:name w:val="FollowedHyperlink"/>
    <w:basedOn w:val="27"/>
    <w:qFormat/>
    <w:uiPriority w:val="0"/>
    <w:rPr>
      <w:color w:val="800080"/>
      <w:u w:val="single"/>
    </w:rPr>
  </w:style>
  <w:style w:type="character" w:styleId="30">
    <w:name w:val="Hyperlink"/>
    <w:basedOn w:val="27"/>
    <w:qFormat/>
    <w:uiPriority w:val="99"/>
    <w:rPr>
      <w:color w:val="0000FF"/>
      <w:u w:val="single"/>
    </w:rPr>
  </w:style>
  <w:style w:type="character" w:styleId="31">
    <w:name w:val="annotation reference"/>
    <w:basedOn w:val="27"/>
    <w:qFormat/>
    <w:uiPriority w:val="99"/>
    <w:rPr>
      <w:sz w:val="21"/>
      <w:szCs w:val="21"/>
    </w:rPr>
  </w:style>
  <w:style w:type="character" w:styleId="32">
    <w:name w:val="footnote reference"/>
    <w:basedOn w:val="27"/>
    <w:qFormat/>
    <w:uiPriority w:val="0"/>
    <w:rPr>
      <w:vertAlign w:val="superscript"/>
    </w:rPr>
  </w:style>
  <w:style w:type="paragraph" w:customStyle="1" w:styleId="33">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Fließtext"/>
    <w:basedOn w:val="1"/>
    <w:qFormat/>
    <w:uiPriority w:val="99"/>
    <w:pPr>
      <w:widowControl/>
      <w:ind w:left="1134"/>
      <w:jc w:val="left"/>
    </w:pPr>
    <w:rPr>
      <w:rFonts w:ascii="Arial" w:hAnsi="Arial"/>
      <w:kern w:val="0"/>
      <w:szCs w:val="20"/>
      <w:lang w:val="de-DE" w:eastAsia="de-DE"/>
    </w:rPr>
  </w:style>
  <w:style w:type="character" w:customStyle="1" w:styleId="35">
    <w:name w:val="无间隔 字符"/>
    <w:basedOn w:val="27"/>
    <w:qFormat/>
    <w:uiPriority w:val="0"/>
    <w:rPr>
      <w:sz w:val="22"/>
      <w:szCs w:val="22"/>
    </w:rPr>
  </w:style>
  <w:style w:type="paragraph" w:customStyle="1" w:styleId="36">
    <w:name w:val="文档标题1"/>
    <w:basedOn w:val="2"/>
    <w:next w:val="37"/>
    <w:qFormat/>
    <w:uiPriority w:val="0"/>
    <w:pPr>
      <w:pageBreakBefore/>
      <w:numPr>
        <w:ilvl w:val="0"/>
        <w:numId w:val="1"/>
      </w:numPr>
      <w:pBdr>
        <w:top w:val="single" w:color="auto" w:sz="48" w:space="1"/>
      </w:pBdr>
      <w:spacing w:before="0" w:after="0" w:line="360" w:lineRule="auto"/>
    </w:pPr>
    <w:rPr>
      <w:rFonts w:ascii="Times New Roman" w:hAnsi="Times New Roman" w:eastAsia="宋体" w:cs="Times New Roman"/>
      <w:sz w:val="28"/>
      <w:szCs w:val="44"/>
    </w:rPr>
  </w:style>
  <w:style w:type="paragraph" w:customStyle="1" w:styleId="37">
    <w:name w:val="文档正文-1"/>
    <w:basedOn w:val="1"/>
    <w:qFormat/>
    <w:uiPriority w:val="0"/>
    <w:pPr>
      <w:spacing w:line="360" w:lineRule="auto"/>
      <w:ind w:firstLine="200" w:firstLineChars="200"/>
    </w:pPr>
    <w:rPr>
      <w:rFonts w:ascii="Times New Roman" w:hAnsi="Times New Roman" w:eastAsia="宋体" w:cs="Times New Roman"/>
      <w:sz w:val="24"/>
      <w:szCs w:val="22"/>
    </w:rPr>
  </w:style>
  <w:style w:type="paragraph" w:customStyle="1" w:styleId="38">
    <w:name w:val="文档正文一级标题"/>
    <w:basedOn w:val="37"/>
    <w:qFormat/>
    <w:uiPriority w:val="0"/>
    <w:pPr>
      <w:numPr>
        <w:ilvl w:val="0"/>
        <w:numId w:val="2"/>
      </w:numPr>
      <w:ind w:firstLine="0" w:firstLineChars="0"/>
    </w:pPr>
  </w:style>
  <w:style w:type="character" w:customStyle="1" w:styleId="39">
    <w:name w:val="批注框文本 字符"/>
    <w:basedOn w:val="27"/>
    <w:link w:val="16"/>
    <w:qFormat/>
    <w:uiPriority w:val="99"/>
    <w:rPr>
      <w:rFonts w:hint="default" w:ascii="Calibri" w:hAnsi="Calibri" w:eastAsia="宋体" w:cs="Times New Roman"/>
      <w:kern w:val="2"/>
      <w:sz w:val="18"/>
      <w:szCs w:val="24"/>
    </w:rPr>
  </w:style>
  <w:style w:type="character" w:customStyle="1" w:styleId="40">
    <w:name w:val="标题 4 字符"/>
    <w:basedOn w:val="27"/>
    <w:link w:val="5"/>
    <w:qFormat/>
    <w:uiPriority w:val="0"/>
    <w:rPr>
      <w:rFonts w:ascii="Arial" w:hAnsi="Arial" w:eastAsia="黑体" w:cs="Times New Roman"/>
      <w:b/>
      <w:kern w:val="2"/>
      <w:sz w:val="28"/>
      <w:szCs w:val="24"/>
    </w:rPr>
  </w:style>
  <w:style w:type="character" w:customStyle="1" w:styleId="41">
    <w:name w:val="页脚 字符"/>
    <w:basedOn w:val="27"/>
    <w:link w:val="17"/>
    <w:qFormat/>
    <w:uiPriority w:val="99"/>
    <w:rPr>
      <w:rFonts w:hint="default" w:ascii="Calibri" w:hAnsi="Calibri" w:eastAsia="宋体" w:cs="Times New Roman"/>
      <w:kern w:val="2"/>
      <w:sz w:val="18"/>
      <w:szCs w:val="24"/>
    </w:rPr>
  </w:style>
  <w:style w:type="character" w:customStyle="1" w:styleId="42">
    <w:name w:val="标题 字符"/>
    <w:basedOn w:val="27"/>
    <w:link w:val="23"/>
    <w:qFormat/>
    <w:uiPriority w:val="0"/>
    <w:rPr>
      <w:rFonts w:hint="default" w:ascii="Arial" w:hAnsi="Arial" w:eastAsia="宋体" w:cs="Times New Roman"/>
      <w:b/>
      <w:kern w:val="2"/>
      <w:sz w:val="32"/>
      <w:szCs w:val="24"/>
    </w:rPr>
  </w:style>
  <w:style w:type="character" w:customStyle="1" w:styleId="43">
    <w:name w:val="标题 3 字符"/>
    <w:basedOn w:val="27"/>
    <w:link w:val="4"/>
    <w:qFormat/>
    <w:uiPriority w:val="0"/>
    <w:rPr>
      <w:rFonts w:hint="default" w:ascii="Calibri" w:hAnsi="Calibri" w:eastAsia="宋体" w:cs="Times New Roman"/>
      <w:b/>
      <w:kern w:val="2"/>
      <w:sz w:val="32"/>
      <w:szCs w:val="24"/>
    </w:rPr>
  </w:style>
  <w:style w:type="character" w:customStyle="1" w:styleId="44">
    <w:name w:val="文档结构图 字符"/>
    <w:basedOn w:val="27"/>
    <w:link w:val="11"/>
    <w:qFormat/>
    <w:uiPriority w:val="0"/>
    <w:rPr>
      <w:rFonts w:hint="default" w:ascii="Calibri" w:hAnsi="Calibri" w:eastAsia="宋体" w:cs="Times New Roman"/>
      <w:kern w:val="2"/>
      <w:sz w:val="21"/>
      <w:szCs w:val="24"/>
      <w:shd w:val="clear" w:color="auto" w:fill="000080"/>
    </w:rPr>
  </w:style>
  <w:style w:type="character" w:customStyle="1" w:styleId="45">
    <w:name w:val="标题 6 字符"/>
    <w:basedOn w:val="27"/>
    <w:link w:val="7"/>
    <w:qFormat/>
    <w:uiPriority w:val="0"/>
    <w:rPr>
      <w:rFonts w:hint="default" w:ascii="Arial" w:hAnsi="Arial" w:eastAsia="黑体" w:cs="Times New Roman"/>
      <w:b/>
      <w:kern w:val="2"/>
      <w:sz w:val="24"/>
      <w:szCs w:val="24"/>
    </w:rPr>
  </w:style>
  <w:style w:type="character" w:customStyle="1" w:styleId="46">
    <w:name w:val="apple-converted-space"/>
    <w:basedOn w:val="27"/>
    <w:qFormat/>
    <w:uiPriority w:val="0"/>
  </w:style>
  <w:style w:type="character" w:customStyle="1" w:styleId="47">
    <w:name w:val="apple-style-span"/>
    <w:basedOn w:val="27"/>
    <w:qFormat/>
    <w:uiPriority w:val="0"/>
  </w:style>
  <w:style w:type="paragraph" w:customStyle="1" w:styleId="48">
    <w:name w:val="样式 标题 4 + 段前: 5 磅 段后: 5 磅 行距: 单倍行距"/>
    <w:basedOn w:val="5"/>
    <w:qFormat/>
    <w:uiPriority w:val="0"/>
    <w:pPr>
      <w:tabs>
        <w:tab w:val="left" w:pos="780"/>
        <w:tab w:val="left" w:pos="1680"/>
      </w:tabs>
      <w:adjustRightInd w:val="0"/>
      <w:spacing w:before="100" w:after="100"/>
      <w:ind w:left="780" w:leftChars="200" w:hanging="360" w:hangingChars="200"/>
      <w:jc w:val="left"/>
    </w:pPr>
    <w:rPr>
      <w:rFonts w:cs="Times New Roman"/>
      <w:kern w:val="0"/>
      <w:szCs w:val="20"/>
    </w:rPr>
  </w:style>
  <w:style w:type="character" w:customStyle="1" w:styleId="49">
    <w:name w:val="标题 2 字符"/>
    <w:basedOn w:val="27"/>
    <w:link w:val="3"/>
    <w:qFormat/>
    <w:uiPriority w:val="0"/>
    <w:rPr>
      <w:rFonts w:hint="default" w:ascii="Arial" w:hAnsi="Arial" w:eastAsia="黑体" w:cs="Times New Roman"/>
      <w:b/>
      <w:kern w:val="2"/>
      <w:sz w:val="32"/>
      <w:szCs w:val="24"/>
    </w:rPr>
  </w:style>
  <w:style w:type="character" w:customStyle="1" w:styleId="50">
    <w:name w:val="标题 1 字符"/>
    <w:basedOn w:val="27"/>
    <w:link w:val="2"/>
    <w:qFormat/>
    <w:uiPriority w:val="0"/>
    <w:rPr>
      <w:rFonts w:hint="default" w:ascii="Calibri" w:hAnsi="Calibri" w:eastAsia="宋体" w:cs="Times New Roman"/>
      <w:b/>
      <w:kern w:val="44"/>
      <w:sz w:val="44"/>
      <w:szCs w:val="24"/>
    </w:rPr>
  </w:style>
  <w:style w:type="character" w:customStyle="1" w:styleId="51">
    <w:name w:val="标题 7 字符"/>
    <w:basedOn w:val="27"/>
    <w:link w:val="8"/>
    <w:qFormat/>
    <w:uiPriority w:val="0"/>
    <w:rPr>
      <w:rFonts w:hint="default" w:ascii="Calibri" w:hAnsi="Calibri" w:eastAsia="宋体" w:cs="Times New Roman"/>
      <w:b/>
      <w:kern w:val="2"/>
      <w:sz w:val="24"/>
      <w:szCs w:val="24"/>
    </w:rPr>
  </w:style>
  <w:style w:type="character" w:customStyle="1" w:styleId="52">
    <w:name w:val="标题 5 字符"/>
    <w:basedOn w:val="27"/>
    <w:link w:val="6"/>
    <w:qFormat/>
    <w:uiPriority w:val="0"/>
    <w:rPr>
      <w:rFonts w:hint="default" w:ascii="Calibri" w:hAnsi="Calibri" w:eastAsia="宋体" w:cs="Times New Roman"/>
      <w:b/>
      <w:kern w:val="2"/>
      <w:sz w:val="28"/>
      <w:szCs w:val="24"/>
    </w:rPr>
  </w:style>
  <w:style w:type="character" w:customStyle="1" w:styleId="53">
    <w:name w:val="标题 8 字符"/>
    <w:basedOn w:val="27"/>
    <w:link w:val="9"/>
    <w:qFormat/>
    <w:uiPriority w:val="0"/>
    <w:rPr>
      <w:rFonts w:hint="default" w:ascii="Arial" w:hAnsi="Arial" w:eastAsia="黑体" w:cs="Times New Roman"/>
      <w:kern w:val="2"/>
      <w:sz w:val="24"/>
      <w:szCs w:val="24"/>
    </w:rPr>
  </w:style>
  <w:style w:type="character" w:customStyle="1" w:styleId="54">
    <w:name w:val="批注文字 字符"/>
    <w:basedOn w:val="27"/>
    <w:link w:val="12"/>
    <w:qFormat/>
    <w:uiPriority w:val="99"/>
    <w:rPr>
      <w:rFonts w:hint="default" w:ascii="Calibri" w:hAnsi="Calibri" w:eastAsia="宋体" w:cs="Times New Roman"/>
      <w:kern w:val="2"/>
      <w:sz w:val="21"/>
      <w:szCs w:val="24"/>
    </w:rPr>
  </w:style>
  <w:style w:type="character" w:customStyle="1" w:styleId="55">
    <w:name w:val="正文文本 字符"/>
    <w:basedOn w:val="27"/>
    <w:link w:val="13"/>
    <w:qFormat/>
    <w:uiPriority w:val="1"/>
    <w:rPr>
      <w:rFonts w:hint="default" w:ascii="Book Antiqua" w:hAnsi="Book Antiqua" w:eastAsia="宋体" w:cs="Book Antiqua"/>
    </w:rPr>
  </w:style>
  <w:style w:type="character" w:customStyle="1" w:styleId="56">
    <w:name w:val="纯文本 字符"/>
    <w:basedOn w:val="27"/>
    <w:link w:val="15"/>
    <w:qFormat/>
    <w:uiPriority w:val="0"/>
    <w:rPr>
      <w:rFonts w:hint="eastAsia" w:ascii="宋体" w:hAnsi="Courier New" w:eastAsia="宋体" w:cs="宋体"/>
      <w:kern w:val="2"/>
      <w:sz w:val="21"/>
      <w:szCs w:val="21"/>
    </w:rPr>
  </w:style>
  <w:style w:type="paragraph" w:customStyle="1" w:styleId="57">
    <w:name w:val="文档标题3"/>
    <w:basedOn w:val="4"/>
    <w:next w:val="37"/>
    <w:qFormat/>
    <w:uiPriority w:val="0"/>
    <w:pPr>
      <w:overflowPunct w:val="0"/>
      <w:autoSpaceDE w:val="0"/>
      <w:autoSpaceDN w:val="0"/>
      <w:adjustRightInd w:val="0"/>
      <w:spacing w:before="0" w:after="0" w:line="360" w:lineRule="auto"/>
    </w:pPr>
    <w:rPr>
      <w:rFonts w:ascii="Times New Roman" w:hAnsi="Times New Roman" w:eastAsia="宋体" w:cs="Times New Roman"/>
      <w:sz w:val="28"/>
      <w:szCs w:val="32"/>
    </w:rPr>
  </w:style>
  <w:style w:type="character" w:customStyle="1" w:styleId="58">
    <w:name w:val="页眉 字符"/>
    <w:basedOn w:val="27"/>
    <w:link w:val="18"/>
    <w:qFormat/>
    <w:uiPriority w:val="99"/>
    <w:rPr>
      <w:rFonts w:hint="default" w:ascii="Calibri" w:hAnsi="Calibri" w:eastAsia="宋体" w:cs="Times New Roman"/>
      <w:kern w:val="2"/>
      <w:sz w:val="18"/>
      <w:szCs w:val="24"/>
    </w:rPr>
  </w:style>
  <w:style w:type="character" w:customStyle="1" w:styleId="59">
    <w:name w:val="脚注文本 字符"/>
    <w:basedOn w:val="27"/>
    <w:link w:val="20"/>
    <w:qFormat/>
    <w:uiPriority w:val="0"/>
    <w:rPr>
      <w:rFonts w:hint="default" w:ascii="Calibri" w:hAnsi="Calibri" w:eastAsia="宋体" w:cs="Times New Roman"/>
      <w:kern w:val="2"/>
      <w:sz w:val="18"/>
      <w:szCs w:val="24"/>
    </w:rPr>
  </w:style>
  <w:style w:type="character" w:customStyle="1" w:styleId="60">
    <w:name w:val="批注主题 字符"/>
    <w:basedOn w:val="54"/>
    <w:link w:val="24"/>
    <w:qFormat/>
    <w:uiPriority w:val="99"/>
    <w:rPr>
      <w:rFonts w:hint="default" w:ascii="Calibri" w:hAnsi="Calibri" w:eastAsia="宋体" w:cs="Times New Roman"/>
      <w:b/>
      <w:kern w:val="2"/>
      <w:sz w:val="21"/>
      <w:szCs w:val="24"/>
    </w:rPr>
  </w:style>
  <w:style w:type="character" w:customStyle="1" w:styleId="61">
    <w:name w:val="tlid-translation"/>
    <w:basedOn w:val="27"/>
    <w:qFormat/>
    <w:uiPriority w:val="0"/>
  </w:style>
  <w:style w:type="paragraph" w:customStyle="1" w:styleId="62">
    <w:name w:val="样式 标题 2 + 宋体 五号 非加粗 黑色"/>
    <w:basedOn w:val="3"/>
    <w:qFormat/>
    <w:uiPriority w:val="0"/>
    <w:pPr>
      <w:spacing w:line="416" w:lineRule="atLeast"/>
      <w:jc w:val="left"/>
    </w:pPr>
    <w:rPr>
      <w:rFonts w:cs="Times New Roman"/>
      <w:color w:val="000000"/>
      <w:kern w:val="0"/>
      <w:sz w:val="21"/>
      <w:szCs w:val="32"/>
    </w:rPr>
  </w:style>
  <w:style w:type="character" w:customStyle="1" w:styleId="63">
    <w:name w:val="style61"/>
    <w:basedOn w:val="27"/>
    <w:qFormat/>
    <w:uiPriority w:val="0"/>
  </w:style>
  <w:style w:type="character" w:customStyle="1" w:styleId="64">
    <w:name w:val="COFCO_1.1 Char"/>
    <w:basedOn w:val="27"/>
    <w:qFormat/>
    <w:uiPriority w:val="0"/>
    <w:rPr>
      <w:rFonts w:hint="eastAsia" w:ascii="华文细黑" w:hAnsi="华文细黑" w:eastAsia="华文细黑" w:cs="宋体"/>
      <w:b/>
      <w:color w:val="000000"/>
      <w:sz w:val="24"/>
      <w:szCs w:val="22"/>
    </w:rPr>
  </w:style>
  <w:style w:type="character" w:customStyle="1" w:styleId="65">
    <w:name w:val="正文文本 Char"/>
    <w:basedOn w:val="27"/>
    <w:qFormat/>
    <w:uiPriority w:val="0"/>
    <w:rPr>
      <w:kern w:val="2"/>
      <w:sz w:val="21"/>
      <w:szCs w:val="22"/>
    </w:rPr>
  </w:style>
  <w:style w:type="paragraph" w:customStyle="1" w:styleId="66">
    <w:name w:val="文档标题2"/>
    <w:basedOn w:val="3"/>
    <w:next w:val="37"/>
    <w:link w:val="67"/>
    <w:qFormat/>
    <w:uiPriority w:val="0"/>
    <w:pPr>
      <w:numPr>
        <w:ilvl w:val="1"/>
        <w:numId w:val="1"/>
      </w:numPr>
      <w:spacing w:before="0" w:after="0" w:line="360" w:lineRule="auto"/>
      <w:jc w:val="left"/>
    </w:pPr>
    <w:rPr>
      <w:rFonts w:ascii="Times New Roman" w:hAnsi="Times New Roman" w:eastAsia="宋体" w:cs="Times New Roman"/>
      <w:sz w:val="28"/>
      <w:szCs w:val="32"/>
    </w:rPr>
  </w:style>
  <w:style w:type="character" w:customStyle="1" w:styleId="67">
    <w:name w:val="文档标题2 Char"/>
    <w:basedOn w:val="27"/>
    <w:link w:val="66"/>
    <w:qFormat/>
    <w:uiPriority w:val="0"/>
    <w:rPr>
      <w:rFonts w:ascii="Times New Roman" w:hAnsi="Times New Roman" w:eastAsia="宋体" w:cs="Times New Roman"/>
      <w:b/>
      <w:kern w:val="2"/>
      <w:sz w:val="28"/>
      <w:szCs w:val="32"/>
    </w:rPr>
  </w:style>
  <w:style w:type="paragraph" w:customStyle="1" w:styleId="68">
    <w:name w:val="文档标题4"/>
    <w:basedOn w:val="5"/>
    <w:next w:val="37"/>
    <w:qFormat/>
    <w:uiPriority w:val="0"/>
    <w:pPr>
      <w:numPr>
        <w:ilvl w:val="3"/>
        <w:numId w:val="3"/>
      </w:numPr>
      <w:pBdr>
        <w:bottom w:val="single" w:color="auto" w:sz="2" w:space="1"/>
      </w:pBdr>
    </w:pPr>
    <w:rPr>
      <w:rFonts w:ascii="Times New Roman" w:hAnsi="Times New Roman" w:eastAsia="宋体" w:cs="Times New Roman"/>
      <w:szCs w:val="28"/>
    </w:rPr>
  </w:style>
  <w:style w:type="paragraph" w:customStyle="1" w:styleId="69">
    <w:name w:val="Table Paragraph"/>
    <w:basedOn w:val="1"/>
    <w:qFormat/>
    <w:uiPriority w:val="1"/>
    <w:rPr>
      <w:rFonts w:ascii="Calibri" w:hAnsi="Calibri" w:eastAsia="宋体" w:cs="Times New Roman"/>
      <w:szCs w:val="22"/>
    </w:rPr>
  </w:style>
  <w:style w:type="paragraph" w:styleId="70">
    <w:name w:val="List Paragraph"/>
    <w:basedOn w:val="1"/>
    <w:link w:val="71"/>
    <w:qFormat/>
    <w:uiPriority w:val="34"/>
    <w:pPr>
      <w:ind w:firstLine="420" w:firstLineChars="200"/>
    </w:pPr>
  </w:style>
  <w:style w:type="character" w:customStyle="1" w:styleId="71">
    <w:name w:val="列表段落 字符"/>
    <w:link w:val="70"/>
    <w:qFormat/>
    <w:uiPriority w:val="34"/>
    <w:rPr>
      <w:rFonts w:asciiTheme="minorHAnsi" w:hAnsiTheme="minorHAnsi" w:eastAsiaTheme="minorEastAsia" w:cstheme="minorBidi"/>
      <w:kern w:val="2"/>
      <w:sz w:val="21"/>
      <w:szCs w:val="24"/>
    </w:rPr>
  </w:style>
  <w:style w:type="paragraph" w:customStyle="1" w:styleId="72">
    <w:name w:val="潍柴文档正文一级标题"/>
    <w:basedOn w:val="1"/>
    <w:qFormat/>
    <w:uiPriority w:val="0"/>
    <w:pPr>
      <w:numPr>
        <w:ilvl w:val="0"/>
        <w:numId w:val="4"/>
      </w:numPr>
      <w:spacing w:line="360" w:lineRule="auto"/>
    </w:pPr>
    <w:rPr>
      <w:rFonts w:ascii="Times New Roman" w:hAnsi="Times New Roman" w:eastAsia="宋体" w:cs="Times New Roman"/>
      <w:sz w:val="24"/>
      <w:szCs w:val="22"/>
    </w:rPr>
  </w:style>
  <w:style w:type="character" w:customStyle="1" w:styleId="73">
    <w:name w:val="*正文 Char Char"/>
    <w:link w:val="74"/>
    <w:qFormat/>
    <w:locked/>
    <w:uiPriority w:val="0"/>
    <w:rPr>
      <w:rFonts w:ascii="宋体" w:hAnsi="宋体"/>
      <w:kern w:val="2"/>
      <w:sz w:val="24"/>
      <w:szCs w:val="24"/>
    </w:rPr>
  </w:style>
  <w:style w:type="paragraph" w:customStyle="1" w:styleId="74">
    <w:name w:val="*正文"/>
    <w:basedOn w:val="1"/>
    <w:link w:val="73"/>
    <w:qFormat/>
    <w:uiPriority w:val="0"/>
    <w:pPr>
      <w:spacing w:line="360" w:lineRule="auto"/>
      <w:ind w:firstLine="200" w:firstLineChars="200"/>
    </w:pPr>
    <w:rPr>
      <w:rFonts w:ascii="宋体" w:hAnsi="宋体" w:eastAsia="等线" w:cs="等线"/>
      <w:sz w:val="24"/>
    </w:rPr>
  </w:style>
  <w:style w:type="paragraph" w:customStyle="1" w:styleId="75">
    <w:name w:val="msolistparagraph"/>
    <w:basedOn w:val="1"/>
    <w:qFormat/>
    <w:uiPriority w:val="0"/>
    <w:pPr>
      <w:widowControl/>
      <w:spacing w:after="160" w:line="254" w:lineRule="auto"/>
      <w:ind w:left="720"/>
      <w:contextualSpacing/>
      <w:jc w:val="left"/>
    </w:pPr>
    <w:rPr>
      <w:rFonts w:ascii="Calibri" w:hAnsi="Calibri" w:eastAsia="宋体" w:cs="Times New Roman"/>
      <w:kern w:val="0"/>
      <w:sz w:val="22"/>
      <w:szCs w:val="22"/>
    </w:rPr>
  </w:style>
  <w:style w:type="paragraph" w:customStyle="1" w:styleId="76">
    <w:name w:val="列出段落1"/>
    <w:basedOn w:val="1"/>
    <w:qFormat/>
    <w:uiPriority w:val="34"/>
    <w:pPr>
      <w:ind w:firstLine="420" w:firstLineChars="200"/>
    </w:pPr>
    <w:rPr>
      <w:rFonts w:ascii="Calibri" w:hAnsi="Calibri" w:eastAsia="宋体" w:cs="Times New Roman"/>
      <w:szCs w:val="22"/>
    </w:rPr>
  </w:style>
  <w:style w:type="character" w:customStyle="1" w:styleId="77">
    <w:name w:val="未处理的提及1"/>
    <w:basedOn w:val="27"/>
    <w:semiHidden/>
    <w:unhideWhenUsed/>
    <w:qFormat/>
    <w:uiPriority w:val="99"/>
    <w:rPr>
      <w:color w:val="605E5C"/>
      <w:shd w:val="clear" w:color="auto" w:fill="E1DFDD"/>
    </w:rPr>
  </w:style>
  <w:style w:type="paragraph" w:customStyle="1" w:styleId="7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lang w:eastAsia="en-US"/>
    </w:rPr>
  </w:style>
  <w:style w:type="paragraph" w:customStyle="1" w:styleId="79">
    <w:name w:val="潍柴文档正文"/>
    <w:basedOn w:val="1"/>
    <w:link w:val="80"/>
    <w:qFormat/>
    <w:uiPriority w:val="0"/>
    <w:pPr>
      <w:spacing w:line="360" w:lineRule="auto"/>
      <w:ind w:firstLine="200" w:firstLineChars="200"/>
    </w:pPr>
    <w:rPr>
      <w:rFonts w:ascii="Times New Roman" w:hAnsi="Times New Roman" w:eastAsia="宋体" w:cs="Times New Roman"/>
      <w:sz w:val="24"/>
      <w:szCs w:val="22"/>
    </w:rPr>
  </w:style>
  <w:style w:type="character" w:customStyle="1" w:styleId="80">
    <w:name w:val="潍柴文档正文 Char"/>
    <w:link w:val="79"/>
    <w:qFormat/>
    <w:uiPriority w:val="0"/>
    <w:rPr>
      <w:rFonts w:ascii="Times New Roman" w:hAnsi="Times New Roman" w:eastAsia="宋体" w:cs="Times New Roman"/>
      <w:kern w:val="2"/>
      <w:sz w:val="24"/>
      <w:szCs w:val="22"/>
    </w:rPr>
  </w:style>
  <w:style w:type="paragraph" w:customStyle="1" w:styleId="8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8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8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8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5">
    <w:name w:val="（二）级标题"/>
    <w:basedOn w:val="15"/>
    <w:qFormat/>
    <w:uiPriority w:val="2"/>
    <w:pPr>
      <w:numPr>
        <w:ilvl w:val="0"/>
        <w:numId w:val="5"/>
      </w:numPr>
      <w:spacing w:line="360" w:lineRule="auto"/>
      <w:outlineLvl w:val="2"/>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1ACD3-24C2-48E7-B9ED-A11EFDF1D63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34</Pages>
  <Words>1688</Words>
  <Characters>1762</Characters>
  <Lines>93</Lines>
  <Paragraphs>26</Paragraphs>
  <TotalTime>39</TotalTime>
  <ScaleCrop>false</ScaleCrop>
  <LinksUpToDate>false</LinksUpToDate>
  <CharactersWithSpaces>1983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2022-02-07T17:34:00Z</dcterms:created>
  <dc:creator>陈茂圣</dc:creator>
  <cp:lastModifiedBy>刘静</cp:lastModifiedBy>
  <cp:lastPrinted>2022-07-14T14:52:00Z</cp:lastPrinted>
  <dcterms:modified xsi:type="dcterms:W3CDTF">2026-03-06T02:45:21Z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848224C577D645A983F4D27264C9ADDC_13</vt:lpwstr>
  </property>
  <property fmtid="{D5CDD505-2E9C-101B-9397-08002B2CF9AE}" pid="4" name="KSOTemplateDocerSaveRecord">
    <vt:lpwstr>eyJoZGlkIjoiNmY3YTZlZTkxYjlkMmIwM2IzMDVkN2Y2YTU3MWM1MzIiLCJ1c2VySWQiOiIzNzM1NzI1NjcifQ==</vt:lpwstr>
  </property>
</Properties>
</file>