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济南车桥公司前桥车轮螺栓压装单元改造项目</w:t>
      </w: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ZBGL2026020264</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hint="eastAsia" w:ascii="宋体" w:hAnsi="宋体" w:eastAsia="宋体"/>
          <w:sz w:val="28"/>
          <w:szCs w:val="28"/>
          <w:highlight w:val="cyan"/>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pPr>
        <w:jc w:val="center"/>
        <w:rPr>
          <w:rFonts w:ascii="宋体" w:hAnsi="宋体"/>
          <w:sz w:val="28"/>
          <w:szCs w:val="28"/>
          <w:highlight w:val="none"/>
        </w:rPr>
      </w:pPr>
    </w:p>
    <w:p>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12</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rPr>
              <w:rFonts w:hint="default"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rPr>
              <w:rFonts w:hint="eastAsia" w:ascii="Calibri" w:hAnsi="Calibri" w:eastAsia="宋体" w:cs="Times New Roman"/>
              <w:bCs/>
              <w:kern w:val="44"/>
              <w:szCs w:val="44"/>
            </w:rPr>
            <w:fldChar w:fldCharType="end"/>
          </w:r>
          <w:r>
            <w:rPr>
              <w:rFonts w:hint="eastAsia" w:ascii="宋体" w:hAnsi="宋体" w:eastAsia="宋体" w:cs="宋体"/>
              <w:bCs/>
              <w:kern w:val="44"/>
              <w:szCs w:val="44"/>
              <w:lang w:val="en-US" w:eastAsia="zh-CN"/>
            </w:rPr>
            <w:t>35</w:t>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53</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2"/>
      </w:pPr>
      <w:bookmarkStart w:id="0" w:name="_Toc23927"/>
      <w:bookmarkStart w:id="1" w:name="_Toc47976595"/>
      <w:r>
        <w:rPr>
          <w:rFonts w:hint="eastAsia"/>
        </w:rPr>
        <w:t>第一部分  投标人须知</w:t>
      </w:r>
      <w:bookmarkEnd w:id="0"/>
      <w:bookmarkEnd w:id="1"/>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车桥公司前桥车轮螺栓压装单元改造项目</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ZBGL2026020264</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项目概况：改造升级60套随行托盘、2套（4台）螺栓上料机及2台螺栓自动预压机并进行自动线联线调试。</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w:t>
      </w:r>
      <w:r>
        <w:rPr>
          <w:rFonts w:hint="eastAsia" w:hAnsi="宋体" w:cs="宋体"/>
          <w:i w:val="0"/>
          <w:iCs w:val="0"/>
          <w:caps w:val="0"/>
          <w:color w:val="0F1115"/>
          <w:spacing w:val="0"/>
          <w:sz w:val="21"/>
          <w:szCs w:val="21"/>
          <w:shd w:val="clear" w:fill="FFFFFF"/>
          <w:lang w:eastAsia="zh-CN"/>
        </w:rPr>
        <w:t>：</w:t>
      </w:r>
      <w:r>
        <w:rPr>
          <w:rFonts w:hint="eastAsia" w:hAnsi="宋体" w:cs="宋体"/>
          <w:i w:val="0"/>
          <w:iCs w:val="0"/>
          <w:caps w:val="0"/>
          <w:color w:val="0F1115"/>
          <w:spacing w:val="0"/>
          <w:sz w:val="21"/>
          <w:szCs w:val="21"/>
          <w:shd w:val="clear" w:fill="FFFFFF"/>
          <w:lang w:val="en-US" w:eastAsia="zh-CN"/>
        </w:rPr>
        <w:t>无限价</w:t>
      </w:r>
      <w:r>
        <w:rPr>
          <w:rFonts w:hint="eastAsia" w:ascii="宋体" w:hAnsi="宋体" w:eastAsia="宋体" w:cs="宋体"/>
          <w:i w:val="0"/>
          <w:iCs w:val="0"/>
          <w:caps w:val="0"/>
          <w:color w:val="0F1115"/>
          <w:spacing w:val="0"/>
          <w:sz w:val="21"/>
          <w:szCs w:val="21"/>
          <w:highlight w:val="none"/>
          <w:shd w:val="clear" w:fill="FFFFFF"/>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招标人名称：重汽（济南）车桥有限公司 </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招标人地址：济南市高新区世纪大道757号车桥公司 </w:t>
      </w:r>
    </w:p>
    <w:p>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kern w:val="2"/>
          <w:sz w:val="21"/>
          <w:lang w:val="en-US" w:eastAsia="zh-CN" w:bidi="ar-SA"/>
        </w:rPr>
        <w:t>李月兵</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2093</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38"/>
          <w:rFonts w:hint="eastAsia" w:ascii="宋体" w:hAnsi="Courier New" w:cs="Times New Roman"/>
          <w:color w:val="auto"/>
          <w:kern w:val="2"/>
          <w:sz w:val="21"/>
          <w:highlight w:val="none"/>
          <w:lang w:val="en-US" w:eastAsia="zh-CN" w:bidi="ar-SA"/>
        </w:rPr>
        <w:t>liyuebing</w:t>
      </w:r>
      <w:r>
        <w:rPr>
          <w:rStyle w:val="38"/>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bookmarkEnd w:id="3"/>
    <w:p>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b/>
          <w:bCs/>
          <w:highlight w:val="none"/>
          <w:lang w:val="en-US" w:eastAsia="zh-CN"/>
        </w:rPr>
      </w:pPr>
      <w:r>
        <w:rPr>
          <w:rFonts w:hint="default"/>
          <w:b/>
          <w:bCs/>
          <w:highlight w:val="none"/>
          <w:lang w:val="en-US" w:eastAsia="zh-CN"/>
        </w:rPr>
        <w:t>技术联系人：</w:t>
      </w:r>
      <w:r>
        <w:rPr>
          <w:rFonts w:hint="eastAsia"/>
          <w:b/>
          <w:bCs/>
          <w:highlight w:val="none"/>
          <w:lang w:val="en-US" w:eastAsia="zh-CN"/>
        </w:rPr>
        <w:t>姚志刚</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default"/>
          <w:highlight w:val="none"/>
          <w:lang w:val="en-US" w:eastAsia="zh-CN"/>
        </w:rPr>
        <w:t>电话：13953149231</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default"/>
          <w:highlight w:val="none"/>
          <w:lang w:val="en-US" w:eastAsia="zh-CN"/>
        </w:rPr>
        <w:t>邮箱：yaozhigang@sinotruk.com</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ascii="Times New Roman" w:hAnsi="Times New Roman" w:cs="Times New Roman"/>
          <w:b w:val="0"/>
          <w:bCs/>
          <w:strike w:val="0"/>
          <w:dstrike w:val="0"/>
          <w:highlight w:val="none"/>
          <w:lang w:val="en-US" w:eastAsia="zh-CN"/>
        </w:rPr>
        <w:t>100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lang w:val="en-US" w:eastAsia="zh-CN"/>
        </w:rPr>
        <w:t>投标单位需为设备制造单位</w:t>
      </w:r>
      <w:r>
        <w:rPr>
          <w:rFonts w:hint="eastAsia" w:ascii="Times New Roman" w:hAnsi="Times New Roman" w:cs="Times New Roman"/>
          <w:b w:val="0"/>
          <w:bCs/>
          <w:strike w:val="0"/>
          <w:dstrike w:val="0"/>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3</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5</w:t>
      </w:r>
      <w:r>
        <w:rPr>
          <w:rFonts w:hint="eastAsia" w:ascii="宋体" w:hAnsi="Courier New" w:eastAsia="宋体" w:cs="Times New Roman"/>
          <w:highlight w:val="yellow"/>
          <w:u w:val="single"/>
          <w:lang w:val="en-US" w:eastAsia="zh-CN"/>
        </w:rPr>
        <w:t>日</w:t>
      </w:r>
      <w:r>
        <w:rPr>
          <w:rFonts w:hint="eastAsia" w:cs="Times New Roman"/>
          <w:highlight w:val="yellow"/>
          <w:u w:val="single"/>
          <w:lang w:val="en-US" w:eastAsia="zh-CN"/>
        </w:rPr>
        <w:t>；</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3</w:t>
      </w:r>
      <w:r>
        <w:rPr>
          <w:rFonts w:hint="eastAsia" w:eastAsia="宋体" w:cs="宋体"/>
          <w:highlight w:val="yellow"/>
          <w:u w:val="single"/>
        </w:rPr>
        <w:t>月</w:t>
      </w:r>
      <w:r>
        <w:rPr>
          <w:rFonts w:hint="eastAsia" w:cs="宋体"/>
          <w:highlight w:val="yellow"/>
          <w:u w:val="single"/>
          <w:lang w:val="en-US" w:eastAsia="zh-CN"/>
        </w:rPr>
        <w:t>12</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3</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3月11日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yellow"/>
          <w:u w:val="single"/>
          <w:lang w:val="en-US" w:eastAsia="zh-CN"/>
        </w:rPr>
        <w:t>；</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w:t>
      </w:r>
      <w:r>
        <w:rPr>
          <w:rFonts w:hint="eastAsia"/>
          <w:highlight w:val="none"/>
          <w:lang w:val="en-US" w:eastAsia="zh-CN"/>
        </w:rPr>
        <w:t>《投标文件（技术标）》和《投标文件（商务标）》文件组成，共计3个文件。所</w:t>
      </w:r>
      <w:r>
        <w:rPr>
          <w:rFonts w:hint="eastAsia"/>
          <w:lang w:val="en-US" w:eastAsia="zh-CN"/>
        </w:rPr>
        <w:t>有文件应按“公司简称+文件名称”格式命名，并编制目录。</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cs="Times New Roman"/>
          <w:b w:val="0"/>
          <w:bCs/>
          <w:strike w:val="0"/>
          <w:dstrike w:val="0"/>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投标设备配置明细表，列明项目设备分项配置规格型号、品牌等信息（要求与附件8 分项报价表完全对应），但注意：</w:t>
      </w:r>
      <w:r>
        <w:rPr>
          <w:rFonts w:hint="eastAsia" w:cs="Times New Roman"/>
          <w:b/>
          <w:bCs/>
          <w:highlight w:val="none"/>
          <w:lang w:val="en-US" w:eastAsia="zh-CN"/>
        </w:rPr>
        <w:t>此表在技术标书中，禁止出现任何分项价格及项目总价</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技术规格偏离表（附件3）；</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技术性能、参数的描述；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备品备件工具材料明细表；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rPr>
        <w:t>技术标书</w:t>
      </w:r>
      <w:r>
        <w:rPr>
          <w:rFonts w:hint="eastAsia" w:cs="Times New Roman"/>
          <w:highlight w:val="none"/>
          <w:lang w:val="en-US" w:eastAsia="zh-CN"/>
        </w:rPr>
        <w:t>要求的其他内容。</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r>
        <w:rPr>
          <w:rFonts w:hint="eastAsia" w:cs="Times New Roman"/>
          <w:b w:val="0"/>
          <w:bCs/>
          <w:strike w:val="0"/>
          <w:dstrike w:val="0"/>
          <w:highlight w:val="none"/>
        </w:rPr>
        <w:t>认可招标人的工作指令，包括节、假日能正常开展工作的要求</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商务报价注意内容：报价单位为万元（含税）</w:t>
      </w:r>
      <w:r>
        <w:rPr>
          <w:rFonts w:hint="eastAsia" w:cs="Times New Roman"/>
          <w:b w:val="0"/>
          <w:bCs w:val="0"/>
          <w:highlight w:val="none"/>
        </w:rPr>
        <w:t>。</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30" w:firstLineChars="30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本项目投标文件分为纸质版投标文件和电子版投标文件，均由《投标文件（资质标）》、《投标文件（技术标）》、《投标文件（商务标）》（需要包含开标一览表）文件组成，共计3个文件。</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《投标文件（资质标）》一个文件（里面是全部资质投标书），投标文件（技术标）》一个文件（里面是全部技术投标书），《投标文件（商务标）》（开标一览表）一个文件（里面是全部商务投标书），</w:t>
      </w:r>
      <w:r>
        <w:rPr>
          <w:rFonts w:hint="default" w:ascii="Times New Roman" w:hAnsi="Times New Roman" w:cs="Times New Roman"/>
          <w:color w:val="auto"/>
          <w:highlight w:val="yellow"/>
          <w:lang w:val="en-US" w:eastAsia="zh-CN"/>
        </w:rPr>
        <w:t>具体组成等详细要求见招标文件第三部分投标文件编制第三条。</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pPr>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纸质标书的份数要求为一式五份，正本一份，副本四份，同类文件封装在一个包封里，包封表面按照附件9标注文件信息；共计三个包封。</w:t>
      </w:r>
    </w:p>
    <w:p>
      <w:pPr>
        <w:pStyle w:val="15"/>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投标需自行携带纸质投标文件至开标地点。</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eastAsia" w:ascii="Times New Roman" w:hAnsi="Times New Roman" w:cs="Times New Roman"/>
          <w:b/>
          <w:bCs/>
          <w:color w:val="auto"/>
          <w:lang w:val="en-US" w:eastAsia="zh-CN"/>
        </w:rPr>
      </w:pPr>
    </w:p>
    <w:p>
      <w:pPr>
        <w:pStyle w:val="77"/>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yellow"/>
          <w:u w:val="single"/>
          <w:lang w:val="en-US" w:eastAsia="zh-CN"/>
        </w:rPr>
        <w:t>2026年3月18日9:00:00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w:t>
      </w:r>
      <w:r>
        <w:rPr>
          <w:rFonts w:hint="eastAsia" w:ascii="宋体" w:hAnsi="宋体" w:eastAsia="宋体" w:cs="宋体"/>
          <w:b w:val="0"/>
          <w:bCs w:val="0"/>
          <w:sz w:val="21"/>
          <w:szCs w:val="21"/>
          <w:highlight w:val="yellow"/>
        </w:rPr>
        <w:t>202</w:t>
      </w:r>
      <w:r>
        <w:rPr>
          <w:rFonts w:hint="eastAsia" w:hAnsi="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hAnsi="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hAnsi="宋体" w:cs="宋体"/>
          <w:b w:val="0"/>
          <w:bCs w:val="0"/>
          <w:sz w:val="21"/>
          <w:szCs w:val="21"/>
          <w:highlight w:val="yellow"/>
          <w:lang w:val="en-US" w:eastAsia="zh-CN"/>
        </w:rPr>
        <w:t>12</w:t>
      </w:r>
      <w:r>
        <w:rPr>
          <w:rFonts w:hint="eastAsia" w:ascii="宋体" w:hAnsi="宋体" w:eastAsia="宋体" w:cs="宋体"/>
          <w:b w:val="0"/>
          <w:bCs w:val="0"/>
          <w:sz w:val="21"/>
          <w:szCs w:val="21"/>
          <w:highlight w:val="yellow"/>
        </w:rPr>
        <w:t>日</w:t>
      </w:r>
      <w:r>
        <w:rPr>
          <w:rFonts w:hint="eastAsia" w:hAnsi="宋体" w:cs="宋体"/>
          <w:b w:val="0"/>
          <w:bCs w:val="0"/>
          <w:sz w:val="21"/>
          <w:szCs w:val="21"/>
          <w:highlight w:val="yellow"/>
          <w:lang w:val="en-US" w:eastAsia="zh-CN"/>
        </w:rPr>
        <w:t>17</w:t>
      </w:r>
      <w:r>
        <w:rPr>
          <w:rFonts w:hint="eastAsia"/>
          <w:highlight w:val="yellow"/>
          <w:u w:val="none"/>
          <w:lang w:val="en-US" w:eastAsia="zh-CN"/>
        </w:rPr>
        <w:t>:00:00</w:t>
      </w:r>
      <w:r>
        <w:rPr>
          <w:rFonts w:hint="default" w:ascii="宋体" w:hAnsi="Courier New" w:eastAsia="宋体" w:cs="Times New Roman"/>
          <w:highlight w:val="yellow"/>
          <w:u w:val="none"/>
          <w:lang w:val="en-US" w:eastAsia="zh-CN"/>
        </w:rPr>
        <w:t>（北京时间）</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yellow"/>
          <w:lang w:val="en-US" w:eastAsia="zh-CN"/>
        </w:rPr>
        <w:t>2026年3</w:t>
      </w:r>
      <w:r>
        <w:rPr>
          <w:rFonts w:hint="eastAsia" w:ascii="宋体" w:hAnsi="宋体" w:eastAsia="宋体" w:cs="宋体"/>
          <w:b w:val="0"/>
          <w:bCs w:val="0"/>
          <w:sz w:val="21"/>
          <w:szCs w:val="21"/>
          <w:highlight w:val="yellow"/>
          <w:lang w:val="en-US" w:eastAsia="zh-CN"/>
        </w:rPr>
        <w:t>月</w:t>
      </w:r>
      <w:r>
        <w:rPr>
          <w:rFonts w:hint="eastAsia" w:hAnsi="宋体" w:cs="宋体"/>
          <w:b w:val="0"/>
          <w:bCs w:val="0"/>
          <w:sz w:val="21"/>
          <w:szCs w:val="21"/>
          <w:highlight w:val="yellow"/>
          <w:lang w:val="en-US" w:eastAsia="zh-CN"/>
        </w:rPr>
        <w:t>18</w:t>
      </w:r>
      <w:bookmarkStart w:id="1446" w:name="_GoBack"/>
      <w:bookmarkEnd w:id="1446"/>
      <w:r>
        <w:rPr>
          <w:rFonts w:hint="eastAsia" w:ascii="宋体" w:hAnsi="宋体" w:eastAsia="宋体" w:cs="宋体"/>
          <w:b w:val="0"/>
          <w:bCs w:val="0"/>
          <w:sz w:val="21"/>
          <w:szCs w:val="21"/>
          <w:highlight w:val="yellow"/>
          <w:lang w:val="en-US" w:eastAsia="zh-CN"/>
        </w:rPr>
        <w:t>日</w:t>
      </w:r>
      <w:r>
        <w:rPr>
          <w:rFonts w:hint="default" w:ascii="宋体" w:hAnsi="宋体" w:eastAsia="宋体" w:cs="宋体"/>
          <w:b w:val="0"/>
          <w:bCs w:val="0"/>
          <w:sz w:val="21"/>
          <w:szCs w:val="21"/>
          <w:highlight w:val="yellow"/>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w:t>
      </w:r>
      <w:r>
        <w:rPr>
          <w:rFonts w:hint="eastAsia" w:cs="Times New Roman"/>
          <w:kern w:val="2"/>
          <w:sz w:val="21"/>
          <w:lang w:val="en-US" w:eastAsia="zh-CN" w:bidi="ar-SA"/>
        </w:rPr>
        <w:t>世纪大道757号车桥公司第二会议室</w:t>
      </w:r>
      <w:r>
        <w:rPr>
          <w:rFonts w:hint="eastAsia" w:ascii="宋体" w:hAnsi="宋体" w:eastAsia="宋体" w:cs="宋体"/>
          <w:b w:val="0"/>
          <w:bCs w:val="0"/>
          <w:sz w:val="21"/>
          <w:szCs w:val="21"/>
          <w:highlight w:val="none"/>
          <w:lang w:val="en-US" w:eastAsia="zh-CN"/>
        </w:rPr>
        <w:t xml:space="preserve"> </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cs="Times New Roman"/>
          <w:b/>
          <w:bCs w:val="0"/>
          <w:color w:val="auto"/>
          <w:kern w:val="2"/>
          <w:sz w:val="21"/>
          <w:highlight w:val="none"/>
          <w:u w:val="none"/>
          <w:lang w:val="en-US" w:eastAsia="zh-CN" w:bidi="ar-SA"/>
        </w:rPr>
        <w:t>现场</w:t>
      </w:r>
      <w:r>
        <w:rPr>
          <w:rFonts w:hint="eastAsia" w:cs="Times New Roman"/>
          <w:b/>
          <w:bCs w:val="0"/>
          <w:color w:val="auto"/>
          <w:highlight w:val="none"/>
          <w:u w:val="none"/>
          <w:lang w:val="en-US" w:eastAsia="zh-CN"/>
        </w:rPr>
        <w:t>招标。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1"/>
        <w:tblW w:w="89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80"/>
        <w:gridCol w:w="1765"/>
        <w:gridCol w:w="703"/>
        <w:gridCol w:w="47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highlight w:val="none"/>
              </w:rPr>
            </w:pPr>
            <w:r>
              <w:rPr>
                <w:rFonts w:hint="eastAsia"/>
                <w:b/>
                <w:highlight w:val="none"/>
              </w:rPr>
              <w:t>评标因素</w:t>
            </w:r>
          </w:p>
        </w:tc>
        <w:tc>
          <w:tcPr>
            <w:tcW w:w="88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highlight w:val="none"/>
              </w:rPr>
            </w:pPr>
            <w:r>
              <w:rPr>
                <w:rFonts w:hint="eastAsia"/>
                <w:b/>
                <w:highlight w:val="none"/>
              </w:rPr>
              <w:t>总分</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highlight w:val="none"/>
                <w:lang w:eastAsia="zh-CN"/>
              </w:rPr>
            </w:pPr>
            <w:r>
              <w:rPr>
                <w:rFonts w:hint="eastAsia"/>
                <w:b/>
                <w:highlight w:val="none"/>
              </w:rPr>
              <w:t>评审内容</w:t>
            </w:r>
          </w:p>
        </w:tc>
        <w:tc>
          <w:tcPr>
            <w:tcW w:w="70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highlight w:val="none"/>
              </w:rPr>
            </w:pPr>
            <w:r>
              <w:rPr>
                <w:rFonts w:hint="eastAsia"/>
                <w:b/>
                <w:highlight w:val="none"/>
              </w:rPr>
              <w:t>最高</w:t>
            </w:r>
          </w:p>
          <w:p>
            <w:pPr>
              <w:spacing w:line="320" w:lineRule="exact"/>
              <w:ind w:right="34" w:rightChars="16"/>
              <w:jc w:val="center"/>
              <w:rPr>
                <w:b/>
                <w:szCs w:val="21"/>
                <w:highlight w:val="none"/>
              </w:rPr>
            </w:pPr>
            <w:r>
              <w:rPr>
                <w:rFonts w:hint="eastAsia"/>
                <w:b/>
                <w:highlight w:val="none"/>
              </w:rPr>
              <w:t>得分</w:t>
            </w:r>
          </w:p>
        </w:tc>
        <w:tc>
          <w:tcPr>
            <w:tcW w:w="474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highlight w:val="none"/>
              </w:rPr>
            </w:pPr>
            <w:r>
              <w:rPr>
                <w:rFonts w:hint="eastAsia"/>
                <w:b/>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highlight w:val="none"/>
                <w:lang w:eastAsia="zh-CN"/>
              </w:rPr>
            </w:pPr>
            <w:r>
              <w:rPr>
                <w:rFonts w:hint="eastAsia" w:ascii="宋体"/>
                <w:highlight w:val="none"/>
              </w:rPr>
              <w:t>技术标</w:t>
            </w:r>
          </w:p>
        </w:tc>
        <w:tc>
          <w:tcPr>
            <w:tcW w:w="88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highlight w:val="none"/>
                <w:lang w:val="en-US" w:eastAsia="zh-CN"/>
              </w:rPr>
            </w:pPr>
            <w:r>
              <w:rPr>
                <w:rFonts w:hint="eastAsia" w:ascii="宋体"/>
                <w:highlight w:val="none"/>
                <w:lang w:val="en-US" w:eastAsia="zh-CN"/>
              </w:rPr>
              <w:t>100</w:t>
            </w:r>
          </w:p>
        </w:tc>
        <w:tc>
          <w:tcPr>
            <w:tcW w:w="1765" w:type="dxa"/>
            <w:tcBorders>
              <w:top w:val="single" w:color="auto" w:sz="4" w:space="0"/>
              <w:left w:val="single" w:color="auto" w:sz="4" w:space="0"/>
              <w:right w:val="single" w:color="auto" w:sz="4" w:space="0"/>
            </w:tcBorders>
            <w:vAlign w:val="center"/>
          </w:tcPr>
          <w:p>
            <w:pPr>
              <w:spacing w:line="420" w:lineRule="exact"/>
              <w:rPr>
                <w:rFonts w:ascii="宋体"/>
                <w:highlight w:val="none"/>
              </w:rPr>
            </w:pPr>
            <w:r>
              <w:rPr>
                <w:rFonts w:hint="eastAsia" w:ascii="宋体" w:hAnsi="宋体"/>
                <w:bCs/>
                <w:highlight w:val="none"/>
              </w:rPr>
              <w:t>投标人资质</w:t>
            </w:r>
            <w:r>
              <w:rPr>
                <w:rFonts w:hint="eastAsia" w:ascii="宋体" w:hAnsi="宋体"/>
                <w:bCs/>
                <w:highlight w:val="none"/>
                <w:lang w:eastAsia="zh-CN"/>
              </w:rPr>
              <w:t>，</w:t>
            </w:r>
            <w:r>
              <w:rPr>
                <w:rFonts w:hint="eastAsia" w:ascii="宋体" w:hAnsi="宋体"/>
                <w:bCs/>
                <w:highlight w:val="none"/>
              </w:rPr>
              <w:t>具备有效营业执照且经营范围涵盖相关设备销售</w:t>
            </w:r>
            <w:r>
              <w:rPr>
                <w:rFonts w:hint="eastAsia" w:ascii="宋体" w:hAnsi="宋体"/>
                <w:bCs/>
                <w:highlight w:val="none"/>
                <w:lang w:eastAsia="zh-CN"/>
              </w:rPr>
              <w:t>，拥有设备生产或代理授权证明。</w:t>
            </w:r>
          </w:p>
        </w:tc>
        <w:tc>
          <w:tcPr>
            <w:tcW w:w="70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eastAsia="宋体"/>
                <w:szCs w:val="21"/>
                <w:highlight w:val="none"/>
                <w:lang w:val="en-US" w:eastAsia="zh-CN"/>
              </w:rPr>
            </w:pPr>
            <w:r>
              <w:rPr>
                <w:rFonts w:hint="eastAsia" w:ascii="宋体" w:hAnsi="宋体" w:eastAsia="宋体"/>
                <w:highlight w:val="none"/>
                <w:lang w:val="en-US" w:eastAsia="zh-CN"/>
              </w:rPr>
              <w:t>10</w:t>
            </w:r>
          </w:p>
        </w:tc>
        <w:tc>
          <w:tcPr>
            <w:tcW w:w="4740" w:type="dxa"/>
            <w:tcBorders>
              <w:top w:val="single" w:color="auto" w:sz="4" w:space="0"/>
              <w:left w:val="single" w:color="auto" w:sz="4" w:space="0"/>
              <w:bottom w:val="single" w:color="auto" w:sz="4" w:space="0"/>
              <w:right w:val="single" w:color="auto" w:sz="4" w:space="0"/>
            </w:tcBorders>
            <w:vAlign w:val="center"/>
          </w:tcPr>
          <w:p>
            <w:pPr>
              <w:spacing w:line="420" w:lineRule="exact"/>
              <w:rPr>
                <w:highlight w:val="none"/>
              </w:rPr>
            </w:pPr>
            <w:r>
              <w:rPr>
                <w:rFonts w:hint="eastAsia" w:ascii="宋体" w:hAnsi="宋体"/>
                <w:bCs/>
                <w:highlight w:val="none"/>
              </w:rPr>
              <w:t>投标人资质</w:t>
            </w:r>
            <w:r>
              <w:rPr>
                <w:rFonts w:hint="eastAsia" w:ascii="宋体" w:hAnsi="宋体"/>
                <w:bCs/>
                <w:highlight w:val="none"/>
                <w:lang w:eastAsia="zh-CN"/>
              </w:rPr>
              <w:t>，</w:t>
            </w:r>
            <w:r>
              <w:rPr>
                <w:rFonts w:hint="eastAsia" w:ascii="宋体" w:hAnsi="宋体"/>
                <w:bCs/>
                <w:highlight w:val="none"/>
              </w:rPr>
              <w:t>具备有效营业执照且经营范围涵盖相关设备销售</w:t>
            </w:r>
            <w:r>
              <w:rPr>
                <w:rFonts w:hint="eastAsia" w:ascii="宋体" w:hAnsi="宋体"/>
                <w:bCs/>
                <w:highlight w:val="none"/>
                <w:lang w:eastAsia="zh-CN"/>
              </w:rPr>
              <w:t>，拥有设备生产或代理授权证明。</w:t>
            </w:r>
            <w:r>
              <w:rPr>
                <w:rFonts w:hint="eastAsia" w:ascii="宋体" w:hAnsi="宋体"/>
                <w:bCs/>
                <w:highlight w:val="none"/>
              </w:rPr>
              <w:t>视情况得0-</w:t>
            </w:r>
            <w:r>
              <w:rPr>
                <w:rFonts w:hint="eastAsia" w:ascii="宋体" w:hAnsi="宋体"/>
                <w:bCs/>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highlight w:val="none"/>
              </w:rPr>
            </w:pPr>
            <w:r>
              <w:rPr>
                <w:rFonts w:hint="eastAsia" w:ascii="宋体" w:hAnsi="宋体"/>
                <w:bCs/>
                <w:highlight w:val="none"/>
              </w:rPr>
              <w:t>产品方案技术先进、各系统完善、性能可靠，设备主要核心部件，具备自身技术优势</w:t>
            </w:r>
            <w:r>
              <w:rPr>
                <w:rFonts w:hint="eastAsia" w:ascii="宋体" w:hAnsi="宋体"/>
                <w:bCs/>
                <w:highlight w:val="none"/>
                <w:lang w:eastAsia="zh-CN"/>
              </w:rPr>
              <w:t>。</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highlight w:val="none"/>
              </w:rPr>
            </w:pPr>
            <w:r>
              <w:rPr>
                <w:rFonts w:hint="eastAsia" w:ascii="宋体" w:hAnsi="宋体" w:eastAsia="宋体"/>
                <w:highlight w:val="none"/>
                <w:lang w:val="en-US" w:eastAsia="zh-CN"/>
              </w:rPr>
              <w:t>50</w:t>
            </w:r>
          </w:p>
        </w:tc>
        <w:tc>
          <w:tcPr>
            <w:tcW w:w="4740" w:type="dxa"/>
            <w:tcBorders>
              <w:top w:val="single" w:color="auto" w:sz="4" w:space="0"/>
              <w:left w:val="single" w:color="auto" w:sz="4" w:space="0"/>
              <w:bottom w:val="nil"/>
              <w:right w:val="single" w:color="auto" w:sz="4" w:space="0"/>
            </w:tcBorders>
            <w:vAlign w:val="center"/>
          </w:tcPr>
          <w:p>
            <w:pPr>
              <w:spacing w:line="420" w:lineRule="exact"/>
              <w:rPr>
                <w:highlight w:val="none"/>
              </w:rPr>
            </w:pPr>
            <w:r>
              <w:rPr>
                <w:rFonts w:hint="eastAsia" w:ascii="宋体" w:hAnsi="宋体"/>
                <w:bCs/>
                <w:highlight w:val="none"/>
              </w:rPr>
              <w:t>产品方案技术先进、各系统完善、性能可靠，设备主要核心部件，具备自身技术优势，节能环保</w:t>
            </w:r>
            <w:r>
              <w:rPr>
                <w:rFonts w:hint="eastAsia" w:ascii="宋体" w:hAnsi="宋体"/>
                <w:bCs/>
                <w:highlight w:val="none"/>
                <w:lang w:eastAsia="zh-CN"/>
              </w:rPr>
              <w:t>；</w:t>
            </w:r>
            <w:r>
              <w:rPr>
                <w:rFonts w:hint="eastAsia" w:ascii="宋体" w:hAnsi="宋体"/>
                <w:bCs/>
                <w:highlight w:val="none"/>
                <w:lang w:val="en-US" w:eastAsia="zh-CN"/>
              </w:rPr>
              <w:t>轴承外环压装、车轮螺栓压装符合要求，工装简便切换方便、实用，翻转机和合鼓装置有效结合应用，</w:t>
            </w:r>
            <w:r>
              <w:rPr>
                <w:rFonts w:hint="eastAsia" w:ascii="宋体" w:hAnsi="宋体"/>
                <w:bCs/>
                <w:highlight w:val="none"/>
              </w:rPr>
              <w:t>视情况得0-</w:t>
            </w:r>
            <w:r>
              <w:rPr>
                <w:rFonts w:hint="eastAsia" w:ascii="宋体" w:hAnsi="宋体"/>
                <w:bCs/>
                <w:highlight w:val="none"/>
                <w:lang w:val="en-US" w:eastAsia="zh-CN"/>
              </w:rPr>
              <w:t>50分。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highlight w:val="none"/>
              </w:rPr>
            </w:pPr>
            <w:r>
              <w:rPr>
                <w:rFonts w:hint="eastAsia" w:ascii="宋体" w:hAnsi="宋体"/>
                <w:bCs/>
                <w:highlight w:val="none"/>
              </w:rPr>
              <w:t>产品维保</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highlight w:val="none"/>
              </w:rPr>
            </w:pPr>
            <w:r>
              <w:rPr>
                <w:rFonts w:hint="eastAsia" w:ascii="宋体" w:hAnsi="宋体" w:eastAsia="宋体"/>
                <w:szCs w:val="21"/>
                <w:highlight w:val="none"/>
                <w:lang w:val="en-US" w:eastAsia="zh-CN"/>
              </w:rPr>
              <w:t>5</w:t>
            </w:r>
          </w:p>
        </w:tc>
        <w:tc>
          <w:tcPr>
            <w:tcW w:w="4740" w:type="dxa"/>
            <w:tcBorders>
              <w:top w:val="single" w:color="auto" w:sz="4" w:space="0"/>
              <w:left w:val="single" w:color="auto" w:sz="4" w:space="0"/>
              <w:bottom w:val="nil"/>
              <w:right w:val="single" w:color="auto" w:sz="4" w:space="0"/>
            </w:tcBorders>
            <w:vAlign w:val="center"/>
          </w:tcPr>
          <w:p>
            <w:pPr>
              <w:spacing w:line="420" w:lineRule="exact"/>
              <w:rPr>
                <w:highlight w:val="none"/>
              </w:rPr>
            </w:pPr>
            <w:r>
              <w:rPr>
                <w:rFonts w:hint="eastAsia" w:ascii="宋体" w:hAnsi="宋体"/>
                <w:bCs/>
                <w:highlight w:val="none"/>
              </w:rPr>
              <w:t>易于维修、操作方便，产品附件配置齐全，质量可靠，设备在使用期内的维护费用，视情况得0-</w:t>
            </w:r>
            <w:r>
              <w:rPr>
                <w:rFonts w:hint="eastAsia" w:ascii="宋体" w:hAnsi="宋体"/>
                <w:bCs/>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highlight w:val="none"/>
              </w:rPr>
            </w:pPr>
            <w:r>
              <w:rPr>
                <w:rFonts w:hint="eastAsia" w:ascii="宋体" w:hAnsi="宋体"/>
                <w:highlight w:val="none"/>
              </w:rPr>
              <w:t>计划控制</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highlight w:val="none"/>
              </w:rPr>
            </w:pPr>
            <w:r>
              <w:rPr>
                <w:rFonts w:hint="eastAsia" w:ascii="宋体" w:hAnsi="宋体" w:eastAsia="宋体"/>
                <w:szCs w:val="21"/>
                <w:highlight w:val="none"/>
                <w:lang w:val="en-US" w:eastAsia="zh-CN"/>
              </w:rPr>
              <w:t>5</w:t>
            </w:r>
          </w:p>
        </w:tc>
        <w:tc>
          <w:tcPr>
            <w:tcW w:w="4740" w:type="dxa"/>
            <w:tcBorders>
              <w:top w:val="single" w:color="auto" w:sz="4" w:space="0"/>
              <w:left w:val="single" w:color="auto" w:sz="4" w:space="0"/>
              <w:bottom w:val="nil"/>
              <w:right w:val="single" w:color="auto" w:sz="4" w:space="0"/>
            </w:tcBorders>
            <w:vAlign w:val="center"/>
          </w:tcPr>
          <w:p>
            <w:pPr>
              <w:spacing w:line="420" w:lineRule="exact"/>
              <w:rPr>
                <w:highlight w:val="none"/>
              </w:rPr>
            </w:pPr>
            <w:r>
              <w:rPr>
                <w:rFonts w:hint="eastAsia" w:ascii="宋体" w:hAnsi="宋体"/>
                <w:bCs/>
                <w:highlight w:val="none"/>
              </w:rPr>
              <w:t>有详细可行的行动计划能保证项目进度，有风险管理。综合评审，自主赋分。视情况得0-</w:t>
            </w:r>
            <w:r>
              <w:rPr>
                <w:rFonts w:hint="eastAsia" w:ascii="宋体" w:hAnsi="宋体"/>
                <w:bCs/>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eastAsia="宋体"/>
                <w:highlight w:val="none"/>
                <w:lang w:val="en-US" w:eastAsia="zh-CN"/>
              </w:rPr>
            </w:pPr>
            <w:r>
              <w:rPr>
                <w:rFonts w:hint="eastAsia" w:ascii="宋体" w:hAnsi="宋体"/>
                <w:highlight w:val="none"/>
              </w:rPr>
              <w:t>业绩</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highlight w:val="none"/>
                <w:lang w:val="en-US" w:eastAsia="zh-CN"/>
              </w:rPr>
            </w:pPr>
            <w:r>
              <w:rPr>
                <w:rFonts w:hint="eastAsia" w:ascii="宋体" w:hAnsi="宋体"/>
                <w:highlight w:val="none"/>
              </w:rPr>
              <w:t>5</w:t>
            </w:r>
          </w:p>
        </w:tc>
        <w:tc>
          <w:tcPr>
            <w:tcW w:w="4740" w:type="dxa"/>
            <w:tcBorders>
              <w:top w:val="single" w:color="auto" w:sz="4" w:space="0"/>
              <w:left w:val="single" w:color="auto" w:sz="4" w:space="0"/>
              <w:bottom w:val="nil"/>
              <w:right w:val="single" w:color="auto" w:sz="4" w:space="0"/>
            </w:tcBorders>
            <w:vAlign w:val="center"/>
          </w:tcPr>
          <w:p>
            <w:pPr>
              <w:spacing w:line="420" w:lineRule="exact"/>
              <w:rPr>
                <w:highlight w:val="none"/>
              </w:rPr>
            </w:pPr>
            <w:r>
              <w:rPr>
                <w:rFonts w:hint="eastAsia" w:ascii="宋体" w:hAnsi="宋体"/>
                <w:bCs/>
                <w:highlight w:val="none"/>
              </w:rPr>
              <w:t>最近连续三年有国内外知名</w:t>
            </w:r>
            <w:r>
              <w:rPr>
                <w:rFonts w:hint="eastAsia" w:ascii="宋体" w:hAnsi="宋体"/>
                <w:bCs/>
                <w:highlight w:val="none"/>
                <w:lang w:val="en-US" w:eastAsia="zh-CN"/>
              </w:rPr>
              <w:t>厂家同类设备的</w:t>
            </w:r>
            <w:r>
              <w:rPr>
                <w:rFonts w:hint="eastAsia" w:ascii="宋体" w:hAnsi="宋体"/>
                <w:bCs/>
                <w:highlight w:val="none"/>
              </w:rPr>
              <w:t>供货经历或其他大型供货经历</w:t>
            </w:r>
            <w:r>
              <w:rPr>
                <w:rFonts w:hint="eastAsia" w:ascii="宋体" w:hAnsi="宋体"/>
                <w:bCs/>
                <w:highlight w:val="none"/>
                <w:lang w:eastAsia="zh-CN"/>
              </w:rPr>
              <w:t>、</w:t>
            </w:r>
            <w:r>
              <w:rPr>
                <w:rFonts w:hint="eastAsia" w:ascii="宋体" w:hAnsi="宋体"/>
                <w:bCs/>
                <w:highlight w:val="none"/>
                <w:lang w:val="en-US" w:eastAsia="zh-CN"/>
              </w:rPr>
              <w:t>安装施工经验，并提供从调试完毕后截至目前实际正常运行时间证明，</w:t>
            </w:r>
            <w:r>
              <w:rPr>
                <w:rFonts w:hint="eastAsia" w:ascii="宋体" w:hAnsi="宋体"/>
                <w:bCs/>
                <w:highlight w:val="none"/>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highlight w:val="none"/>
                <w:lang w:val="en-US" w:eastAsia="zh-CN"/>
              </w:rPr>
            </w:pPr>
            <w:r>
              <w:rPr>
                <w:rFonts w:hint="eastAsia" w:ascii="宋体" w:hAnsi="宋体"/>
                <w:highlight w:val="none"/>
              </w:rPr>
              <w:t>质量保证</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highlight w:val="none"/>
                <w:lang w:val="en-US" w:eastAsia="zh-CN"/>
              </w:rPr>
            </w:pPr>
            <w:r>
              <w:rPr>
                <w:rFonts w:hint="eastAsia" w:ascii="宋体" w:hAnsi="宋体"/>
                <w:highlight w:val="none"/>
              </w:rPr>
              <w:t>5</w:t>
            </w:r>
          </w:p>
        </w:tc>
        <w:tc>
          <w:tcPr>
            <w:tcW w:w="4740" w:type="dxa"/>
            <w:tcBorders>
              <w:top w:val="single" w:color="auto" w:sz="4" w:space="0"/>
              <w:left w:val="single" w:color="auto" w:sz="4" w:space="0"/>
              <w:bottom w:val="nil"/>
              <w:right w:val="single" w:color="auto" w:sz="4" w:space="0"/>
            </w:tcBorders>
            <w:vAlign w:val="center"/>
          </w:tcPr>
          <w:p>
            <w:pPr>
              <w:spacing w:line="420" w:lineRule="exact"/>
              <w:rPr>
                <w:highlight w:val="none"/>
              </w:rPr>
            </w:pPr>
            <w:r>
              <w:rPr>
                <w:rFonts w:hint="eastAsia" w:ascii="宋体" w:hAnsi="宋体"/>
                <w:bCs/>
                <w:highlight w:val="none"/>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highlight w:val="none"/>
                <w:lang w:val="en-US" w:eastAsia="zh-CN"/>
              </w:rPr>
            </w:pPr>
            <w:r>
              <w:rPr>
                <w:rFonts w:hint="eastAsia"/>
                <w:szCs w:val="21"/>
                <w:highlight w:val="none"/>
                <w:lang w:val="en-US" w:eastAsia="zh-CN"/>
              </w:rPr>
              <w:t>技术偏离</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highlight w:val="none"/>
                <w:lang w:val="en-US" w:eastAsia="zh-CN"/>
              </w:rPr>
            </w:pPr>
            <w:r>
              <w:rPr>
                <w:rFonts w:hint="eastAsia" w:ascii="宋体" w:hAnsi="宋体"/>
                <w:highlight w:val="none"/>
                <w:lang w:val="en-US" w:eastAsia="zh-CN"/>
              </w:rPr>
              <w:t>5</w:t>
            </w:r>
          </w:p>
        </w:tc>
        <w:tc>
          <w:tcPr>
            <w:tcW w:w="4740" w:type="dxa"/>
            <w:tcBorders>
              <w:top w:val="single" w:color="auto" w:sz="4" w:space="0"/>
              <w:left w:val="single" w:color="auto" w:sz="4" w:space="0"/>
              <w:bottom w:val="nil"/>
              <w:right w:val="single" w:color="auto" w:sz="4" w:space="0"/>
            </w:tcBorders>
            <w:vAlign w:val="center"/>
          </w:tcPr>
          <w:p>
            <w:pPr>
              <w:spacing w:line="420" w:lineRule="exact"/>
              <w:rPr>
                <w:rFonts w:hint="eastAsia"/>
                <w:szCs w:val="21"/>
                <w:highlight w:val="none"/>
                <w:lang w:val="en-US" w:eastAsia="zh-CN"/>
              </w:rPr>
            </w:pPr>
            <w:r>
              <w:rPr>
                <w:rFonts w:hint="eastAsia"/>
                <w:szCs w:val="21"/>
                <w:highlight w:val="none"/>
                <w:lang w:val="en-US" w:eastAsia="zh-CN"/>
              </w:rPr>
              <w:t>技术方案优于招标要求的视情况加1-5分；</w:t>
            </w:r>
          </w:p>
          <w:p>
            <w:pPr>
              <w:spacing w:line="420" w:lineRule="exact"/>
              <w:rPr>
                <w:highlight w:val="none"/>
              </w:rPr>
            </w:pPr>
            <w:r>
              <w:rPr>
                <w:rFonts w:hint="eastAsia"/>
                <w:szCs w:val="21"/>
                <w:highlight w:val="none"/>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highlight w:val="none"/>
              </w:rPr>
            </w:pPr>
          </w:p>
        </w:tc>
        <w:tc>
          <w:tcPr>
            <w:tcW w:w="880" w:type="dxa"/>
            <w:vMerge w:val="continue"/>
            <w:tcBorders>
              <w:left w:val="single" w:color="auto" w:sz="4" w:space="0"/>
              <w:bottom w:val="single" w:color="auto" w:sz="4" w:space="0"/>
              <w:right w:val="single" w:color="auto" w:sz="4" w:space="0"/>
            </w:tcBorders>
            <w:vAlign w:val="center"/>
          </w:tcPr>
          <w:p>
            <w:pPr>
              <w:widowControl/>
              <w:jc w:val="center"/>
              <w:rPr>
                <w:rFonts w:ascii="宋体"/>
                <w:highlight w:val="none"/>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highlight w:val="none"/>
                <w:lang w:val="en-US" w:eastAsia="zh-CN"/>
              </w:rPr>
            </w:pPr>
            <w:r>
              <w:rPr>
                <w:rFonts w:hint="eastAsia" w:ascii="宋体" w:hAnsi="宋体" w:eastAsia="宋体"/>
                <w:highlight w:val="none"/>
                <w:lang w:val="en-US" w:eastAsia="zh-CN"/>
              </w:rPr>
              <w:t>项目交期</w:t>
            </w:r>
          </w:p>
        </w:tc>
        <w:tc>
          <w:tcPr>
            <w:tcW w:w="703"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highlight w:val="none"/>
                <w:lang w:val="en-US" w:eastAsia="zh-CN"/>
              </w:rPr>
            </w:pPr>
            <w:r>
              <w:rPr>
                <w:rFonts w:hint="eastAsia" w:ascii="宋体" w:hAnsi="宋体" w:eastAsia="宋体"/>
                <w:szCs w:val="21"/>
                <w:highlight w:val="none"/>
                <w:lang w:val="en-US" w:eastAsia="zh-CN"/>
              </w:rPr>
              <w:t>15</w:t>
            </w:r>
          </w:p>
        </w:tc>
        <w:tc>
          <w:tcPr>
            <w:tcW w:w="4740" w:type="dxa"/>
            <w:tcBorders>
              <w:top w:val="single" w:color="auto" w:sz="4" w:space="0"/>
              <w:left w:val="single" w:color="auto" w:sz="4" w:space="0"/>
              <w:bottom w:val="nil"/>
              <w:right w:val="single" w:color="auto" w:sz="4" w:space="0"/>
            </w:tcBorders>
            <w:vAlign w:val="center"/>
          </w:tcPr>
          <w:p>
            <w:pPr>
              <w:tabs>
                <w:tab w:val="left" w:pos="7854"/>
              </w:tabs>
              <w:rPr>
                <w:highlight w:val="none"/>
              </w:rPr>
            </w:pPr>
            <w:r>
              <w:rPr>
                <w:rFonts w:hint="eastAsia"/>
                <w:szCs w:val="21"/>
                <w:highlight w:val="none"/>
              </w:rPr>
              <w:t>可以提前完成项目交货，视情况得</w:t>
            </w:r>
            <w:r>
              <w:rPr>
                <w:szCs w:val="21"/>
                <w:highlight w:val="none"/>
              </w:rPr>
              <w:t>0-</w:t>
            </w:r>
            <w:r>
              <w:rPr>
                <w:rFonts w:hint="eastAsia"/>
                <w:szCs w:val="21"/>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ighlight w:val="none"/>
                <w:lang w:val="en-US" w:eastAsia="zh-CN"/>
              </w:rPr>
              <w:t>100</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703"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4740" w:type="dxa"/>
            <w:tcBorders>
              <w:top w:val="single" w:color="auto" w:sz="4" w:space="0"/>
              <w:left w:val="single" w:color="auto" w:sz="4" w:space="0"/>
              <w:bottom w:val="nil"/>
              <w:right w:val="single" w:color="auto" w:sz="4" w:space="0"/>
            </w:tcBorders>
            <w:vAlign w:val="center"/>
          </w:tcPr>
          <w:p>
            <w:pPr>
              <w:spacing w:line="420" w:lineRule="exac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 xml:space="preserve">评标基准价： </w:t>
            </w:r>
          </w:p>
          <w:p>
            <w:pPr>
              <w:spacing w:line="420" w:lineRule="exac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1、评标基准价为所有合理有效的最终投标报价的最低价。</w:t>
            </w:r>
          </w:p>
          <w:p>
            <w:pPr>
              <w:spacing w:line="420" w:lineRule="exac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2、有效的评标基准价得100分；其他投标人的价格得分按下列公式计算：投标价格得分=100×（评标基准价/投标报价）。</w:t>
            </w:r>
          </w:p>
          <w:p>
            <w:pPr>
              <w:spacing w:line="420" w:lineRule="exact"/>
              <w:rPr>
                <w:highlight w:val="none"/>
              </w:rPr>
            </w:pPr>
            <w:r>
              <w:rPr>
                <w:rFonts w:hint="eastAsia" w:ascii="Times New Roman" w:hAnsi="Times New Roman" w:cs="Times New Roman"/>
                <w:szCs w:val="21"/>
                <w:highlight w:val="none"/>
                <w:lang w:val="en-US" w:eastAsia="zh-CN"/>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8933"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highlight w:val="none"/>
              </w:rPr>
            </w:pPr>
            <w:r>
              <w:rPr>
                <w:rFonts w:hint="eastAsia" w:ascii="宋体" w:hAnsi="宋体"/>
                <w:highlight w:val="none"/>
              </w:rPr>
              <w:t>备注：</w:t>
            </w:r>
          </w:p>
          <w:p>
            <w:pPr>
              <w:rPr>
                <w:rFonts w:ascii="宋体"/>
                <w:highlight w:val="none"/>
              </w:rPr>
            </w:pPr>
            <w:r>
              <w:rPr>
                <w:rFonts w:hint="eastAsia" w:ascii="宋体" w:hAnsi="宋体"/>
                <w:highlight w:val="none"/>
              </w:rPr>
              <w:t>1、通过初审者为有效投标。</w:t>
            </w:r>
          </w:p>
          <w:p>
            <w:pPr>
              <w:rPr>
                <w:rFonts w:hint="eastAsia" w:ascii="宋体" w:eastAsia="宋体"/>
                <w:b/>
                <w:bCs/>
                <w:color w:val="FF0000"/>
                <w:sz w:val="18"/>
                <w:szCs w:val="18"/>
                <w:highlight w:val="none"/>
                <w:lang w:eastAsia="zh-CN"/>
              </w:rPr>
            </w:pPr>
            <w:r>
              <w:rPr>
                <w:rFonts w:hint="eastAsia" w:ascii="宋体" w:hAnsi="宋体"/>
                <w:highlight w:val="none"/>
              </w:rPr>
              <w:t>2、</w:t>
            </w:r>
            <w:r>
              <w:rPr>
                <w:rFonts w:hint="eastAsia" w:ascii="??" w:hAnsi="??"/>
                <w:highlight w:val="none"/>
              </w:rPr>
              <w:t>综合评价值相同的，依照价格、技术、商务、服务及其他评价内容的优先次序，根据分项评价值进行排名。</w:t>
            </w:r>
            <w:r>
              <w:rPr>
                <w:rFonts w:hint="eastAsia" w:ascii="宋体" w:hAnsi="宋体"/>
                <w:highlight w:val="none"/>
              </w:rPr>
              <w:t>若上述排名皆相同的，则由全体评委成员无记名投票，得票高者排序在前。</w:t>
            </w:r>
          </w:p>
          <w:p>
            <w:pPr>
              <w:rPr>
                <w:rFonts w:hint="eastAsia" w:ascii="宋体" w:hAnsi="宋体"/>
                <w:highlight w:val="none"/>
              </w:rPr>
            </w:pPr>
            <w:r>
              <w:rPr>
                <w:rFonts w:hint="eastAsia" w:ascii="宋体" w:hAnsi="宋体"/>
                <w:highlight w:val="none"/>
              </w:rPr>
              <w:t>3、评委打分超过得分界限或未按本方法赋分时，该评委的打分按废票处理。</w:t>
            </w:r>
          </w:p>
          <w:p>
            <w:pPr>
              <w:rPr>
                <w:rFonts w:hint="eastAsia" w:ascii="宋体" w:hAnsi="宋体"/>
                <w:highlight w:val="none"/>
              </w:rPr>
            </w:pPr>
            <w:r>
              <w:rPr>
                <w:rFonts w:hint="eastAsia" w:ascii="宋体" w:hAnsi="宋体"/>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pPr>
              <w:rPr>
                <w:highlight w:val="none"/>
              </w:rPr>
            </w:pPr>
            <w:r>
              <w:rPr>
                <w:rFonts w:hint="eastAsia" w:ascii="宋体" w:hAnsi="宋体" w:cs="Times New Roman"/>
                <w:highlight w:val="none"/>
                <w:lang w:val="en-US" w:eastAsia="zh-CN"/>
              </w:rPr>
              <w:t>5、综合得分=技术分×40%＋商务标得分×60%</w:t>
            </w:r>
          </w:p>
        </w:tc>
      </w:tr>
    </w:tbl>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6"/>
      <w:bookmarkStart w:id="7" w:name="OLE_LINK29"/>
      <w:bookmarkStart w:id="8" w:name="OLE_LINK25"/>
      <w:bookmarkStart w:id="9" w:name="OLE_LINK28"/>
      <w:bookmarkStart w:id="10" w:name="OLE_LINK27"/>
      <w:r>
        <w:rPr>
          <w:rFonts w:hint="eastAsia" w:ascii="宋体" w:hAnsi="宋体" w:eastAsia="宋体" w:cs="宋体"/>
          <w:sz w:val="21"/>
          <w:szCs w:val="21"/>
          <w:highlight w:val="none"/>
        </w:rPr>
        <w:t>；</w:t>
      </w:r>
      <w:bookmarkEnd w:id="6"/>
      <w:bookmarkEnd w:id="7"/>
      <w:bookmarkEnd w:id="8"/>
      <w:bookmarkEnd w:id="9"/>
      <w:bookmarkEnd w:id="10"/>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交货时间：</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投标方应自合同签定之日起，40个日历日之内交货至供货地点；</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接续 20 个日历日之内安装调试完毕；</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highlight w:val="none"/>
          <w:lang w:val="en-US" w:eastAsia="zh-CN"/>
        </w:rPr>
        <w:t>质保期：</w:t>
      </w:r>
      <w:r>
        <w:rPr>
          <w:rFonts w:hint="eastAsia" w:cs="Times New Roman"/>
          <w:lang w:val="en-US" w:eastAsia="zh-CN"/>
        </w:rPr>
        <w:t>自终验收签字生效之日起  12 个月。</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付款节点：</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default" w:cs="Times New Roman"/>
          <w:lang w:val="en-US" w:eastAsia="zh-CN"/>
        </w:rPr>
      </w:pPr>
      <w:r>
        <w:rPr>
          <w:rFonts w:hint="eastAsia" w:cs="Times New Roman"/>
          <w:lang w:val="en-US" w:eastAsia="zh-CN"/>
        </w:rPr>
        <w:t>付款方式和付款比例不允许偏离</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重汽（济南）车桥有限公司</w:t>
      </w:r>
      <w:r>
        <w:rPr>
          <w:rFonts w:hint="eastAsia"/>
          <w:lang w:val="en-US" w:eastAsia="zh-CN"/>
        </w:rPr>
        <w:t>。</w:t>
      </w:r>
    </w:p>
    <w:p>
      <w:pPr>
        <w:pStyle w:val="77"/>
        <w:bidi w:val="0"/>
      </w:pPr>
    </w:p>
    <w:p>
      <w:pPr>
        <w:pStyle w:val="77"/>
        <w:bidi w:val="0"/>
        <w:rPr>
          <w:rFonts w:hint="eastAsia"/>
        </w:rPr>
      </w:pPr>
      <w:bookmarkStart w:id="11" w:name="_Toc47976607"/>
    </w:p>
    <w:p>
      <w:pPr>
        <w:pStyle w:val="77"/>
        <w:bidi w:val="0"/>
        <w:rPr>
          <w:rFonts w:hint="eastAsia"/>
        </w:rPr>
      </w:pPr>
    </w:p>
    <w:p>
      <w:pPr>
        <w:pStyle w:val="77"/>
        <w:bidi w:val="0"/>
        <w:rPr>
          <w:rFonts w:hint="eastAsia"/>
        </w:rPr>
      </w:pPr>
    </w:p>
    <w:p>
      <w:pPr>
        <w:pStyle w:val="77"/>
        <w:bidi w:val="0"/>
        <w:rPr>
          <w:rFonts w:hint="eastAsia"/>
        </w:rPr>
      </w:pPr>
    </w:p>
    <w:p>
      <w:pPr>
        <w:rPr>
          <w:rFonts w:hint="eastAsia"/>
        </w:rPr>
      </w:pPr>
      <w:r>
        <w:rPr>
          <w:rFonts w:hint="eastAsia"/>
        </w:rPr>
        <w:br w:type="page"/>
      </w:r>
    </w:p>
    <w:p>
      <w:pPr>
        <w:pStyle w:val="72"/>
        <w:jc w:val="center"/>
        <w:rPr>
          <w:b w:val="0"/>
          <w:bCs w:val="0"/>
        </w:rPr>
      </w:pPr>
      <w:bookmarkStart w:id="12" w:name="_Toc16839"/>
      <w:r>
        <w:rPr>
          <w:rFonts w:hint="eastAsia"/>
        </w:rPr>
        <w:t>第二部分　</w:t>
      </w:r>
      <w:bookmarkEnd w:id="11"/>
      <w:r>
        <w:rPr>
          <w:rFonts w:hint="eastAsia"/>
          <w:lang w:val="en-US" w:eastAsia="zh-CN"/>
        </w:rPr>
        <w:t>技术标书</w:t>
      </w:r>
      <w:bookmarkEnd w:id="12"/>
    </w:p>
    <w:p>
      <w:pPr>
        <w:adjustRightInd w:val="0"/>
        <w:snapToGrid w:val="0"/>
        <w:spacing w:before="163" w:beforeLines="50" w:after="163" w:afterLines="50" w:line="360" w:lineRule="auto"/>
        <w:jc w:val="center"/>
        <w:outlineLvl w:val="0"/>
        <w:rPr>
          <w:rFonts w:ascii="仿宋" w:hAnsi="仿宋" w:eastAsia="仿宋" w:cs="仿宋"/>
          <w:b/>
          <w:bCs/>
        </w:rPr>
      </w:pPr>
      <w:bookmarkStart w:id="13" w:name="_Toc2174"/>
      <w:bookmarkStart w:id="14" w:name="_Toc19716"/>
      <w:bookmarkStart w:id="15" w:name="_Toc19570"/>
      <w:bookmarkStart w:id="16" w:name="_Toc73112396"/>
      <w:bookmarkStart w:id="17" w:name="_Toc2042"/>
      <w:bookmarkStart w:id="18" w:name="_Toc7975"/>
      <w:r>
        <w:rPr>
          <w:rFonts w:hint="eastAsia" w:ascii="仿宋" w:hAnsi="仿宋" w:eastAsia="仿宋" w:cs="仿宋"/>
          <w:b/>
          <w:bCs/>
        </w:rPr>
        <w:t>第一章采购货物概况</w:t>
      </w:r>
      <w:bookmarkEnd w:id="13"/>
      <w:bookmarkEnd w:id="14"/>
      <w:bookmarkEnd w:id="15"/>
      <w:bookmarkEnd w:id="16"/>
      <w:bookmarkEnd w:id="17"/>
      <w:bookmarkEnd w:id="18"/>
      <w:bookmarkStart w:id="19" w:name="_Toc133783967"/>
    </w:p>
    <w:p>
      <w:pPr>
        <w:adjustRightInd w:val="0"/>
        <w:snapToGrid w:val="0"/>
        <w:spacing w:line="360" w:lineRule="auto"/>
        <w:jc w:val="center"/>
        <w:outlineLvl w:val="1"/>
        <w:rPr>
          <w:rFonts w:ascii="仿宋" w:hAnsi="仿宋" w:eastAsia="仿宋" w:cs="仿宋"/>
          <w:b/>
          <w:bCs/>
        </w:rPr>
      </w:pPr>
      <w:bookmarkStart w:id="20" w:name="_Toc6498"/>
      <w:bookmarkStart w:id="21" w:name="_Toc28361"/>
      <w:bookmarkStart w:id="22" w:name="_Toc5826"/>
      <w:bookmarkStart w:id="23" w:name="_Toc892"/>
      <w:bookmarkStart w:id="24" w:name="_Toc29605"/>
      <w:bookmarkStart w:id="25" w:name="_Toc11763"/>
      <w:bookmarkStart w:id="26" w:name="_Toc5400"/>
      <w:bookmarkStart w:id="27" w:name="_Toc2940"/>
      <w:bookmarkStart w:id="28" w:name="_Toc7515"/>
      <w:bookmarkStart w:id="29" w:name="_Toc4004"/>
      <w:bookmarkStart w:id="30" w:name="_Toc22424"/>
      <w:bookmarkStart w:id="31" w:name="_Toc864"/>
      <w:bookmarkStart w:id="32" w:name="_Toc7333"/>
      <w:bookmarkStart w:id="33" w:name="_Toc11411"/>
      <w:bookmarkStart w:id="34" w:name="_Toc2152"/>
      <w:bookmarkStart w:id="35" w:name="_Toc30246"/>
      <w:bookmarkStart w:id="36" w:name="_Toc29157"/>
      <w:bookmarkStart w:id="37" w:name="_Toc5983"/>
      <w:bookmarkStart w:id="38" w:name="_Toc30245"/>
      <w:bookmarkStart w:id="39" w:name="_Toc31000"/>
      <w:bookmarkStart w:id="40" w:name="_Toc17474"/>
      <w:bookmarkStart w:id="41" w:name="_Toc5420"/>
      <w:bookmarkStart w:id="42" w:name="_Toc5172"/>
      <w:bookmarkStart w:id="43" w:name="_Toc16714"/>
      <w:bookmarkStart w:id="44" w:name="_Toc6606"/>
      <w:bookmarkStart w:id="45" w:name="_Toc2996"/>
      <w:bookmarkStart w:id="46" w:name="_Toc29927"/>
      <w:bookmarkStart w:id="47" w:name="_Toc30808"/>
      <w:bookmarkStart w:id="48" w:name="_Toc21892"/>
      <w:bookmarkStart w:id="49" w:name="_Toc8362"/>
      <w:bookmarkStart w:id="50" w:name="_Toc22942"/>
      <w:bookmarkStart w:id="51" w:name="_Toc7159"/>
      <w:bookmarkStart w:id="52" w:name="_Toc21756"/>
      <w:bookmarkStart w:id="53" w:name="_Toc27214"/>
      <w:bookmarkStart w:id="54" w:name="_Toc24689"/>
      <w:bookmarkStart w:id="55" w:name="_Toc9983"/>
      <w:bookmarkStart w:id="56" w:name="_Toc73112397"/>
      <w:bookmarkStart w:id="57" w:name="_Toc25011"/>
      <w:bookmarkStart w:id="58" w:name="_Toc19070"/>
      <w:bookmarkStart w:id="59" w:name="_Toc5609"/>
      <w:bookmarkStart w:id="60" w:name="_Toc6436"/>
      <w:bookmarkStart w:id="61" w:name="_Toc10612"/>
      <w:r>
        <w:rPr>
          <w:rFonts w:hint="eastAsia" w:ascii="仿宋" w:hAnsi="仿宋" w:eastAsia="仿宋" w:cs="仿宋"/>
          <w:b/>
          <w:bCs/>
        </w:rPr>
        <w:t>第一节使用环境</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pStyle w:val="17"/>
        <w:tabs>
          <w:tab w:val="left" w:pos="0"/>
        </w:tabs>
        <w:snapToGrid w:val="0"/>
        <w:spacing w:line="360" w:lineRule="auto"/>
        <w:ind w:firstLine="480" w:firstLineChars="200"/>
        <w:rPr>
          <w:rFonts w:ascii="仿宋" w:hAnsi="仿宋" w:eastAsia="仿宋" w:cs="仿宋"/>
        </w:rPr>
      </w:pPr>
      <w:r>
        <w:rPr>
          <w:rFonts w:hint="eastAsia" w:ascii="仿宋" w:hAnsi="仿宋" w:eastAsia="仿宋" w:cs="仿宋"/>
        </w:rPr>
        <w:t>1项目名称：</w:t>
      </w:r>
      <w:r>
        <w:rPr>
          <w:rFonts w:hint="eastAsia" w:ascii="仿宋" w:hAnsi="仿宋" w:eastAsia="仿宋" w:cs="仿宋"/>
          <w:shd w:val="pct10" w:color="auto" w:fill="FFFFFF"/>
        </w:rPr>
        <w:t>前桥车轮螺栓压装单元改造项目</w:t>
      </w:r>
    </w:p>
    <w:p>
      <w:pPr>
        <w:pStyle w:val="17"/>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shd w:val="pct10" w:color="auto" w:fill="FFFFFF"/>
        </w:rPr>
        <w:t>重汽(济南)车桥有限公司</w:t>
      </w:r>
      <w:r>
        <w:rPr>
          <w:rFonts w:hint="eastAsia" w:ascii="仿宋" w:hAnsi="仿宋" w:eastAsia="仿宋" w:cs="仿宋"/>
        </w:rPr>
        <w:t>（工地）</w:t>
      </w:r>
    </w:p>
    <w:p>
      <w:pPr>
        <w:pStyle w:val="17"/>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shd w:val="pct10" w:color="auto" w:fill="FFFFFF"/>
        </w:rPr>
        <w:t>车桥公司</w:t>
      </w:r>
      <w:r>
        <w:rPr>
          <w:rFonts w:hint="eastAsia" w:ascii="仿宋" w:hAnsi="仿宋" w:eastAsia="仿宋" w:cs="仿宋"/>
          <w:shd w:val="pct10" w:color="auto" w:fill="FFFFFF"/>
          <w:lang w:val="en-US" w:eastAsia="zh-CN"/>
        </w:rPr>
        <w:t>零部件加工部</w:t>
      </w:r>
      <w:r>
        <w:rPr>
          <w:rFonts w:hint="eastAsia" w:ascii="仿宋" w:hAnsi="仿宋" w:eastAsia="仿宋" w:cs="仿宋"/>
        </w:rPr>
        <w:t>（室内）</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shd w:val="pct10" w:color="auto" w:fill="FFFFFF"/>
        </w:rPr>
        <w:t>300</w:t>
      </w:r>
      <w:r>
        <w:rPr>
          <w:rFonts w:hint="eastAsia" w:ascii="仿宋" w:hAnsi="仿宋" w:eastAsia="仿宋" w:cs="仿宋"/>
        </w:rPr>
        <w:t>天、</w:t>
      </w:r>
      <w:r>
        <w:rPr>
          <w:rFonts w:hint="eastAsia" w:ascii="仿宋" w:hAnsi="仿宋" w:eastAsia="仿宋" w:cs="仿宋"/>
          <w:shd w:val="pct10" w:color="auto" w:fill="FFFFFF"/>
        </w:rPr>
        <w:t>3</w:t>
      </w:r>
      <w:r>
        <w:rPr>
          <w:rFonts w:hint="eastAsia" w:ascii="仿宋" w:hAnsi="仿宋" w:eastAsia="仿宋" w:cs="仿宋"/>
        </w:rPr>
        <w:t xml:space="preserve">班制、设备年时基数 </w:t>
      </w:r>
      <w:r>
        <w:rPr>
          <w:rFonts w:hint="eastAsia" w:ascii="仿宋" w:hAnsi="仿宋" w:eastAsia="仿宋" w:cs="仿宋"/>
          <w:shd w:val="pct10" w:color="auto" w:fill="FFFFFF"/>
        </w:rPr>
        <w:t>7200</w:t>
      </w:r>
      <w:r>
        <w:rPr>
          <w:rFonts w:hint="eastAsia" w:ascii="仿宋" w:hAnsi="仿宋" w:eastAsia="仿宋" w:cs="仿宋"/>
        </w:rPr>
        <w:t xml:space="preserve"> 小时</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6能源环境：</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 ±0.1MPa</w:t>
      </w:r>
      <w:r>
        <w:rPr>
          <w:rFonts w:hint="eastAsia" w:ascii="仿宋" w:hAnsi="仿宋" w:eastAsia="仿宋" w:cs="仿宋"/>
        </w:rPr>
        <w:t>。</w:t>
      </w:r>
      <w:bookmarkStart w:id="62" w:name="_Toc4175"/>
      <w:bookmarkStart w:id="63" w:name="_Toc15369"/>
      <w:bookmarkStart w:id="64" w:name="_Toc6433"/>
      <w:bookmarkStart w:id="65" w:name="_Toc21616"/>
      <w:bookmarkStart w:id="66" w:name="_Toc429"/>
      <w:bookmarkStart w:id="67" w:name="_Toc17682"/>
      <w:bookmarkStart w:id="68" w:name="_Toc31241"/>
      <w:bookmarkStart w:id="69" w:name="_Toc17543"/>
      <w:bookmarkStart w:id="70" w:name="_Toc29333"/>
      <w:bookmarkStart w:id="71" w:name="_Toc27449"/>
      <w:bookmarkStart w:id="72" w:name="_Toc8740"/>
      <w:bookmarkStart w:id="73" w:name="_Toc23473"/>
      <w:bookmarkStart w:id="74" w:name="_Toc22983"/>
      <w:bookmarkStart w:id="75" w:name="_Toc9143"/>
      <w:bookmarkStart w:id="76" w:name="_Toc24563"/>
      <w:bookmarkStart w:id="77" w:name="_Toc30431"/>
      <w:bookmarkStart w:id="78" w:name="_Toc9671"/>
      <w:bookmarkStart w:id="79" w:name="_Toc13324"/>
      <w:bookmarkStart w:id="80" w:name="_Toc12401"/>
      <w:bookmarkStart w:id="81" w:name="_Toc5374"/>
      <w:bookmarkStart w:id="82" w:name="_Toc6636"/>
      <w:bookmarkStart w:id="83" w:name="_Toc9561"/>
      <w:bookmarkStart w:id="84" w:name="_Toc9784"/>
      <w:bookmarkStart w:id="85" w:name="_Toc133783968"/>
      <w:bookmarkStart w:id="86" w:name="_Toc11744"/>
      <w:bookmarkStart w:id="87" w:name="_Toc18569"/>
      <w:bookmarkStart w:id="88" w:name="_Toc5421"/>
      <w:bookmarkStart w:id="89" w:name="_Toc8728"/>
      <w:bookmarkStart w:id="90" w:name="_Toc29019"/>
      <w:bookmarkStart w:id="91" w:name="_Toc17605"/>
      <w:bookmarkStart w:id="92" w:name="_Toc24481"/>
      <w:bookmarkStart w:id="93" w:name="_Toc5282"/>
      <w:bookmarkStart w:id="94" w:name="_Toc27857"/>
    </w:p>
    <w:p>
      <w:pPr>
        <w:adjustRightInd w:val="0"/>
        <w:snapToGrid w:val="0"/>
        <w:spacing w:line="360" w:lineRule="auto"/>
        <w:jc w:val="center"/>
        <w:outlineLvl w:val="1"/>
        <w:rPr>
          <w:rFonts w:ascii="仿宋" w:hAnsi="仿宋" w:eastAsia="仿宋" w:cs="仿宋"/>
        </w:rPr>
      </w:pPr>
      <w:bookmarkStart w:id="95" w:name="_Toc13544"/>
      <w:bookmarkStart w:id="96" w:name="_Toc21957"/>
      <w:bookmarkStart w:id="97" w:name="_Toc18032"/>
      <w:bookmarkStart w:id="98" w:name="_Toc24559"/>
      <w:bookmarkStart w:id="99" w:name="_Toc1424"/>
      <w:bookmarkStart w:id="100" w:name="_Toc73112398"/>
      <w:bookmarkStart w:id="101" w:name="_Toc29190"/>
      <w:bookmarkStart w:id="102" w:name="_Toc10013"/>
      <w:bookmarkStart w:id="103" w:name="_Toc32599"/>
      <w:bookmarkStart w:id="104" w:name="_Toc18778"/>
      <w:bookmarkStart w:id="105" w:name="_Toc1523"/>
      <w:bookmarkStart w:id="106" w:name="_Toc17750"/>
      <w:bookmarkStart w:id="107" w:name="_Toc8560"/>
      <w:bookmarkStart w:id="108" w:name="_Toc21302"/>
      <w:r>
        <w:rPr>
          <w:rFonts w:hint="eastAsia" w:ascii="仿宋" w:hAnsi="仿宋" w:eastAsia="仿宋" w:cs="仿宋"/>
          <w:b/>
          <w:bCs/>
        </w:rPr>
        <w:t>第二节采购货物概况</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1货物（或生产线）：</w:t>
      </w:r>
      <w:r>
        <w:rPr>
          <w:rFonts w:hint="eastAsia" w:ascii="仿宋" w:hAnsi="仿宋" w:eastAsia="仿宋" w:cs="仿宋"/>
          <w:u w:val="single"/>
          <w:shd w:val="pct10" w:color="auto" w:fill="FFFFFF"/>
          <w:lang w:val="en-US" w:eastAsia="zh-CN"/>
        </w:rPr>
        <w:t>前桥车轮螺栓压装单元改造项目</w:t>
      </w:r>
      <w:r>
        <w:rPr>
          <w:rFonts w:hint="eastAsia" w:ascii="仿宋" w:hAnsi="仿宋" w:eastAsia="仿宋" w:cs="仿宋"/>
        </w:rPr>
        <w:t xml:space="preserve"> （详见下表）</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2货物（或生产线）数量：</w:t>
      </w:r>
      <w:r>
        <w:rPr>
          <w:rFonts w:hint="eastAsia" w:ascii="仿宋" w:hAnsi="仿宋" w:eastAsia="仿宋" w:cs="仿宋"/>
          <w:u w:val="single"/>
          <w:shd w:val="pct10" w:color="auto" w:fill="FFFFFF"/>
          <w:lang w:val="en-US" w:eastAsia="zh-CN"/>
        </w:rPr>
        <w:t>2</w:t>
      </w:r>
      <w:r>
        <w:rPr>
          <w:rFonts w:hint="eastAsia" w:ascii="仿宋" w:hAnsi="仿宋" w:eastAsia="仿宋" w:cs="仿宋"/>
          <w:u w:val="single"/>
          <w:shd w:val="pct10" w:color="auto" w:fill="FFFFFF"/>
        </w:rPr>
        <w:t>套</w:t>
      </w:r>
      <w:r>
        <w:rPr>
          <w:rFonts w:hint="eastAsia" w:ascii="仿宋" w:hAnsi="仿宋" w:eastAsia="仿宋" w:cs="仿宋"/>
        </w:rPr>
        <w:t>（</w:t>
      </w:r>
      <w:r>
        <w:rPr>
          <w:rFonts w:hint="eastAsia" w:ascii="仿宋" w:hAnsi="仿宋" w:eastAsia="仿宋" w:cs="仿宋"/>
          <w:lang w:val="en-US" w:eastAsia="zh-CN"/>
        </w:rPr>
        <w:t>具体内容</w:t>
      </w:r>
      <w:r>
        <w:rPr>
          <w:rFonts w:hint="eastAsia" w:ascii="仿宋" w:hAnsi="仿宋" w:eastAsia="仿宋" w:cs="仿宋"/>
        </w:rPr>
        <w:t>详见下表）</w:t>
      </w:r>
    </w:p>
    <w:p>
      <w:pPr>
        <w:pStyle w:val="17"/>
        <w:snapToGrid w:val="0"/>
        <w:spacing w:line="360" w:lineRule="auto"/>
        <w:ind w:firstLine="480" w:firstLineChars="200"/>
        <w:jc w:val="center"/>
        <w:rPr>
          <w:rFonts w:ascii="仿宋" w:hAnsi="仿宋" w:eastAsia="仿宋" w:cs="仿宋"/>
        </w:rPr>
      </w:pPr>
      <w:r>
        <w:rPr>
          <w:rFonts w:hint="eastAsia" w:ascii="仿宋" w:hAnsi="仿宋" w:eastAsia="仿宋" w:cs="仿宋"/>
        </w:rPr>
        <w:t>采购货物（或生产线）主要构成一览表</w:t>
      </w:r>
    </w:p>
    <w:tbl>
      <w:tblPr>
        <w:tblStyle w:val="31"/>
        <w:tblW w:w="7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052"/>
        <w:gridCol w:w="1176"/>
        <w:gridCol w:w="660"/>
        <w:gridCol w:w="720"/>
        <w:gridCol w:w="162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sz w:val="21"/>
                <w:szCs w:val="21"/>
              </w:rPr>
            </w:pPr>
            <w:r>
              <w:rPr>
                <w:rFonts w:hint="eastAsia" w:ascii="仿宋" w:hAnsi="仿宋" w:eastAsia="仿宋" w:cs="仿宋"/>
                <w:kern w:val="2"/>
                <w:sz w:val="21"/>
                <w:szCs w:val="21"/>
              </w:rPr>
              <w:t>序号</w:t>
            </w:r>
          </w:p>
        </w:tc>
        <w:tc>
          <w:tcPr>
            <w:tcW w:w="2052"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货物名称</w:t>
            </w:r>
          </w:p>
        </w:tc>
        <w:tc>
          <w:tcPr>
            <w:tcW w:w="1176"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型号规格</w:t>
            </w:r>
          </w:p>
        </w:tc>
        <w:tc>
          <w:tcPr>
            <w:tcW w:w="66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单位</w:t>
            </w:r>
          </w:p>
        </w:tc>
        <w:tc>
          <w:tcPr>
            <w:tcW w:w="7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数量</w:t>
            </w:r>
          </w:p>
        </w:tc>
        <w:tc>
          <w:tcPr>
            <w:tcW w:w="16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安装地点/ 服务对象</w:t>
            </w:r>
          </w:p>
        </w:tc>
        <w:tc>
          <w:tcPr>
            <w:tcW w:w="11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sz w:val="21"/>
                <w:szCs w:val="21"/>
              </w:rPr>
            </w:pPr>
            <w:r>
              <w:rPr>
                <w:rFonts w:hint="eastAsia" w:ascii="仿宋" w:hAnsi="仿宋" w:eastAsia="仿宋" w:cs="仿宋"/>
                <w:kern w:val="2"/>
                <w:sz w:val="21"/>
                <w:szCs w:val="21"/>
              </w:rPr>
              <w:t>1</w:t>
            </w:r>
          </w:p>
        </w:tc>
        <w:tc>
          <w:tcPr>
            <w:tcW w:w="2052"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螺栓上料机改造</w:t>
            </w:r>
          </w:p>
        </w:tc>
        <w:tc>
          <w:tcPr>
            <w:tcW w:w="1176"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p>
        </w:tc>
        <w:tc>
          <w:tcPr>
            <w:tcW w:w="66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套</w:t>
            </w:r>
          </w:p>
        </w:tc>
        <w:tc>
          <w:tcPr>
            <w:tcW w:w="7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2</w:t>
            </w:r>
          </w:p>
        </w:tc>
        <w:tc>
          <w:tcPr>
            <w:tcW w:w="1620" w:type="dxa"/>
            <w:vMerge w:val="restart"/>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lang w:val="en-US" w:eastAsia="zh-CN"/>
              </w:rPr>
              <w:t>零部件加工部</w:t>
            </w:r>
          </w:p>
        </w:tc>
        <w:tc>
          <w:tcPr>
            <w:tcW w:w="1120" w:type="dxa"/>
            <w:vMerge w:val="restart"/>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交钥匙</w:t>
            </w:r>
          </w:p>
          <w:p>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both"/>
              <w:textAlignment w:val="auto"/>
              <w:rPr>
                <w:rFonts w:ascii="仿宋" w:hAnsi="仿宋" w:eastAsia="仿宋" w:cs="仿宋"/>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2</w:t>
            </w:r>
          </w:p>
        </w:tc>
        <w:tc>
          <w:tcPr>
            <w:tcW w:w="2052"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托盘改造</w:t>
            </w:r>
          </w:p>
        </w:tc>
        <w:tc>
          <w:tcPr>
            <w:tcW w:w="1176"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p>
        </w:tc>
        <w:tc>
          <w:tcPr>
            <w:tcW w:w="66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套</w:t>
            </w:r>
          </w:p>
        </w:tc>
        <w:tc>
          <w:tcPr>
            <w:tcW w:w="7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60</w:t>
            </w:r>
          </w:p>
        </w:tc>
        <w:tc>
          <w:tcPr>
            <w:tcW w:w="162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ascii="仿宋" w:hAnsi="仿宋" w:eastAsia="仿宋" w:cs="仿宋"/>
                <w:kern w:val="2"/>
                <w:sz w:val="21"/>
                <w:szCs w:val="21"/>
              </w:rPr>
            </w:pPr>
          </w:p>
        </w:tc>
        <w:tc>
          <w:tcPr>
            <w:tcW w:w="112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ascii="仿宋" w:hAnsi="仿宋" w:eastAsia="仿宋" w:cs="仿宋"/>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3</w:t>
            </w:r>
          </w:p>
        </w:tc>
        <w:tc>
          <w:tcPr>
            <w:tcW w:w="2052"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螺栓预压机改造</w:t>
            </w:r>
          </w:p>
        </w:tc>
        <w:tc>
          <w:tcPr>
            <w:tcW w:w="1176"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ascii="仿宋" w:hAnsi="仿宋" w:eastAsia="仿宋" w:cs="仿宋"/>
                <w:kern w:val="2"/>
                <w:sz w:val="21"/>
                <w:szCs w:val="21"/>
              </w:rPr>
            </w:pPr>
          </w:p>
        </w:tc>
        <w:tc>
          <w:tcPr>
            <w:tcW w:w="66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台</w:t>
            </w:r>
          </w:p>
        </w:tc>
        <w:tc>
          <w:tcPr>
            <w:tcW w:w="72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1"/>
                <w:szCs w:val="21"/>
                <w:lang w:val="en-US" w:eastAsia="zh-CN"/>
              </w:rPr>
            </w:pPr>
            <w:r>
              <w:rPr>
                <w:rFonts w:hint="eastAsia" w:ascii="仿宋" w:hAnsi="仿宋" w:eastAsia="仿宋" w:cs="仿宋"/>
                <w:kern w:val="2"/>
                <w:sz w:val="21"/>
                <w:szCs w:val="21"/>
                <w:lang w:val="en-US" w:eastAsia="zh-CN"/>
              </w:rPr>
              <w:t>2</w:t>
            </w:r>
          </w:p>
        </w:tc>
        <w:tc>
          <w:tcPr>
            <w:tcW w:w="162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ascii="仿宋" w:hAnsi="仿宋" w:eastAsia="仿宋" w:cs="仿宋"/>
                <w:kern w:val="2"/>
                <w:sz w:val="21"/>
                <w:szCs w:val="21"/>
              </w:rPr>
            </w:pPr>
          </w:p>
        </w:tc>
        <w:tc>
          <w:tcPr>
            <w:tcW w:w="112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firstLine="0" w:firstLineChars="0"/>
              <w:jc w:val="center"/>
              <w:textAlignment w:val="auto"/>
              <w:rPr>
                <w:rFonts w:ascii="仿宋" w:hAnsi="仿宋" w:eastAsia="仿宋" w:cs="仿宋"/>
                <w:kern w:val="2"/>
                <w:sz w:val="21"/>
                <w:szCs w:val="21"/>
              </w:rPr>
            </w:pPr>
          </w:p>
        </w:tc>
      </w:tr>
    </w:tbl>
    <w:p>
      <w:pPr>
        <w:pStyle w:val="17"/>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备注：</w:t>
      </w:r>
    </w:p>
    <w:p>
      <w:pPr>
        <w:pStyle w:val="17"/>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pStyle w:val="17"/>
        <w:snapToGrid w:val="0"/>
        <w:spacing w:line="360" w:lineRule="auto"/>
        <w:ind w:firstLine="420" w:firstLineChars="200"/>
        <w:rPr>
          <w:rFonts w:ascii="仿宋" w:hAnsi="仿宋" w:eastAsia="仿宋" w:cs="仿宋"/>
          <w:sz w:val="21"/>
          <w:szCs w:val="21"/>
        </w:rPr>
      </w:pPr>
      <w:r>
        <w:rPr>
          <w:rFonts w:hint="eastAsia" w:ascii="仿宋" w:hAnsi="仿宋" w:eastAsia="仿宋" w:cs="仿宋"/>
          <w:sz w:val="21"/>
          <w:szCs w:val="21"/>
        </w:rPr>
        <w:t>②本表“供货方式”指：交钥匙方式——包括制造、运输、定点卸货、安装、调试和验收以及培训等。</w:t>
      </w:r>
    </w:p>
    <w:p>
      <w:pPr>
        <w:jc w:val="center"/>
        <w:outlineLvl w:val="0"/>
        <w:rPr>
          <w:rFonts w:ascii="仿宋" w:hAnsi="仿宋" w:eastAsia="仿宋" w:cs="仿宋"/>
          <w:b/>
          <w:bCs/>
        </w:rPr>
      </w:pPr>
      <w:bookmarkStart w:id="109" w:name="_Toc6687"/>
      <w:bookmarkStart w:id="110" w:name="_Toc4488"/>
      <w:bookmarkStart w:id="111" w:name="_Toc32524"/>
      <w:bookmarkStart w:id="112" w:name="_Toc31734"/>
      <w:bookmarkStart w:id="113" w:name="_Toc24992"/>
      <w:bookmarkStart w:id="114" w:name="_Toc25811"/>
      <w:bookmarkStart w:id="115" w:name="_Toc10441"/>
      <w:bookmarkStart w:id="116" w:name="_Toc12377"/>
      <w:bookmarkStart w:id="117" w:name="_Toc7813"/>
      <w:bookmarkStart w:id="118" w:name="_Toc7739"/>
      <w:bookmarkStart w:id="119" w:name="_Toc30487"/>
      <w:bookmarkStart w:id="120" w:name="_Toc18120"/>
      <w:bookmarkStart w:id="121" w:name="_Toc22658"/>
      <w:bookmarkStart w:id="122" w:name="_Toc73112399"/>
      <w:bookmarkStart w:id="123" w:name="_Toc761"/>
      <w:bookmarkStart w:id="124" w:name="_Toc4881"/>
      <w:bookmarkStart w:id="125" w:name="_Toc2018"/>
      <w:bookmarkStart w:id="126" w:name="_Toc29174"/>
      <w:bookmarkStart w:id="127" w:name="_Toc2875"/>
      <w:bookmarkStart w:id="128" w:name="_Toc26470"/>
      <w:bookmarkStart w:id="129" w:name="_Toc10580"/>
      <w:bookmarkStart w:id="130" w:name="_Toc8565"/>
      <w:bookmarkStart w:id="131" w:name="_Toc24597"/>
      <w:bookmarkStart w:id="132" w:name="_Toc27638"/>
      <w:bookmarkStart w:id="133" w:name="_Toc7338"/>
      <w:bookmarkStart w:id="134" w:name="_Toc11605"/>
      <w:bookmarkStart w:id="135" w:name="_Toc8780"/>
      <w:bookmarkStart w:id="136" w:name="_Toc16387"/>
      <w:bookmarkStart w:id="137" w:name="_Toc17465"/>
      <w:bookmarkStart w:id="138" w:name="_Toc26149"/>
      <w:bookmarkStart w:id="139" w:name="_Toc28168"/>
      <w:bookmarkStart w:id="140" w:name="_Toc1621"/>
      <w:bookmarkStart w:id="141" w:name="_Toc15180"/>
      <w:bookmarkStart w:id="142" w:name="_Toc133783969"/>
      <w:bookmarkStart w:id="143" w:name="_Toc22689"/>
      <w:bookmarkStart w:id="144" w:name="_Toc19015"/>
      <w:bookmarkStart w:id="145" w:name="_Toc13878"/>
      <w:bookmarkStart w:id="146" w:name="_Toc498"/>
      <w:bookmarkStart w:id="147" w:name="_Toc32616"/>
      <w:bookmarkStart w:id="148" w:name="_Toc4743"/>
      <w:bookmarkStart w:id="149" w:name="_Toc19793"/>
      <w:bookmarkStart w:id="150" w:name="_Toc23603"/>
      <w:bookmarkStart w:id="151" w:name="_Toc30429"/>
      <w:bookmarkStart w:id="152" w:name="_Toc20034"/>
      <w:r>
        <w:rPr>
          <w:rFonts w:hint="eastAsia" w:ascii="仿宋" w:hAnsi="仿宋" w:eastAsia="仿宋" w:cs="仿宋"/>
          <w:b/>
          <w:bCs/>
        </w:rPr>
        <w:t>第二章技术要求</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snapToGrid w:val="0"/>
        <w:spacing w:line="360" w:lineRule="auto"/>
        <w:ind w:firstLine="422" w:firstLineChars="200"/>
        <w:outlineLvl w:val="1"/>
        <w:rPr>
          <w:rFonts w:ascii="仿宋" w:hAnsi="仿宋" w:eastAsia="仿宋" w:cs="仿宋"/>
          <w:b/>
          <w:bCs/>
        </w:rPr>
      </w:pPr>
      <w:bookmarkStart w:id="153" w:name="_Toc6003"/>
      <w:bookmarkStart w:id="154" w:name="_Toc5714"/>
      <w:bookmarkStart w:id="155" w:name="_Toc16822"/>
      <w:bookmarkStart w:id="156" w:name="_Toc9894"/>
      <w:bookmarkStart w:id="157" w:name="_Toc27282"/>
      <w:bookmarkStart w:id="158" w:name="_Toc20792"/>
      <w:bookmarkStart w:id="159" w:name="_Toc73112400"/>
      <w:bookmarkStart w:id="160" w:name="_Toc26827"/>
      <w:bookmarkStart w:id="161" w:name="_Toc15995"/>
      <w:bookmarkStart w:id="162" w:name="_Toc29354"/>
      <w:bookmarkStart w:id="163" w:name="_Toc13195"/>
      <w:bookmarkStart w:id="164" w:name="_Toc11621"/>
      <w:bookmarkStart w:id="165" w:name="_Toc9134"/>
      <w:bookmarkStart w:id="166" w:name="_Toc31434"/>
      <w:bookmarkStart w:id="167" w:name="_Toc21559"/>
      <w:bookmarkStart w:id="168" w:name="_Toc23337"/>
      <w:bookmarkStart w:id="169" w:name="_Toc22422"/>
      <w:bookmarkStart w:id="170" w:name="_Toc28751"/>
      <w:bookmarkStart w:id="171" w:name="_Toc27930"/>
      <w:bookmarkStart w:id="172" w:name="_Toc23050"/>
      <w:bookmarkStart w:id="173" w:name="_Toc4126"/>
      <w:bookmarkStart w:id="174" w:name="_Toc1111"/>
      <w:bookmarkStart w:id="175" w:name="_Toc2473"/>
      <w:bookmarkStart w:id="176" w:name="_Toc39"/>
      <w:bookmarkStart w:id="177" w:name="_Toc11056"/>
      <w:bookmarkStart w:id="178" w:name="_Toc5450"/>
      <w:bookmarkStart w:id="179" w:name="_Toc7141"/>
      <w:bookmarkStart w:id="180" w:name="_Toc20402"/>
      <w:bookmarkStart w:id="181" w:name="_Toc380"/>
      <w:bookmarkStart w:id="182" w:name="_Toc29489"/>
      <w:bookmarkStart w:id="183" w:name="_Toc25950"/>
      <w:bookmarkStart w:id="184" w:name="_Toc18792"/>
      <w:bookmarkStart w:id="185" w:name="_Toc5804"/>
      <w:bookmarkStart w:id="186" w:name="_Toc16063"/>
      <w:bookmarkStart w:id="187" w:name="_Toc5876"/>
      <w:bookmarkStart w:id="188" w:name="_Toc5110"/>
      <w:bookmarkStart w:id="189" w:name="_Toc31246"/>
      <w:bookmarkStart w:id="190" w:name="_Toc15747"/>
      <w:bookmarkStart w:id="191" w:name="_Toc15744"/>
      <w:bookmarkStart w:id="192" w:name="_Toc1968"/>
      <w:bookmarkStart w:id="193" w:name="_Toc477"/>
      <w:r>
        <w:rPr>
          <w:rFonts w:hint="eastAsia" w:ascii="仿宋" w:hAnsi="仿宋" w:eastAsia="仿宋" w:cs="仿宋"/>
          <w:b/>
          <w:bCs/>
        </w:rPr>
        <w:t>1基本要求</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pPr>
        <w:pStyle w:val="17"/>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1.4 投标方应满足招标方提出的各项技术要求，必要时应当免费提供技术承诺或担保。</w:t>
      </w:r>
    </w:p>
    <w:p>
      <w:pPr>
        <w:pStyle w:val="17"/>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highlight w:val="none"/>
          <w:lang w:eastAsia="zh-CN"/>
        </w:rPr>
        <w:t>规范</w:t>
      </w:r>
      <w:r>
        <w:rPr>
          <w:rFonts w:hint="eastAsia" w:ascii="仿宋" w:hAnsi="仿宋" w:eastAsia="仿宋" w:cs="仿宋"/>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highlight w:val="none"/>
        </w:rPr>
        <w:t>。</w:t>
      </w:r>
    </w:p>
    <w:p>
      <w:pPr>
        <w:pStyle w:val="17"/>
        <w:snapToGrid w:val="0"/>
        <w:spacing w:line="360" w:lineRule="auto"/>
        <w:ind w:firstLine="480" w:firstLineChars="200"/>
        <w:rPr>
          <w:rFonts w:ascii="仿宋" w:hAnsi="仿宋" w:eastAsia="仿宋" w:cs="仿宋"/>
        </w:rPr>
      </w:pPr>
      <w:r>
        <w:rPr>
          <w:rFonts w:hint="eastAsia" w:ascii="仿宋" w:hAnsi="仿宋" w:eastAsia="仿宋" w:cs="仿宋"/>
          <w:highlight w:val="none"/>
        </w:rPr>
        <w:t>★1.6 投标方应保证所供货物（或设备）为中国公布的非淘汰货物（或设备），</w:t>
      </w:r>
      <w:r>
        <w:rPr>
          <w:rFonts w:hint="eastAsia" w:ascii="仿宋" w:hAnsi="仿宋" w:eastAsia="仿宋" w:cs="仿宋"/>
        </w:rPr>
        <w:t>并为中国指定或规定的主管部门认可的环保型和节能型货物（或设备）。招标的中标货物不接受试验品（提供证据），还应是原产地的货物。</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1.7 设备用能设计基本要求</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pPr>
        <w:pStyle w:val="17"/>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1.7.4 在各类机电设备（产品）的采购过程中应优先选用符合《节能机电设备（产品）推荐目录（第</w:t>
      </w:r>
      <w:r>
        <w:rPr>
          <w:rFonts w:hint="eastAsia" w:ascii="仿宋" w:hAnsi="仿宋" w:eastAsia="仿宋" w:cs="仿宋"/>
          <w:highlight w:val="none"/>
          <w:lang w:val="en-US" w:eastAsia="zh-CN"/>
        </w:rPr>
        <w:t>一至第</w:t>
      </w:r>
      <w:r>
        <w:rPr>
          <w:rFonts w:hint="eastAsia" w:ascii="仿宋" w:hAnsi="仿宋" w:eastAsia="仿宋" w:cs="仿宋"/>
          <w:highlight w:val="none"/>
        </w:rPr>
        <w:t>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17"/>
        <w:snapToGrid w:val="0"/>
        <w:spacing w:line="360" w:lineRule="auto"/>
        <w:ind w:firstLine="480" w:firstLineChars="200"/>
        <w:rPr>
          <w:rFonts w:ascii="仿宋" w:hAnsi="仿宋" w:eastAsia="仿宋" w:cs="仿宋"/>
          <w:highlight w:val="none"/>
        </w:rPr>
      </w:pPr>
      <w:r>
        <w:rPr>
          <w:rFonts w:hint="eastAsia" w:ascii="仿宋" w:hAnsi="仿宋" w:eastAsia="仿宋" w:cs="仿宋"/>
          <w:highlight w:val="none"/>
        </w:rPr>
        <w:t>1.7.5 供方应确保设备的附属各类机电设备、设施（如：电机、风机、电器控制系统、润滑、保温隔热、照明等等）符合国家现行的相关专项标准要求。</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 设备使用仪表和自控设备要求：</w:t>
      </w:r>
    </w:p>
    <w:p>
      <w:pPr>
        <w:pStyle w:val="17"/>
        <w:snapToGrid w:val="0"/>
        <w:spacing w:line="360" w:lineRule="auto"/>
        <w:ind w:firstLine="480" w:firstLineChars="200"/>
        <w:rPr>
          <w:rFonts w:ascii="仿宋" w:hAnsi="仿宋" w:eastAsia="仿宋" w:cs="仿宋"/>
        </w:rPr>
      </w:pPr>
      <w:bookmarkStart w:id="194" w:name="_Toc5025"/>
      <w:bookmarkStart w:id="195" w:name="_Toc5010"/>
      <w:bookmarkStart w:id="196" w:name="_Toc7044"/>
      <w:bookmarkStart w:id="197" w:name="_Toc2908"/>
      <w:bookmarkStart w:id="198" w:name="_Toc31111"/>
      <w:bookmarkStart w:id="199" w:name="_Toc30944"/>
      <w:r>
        <w:rPr>
          <w:rFonts w:hint="eastAsia" w:ascii="仿宋" w:hAnsi="仿宋" w:eastAsia="仿宋" w:cs="仿宋"/>
        </w:rPr>
        <w:t>1.10.1 设备使用仪表通用技术要求:</w:t>
      </w:r>
      <w:bookmarkEnd w:id="194"/>
      <w:bookmarkEnd w:id="195"/>
      <w:bookmarkEnd w:id="196"/>
      <w:bookmarkEnd w:id="197"/>
      <w:bookmarkEnd w:id="198"/>
      <w:bookmarkEnd w:id="199"/>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pStyle w:val="17"/>
        <w:snapToGrid w:val="0"/>
        <w:spacing w:line="360" w:lineRule="auto"/>
        <w:ind w:firstLine="480" w:firstLineChars="200"/>
        <w:rPr>
          <w:rFonts w:ascii="仿宋" w:hAnsi="仿宋" w:eastAsia="仿宋" w:cs="仿宋"/>
        </w:rPr>
      </w:pPr>
      <w:bookmarkStart w:id="200" w:name="_Toc26032"/>
      <w:bookmarkStart w:id="201" w:name="_Toc581"/>
      <w:bookmarkStart w:id="202" w:name="_Toc9364"/>
      <w:bookmarkStart w:id="203" w:name="_Toc32105"/>
      <w:bookmarkStart w:id="204" w:name="_Toc16669"/>
      <w:bookmarkStart w:id="205" w:name="_Toc5075"/>
      <w:r>
        <w:rPr>
          <w:rFonts w:hint="eastAsia" w:ascii="仿宋" w:hAnsi="仿宋" w:eastAsia="仿宋" w:cs="仿宋"/>
        </w:rPr>
        <w:t>1.10.2 准确度要求: </w:t>
      </w:r>
      <w:bookmarkEnd w:id="200"/>
      <w:bookmarkEnd w:id="201"/>
      <w:bookmarkEnd w:id="202"/>
      <w:bookmarkEnd w:id="203"/>
      <w:bookmarkEnd w:id="204"/>
      <w:bookmarkEnd w:id="205"/>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1.10.2.3 项目验收时，投标方提供测量功能设备及计量器具资质合格证书，招标方根据实际情况进行相关复检，复检合格视为合格。</w:t>
      </w:r>
    </w:p>
    <w:p>
      <w:pPr>
        <w:pStyle w:val="17"/>
        <w:snapToGrid w:val="0"/>
        <w:spacing w:line="360" w:lineRule="auto"/>
        <w:ind w:firstLine="480" w:firstLineChars="200"/>
        <w:rPr>
          <w:rFonts w:ascii="仿宋" w:hAnsi="仿宋" w:eastAsia="仿宋" w:cs="仿宋"/>
        </w:rPr>
      </w:pPr>
      <w:bookmarkStart w:id="206" w:name="_Toc28774"/>
      <w:bookmarkStart w:id="207" w:name="_Toc5510"/>
      <w:bookmarkStart w:id="208" w:name="_Toc25422"/>
      <w:bookmarkStart w:id="209" w:name="_Toc8799"/>
      <w:bookmarkStart w:id="210" w:name="_Toc31048"/>
      <w:bookmarkStart w:id="211" w:name="_Toc1291"/>
      <w:r>
        <w:rPr>
          <w:rFonts w:hint="eastAsia" w:ascii="仿宋" w:hAnsi="仿宋" w:eastAsia="仿宋" w:cs="仿宋"/>
        </w:rPr>
        <w:t>1.10.3 材质要求: </w:t>
      </w:r>
      <w:bookmarkEnd w:id="206"/>
      <w:bookmarkEnd w:id="207"/>
      <w:bookmarkEnd w:id="208"/>
      <w:bookmarkEnd w:id="209"/>
      <w:bookmarkEnd w:id="210"/>
      <w:bookmarkEnd w:id="211"/>
    </w:p>
    <w:p>
      <w:pPr>
        <w:pStyle w:val="17"/>
        <w:snapToGrid w:val="0"/>
        <w:spacing w:line="360" w:lineRule="auto"/>
        <w:ind w:firstLine="48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pStyle w:val="17"/>
        <w:snapToGrid w:val="0"/>
        <w:spacing w:line="360" w:lineRule="auto"/>
        <w:ind w:firstLine="480" w:firstLineChars="200"/>
        <w:rPr>
          <w:rFonts w:ascii="仿宋" w:hAnsi="仿宋" w:eastAsia="仿宋" w:cs="仿宋"/>
        </w:rPr>
      </w:pPr>
      <w:r>
        <w:rPr>
          <w:rFonts w:hint="eastAsia" w:ascii="仿宋" w:hAnsi="仿宋" w:eastAsia="仿宋" w:cs="仿宋"/>
        </w:rPr>
        <w:t>★1.11投标方所供设备应按“交钥匙工程”要求。</w:t>
      </w:r>
    </w:p>
    <w:p>
      <w:pPr>
        <w:keepNext w:val="0"/>
        <w:keepLines w:val="0"/>
        <w:pageBreakBefore w:val="0"/>
        <w:widowControl w:val="0"/>
        <w:kinsoku/>
        <w:wordWrap/>
        <w:overflowPunct/>
        <w:topLinePunct w:val="0"/>
        <w:autoSpaceDE/>
        <w:autoSpaceDN/>
        <w:bidi w:val="0"/>
        <w:adjustRightInd/>
        <w:snapToGrid w:val="0"/>
        <w:spacing w:before="146" w:beforeLines="50" w:line="360" w:lineRule="auto"/>
        <w:ind w:firstLine="482" w:firstLineChars="200"/>
        <w:textAlignment w:val="auto"/>
        <w:outlineLvl w:val="1"/>
        <w:rPr>
          <w:rFonts w:ascii="仿宋" w:hAnsi="仿宋" w:eastAsia="仿宋" w:cs="仿宋"/>
          <w:sz w:val="24"/>
          <w:szCs w:val="24"/>
        </w:rPr>
      </w:pPr>
      <w:bookmarkStart w:id="212" w:name="_Hlk69924518"/>
      <w:r>
        <w:rPr>
          <w:rFonts w:hint="eastAsia" w:ascii="仿宋" w:hAnsi="仿宋" w:eastAsia="仿宋" w:cs="仿宋"/>
          <w:b/>
          <w:bCs/>
          <w:sz w:val="24"/>
          <w:szCs w:val="24"/>
        </w:rPr>
        <w:t xml:space="preserve">2 </w:t>
      </w:r>
      <w:r>
        <w:rPr>
          <w:rFonts w:hint="eastAsia" w:ascii="仿宋" w:hAnsi="仿宋" w:eastAsia="仿宋" w:cs="仿宋"/>
          <w:sz w:val="24"/>
          <w:szCs w:val="24"/>
          <w:lang w:bidi="ar"/>
        </w:rPr>
        <w:t>执行标准</w:t>
      </w:r>
    </w:p>
    <w:bookmarkEnd w:id="21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bidi="ar"/>
        </w:rPr>
        <w:t>2.1  招标方此处所列标准仅为涉及的主要标准，而且不保证其为最新版执行标准；投标方应当在投标文件中予以补充和完善。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bidi="ar"/>
        </w:rPr>
        <w:t>2.2  投标方需要执行的标准，应当以所供设备通过招标方将来组织的最终验收之日后需要执行的标准。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bidi="ar"/>
        </w:rPr>
        <w:t>2.3  涉及的主要标准表（包含但不限于）</w:t>
      </w:r>
    </w:p>
    <w:tbl>
      <w:tblPr>
        <w:tblStyle w:val="31"/>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jc w:val="center"/>
              <w:rPr>
                <w:rFonts w:ascii="仿宋" w:hAnsi="仿宋" w:eastAsia="仿宋" w:cs="仿宋"/>
                <w:sz w:val="21"/>
              </w:rPr>
            </w:pPr>
            <w:r>
              <w:rPr>
                <w:rFonts w:hint="eastAsia" w:ascii="仿宋" w:hAnsi="仿宋" w:eastAsia="仿宋" w:cs="仿宋"/>
                <w:sz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ascii="仿宋" w:hAnsi="仿宋" w:eastAsia="仿宋" w:cs="仿宋"/>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lang w:bidi="ar"/>
              </w:rPr>
            </w:pPr>
            <w:r>
              <w:rPr>
                <w:rFonts w:hint="eastAsia" w:ascii="仿宋" w:hAnsi="仿宋" w:eastAsia="仿宋" w:cs="仿宋"/>
                <w:sz w:val="21"/>
                <w:szCs w:val="21"/>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fldChar w:fldCharType="begin"/>
            </w:r>
            <w:r>
              <w:rPr>
                <w:rFonts w:hint="eastAsia" w:ascii="仿宋" w:hAnsi="仿宋" w:eastAsia="仿宋" w:cs="仿宋"/>
                <w:sz w:val="21"/>
                <w:szCs w:val="21"/>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1"/>
                <w:szCs w:val="21"/>
                <w:lang w:bidi="ar"/>
              </w:rPr>
              <w:fldChar w:fldCharType="separate"/>
            </w:r>
            <w:r>
              <w:rPr>
                <w:rFonts w:hint="eastAsia" w:ascii="仿宋" w:hAnsi="仿宋" w:eastAsia="仿宋" w:cs="仿宋"/>
                <w:sz w:val="21"/>
                <w:szCs w:val="21"/>
                <w:lang w:bidi="ar"/>
              </w:rPr>
              <w:t>机械设备防护罩安全标准</w:t>
            </w:r>
            <w:r>
              <w:rPr>
                <w:rFonts w:hint="eastAsia" w:ascii="仿宋" w:hAnsi="仿宋" w:eastAsia="仿宋" w:cs="仿宋"/>
                <w:sz w:val="21"/>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w:t>
            </w:r>
            <w:r>
              <w:rPr>
                <w:rFonts w:hint="eastAsia" w:ascii="仿宋" w:hAnsi="仿宋" w:eastAsia="仿宋" w:cs="仿宋"/>
                <w:sz w:val="21"/>
                <w:szCs w:val="21"/>
                <w:highlight w:val="none"/>
                <w:lang w:bidi="ar"/>
              </w:rPr>
              <w:t>23821-20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/T19671</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/T30574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《工业企业设计</w:t>
            </w:r>
            <w:r>
              <w:rPr>
                <w:rFonts w:hint="eastAsia" w:ascii="仿宋" w:hAnsi="仿宋" w:eastAsia="仿宋" w:cs="仿宋"/>
                <w:sz w:val="21"/>
                <w:szCs w:val="21"/>
                <w:highlight w:val="none"/>
                <w:lang w:eastAsia="zh-CN" w:bidi="ar"/>
              </w:rPr>
              <w:t>卫生标准</w:t>
            </w:r>
            <w:r>
              <w:rPr>
                <w:rFonts w:hint="eastAsia" w:ascii="仿宋" w:hAnsi="仿宋" w:eastAsia="仿宋" w:cs="仿宋"/>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 1</w:t>
            </w: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/T500</w:t>
            </w:r>
            <w:r>
              <w:rPr>
                <w:rFonts w:hint="eastAsia" w:ascii="仿宋" w:hAnsi="仿宋" w:eastAsia="仿宋" w:cs="仿宋"/>
                <w:sz w:val="21"/>
                <w:szCs w:val="21"/>
                <w:highlight w:val="none"/>
                <w:lang w:bidi="ar"/>
              </w:rPr>
              <w:t>87-</w:t>
            </w:r>
            <w:r>
              <w:rPr>
                <w:rFonts w:hint="eastAsia" w:ascii="仿宋" w:hAnsi="仿宋" w:eastAsia="仿宋" w:cs="仿宋"/>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高耗能落后机电设备（产品）淘汰目录（第</w:t>
            </w:r>
            <w:r>
              <w:rPr>
                <w:rFonts w:hint="eastAsia" w:ascii="仿宋" w:hAnsi="仿宋" w:eastAsia="仿宋" w:cs="仿宋"/>
                <w:sz w:val="21"/>
                <w:szCs w:val="21"/>
                <w:highlight w:val="none"/>
                <w:lang w:val="en-US" w:eastAsia="zh-CN" w:bidi="ar"/>
              </w:rPr>
              <w:t>四</w:t>
            </w:r>
            <w:r>
              <w:rPr>
                <w:rFonts w:hint="eastAsia" w:ascii="仿宋" w:hAnsi="仿宋" w:eastAsia="仿宋" w:cs="仿宋"/>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r>
              <w:rPr>
                <w:rFonts w:hint="eastAsia" w:ascii="仿宋" w:hAnsi="仿宋" w:eastAsia="仿宋" w:cs="仿宋"/>
                <w:highlight w:val="none"/>
              </w:rPr>
              <w:t>（第</w:t>
            </w:r>
            <w:r>
              <w:rPr>
                <w:rFonts w:hint="eastAsia" w:ascii="仿宋" w:hAnsi="仿宋" w:eastAsia="仿宋" w:cs="仿宋"/>
                <w:highlight w:val="none"/>
                <w:lang w:val="en-US" w:eastAsia="zh-CN"/>
              </w:rPr>
              <w:t>一至第</w:t>
            </w:r>
            <w:r>
              <w:rPr>
                <w:rFonts w:hint="eastAsia" w:ascii="仿宋" w:hAnsi="仿宋" w:eastAsia="仿宋" w:cs="仿宋"/>
                <w:highlight w:val="none"/>
              </w:rPr>
              <w:t>七批）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GB17167-20</w:t>
            </w:r>
            <w:r>
              <w:rPr>
                <w:rFonts w:hint="eastAsia" w:ascii="仿宋" w:hAnsi="仿宋" w:eastAsia="仿宋" w:cs="仿宋"/>
                <w:sz w:val="21"/>
                <w:szCs w:val="21"/>
                <w:highlight w:val="none"/>
                <w:lang w:val="en-US" w:eastAsia="zh-CN" w:bidi="ar"/>
              </w:rPr>
              <w:t>25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39463</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26</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exact"/>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39402</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28</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29</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30</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31</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32</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kern w:val="2"/>
                <w:sz w:val="21"/>
                <w:szCs w:val="21"/>
                <w:lang w:val="en-US" w:eastAsia="zh-CN" w:bidi="ar"/>
              </w:rPr>
            </w:pPr>
            <w:r>
              <w:rPr>
                <w:rFonts w:hint="eastAsia" w:ascii="仿宋" w:hAnsi="仿宋" w:eastAsia="仿宋" w:cs="仿宋"/>
                <w:sz w:val="21"/>
                <w:szCs w:val="21"/>
                <w:lang w:val="en-US" w:eastAsia="zh-CN" w:bidi="ar"/>
              </w:rPr>
              <w:t>33</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default" w:ascii="仿宋" w:hAnsi="仿宋" w:eastAsia="仿宋" w:cs="仿宋"/>
                <w:sz w:val="21"/>
                <w:szCs w:val="21"/>
                <w:lang w:val="en-US" w:eastAsia="zh-CN" w:bidi="ar"/>
              </w:rPr>
            </w:pPr>
            <w:r>
              <w:rPr>
                <w:rFonts w:hint="eastAsia" w:ascii="仿宋" w:hAnsi="仿宋" w:eastAsia="仿宋" w:cs="仿宋"/>
                <w:sz w:val="21"/>
                <w:szCs w:val="21"/>
                <w:lang w:val="en-US" w:eastAsia="zh-CN" w:bidi="ar"/>
              </w:rPr>
              <w:t>34</w:t>
            </w:r>
          </w:p>
        </w:tc>
        <w:tc>
          <w:tcPr>
            <w:tcW w:w="5348"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rPr>
                <w:rFonts w:hint="eastAsia" w:ascii="仿宋" w:hAnsi="仿宋" w:eastAsia="仿宋" w:cs="仿宋"/>
                <w:sz w:val="21"/>
                <w:szCs w:val="21"/>
                <w:lang w:bidi="ar"/>
              </w:rPr>
            </w:pPr>
            <w:r>
              <w:rPr>
                <w:rFonts w:hint="eastAsia" w:ascii="仿宋" w:hAnsi="仿宋" w:eastAsia="仿宋" w:cs="仿宋"/>
                <w:sz w:val="21"/>
                <w:szCs w:val="21"/>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cs="仿宋"/>
                <w:sz w:val="20"/>
                <w:szCs w:val="20"/>
              </w:rPr>
            </w:pPr>
          </w:p>
        </w:tc>
      </w:tr>
    </w:tbl>
    <w:p>
      <w:pPr>
        <w:spacing w:line="360" w:lineRule="exact"/>
        <w:rPr>
          <w:rFonts w:ascii="仿宋" w:hAnsi="仿宋" w:eastAsia="仿宋" w:cs="仿宋"/>
          <w:sz w:val="21"/>
        </w:rPr>
      </w:pPr>
      <w:r>
        <w:rPr>
          <w:rFonts w:hint="eastAsia" w:ascii="仿宋" w:hAnsi="仿宋" w:eastAsia="仿宋" w:cs="仿宋"/>
          <w:sz w:val="21"/>
          <w:lang w:bidi="ar"/>
        </w:rPr>
        <w:t>备注：1、如果有采用国际标准的货物，其执行标准由投标方提供、招标方确认。</w:t>
      </w:r>
    </w:p>
    <w:p>
      <w:pPr>
        <w:keepNext w:val="0"/>
        <w:keepLines w:val="0"/>
        <w:pageBreakBefore w:val="0"/>
        <w:widowControl w:val="0"/>
        <w:kinsoku/>
        <w:wordWrap/>
        <w:overflowPunct/>
        <w:topLinePunct w:val="0"/>
        <w:autoSpaceDE/>
        <w:autoSpaceDN/>
        <w:bidi w:val="0"/>
        <w:adjustRightInd/>
        <w:snapToGrid w:val="0"/>
        <w:spacing w:before="146" w:beforeLines="50" w:line="360" w:lineRule="auto"/>
        <w:ind w:firstLine="482" w:firstLineChars="200"/>
        <w:textAlignment w:val="auto"/>
        <w:outlineLvl w:val="1"/>
        <w:rPr>
          <w:rFonts w:ascii="仿宋" w:hAnsi="仿宋" w:eastAsia="仿宋" w:cs="仿宋"/>
          <w:b/>
          <w:bCs/>
          <w:sz w:val="24"/>
          <w:szCs w:val="24"/>
        </w:rPr>
      </w:pPr>
      <w:bookmarkStart w:id="213" w:name="_Toc17980"/>
      <w:bookmarkStart w:id="214" w:name="_Toc27027"/>
      <w:bookmarkStart w:id="215" w:name="_Toc16137"/>
      <w:bookmarkStart w:id="216" w:name="_Toc6412"/>
      <w:bookmarkStart w:id="217" w:name="_Toc7623"/>
      <w:bookmarkStart w:id="218" w:name="_Toc3292"/>
      <w:bookmarkStart w:id="219" w:name="_Toc4470"/>
      <w:bookmarkStart w:id="220" w:name="_Toc6030"/>
      <w:bookmarkStart w:id="221" w:name="_Toc26406"/>
      <w:bookmarkStart w:id="222" w:name="_Toc29247"/>
      <w:bookmarkStart w:id="223" w:name="_Toc19476"/>
      <w:bookmarkStart w:id="224" w:name="_Toc1883"/>
      <w:bookmarkStart w:id="225" w:name="_Toc11599"/>
      <w:bookmarkStart w:id="226" w:name="_Toc19250"/>
      <w:bookmarkStart w:id="227" w:name="_Toc20964"/>
      <w:bookmarkStart w:id="228" w:name="_Toc4217"/>
      <w:bookmarkStart w:id="229" w:name="_Toc20016"/>
      <w:bookmarkStart w:id="230" w:name="_Toc22289"/>
      <w:bookmarkStart w:id="231" w:name="_Toc14059"/>
      <w:bookmarkStart w:id="232" w:name="_Toc17231"/>
      <w:bookmarkStart w:id="233" w:name="_Toc12125"/>
      <w:bookmarkStart w:id="234" w:name="_Toc7786"/>
      <w:bookmarkStart w:id="235" w:name="_Toc7895"/>
      <w:bookmarkStart w:id="236" w:name="_Toc13103"/>
      <w:bookmarkStart w:id="237" w:name="_Toc1676"/>
      <w:bookmarkStart w:id="238" w:name="_Toc7648"/>
      <w:bookmarkStart w:id="239" w:name="_Toc31630"/>
      <w:bookmarkStart w:id="240" w:name="_Toc30383"/>
      <w:bookmarkStart w:id="241" w:name="_Toc73112401"/>
      <w:bookmarkStart w:id="242" w:name="_Toc5402"/>
      <w:bookmarkStart w:id="243" w:name="_Toc12179"/>
      <w:bookmarkStart w:id="244" w:name="_Toc1411"/>
      <w:bookmarkStart w:id="245" w:name="_Toc5212"/>
      <w:bookmarkStart w:id="246" w:name="_Toc27157"/>
      <w:bookmarkStart w:id="247" w:name="_Toc32006"/>
      <w:bookmarkStart w:id="248" w:name="_Toc8461"/>
      <w:bookmarkStart w:id="249" w:name="_Toc19638"/>
      <w:bookmarkStart w:id="250" w:name="_Toc32758"/>
      <w:bookmarkStart w:id="251" w:name="_Toc5441"/>
      <w:bookmarkStart w:id="252" w:name="_Toc29779"/>
      <w:bookmarkStart w:id="253" w:name="_Toc13423"/>
      <w:bookmarkStart w:id="254" w:name="_Toc21638"/>
      <w:r>
        <w:rPr>
          <w:rFonts w:hint="eastAsia" w:ascii="仿宋" w:hAnsi="仿宋" w:eastAsia="仿宋" w:cs="仿宋"/>
          <w:b/>
          <w:bCs/>
          <w:sz w:val="24"/>
          <w:szCs w:val="24"/>
        </w:rPr>
        <w:t>3技术规范</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sz w:val="24"/>
          <w:szCs w:val="24"/>
        </w:rPr>
      </w:pPr>
      <w:bookmarkStart w:id="255" w:name="_Toc26683"/>
      <w:bookmarkStart w:id="256" w:name="_Toc10677"/>
      <w:bookmarkStart w:id="257" w:name="_Toc43"/>
      <w:bookmarkStart w:id="258" w:name="_Toc15548"/>
      <w:bookmarkStart w:id="259" w:name="_Toc27515"/>
      <w:bookmarkStart w:id="260" w:name="_Toc20150"/>
      <w:bookmarkStart w:id="261" w:name="_Toc16518"/>
      <w:bookmarkStart w:id="262" w:name="_Toc26258"/>
      <w:bookmarkStart w:id="263" w:name="_Toc3050"/>
      <w:bookmarkStart w:id="264" w:name="_Toc26873"/>
      <w:bookmarkStart w:id="265" w:name="_Toc30668"/>
      <w:bookmarkStart w:id="266" w:name="_Toc19055"/>
      <w:bookmarkStart w:id="267" w:name="_Toc22042"/>
      <w:bookmarkStart w:id="268" w:name="_Toc25588"/>
      <w:bookmarkStart w:id="269" w:name="_Toc21407"/>
      <w:bookmarkStart w:id="270" w:name="_Toc17783"/>
      <w:bookmarkStart w:id="271" w:name="_Toc12757"/>
      <w:bookmarkStart w:id="272" w:name="_Toc26033"/>
      <w:bookmarkStart w:id="273" w:name="_Toc14166"/>
      <w:r>
        <w:rPr>
          <w:rFonts w:hint="eastAsia" w:ascii="仿宋" w:hAnsi="仿宋" w:eastAsia="仿宋" w:cs="仿宋"/>
          <w:sz w:val="24"/>
          <w:szCs w:val="24"/>
        </w:rPr>
        <w:t>3.1生产线能力及产品说明</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rPr>
        <w:t>3.1.1生产能力及节拍。</w:t>
      </w:r>
      <w:r>
        <w:rPr>
          <w:rFonts w:hint="eastAsia" w:ascii="仿宋" w:hAnsi="仿宋" w:eastAsia="仿宋" w:cs="仿宋"/>
          <w:sz w:val="24"/>
          <w:szCs w:val="24"/>
          <w:lang w:val="en-US" w:eastAsia="zh-CN"/>
        </w:rPr>
        <w:t>预压轮毂总成（10颗车轮螺栓）生产节拍≤30秒</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w:t>
      </w:r>
      <w:r>
        <w:rPr>
          <w:rFonts w:hint="eastAsia" w:ascii="仿宋" w:hAnsi="仿宋" w:eastAsia="仿宋" w:cs="仿宋"/>
          <w:sz w:val="24"/>
          <w:szCs w:val="24"/>
          <w:lang w:val="en-US" w:eastAsia="zh-CN"/>
        </w:rPr>
        <w:t>2</w:t>
      </w:r>
      <w:r>
        <w:rPr>
          <w:rFonts w:hint="eastAsia" w:ascii="仿宋" w:hAnsi="仿宋" w:eastAsia="仿宋" w:cs="仿宋"/>
          <w:sz w:val="24"/>
          <w:szCs w:val="24"/>
        </w:rPr>
        <w:t>产品简图:可附图。</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目前螺栓上料及预压机适用于圆形头部车轮螺栓见下图，改造后兼容马蹄形和圆形螺栓头部的车轮螺栓，见下图  </w:t>
      </w:r>
    </w:p>
    <w:p>
      <w:pPr>
        <w:pStyle w:val="17"/>
        <w:snapToGrid w:val="0"/>
        <w:spacing w:line="360" w:lineRule="auto"/>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lang w:eastAsia="zh-CN"/>
        </w:rPr>
        <w:drawing>
          <wp:inline distT="0" distB="0" distL="114300" distR="114300">
            <wp:extent cx="1207135" cy="1148715"/>
            <wp:effectExtent l="0" t="0" r="0" b="0"/>
            <wp:docPr id="2" name="图片 2" descr="4e9554fd-e261-4893-810b-a30c7d57d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9554fd-e261-4893-810b-a30c7d57ddbb"/>
                    <pic:cNvPicPr>
                      <a:picLocks noChangeAspect="1"/>
                    </pic:cNvPicPr>
                  </pic:nvPicPr>
                  <pic:blipFill>
                    <a:blip r:embed="rId24"/>
                    <a:srcRect l="11548" t="756" r="5211" b="8071"/>
                    <a:stretch>
                      <a:fillRect/>
                    </a:stretch>
                  </pic:blipFill>
                  <pic:spPr>
                    <a:xfrm>
                      <a:off x="0" y="0"/>
                      <a:ext cx="1207135" cy="114871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4409440" cy="1113790"/>
            <wp:effectExtent l="0" t="0" r="10160" b="13970"/>
            <wp:docPr id="3" name="图片 3" descr="5fd55c6d-e069-4500-971a-25a8d0f99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d55c6d-e069-4500-971a-25a8d0f99cee"/>
                    <pic:cNvPicPr>
                      <a:picLocks noChangeAspect="1"/>
                    </pic:cNvPicPr>
                  </pic:nvPicPr>
                  <pic:blipFill>
                    <a:blip r:embed="rId25"/>
                    <a:srcRect r="1767"/>
                    <a:stretch>
                      <a:fillRect/>
                    </a:stretch>
                  </pic:blipFill>
                  <pic:spPr>
                    <a:xfrm>
                      <a:off x="0" y="0"/>
                      <a:ext cx="4409440" cy="1113790"/>
                    </a:xfrm>
                    <a:prstGeom prst="rect">
                      <a:avLst/>
                    </a:prstGeom>
                  </pic:spPr>
                </pic:pic>
              </a:graphicData>
            </a:graphic>
          </wp:inline>
        </w:drawing>
      </w:r>
    </w:p>
    <w:p>
      <w:pPr>
        <w:pStyle w:val="17"/>
        <w:snapToGrid w:val="0"/>
        <w:spacing w:line="360" w:lineRule="auto"/>
        <w:ind w:left="0" w:lef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马蹄形螺栓头部                     圆形螺栓头部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cs="仿宋"/>
        </w:rPr>
        <w:t>3.1.4</w:t>
      </w:r>
      <w:r>
        <w:rPr>
          <w:rFonts w:hint="eastAsia" w:ascii="仿宋" w:hAnsi="仿宋" w:eastAsia="仿宋" w:cs="仿宋"/>
          <w:lang w:val="en-US" w:eastAsia="zh-CN"/>
        </w:rPr>
        <w:t>车轮螺栓</w:t>
      </w:r>
      <w:r>
        <w:rPr>
          <w:rFonts w:hint="eastAsia" w:ascii="仿宋" w:hAnsi="仿宋" w:eastAsia="仿宋" w:cs="仿宋"/>
        </w:rPr>
        <w:t>产品重量：</w:t>
      </w:r>
      <w:r>
        <w:rPr>
          <w:rFonts w:hint="eastAsia" w:ascii="仿宋" w:hAnsi="仿宋" w:eastAsia="仿宋" w:cs="仿宋"/>
          <w:lang w:val="en-US" w:eastAsia="zh-CN"/>
        </w:rPr>
        <w:t>0.35KG</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rPr>
      </w:pPr>
      <w:r>
        <w:rPr>
          <w:rFonts w:hint="eastAsia" w:ascii="仿宋" w:hAnsi="仿宋" w:eastAsia="仿宋" w:cs="仿宋"/>
        </w:rPr>
        <w:t>3.1.5布置布局：</w:t>
      </w:r>
    </w:p>
    <w:p>
      <w:pPr>
        <w:pStyle w:val="17"/>
        <w:snapToGrid w:val="0"/>
        <w:spacing w:line="360" w:lineRule="auto"/>
        <w:ind w:firstLine="480" w:firstLineChars="200"/>
        <w:rPr>
          <w:rFonts w:hint="default" w:ascii="仿宋" w:hAnsi="仿宋" w:eastAsia="仿宋" w:cs="仿宋"/>
          <w:lang w:val="en-US" w:eastAsia="zh-CN"/>
        </w:rPr>
      </w:pPr>
      <w:r>
        <w:rPr>
          <w:rFonts w:hint="eastAsia"/>
          <w:lang w:val="en-US" w:eastAsia="zh-CN"/>
        </w:rPr>
        <w:t xml:space="preserve">     </w:t>
      </w:r>
      <w:r>
        <w:rPr>
          <w:rFonts w:hint="default" w:ascii="仿宋" w:hAnsi="仿宋" w:eastAsia="仿宋" w:cs="仿宋"/>
          <w:lang w:val="en-US" w:eastAsia="zh-CN"/>
        </w:rPr>
        <w:drawing>
          <wp:inline distT="0" distB="0" distL="114300" distR="114300">
            <wp:extent cx="3926205" cy="3437890"/>
            <wp:effectExtent l="0" t="0" r="0" b="0"/>
            <wp:docPr id="8" name="图片 8" descr="48196e16-0629-4d16-8348-cc2d4dec8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196e16-0629-4d16-8348-cc2d4dec87e2"/>
                    <pic:cNvPicPr>
                      <a:picLocks noChangeAspect="1"/>
                    </pic:cNvPicPr>
                  </pic:nvPicPr>
                  <pic:blipFill>
                    <a:blip r:embed="rId26"/>
                    <a:srcRect t="5300"/>
                    <a:stretch>
                      <a:fillRect/>
                    </a:stretch>
                  </pic:blipFill>
                  <pic:spPr>
                    <a:xfrm>
                      <a:off x="0" y="0"/>
                      <a:ext cx="3926205" cy="3437890"/>
                    </a:xfrm>
                    <a:prstGeom prst="rect">
                      <a:avLst/>
                    </a:prstGeom>
                  </pic:spPr>
                </pic:pic>
              </a:graphicData>
            </a:graphic>
          </wp:inline>
        </w:drawing>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rPr>
      </w:pPr>
      <w:r>
        <w:rPr>
          <w:rFonts w:hint="eastAsia" w:ascii="仿宋" w:hAnsi="仿宋" w:eastAsia="仿宋" w:cs="仿宋"/>
        </w:rPr>
        <w:t xml:space="preserve">3.1.6车轮螺栓装配工艺流程：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default" w:ascii="仿宋" w:hAnsi="仿宋" w:eastAsia="仿宋" w:cs="仿宋"/>
          <w:lang w:val="en-US" w:eastAsia="zh-CN"/>
        </w:rPr>
      </w:pPr>
      <w:r>
        <w:rPr>
          <w:rFonts w:hint="eastAsia" w:ascii="仿宋" w:hAnsi="仿宋" w:eastAsia="仿宋" w:cs="仿宋"/>
          <w:lang w:val="en-US" w:eastAsia="zh-CN"/>
        </w:rPr>
        <w:t>螺栓筛选、定位→抓取螺栓→螺栓输送→→送料10个料仓→螺栓定位→预压-压紧车轮螺栓</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cs="仿宋"/>
          <w:lang w:val="en-US" w:eastAsia="zh-CN"/>
        </w:rPr>
        <w:t>3.1.7主要产品明细及工艺技术参数如下：</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baseline"/>
        <w:rPr>
          <w:rFonts w:hint="default" w:ascii="仿宋" w:hAnsi="仿宋" w:eastAsia="仿宋" w:cs="仿宋"/>
          <w:lang w:val="en-US" w:eastAsia="zh-CN"/>
        </w:rPr>
      </w:pPr>
      <w:r>
        <w:rPr>
          <w:rFonts w:hint="eastAsia" w:ascii="仿宋" w:hAnsi="仿宋" w:eastAsia="仿宋" w:cs="仿宋"/>
          <w:lang w:val="en-US" w:eastAsia="zh-CN"/>
        </w:rPr>
        <w:t>螺栓上料及预压调试，以下是主要产品明细具体根据现场实际使用需求为准</w:t>
      </w:r>
    </w:p>
    <w:tbl>
      <w:tblPr>
        <w:tblStyle w:val="31"/>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4458"/>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78"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sz w:val="21"/>
                <w:szCs w:val="21"/>
              </w:rPr>
            </w:pPr>
            <w:r>
              <w:rPr>
                <w:rFonts w:ascii="仿宋" w:hAnsi="仿宋" w:eastAsia="仿宋" w:cs="仿宋"/>
                <w:sz w:val="21"/>
                <w:szCs w:val="21"/>
              </w:rPr>
              <w:t>产品系列</w:t>
            </w:r>
          </w:p>
        </w:tc>
        <w:tc>
          <w:tcPr>
            <w:tcW w:w="4458"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sz w:val="21"/>
                <w:szCs w:val="21"/>
              </w:rPr>
            </w:pPr>
            <w:r>
              <w:rPr>
                <w:rFonts w:ascii="仿宋" w:hAnsi="仿宋" w:eastAsia="仿宋" w:cs="仿宋"/>
                <w:sz w:val="21"/>
                <w:szCs w:val="21"/>
              </w:rPr>
              <w:t>产品编号</w:t>
            </w:r>
          </w:p>
        </w:tc>
        <w:tc>
          <w:tcPr>
            <w:tcW w:w="2073"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车轮螺栓压装要求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278"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sz w:val="21"/>
                <w:szCs w:val="21"/>
              </w:rPr>
            </w:pPr>
            <w:r>
              <w:rPr>
                <w:rFonts w:ascii="仿宋" w:hAnsi="仿宋" w:eastAsia="仿宋" w:cs="仿宋"/>
                <w:sz w:val="21"/>
                <w:szCs w:val="21"/>
              </w:rPr>
              <w:t>前轮毂轮毂总成</w:t>
            </w:r>
          </w:p>
        </w:tc>
        <w:tc>
          <w:tcPr>
            <w:tcW w:w="4458"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baseline"/>
              <w:rPr>
                <w:rFonts w:hint="default" w:ascii="仿宋" w:hAnsi="仿宋" w:eastAsia="仿宋" w:cs="仿宋"/>
                <w:sz w:val="21"/>
                <w:szCs w:val="21"/>
                <w:lang w:val="en-US" w:eastAsia="zh-CN"/>
              </w:rPr>
            </w:pPr>
            <w:r>
              <w:rPr>
                <w:rFonts w:hint="eastAsia" w:ascii="仿宋" w:hAnsi="仿宋" w:eastAsia="仿宋" w:cs="仿宋"/>
                <w:sz w:val="21"/>
                <w:szCs w:val="21"/>
              </w:rPr>
              <w:t>AZ400041071017H</w:t>
            </w:r>
            <w:r>
              <w:rPr>
                <w:rFonts w:hint="eastAsia" w:ascii="仿宋" w:hAnsi="仿宋" w:eastAsia="仿宋" w:cs="仿宋"/>
                <w:sz w:val="21"/>
                <w:szCs w:val="21"/>
                <w:lang w:val="en-US" w:eastAsia="zh-CN"/>
              </w:rPr>
              <w:t>1</w:t>
            </w:r>
            <w:r>
              <w:rPr>
                <w:rFonts w:hint="eastAsia" w:ascii="仿宋" w:hAnsi="仿宋" w:eastAsia="仿宋" w:cs="仿宋"/>
                <w:sz w:val="21"/>
                <w:szCs w:val="21"/>
              </w:rPr>
              <w:t>0000</w:t>
            </w:r>
            <w:r>
              <w:rPr>
                <w:rFonts w:hint="eastAsia" w:ascii="仿宋" w:hAnsi="仿宋" w:eastAsia="仿宋" w:cs="仿宋"/>
                <w:sz w:val="21"/>
                <w:szCs w:val="21"/>
                <w:lang w:val="en-US" w:eastAsia="zh-CN"/>
              </w:rPr>
              <w:t>/AZ400041071018H10000/AZ400041950051H10000/AZ400041950053H20000/AZ400041071020H10000等</w:t>
            </w:r>
          </w:p>
        </w:tc>
        <w:tc>
          <w:tcPr>
            <w:tcW w:w="2073" w:type="dxa"/>
            <w:shd w:val="clear" w:color="auto" w:fill="auto"/>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baseline"/>
              <w:rPr>
                <w:rFonts w:ascii="仿宋" w:hAnsi="仿宋" w:eastAsia="仿宋" w:cs="仿宋"/>
                <w:sz w:val="21"/>
                <w:szCs w:val="21"/>
              </w:rPr>
            </w:pPr>
            <w:r>
              <w:rPr>
                <w:rFonts w:hint="eastAsia" w:ascii="仿宋" w:hAnsi="仿宋" w:eastAsia="仿宋" w:cs="仿宋"/>
                <w:sz w:val="21"/>
                <w:szCs w:val="21"/>
                <w:lang w:val="en-US" w:eastAsia="zh-CN"/>
              </w:rPr>
              <w:t>10个螺栓边缘不得与轮毂止口干涉，定位准确</w:t>
            </w:r>
          </w:p>
        </w:tc>
      </w:tr>
    </w:tbl>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rPr>
      </w:pPr>
      <w:bookmarkStart w:id="274" w:name="_Toc20138"/>
      <w:bookmarkStart w:id="275" w:name="_Toc30232"/>
      <w:bookmarkStart w:id="276" w:name="_Toc21034"/>
      <w:bookmarkStart w:id="277" w:name="_Toc2103"/>
      <w:bookmarkStart w:id="278" w:name="_Toc15114"/>
      <w:bookmarkStart w:id="279" w:name="_Toc32014"/>
      <w:bookmarkStart w:id="280" w:name="_Toc21042"/>
      <w:bookmarkStart w:id="281" w:name="_Toc30729"/>
      <w:bookmarkStart w:id="282" w:name="_Toc12930"/>
      <w:bookmarkStart w:id="283" w:name="_Toc19625"/>
      <w:bookmarkStart w:id="284" w:name="_Toc4440"/>
      <w:bookmarkStart w:id="285" w:name="_Toc29045"/>
      <w:bookmarkStart w:id="286" w:name="_Toc6887"/>
      <w:bookmarkStart w:id="287" w:name="_Toc6592"/>
      <w:bookmarkStart w:id="288" w:name="_Toc2740"/>
      <w:bookmarkStart w:id="289" w:name="_Toc30017"/>
      <w:bookmarkStart w:id="290" w:name="_Toc9455"/>
      <w:bookmarkStart w:id="291" w:name="_Toc14275"/>
      <w:bookmarkStart w:id="292" w:name="_Toc6956"/>
      <w:r>
        <w:rPr>
          <w:rFonts w:hint="eastAsia" w:ascii="仿宋" w:hAnsi="仿宋" w:eastAsia="仿宋" w:cs="仿宋"/>
        </w:rPr>
        <w:t>3.</w:t>
      </w:r>
      <w:r>
        <w:rPr>
          <w:rFonts w:hint="eastAsia" w:ascii="仿宋" w:hAnsi="仿宋" w:eastAsia="仿宋" w:cs="仿宋"/>
          <w:lang w:val="en-US" w:eastAsia="zh-CN"/>
        </w:rPr>
        <w:t>2</w:t>
      </w:r>
      <w:r>
        <w:rPr>
          <w:rFonts w:hint="eastAsia" w:ascii="仿宋" w:hAnsi="仿宋" w:eastAsia="仿宋" w:cs="仿宋"/>
        </w:rPr>
        <w:t>技术要求及参数</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lang w:val="en-US" w:eastAsia="zh-CN"/>
        </w:rPr>
      </w:pPr>
      <w:r>
        <w:rPr>
          <w:rFonts w:hint="eastAsia" w:ascii="仿宋" w:hAnsi="仿宋" w:eastAsia="仿宋"/>
        </w:rPr>
        <w:t>3.</w:t>
      </w:r>
      <w:r>
        <w:rPr>
          <w:rFonts w:hint="eastAsia" w:ascii="仿宋" w:hAnsi="仿宋" w:eastAsia="仿宋"/>
          <w:lang w:val="en-US" w:eastAsia="zh-CN"/>
        </w:rPr>
        <w:t>2</w:t>
      </w:r>
      <w:r>
        <w:rPr>
          <w:rFonts w:hint="eastAsia" w:ascii="仿宋" w:hAnsi="仿宋" w:eastAsia="仿宋"/>
        </w:rPr>
        <w:t>.</w:t>
      </w:r>
      <w:r>
        <w:rPr>
          <w:rFonts w:hint="eastAsia" w:ascii="仿宋" w:hAnsi="仿宋" w:eastAsia="仿宋"/>
          <w:lang w:val="en-US" w:eastAsia="zh-CN"/>
        </w:rPr>
        <w:t>1主要参数及精度配置</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lang w:val="en-US" w:eastAsia="zh-CN"/>
        </w:rPr>
      </w:pPr>
      <w:r>
        <w:rPr>
          <w:rFonts w:hint="eastAsia" w:ascii="仿宋" w:hAnsi="仿宋" w:eastAsia="仿宋"/>
          <w:lang w:val="en-US" w:eastAsia="zh-CN"/>
        </w:rPr>
        <w:t>3.2.1.1螺栓上料机及预压改造要求：</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lang w:val="en-US" w:eastAsia="zh-CN"/>
        </w:rPr>
      </w:pPr>
      <w:r>
        <w:rPr>
          <w:rFonts w:hint="eastAsia" w:ascii="仿宋" w:hAnsi="仿宋" w:eastAsia="仿宋"/>
          <w:lang w:val="en-US" w:eastAsia="zh-CN"/>
        </w:rPr>
        <w:t>螺栓供料机中的1传送机构、2直轨道、3缓存轨道、4上料机构、5定位机构及6筛选机构根据马蹄形螺栓头部车轮螺栓重新制作更换，并进行安装进行自动线联线调试。</w:t>
      </w:r>
    </w:p>
    <w:p>
      <w:pPr>
        <w:pStyle w:val="17"/>
        <w:snapToGrid w:val="0"/>
        <w:spacing w:line="360" w:lineRule="auto"/>
        <w:ind w:firstLine="840" w:firstLineChars="300"/>
        <w:rPr>
          <w:rFonts w:hint="default" w:ascii="仿宋_GB2312" w:hAnsi="仿宋_GB2312" w:cs="仿宋_GB2312"/>
          <w:b w:val="0"/>
          <w:bCs w:val="0"/>
          <w:color w:val="000000"/>
          <w:sz w:val="28"/>
          <w:szCs w:val="28"/>
          <w:lang w:val="en-US" w:eastAsia="zh-CN"/>
        </w:rPr>
      </w:pPr>
      <w:r>
        <w:rPr>
          <w:rFonts w:hint="default" w:ascii="仿宋_GB2312" w:hAnsi="仿宋_GB2312" w:cs="仿宋_GB2312"/>
          <w:b w:val="0"/>
          <w:bCs w:val="0"/>
          <w:color w:val="000000"/>
          <w:sz w:val="28"/>
          <w:szCs w:val="28"/>
          <w:lang w:val="en-US" w:eastAsia="zh-CN"/>
        </w:rPr>
        <w:drawing>
          <wp:inline distT="0" distB="0" distL="114300" distR="114300">
            <wp:extent cx="4281170" cy="2391410"/>
            <wp:effectExtent l="0" t="0" r="5080" b="8890"/>
            <wp:docPr id="12" name="图片 12" descr="f2837c83-e3f4-41e0-a491-4faf47865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837c83-e3f4-41e0-a491-4faf47865aa1"/>
                    <pic:cNvPicPr>
                      <a:picLocks noChangeAspect="1"/>
                    </pic:cNvPicPr>
                  </pic:nvPicPr>
                  <pic:blipFill>
                    <a:blip r:embed="rId27"/>
                    <a:stretch>
                      <a:fillRect/>
                    </a:stretch>
                  </pic:blipFill>
                  <pic:spPr>
                    <a:xfrm>
                      <a:off x="0" y="0"/>
                      <a:ext cx="4281170" cy="2391410"/>
                    </a:xfrm>
                    <a:prstGeom prst="rect">
                      <a:avLst/>
                    </a:prstGeom>
                  </pic:spPr>
                </pic:pic>
              </a:graphicData>
            </a:graphic>
          </wp:inline>
        </w:drawing>
      </w:r>
    </w:p>
    <w:p>
      <w:pPr>
        <w:pStyle w:val="17"/>
        <w:snapToGrid w:val="0"/>
        <w:spacing w:line="360" w:lineRule="auto"/>
        <w:ind w:firstLine="840" w:firstLineChars="300"/>
        <w:rPr>
          <w:rFonts w:hint="default" w:ascii="仿宋_GB2312" w:hAnsi="仿宋_GB2312" w:cs="仿宋_GB2312"/>
          <w:b w:val="0"/>
          <w:bCs w:val="0"/>
          <w:color w:val="000000"/>
          <w:sz w:val="28"/>
          <w:szCs w:val="28"/>
          <w:lang w:val="en-US" w:eastAsia="zh-CN"/>
        </w:rPr>
      </w:pPr>
      <w:r>
        <w:rPr>
          <w:rFonts w:hint="default" w:ascii="仿宋_GB2312" w:hAnsi="仿宋_GB2312" w:cs="仿宋_GB2312"/>
          <w:b w:val="0"/>
          <w:bCs w:val="0"/>
          <w:color w:val="000000"/>
          <w:sz w:val="28"/>
          <w:szCs w:val="28"/>
          <w:lang w:val="en-US" w:eastAsia="zh-CN"/>
        </w:rPr>
        <w:drawing>
          <wp:inline distT="0" distB="0" distL="114300" distR="114300">
            <wp:extent cx="3924300" cy="3342640"/>
            <wp:effectExtent l="0" t="0" r="0" b="10160"/>
            <wp:docPr id="13" name="图片 13" descr="b7ff9602-5e04-40ec-9b8c-a751f6c0b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ff9602-5e04-40ec-9b8c-a751f6c0b093"/>
                    <pic:cNvPicPr>
                      <a:picLocks noChangeAspect="1"/>
                    </pic:cNvPicPr>
                  </pic:nvPicPr>
                  <pic:blipFill>
                    <a:blip r:embed="rId28"/>
                    <a:srcRect b="6422"/>
                    <a:stretch>
                      <a:fillRect/>
                    </a:stretch>
                  </pic:blipFill>
                  <pic:spPr>
                    <a:xfrm>
                      <a:off x="0" y="0"/>
                      <a:ext cx="3924300" cy="3342640"/>
                    </a:xfrm>
                    <a:prstGeom prst="rect">
                      <a:avLst/>
                    </a:prstGeom>
                  </pic:spPr>
                </pic:pic>
              </a:graphicData>
            </a:graphic>
          </wp:inline>
        </w:drawing>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default" w:ascii="仿宋" w:hAnsi="仿宋" w:eastAsia="仿宋" w:cs="仿宋"/>
          <w:lang w:val="en-US" w:eastAsia="zh-CN"/>
        </w:rPr>
      </w:pPr>
      <w:r>
        <w:rPr>
          <w:rFonts w:hint="eastAsia" w:ascii="仿宋" w:hAnsi="仿宋" w:eastAsia="仿宋" w:cs="仿宋"/>
          <w:lang w:val="en-US" w:eastAsia="zh-CN"/>
        </w:rPr>
        <w:t>马蹄形螺栓应定位准确，与自动线联线调试，具备自动上料、自动检测及兼容圆形头部车轮螺栓。</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cs="仿宋"/>
          <w:lang w:val="en-US" w:eastAsia="zh-CN"/>
        </w:rPr>
        <w:t>3.2.1.2 螺栓预压机改造及精度配置</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lang w:val="en-US" w:eastAsia="zh-CN"/>
        </w:rPr>
        <w:t>根据马蹄形螺栓头部车轮螺栓</w:t>
      </w:r>
      <w:r>
        <w:rPr>
          <w:rFonts w:hint="eastAsia" w:ascii="仿宋" w:hAnsi="仿宋" w:eastAsia="仿宋" w:cs="仿宋"/>
          <w:lang w:val="en-US" w:eastAsia="zh-CN"/>
        </w:rPr>
        <w:t>重新设计制作更换整套旋转机构</w:t>
      </w:r>
      <w:r>
        <w:rPr>
          <w:rFonts w:hint="eastAsia"/>
          <w:lang w:eastAsia="zh-CN"/>
        </w:rPr>
        <w:t>，</w:t>
      </w:r>
      <w:r>
        <w:rPr>
          <w:rFonts w:hint="eastAsia" w:ascii="仿宋" w:hAnsi="仿宋" w:eastAsia="仿宋" w:cs="仿宋"/>
          <w:lang w:val="en-US" w:eastAsia="zh-CN"/>
        </w:rPr>
        <w:t>安装并与自动线联线调试</w:t>
      </w:r>
    </w:p>
    <w:p>
      <w:pPr>
        <w:pStyle w:val="17"/>
        <w:snapToGrid w:val="0"/>
        <w:spacing w:line="360" w:lineRule="auto"/>
        <w:ind w:firstLine="560" w:firstLineChars="200"/>
        <w:rPr>
          <w:rFonts w:hint="default" w:ascii="仿宋_GB2312" w:hAnsi="仿宋_GB2312" w:cs="仿宋_GB2312"/>
          <w:b w:val="0"/>
          <w:bCs w:val="0"/>
          <w:color w:val="000000"/>
          <w:sz w:val="28"/>
          <w:szCs w:val="28"/>
          <w:lang w:val="en-US" w:eastAsia="zh-CN"/>
        </w:rPr>
      </w:pPr>
      <w:r>
        <w:rPr>
          <w:rFonts w:hint="default" w:ascii="仿宋_GB2312" w:hAnsi="仿宋_GB2312" w:cs="仿宋_GB2312"/>
          <w:b w:val="0"/>
          <w:bCs w:val="0"/>
          <w:color w:val="000000"/>
          <w:sz w:val="28"/>
          <w:szCs w:val="28"/>
          <w:lang w:val="en-US" w:eastAsia="zh-CN"/>
        </w:rPr>
        <w:drawing>
          <wp:inline distT="0" distB="0" distL="114300" distR="114300">
            <wp:extent cx="4172585" cy="3316605"/>
            <wp:effectExtent l="0" t="0" r="18415" b="17145"/>
            <wp:docPr id="14" name="图片 14" descr="b7f22cf4-422f-4f7d-bf87-2f55d5d4e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f22cf4-422f-4f7d-bf87-2f55d5d4e746"/>
                    <pic:cNvPicPr>
                      <a:picLocks noChangeAspect="1"/>
                    </pic:cNvPicPr>
                  </pic:nvPicPr>
                  <pic:blipFill>
                    <a:blip r:embed="rId29"/>
                    <a:stretch>
                      <a:fillRect/>
                    </a:stretch>
                  </pic:blipFill>
                  <pic:spPr>
                    <a:xfrm>
                      <a:off x="0" y="0"/>
                      <a:ext cx="4172585" cy="3316605"/>
                    </a:xfrm>
                    <a:prstGeom prst="rect">
                      <a:avLst/>
                    </a:prstGeom>
                  </pic:spPr>
                </pic:pic>
              </a:graphicData>
            </a:graphic>
          </wp:inline>
        </w:drawing>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cs="仿宋"/>
          <w:lang w:val="en-US" w:eastAsia="zh-CN"/>
        </w:rPr>
        <w:t>将螺栓自动摆料出料，振动盘兼容马蹄形和圆形头车轮螺栓。一次出一个料，然后由分度机构将螺栓按分度圆摆开。车轮螺栓安装到位后，能够机械防止车轮螺栓切边与轮毂止口干涉。</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b w:val="0"/>
          <w:bCs w:val="0"/>
          <w:color w:val="000000"/>
          <w:sz w:val="28"/>
          <w:szCs w:val="28"/>
          <w:lang w:val="en-US" w:eastAsia="zh-CN"/>
        </w:rPr>
      </w:pPr>
      <w:r>
        <w:rPr>
          <w:rFonts w:hint="eastAsia" w:ascii="仿宋" w:hAnsi="仿宋" w:eastAsia="仿宋" w:cs="仿宋"/>
          <w:lang w:val="en-US" w:eastAsia="zh-CN"/>
        </w:rPr>
        <w:t>预压装：使用气缸自动对 10 颗车轮螺栓进行预压，保证螺栓在进到下一个压装工位的时候不会因为震动而变动位置。</w:t>
      </w:r>
      <w:r>
        <w:rPr>
          <w:rFonts w:hint="eastAsia" w:ascii="仿宋" w:hAnsi="仿宋" w:eastAsia="仿宋" w:cs="仿宋"/>
          <w:b w:val="0"/>
          <w:bCs w:val="0"/>
          <w:color w:val="000000"/>
          <w:sz w:val="28"/>
          <w:szCs w:val="28"/>
          <w:lang w:val="en-US" w:eastAsia="zh-CN"/>
        </w:rPr>
        <w:t xml:space="preserve"> </w:t>
      </w:r>
    </w:p>
    <w:p>
      <w:pPr>
        <w:pStyle w:val="17"/>
        <w:snapToGrid w:val="0"/>
        <w:spacing w:line="360" w:lineRule="auto"/>
        <w:ind w:firstLine="560" w:firstLineChars="200"/>
        <w:rPr>
          <w:rFonts w:hint="eastAsia" w:ascii="仿宋" w:hAnsi="仿宋" w:eastAsia="仿宋" w:cs="仿宋"/>
          <w:b w:val="0"/>
          <w:bCs w:val="0"/>
          <w:color w:val="000000"/>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3769995</wp:posOffset>
                </wp:positionH>
                <wp:positionV relativeFrom="paragraph">
                  <wp:posOffset>1048385</wp:posOffset>
                </wp:positionV>
                <wp:extent cx="1787525" cy="488950"/>
                <wp:effectExtent l="4445" t="4445" r="17780" b="20955"/>
                <wp:wrapNone/>
                <wp:docPr id="4" name="文本框 4"/>
                <wp:cNvGraphicFramePr/>
                <a:graphic xmlns:a="http://schemas.openxmlformats.org/drawingml/2006/main">
                  <a:graphicData uri="http://schemas.microsoft.com/office/word/2010/wordprocessingShape">
                    <wps:wsp>
                      <wps:cNvSpPr txBox="1"/>
                      <wps:spPr>
                        <a:xfrm>
                          <a:off x="5006975" y="3344545"/>
                          <a:ext cx="1787525" cy="488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10个螺栓边缘不得与轮毂止口干涉，定位准确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85pt;margin-top:82.55pt;height:38.5pt;width:140.75pt;z-index:251661312;mso-width-relative:page;mso-height-relative:page;" fillcolor="#FFFFFF [3201]" filled="t" stroked="t" coordsize="21600,21600" o:gfxdata="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NUS+rYAAAACwEAAA8AAAAAAAAAAQAgAAAAIgAAAGRycy9kb3ducmV2LnhtbFBLAQIU&#10;ABQAAAAIAIdO4kBk3XacZQIAAMMEAAAOAAAAAAAAAAEAIAAAACc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10个螺栓边缘不得与轮毂止口干涉，定位准确</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4104005</wp:posOffset>
                </wp:positionH>
                <wp:positionV relativeFrom="paragraph">
                  <wp:posOffset>1545590</wp:posOffset>
                </wp:positionV>
                <wp:extent cx="585470" cy="279400"/>
                <wp:effectExtent l="0" t="5715" r="5080" b="19685"/>
                <wp:wrapNone/>
                <wp:docPr id="5" name="直接箭头连接符 5"/>
                <wp:cNvGraphicFramePr/>
                <a:graphic xmlns:a="http://schemas.openxmlformats.org/drawingml/2006/main">
                  <a:graphicData uri="http://schemas.microsoft.com/office/word/2010/wordprocessingShape">
                    <wps:wsp>
                      <wps:cNvCnPr/>
                      <wps:spPr>
                        <a:xfrm flipH="1">
                          <a:off x="5245100" y="3888740"/>
                          <a:ext cx="585470" cy="279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23.15pt;margin-top:121.7pt;height:22pt;width:46.1pt;z-index:251662336;mso-width-relative:page;mso-height-relative:page;" filled="f" stroked="t" coordsize="21600,21600" o:gfxdata="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9mx4tgA&#10;AAALAQAADwAAAAAAAAABACAAAAAiAAAAZHJzL2Rvd25yZXYueG1sUEsBAhQAFAAAAAgAh07iQAon&#10;Pl0fAgAA+QMAAA4AAAAAAAAAAQAgAAAAJwEAAGRycy9lMm9Eb2MueG1sUEsFBgAAAAAGAAYAWQEA&#10;ALgFAAAAAA==&#10;">
                <v:fill on="f" focussize="0,0"/>
                <v:stroke weight="1pt" color="#5B9BD5 [3204]" miterlimit="8" joinstyle="miter" endarrow="open"/>
                <v:imagedata o:title=""/>
                <o:lock v:ext="edit" aspectratio="f"/>
              </v:shape>
            </w:pict>
          </mc:Fallback>
        </mc:AlternateContent>
      </w:r>
      <w:r>
        <w:rPr>
          <w:rFonts w:hint="eastAsia" w:ascii="仿宋" w:hAnsi="仿宋" w:eastAsia="仿宋" w:cs="仿宋"/>
          <w:b w:val="0"/>
          <w:bCs w:val="0"/>
          <w:color w:val="000000"/>
          <w:sz w:val="28"/>
          <w:szCs w:val="28"/>
          <w:shd w:val="clear" w:color="FFFFFF" w:fill="D9D9D9"/>
          <w:lang w:val="en-US" w:eastAsia="zh-CN"/>
        </w:rPr>
        <w:drawing>
          <wp:inline distT="0" distB="0" distL="114300" distR="114300">
            <wp:extent cx="4242435" cy="3115310"/>
            <wp:effectExtent l="0" t="0" r="5715" b="8890"/>
            <wp:docPr id="6" name="图片 6" descr="e6142cdc-a473-4cf3-aaeb-580919419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6142cdc-a473-4cf3-aaeb-5809194197ec"/>
                    <pic:cNvPicPr>
                      <a:picLocks noChangeAspect="1"/>
                    </pic:cNvPicPr>
                  </pic:nvPicPr>
                  <pic:blipFill>
                    <a:blip r:embed="rId30"/>
                    <a:stretch>
                      <a:fillRect/>
                    </a:stretch>
                  </pic:blipFill>
                  <pic:spPr>
                    <a:xfrm>
                      <a:off x="0" y="0"/>
                      <a:ext cx="4242435" cy="3115310"/>
                    </a:xfrm>
                    <a:prstGeom prst="rect">
                      <a:avLst/>
                    </a:prstGeom>
                  </pic:spPr>
                </pic:pic>
              </a:graphicData>
            </a:graphic>
          </wp:inline>
        </w:drawing>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r>
        <w:rPr>
          <w:rFonts w:hint="eastAsia" w:ascii="仿宋" w:hAnsi="仿宋" w:eastAsia="仿宋" w:cs="仿宋"/>
          <w:lang w:val="en-US" w:eastAsia="zh-CN"/>
        </w:rPr>
        <w:t>3.2.1.3随行工装改造及精度配置</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lang w:val="en-US" w:eastAsia="zh-CN"/>
        </w:rPr>
      </w:pPr>
      <w:bookmarkStart w:id="293" w:name="_Toc31998"/>
      <w:bookmarkStart w:id="294" w:name="_Toc16054"/>
      <w:bookmarkStart w:id="295" w:name="_Toc5217"/>
      <w:bookmarkStart w:id="296" w:name="_Toc11090"/>
      <w:bookmarkStart w:id="297" w:name="_Toc21816"/>
      <w:bookmarkStart w:id="298" w:name="_Toc22966"/>
      <w:bookmarkStart w:id="299" w:name="_Toc31161"/>
      <w:bookmarkStart w:id="300" w:name="_Toc16236"/>
      <w:bookmarkStart w:id="301" w:name="_Toc31203"/>
      <w:bookmarkStart w:id="302" w:name="_Toc31070"/>
      <w:bookmarkStart w:id="303" w:name="_Toc20175"/>
      <w:bookmarkStart w:id="304" w:name="_Toc22251"/>
      <w:bookmarkStart w:id="305" w:name="_Toc21455"/>
      <w:bookmarkStart w:id="306" w:name="_Toc19257"/>
      <w:bookmarkStart w:id="307" w:name="_Toc7237"/>
      <w:bookmarkStart w:id="308" w:name="_Toc12134"/>
      <w:bookmarkStart w:id="309" w:name="_Toc16004"/>
      <w:bookmarkStart w:id="310" w:name="_Toc3790"/>
      <w:bookmarkStart w:id="311" w:name="_Toc15804"/>
      <w:r>
        <w:rPr>
          <w:rFonts w:hint="eastAsia" w:ascii="仿宋" w:hAnsi="仿宋" w:eastAsia="仿宋" w:cs="仿宋"/>
          <w:lang w:val="en-US" w:eastAsia="zh-CN"/>
        </w:rPr>
        <w:t>修改60套随行托盘圆形定位孔，</w:t>
      </w:r>
      <w:r>
        <w:rPr>
          <w:rFonts w:hint="eastAsia" w:ascii="仿宋" w:hAnsi="仿宋" w:eastAsia="仿宋"/>
          <w:lang w:val="en-US" w:eastAsia="zh-CN"/>
        </w:rPr>
        <w:t>根据马蹄形螺栓头部车轮螺栓形状</w:t>
      </w:r>
      <w:r>
        <w:rPr>
          <w:rFonts w:hint="eastAsia" w:ascii="仿宋" w:hAnsi="仿宋" w:eastAsia="仿宋" w:cs="仿宋"/>
          <w:lang w:val="en-US" w:eastAsia="zh-CN"/>
        </w:rPr>
        <w:t>改造定位孔。</w:t>
      </w:r>
    </w:p>
    <w:p>
      <w:pPr>
        <w:pStyle w:val="17"/>
        <w:snapToGrid w:val="0"/>
        <w:spacing w:line="360" w:lineRule="auto"/>
        <w:ind w:firstLine="480" w:firstLineChars="200"/>
        <w:rPr>
          <w:rFonts w:hint="default" w:ascii="仿宋_GB2312" w:hAnsi="仿宋_GB2312" w:cs="仿宋_GB2312"/>
          <w:b w:val="0"/>
          <w:bCs w:val="0"/>
          <w:color w:val="000000"/>
          <w:sz w:val="28"/>
          <w:szCs w:val="28"/>
          <w:lang w:val="en-US" w:eastAsia="zh-CN"/>
        </w:rPr>
      </w:pPr>
      <w:r>
        <w:rPr>
          <w:rFonts w:hint="eastAsia" w:ascii="仿宋" w:hAnsi="仿宋" w:eastAsia="仿宋" w:cs="仿宋"/>
          <w:lang w:eastAsia="zh-CN"/>
        </w:rPr>
        <w:drawing>
          <wp:inline distT="0" distB="0" distL="114300" distR="114300">
            <wp:extent cx="2166620" cy="1882140"/>
            <wp:effectExtent l="0" t="0" r="5080" b="3810"/>
            <wp:docPr id="19" name="图片 19" descr="4e9554fd-e261-4893-810b-a30c7d57d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e9554fd-e261-4893-810b-a30c7d57ddbb"/>
                    <pic:cNvPicPr>
                      <a:picLocks noChangeAspect="1"/>
                    </pic:cNvPicPr>
                  </pic:nvPicPr>
                  <pic:blipFill>
                    <a:blip r:embed="rId24"/>
                    <a:stretch>
                      <a:fillRect/>
                    </a:stretch>
                  </pic:blipFill>
                  <pic:spPr>
                    <a:xfrm>
                      <a:off x="0" y="0"/>
                      <a:ext cx="2166620" cy="1882140"/>
                    </a:xfrm>
                    <a:prstGeom prst="rect">
                      <a:avLst/>
                    </a:prstGeom>
                  </pic:spPr>
                </pic:pic>
              </a:graphicData>
            </a:graphic>
          </wp:inline>
        </w:drawing>
      </w:r>
      <w:r>
        <w:rPr>
          <w:rFonts w:hint="eastAsia" w:ascii="仿宋" w:hAnsi="仿宋" w:eastAsia="仿宋" w:cs="仿宋"/>
          <w:lang w:val="en-US" w:eastAsia="zh-CN"/>
        </w:rPr>
        <w:t xml:space="preserve">  </w:t>
      </w:r>
      <w:r>
        <w:rPr>
          <w:rFonts w:hint="default" w:ascii="仿宋_GB2312" w:hAnsi="仿宋_GB2312" w:cs="仿宋_GB2312"/>
          <w:b w:val="0"/>
          <w:bCs w:val="0"/>
          <w:color w:val="000000"/>
          <w:sz w:val="28"/>
          <w:szCs w:val="28"/>
          <w:lang w:val="en-US" w:eastAsia="zh-CN"/>
        </w:rPr>
        <w:drawing>
          <wp:inline distT="0" distB="0" distL="114300" distR="114300">
            <wp:extent cx="1555115" cy="1901825"/>
            <wp:effectExtent l="0" t="0" r="14605" b="3175"/>
            <wp:docPr id="20" name="图片 20" descr="f28e1307-ed38-4752-8617-7a42c13dd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28e1307-ed38-4752-8617-7a42c13dd4be"/>
                    <pic:cNvPicPr>
                      <a:picLocks noChangeAspect="1"/>
                    </pic:cNvPicPr>
                  </pic:nvPicPr>
                  <pic:blipFill>
                    <a:blip r:embed="rId31"/>
                    <a:stretch>
                      <a:fillRect/>
                    </a:stretch>
                  </pic:blipFill>
                  <pic:spPr>
                    <a:xfrm>
                      <a:off x="0" y="0"/>
                      <a:ext cx="1555115" cy="1901825"/>
                    </a:xfrm>
                    <a:prstGeom prst="rect">
                      <a:avLst/>
                    </a:prstGeom>
                  </pic:spPr>
                </pic:pic>
              </a:graphicData>
            </a:graphic>
          </wp:inline>
        </w:drawing>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default" w:ascii="仿宋" w:hAnsi="仿宋" w:eastAsia="仿宋" w:cs="仿宋"/>
          <w:lang w:val="en-US" w:eastAsia="zh-CN"/>
        </w:rPr>
      </w:pPr>
      <w:r>
        <w:rPr>
          <w:rFonts w:hint="eastAsia" w:ascii="仿宋" w:hAnsi="仿宋" w:eastAsia="仿宋" w:cs="仿宋"/>
          <w:lang w:val="en-US" w:eastAsia="zh-CN"/>
        </w:rPr>
        <w:t>要求：每套随行工装10个圆形定位孔，改造后适用于马蹄形螺栓定位。</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3</w:t>
      </w:r>
      <w:r>
        <w:rPr>
          <w:rFonts w:hint="eastAsia" w:ascii="仿宋" w:hAnsi="仿宋" w:eastAsia="仿宋" w:cs="仿宋"/>
        </w:rPr>
        <w:t>投标货物设备要求</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w:t>
      </w:r>
      <w:r>
        <w:rPr>
          <w:rFonts w:hint="eastAsia" w:ascii="仿宋" w:hAnsi="仿宋" w:eastAsia="仿宋" w:cs="仿宋"/>
        </w:rPr>
        <w:t>1 设备规范</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.1.1</w:t>
      </w:r>
      <w:r>
        <w:rPr>
          <w:rFonts w:hint="eastAsia" w:ascii="仿宋" w:hAnsi="仿宋" w:eastAsia="仿宋" w:cs="仿宋"/>
        </w:rPr>
        <w:t>设备设计合理，制造精良，性能稳定可靠，且使用维修方便，造型美观，设备的结构应保证有足够的静态、动态、热稳态刚度。</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.1.2</w:t>
      </w:r>
      <w:r>
        <w:rPr>
          <w:rFonts w:hint="eastAsia" w:ascii="仿宋" w:hAnsi="仿宋" w:eastAsia="仿宋" w:cs="仿宋"/>
        </w:rPr>
        <w:t>设备防护门安全性好，方便操作维修，并配置门联锁，门联锁与PLC数据程序有互锁要求，在安全门未关闭时，设备无法运行。</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.1.3</w:t>
      </w:r>
      <w:r>
        <w:rPr>
          <w:rFonts w:hint="eastAsia" w:ascii="仿宋" w:hAnsi="仿宋" w:eastAsia="仿宋" w:cs="仿宋"/>
        </w:rPr>
        <w:t>设备所用全部轴承、丝杠、导轨选用NSK\SKF\THK及招标方认可的同等级品牌国际名牌产品。</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电气规范</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1</w:t>
      </w:r>
      <w:r>
        <w:rPr>
          <w:rFonts w:hint="eastAsia" w:ascii="仿宋" w:hAnsi="仿宋" w:eastAsia="仿宋" w:cs="仿宋"/>
        </w:rPr>
        <w:t>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2</w:t>
      </w:r>
      <w:r>
        <w:rPr>
          <w:rFonts w:hint="eastAsia" w:ascii="仿宋" w:hAnsi="仿宋" w:eastAsia="仿宋" w:cs="仿宋"/>
        </w:rPr>
        <w:t>设备及电气系统必须要做好屏蔽和良好接地；符合相关安全规定、操控部分使用安全电压。</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3</w:t>
      </w:r>
      <w:r>
        <w:rPr>
          <w:rFonts w:hint="eastAsia" w:ascii="仿宋" w:hAnsi="仿宋" w:eastAsia="仿宋" w:cs="仿宋"/>
        </w:rPr>
        <w:t>电器元件全部采用取得国际电工认证标准的正规厂商产品，主要电器元件采用施耐德、西门子、巴鲁夫、TRUCK、IFM等世界著名品牌；</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3</w:t>
      </w:r>
      <w:r>
        <w:rPr>
          <w:rFonts w:hint="eastAsia" w:ascii="仿宋" w:hAnsi="仿宋" w:eastAsia="仿宋" w:cs="仿宋"/>
        </w:rPr>
        <w:t>.2.4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5</w:t>
      </w:r>
      <w:r>
        <w:rPr>
          <w:rFonts w:hint="eastAsia" w:ascii="仿宋" w:hAnsi="仿宋" w:eastAsia="仿宋" w:cs="仿宋"/>
        </w:rPr>
        <w:t>电气PLC控制器的电源前端加有隔离变压器和滤波器，防止电网的波动和噪声污染使PLC发生故障。同时通过程序实现完善的互锁保护和报警功能使系统的安全运行得以保证。</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6</w:t>
      </w:r>
      <w:r>
        <w:rPr>
          <w:rFonts w:hint="eastAsia" w:ascii="仿宋" w:hAnsi="仿宋" w:eastAsia="仿宋" w:cs="仿宋"/>
        </w:rPr>
        <w:t>整套设备配备电力计量装置。</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 xml:space="preserve">7 </w:t>
      </w:r>
      <w:r>
        <w:rPr>
          <w:rFonts w:hint="eastAsia" w:ascii="仿宋" w:hAnsi="仿宋" w:eastAsia="仿宋" w:cs="仿宋"/>
        </w:rPr>
        <w:t>采用LED亮度高、不眩目的照明设施。</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w:t>
      </w:r>
      <w:r>
        <w:rPr>
          <w:rFonts w:ascii="仿宋" w:hAnsi="仿宋" w:eastAsia="仿宋" w:cs="仿宋"/>
        </w:rPr>
        <w:t xml:space="preserve">8 </w:t>
      </w:r>
      <w:r>
        <w:rPr>
          <w:rFonts w:hint="eastAsia" w:ascii="仿宋" w:hAnsi="仿宋" w:eastAsia="仿宋" w:cs="仿宋"/>
        </w:rPr>
        <w:t>对有电子记忆功能的设备推荐合适的电池或不间断电源设备，以使电子记忆在无电情况下不被消除。</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rPr>
        <w:t>控制系统</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highlight w:val="none"/>
        </w:rPr>
      </w:pPr>
      <w:r>
        <w:rPr>
          <w:rFonts w:hint="eastAsia" w:ascii="仿宋" w:hAnsi="仿宋" w:eastAsia="仿宋" w:cs="仿宋"/>
        </w:rPr>
        <w:t>3</w:t>
      </w:r>
      <w:r>
        <w:rPr>
          <w:rFonts w:ascii="仿宋" w:hAnsi="仿宋" w:eastAsia="仿宋" w:cs="仿宋"/>
        </w:rPr>
        <w:t>.</w:t>
      </w:r>
      <w:r>
        <w:rPr>
          <w:rFonts w:hint="eastAsia" w:ascii="仿宋" w:hAnsi="仿宋" w:eastAsia="仿宋" w:cs="仿宋"/>
          <w:lang w:val="en-US" w:eastAsia="zh-CN"/>
        </w:rPr>
        <w:t>3</w:t>
      </w:r>
      <w:r>
        <w:rPr>
          <w:rFonts w:ascii="仿宋" w:hAnsi="仿宋" w:eastAsia="仿宋" w:cs="仿宋"/>
        </w:rPr>
        <w:t>.4.1</w:t>
      </w:r>
      <w:r>
        <w:rPr>
          <w:rFonts w:hint="eastAsia" w:ascii="仿宋" w:hAnsi="仿宋" w:eastAsia="仿宋" w:cs="仿宋"/>
        </w:rPr>
        <w:t>控制系统具备简体中文显示的人机交互界面，应具备</w:t>
      </w:r>
      <w:r>
        <w:rPr>
          <w:rFonts w:hint="eastAsia" w:ascii="仿宋" w:hAnsi="仿宋" w:eastAsia="仿宋" w:cs="仿宋"/>
          <w:lang w:val="en-US" w:eastAsia="zh-CN"/>
        </w:rPr>
        <w:t>数据</w:t>
      </w:r>
      <w:r>
        <w:rPr>
          <w:rFonts w:hint="eastAsia" w:ascii="仿宋" w:hAnsi="仿宋" w:eastAsia="仿宋" w:cs="仿宋"/>
        </w:rPr>
        <w:t>自动采集、监控并显示、数据存储、</w:t>
      </w:r>
      <w:r>
        <w:rPr>
          <w:rFonts w:hint="eastAsia" w:ascii="仿宋" w:hAnsi="仿宋" w:eastAsia="仿宋" w:cs="仿宋"/>
          <w:lang w:val="en-US" w:eastAsia="zh-CN"/>
        </w:rPr>
        <w:t>历史</w:t>
      </w:r>
      <w:r>
        <w:rPr>
          <w:rFonts w:hint="eastAsia" w:ascii="仿宋" w:hAnsi="仿宋" w:eastAsia="仿宋" w:cs="仿宋"/>
        </w:rPr>
        <w:t>数据查询</w:t>
      </w:r>
      <w:r>
        <w:rPr>
          <w:rFonts w:hint="eastAsia" w:ascii="仿宋" w:hAnsi="仿宋" w:eastAsia="仿宋" w:cs="仿宋"/>
          <w:lang w:eastAsia="zh-CN"/>
        </w:rPr>
        <w:t>、</w:t>
      </w:r>
      <w:r>
        <w:rPr>
          <w:rFonts w:hint="eastAsia" w:ascii="仿宋" w:hAnsi="仿宋" w:eastAsia="仿宋" w:cs="仿宋"/>
        </w:rPr>
        <w:t>生产线（设备）运行状况及生产活动信息数据等功</w:t>
      </w:r>
      <w:r>
        <w:rPr>
          <w:rFonts w:hint="eastAsia" w:ascii="仿宋" w:hAnsi="仿宋" w:eastAsia="仿宋" w:cs="仿宋"/>
          <w:highlight w:val="none"/>
        </w:rPr>
        <w:t>能。生产线（设备）运行状况及生产活动信息数据不限于以下信息：生产状态统计、产品质量监控与统计、设备运行管控、程序管理等。</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highlight w:val="none"/>
        </w:rPr>
      </w:pPr>
      <w:r>
        <w:rPr>
          <w:rFonts w:hint="eastAsia" w:ascii="仿宋" w:hAnsi="仿宋" w:eastAsia="仿宋" w:cs="仿宋"/>
          <w:kern w:val="0"/>
          <w:sz w:val="24"/>
          <w:szCs w:val="24"/>
          <w:highlight w:val="none"/>
          <w:lang w:val="en-US" w:eastAsia="zh-CN" w:bidi="ar-SA"/>
        </w:rPr>
        <w:t>3.3.4.2</w:t>
      </w:r>
      <w:r>
        <w:rPr>
          <w:rFonts w:hint="eastAsia" w:ascii="仿宋" w:hAnsi="仿宋" w:eastAsia="仿宋" w:cs="仿宋"/>
          <w:highlight w:val="none"/>
          <w:lang w:val="en-US" w:eastAsia="zh-CN"/>
        </w:rPr>
        <w:t>投标方免费提供数据交互功能，交互数据包括但不限于实时数据、历史数据、报警信息等。</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3.3.4.3控制系统须具有相应的以太网、总线等通讯接口，且免费开放所有通讯接口，</w:t>
      </w:r>
      <w:r>
        <w:rPr>
          <w:rFonts w:hint="eastAsia" w:ascii="仿宋" w:hAnsi="仿宋" w:eastAsia="仿宋" w:cs="仿宋"/>
          <w:highlight w:val="none"/>
        </w:rPr>
        <w:t>提供系统涉及所有通信协议</w:t>
      </w:r>
      <w:r>
        <w:rPr>
          <w:rFonts w:hint="eastAsia" w:ascii="仿宋" w:hAnsi="仿宋" w:eastAsia="仿宋" w:cs="仿宋"/>
          <w:highlight w:val="none"/>
          <w:lang w:eastAsia="zh-CN"/>
        </w:rPr>
        <w:t>，</w:t>
      </w:r>
      <w:r>
        <w:rPr>
          <w:rFonts w:hint="eastAsia" w:ascii="仿宋" w:hAnsi="仿宋" w:eastAsia="仿宋" w:cs="仿宋"/>
          <w:kern w:val="0"/>
          <w:sz w:val="24"/>
          <w:szCs w:val="24"/>
          <w:highlight w:val="none"/>
          <w:lang w:val="en-US" w:eastAsia="zh-CN" w:bidi="ar-SA"/>
        </w:rPr>
        <w:t>包括但不限于以太网、RS232、RS485、PROFIBUS、PROFINET、MODBUS 等常见接口，以及设备特有的专用接口</w:t>
      </w:r>
      <w:r>
        <w:rPr>
          <w:rFonts w:hint="eastAsia" w:ascii="仿宋" w:hAnsi="仿宋" w:eastAsia="仿宋" w:cs="仿宋"/>
          <w:highlight w:val="none"/>
          <w:lang w:eastAsia="zh-CN"/>
        </w:rPr>
        <w:t>。</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4</w:t>
      </w:r>
      <w:r>
        <w:rPr>
          <w:rFonts w:hint="eastAsia" w:ascii="仿宋" w:hAnsi="仿宋" w:eastAsia="仿宋" w:cs="仿宋"/>
          <w:highlight w:val="none"/>
        </w:rPr>
        <w:t>控制系统具备自动、调试、手动功能模式。</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5投标方</w:t>
      </w:r>
      <w:r>
        <w:rPr>
          <w:rFonts w:ascii="仿宋" w:hAnsi="仿宋" w:eastAsia="仿宋" w:cs="仿宋"/>
          <w:highlight w:val="none"/>
          <w:lang w:val="en-US" w:eastAsia="zh-CN"/>
        </w:rPr>
        <w:t>必须提供所有设备程序的源代码，包括但不限于 PLC</w:t>
      </w:r>
      <w:r>
        <w:rPr>
          <w:rFonts w:hint="eastAsia" w:ascii="仿宋" w:hAnsi="仿宋" w:eastAsia="仿宋" w:cs="仿宋"/>
          <w:highlight w:val="none"/>
          <w:lang w:val="en-US" w:eastAsia="zh-CN"/>
        </w:rPr>
        <w:t>程序、HMI 程序、机器人程序、视觉程序、伺服等。</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6</w:t>
      </w:r>
      <w:r>
        <w:rPr>
          <w:rFonts w:ascii="仿宋" w:hAnsi="仿宋" w:eastAsia="仿宋" w:cs="仿宋"/>
          <w:highlight w:val="none"/>
          <w:lang w:val="en-US" w:eastAsia="zh-CN"/>
        </w:rPr>
        <w:t xml:space="preserve"> </w:t>
      </w:r>
      <w:r>
        <w:rPr>
          <w:rFonts w:hint="eastAsia" w:ascii="仿宋" w:hAnsi="仿宋" w:eastAsia="仿宋" w:cs="仿宋"/>
          <w:highlight w:val="none"/>
          <w:lang w:val="en-US" w:eastAsia="zh-CN"/>
        </w:rPr>
        <w:t>投标方</w:t>
      </w:r>
      <w:r>
        <w:rPr>
          <w:rFonts w:ascii="仿宋" w:hAnsi="仿宋" w:eastAsia="仿宋" w:cs="仿宋"/>
          <w:highlight w:val="none"/>
          <w:lang w:val="en-US" w:eastAsia="zh-CN"/>
        </w:rPr>
        <w:t>所提供的程序不得设置任何密码、保护等限制手段，</w:t>
      </w:r>
      <w:r>
        <w:rPr>
          <w:rFonts w:hint="eastAsia" w:ascii="仿宋" w:hAnsi="仿宋" w:eastAsia="仿宋" w:cs="仿宋"/>
          <w:highlight w:val="none"/>
          <w:lang w:val="en-US" w:eastAsia="zh-CN"/>
        </w:rPr>
        <w:t>PLC 不得设置修改下载权限，功能块不得设置密码保护。HMI界面等需要密码保护的程序，投标方必须提供所有级别的用户名、密码。</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7 投标方需在设备入场前提供设备程序源码，HMI 界面各级用户名和密码，并保证与现场程序一致。</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8 投标方需在终验收前提供最新的设备程序源码和电气图纸，图纸要求为可编辑原格式（EPLAN、CAD 格式）且与实际接线一致。</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9</w:t>
      </w:r>
      <w:r>
        <w:rPr>
          <w:rFonts w:hint="eastAsia" w:ascii="仿宋" w:hAnsi="仿宋" w:eastAsia="仿宋" w:cs="仿宋"/>
          <w:highlight w:val="none"/>
        </w:rPr>
        <w:t>投标方提供系统恢复盘（备份），在系统出现故障需要重装系统时，保证招标方自主重装系统后，控制系统能后恢复到投标方调试完成最终交付时的状态。</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hint="default" w:ascii="仿宋" w:hAnsi="仿宋" w:eastAsia="仿宋" w:cs="仿宋"/>
          <w:highlight w:val="none"/>
          <w:lang w:val="en-US"/>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3</w:t>
      </w:r>
      <w:r>
        <w:rPr>
          <w:rFonts w:ascii="仿宋" w:hAnsi="仿宋" w:eastAsia="仿宋" w:cs="仿宋"/>
          <w:highlight w:val="none"/>
        </w:rPr>
        <w:t>.4.</w:t>
      </w:r>
      <w:r>
        <w:rPr>
          <w:rFonts w:hint="eastAsia" w:ascii="仿宋" w:hAnsi="仿宋" w:eastAsia="仿宋" w:cs="仿宋"/>
          <w:highlight w:val="none"/>
          <w:lang w:val="en-US" w:eastAsia="zh-CN"/>
        </w:rPr>
        <w:t>10项目若包含在线监控或 MES 系统，所属 MES 系统均应将所提取数据传输至重汽 IOT 平台,并由I0T 平台再传输至厂家 MES系统内。</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baseline"/>
        <w:rPr>
          <w:rFonts w:ascii="仿宋" w:hAnsi="仿宋" w:eastAsia="仿宋" w:cs="仿宋"/>
        </w:rPr>
      </w:pPr>
      <w:bookmarkStart w:id="312" w:name="_Toc11183"/>
      <w:bookmarkStart w:id="313" w:name="_Toc16996"/>
      <w:bookmarkStart w:id="314" w:name="_Toc20368"/>
      <w:bookmarkStart w:id="315" w:name="_Toc6136"/>
      <w:bookmarkStart w:id="316" w:name="_Toc15181"/>
      <w:bookmarkStart w:id="317" w:name="_Toc20611"/>
      <w:bookmarkStart w:id="318" w:name="_Toc6345"/>
      <w:bookmarkStart w:id="319" w:name="_Toc32598"/>
      <w:bookmarkStart w:id="320" w:name="_Toc24889"/>
      <w:bookmarkStart w:id="321" w:name="_Toc13942"/>
      <w:bookmarkStart w:id="322" w:name="_Toc2985"/>
      <w:r>
        <w:rPr>
          <w:rFonts w:hint="eastAsia" w:ascii="仿宋" w:hAnsi="仿宋" w:eastAsia="仿宋" w:cs="仿宋"/>
        </w:rPr>
        <w:t>3.</w:t>
      </w:r>
      <w:bookmarkEnd w:id="312"/>
      <w:bookmarkEnd w:id="313"/>
      <w:bookmarkEnd w:id="314"/>
      <w:bookmarkEnd w:id="315"/>
      <w:bookmarkEnd w:id="316"/>
      <w:bookmarkEnd w:id="317"/>
      <w:bookmarkEnd w:id="318"/>
      <w:bookmarkEnd w:id="319"/>
      <w:bookmarkEnd w:id="320"/>
      <w:bookmarkEnd w:id="321"/>
      <w:bookmarkEnd w:id="322"/>
      <w:r>
        <w:rPr>
          <w:rFonts w:hint="eastAsia" w:ascii="仿宋" w:hAnsi="仿宋" w:eastAsia="仿宋" w:cs="仿宋"/>
          <w:lang w:val="en-US" w:eastAsia="zh-CN"/>
        </w:rPr>
        <w:t>4</w:t>
      </w:r>
      <w:r>
        <w:rPr>
          <w:rFonts w:hint="eastAsia" w:ascii="仿宋" w:hAnsi="仿宋" w:eastAsia="仿宋" w:cs="仿宋"/>
        </w:rPr>
        <w:t>本项目</w:t>
      </w:r>
      <w:r>
        <w:rPr>
          <w:rFonts w:hint="eastAsia" w:ascii="仿宋" w:hAnsi="仿宋" w:eastAsia="仿宋" w:cs="仿宋"/>
          <w:lang w:val="en-US" w:eastAsia="zh-CN"/>
        </w:rPr>
        <w:t>供货及</w:t>
      </w:r>
      <w:r>
        <w:rPr>
          <w:rFonts w:hint="eastAsia" w:ascii="仿宋" w:hAnsi="仿宋" w:eastAsia="仿宋" w:cs="仿宋"/>
        </w:rPr>
        <w:t>品牌清单</w:t>
      </w:r>
    </w:p>
    <w:tbl>
      <w:tblPr>
        <w:tblStyle w:val="32"/>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4"/>
        <w:gridCol w:w="1173"/>
        <w:gridCol w:w="1109"/>
        <w:gridCol w:w="1053"/>
        <w:gridCol w:w="1134"/>
        <w:gridCol w:w="78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序号</w:t>
            </w:r>
          </w:p>
        </w:tc>
        <w:tc>
          <w:tcPr>
            <w:tcW w:w="1304"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名称</w:t>
            </w:r>
          </w:p>
        </w:tc>
        <w:tc>
          <w:tcPr>
            <w:tcW w:w="1173"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tc>
        <w:tc>
          <w:tcPr>
            <w:tcW w:w="1109"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品牌1</w:t>
            </w:r>
          </w:p>
        </w:tc>
        <w:tc>
          <w:tcPr>
            <w:tcW w:w="1053"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品牌2</w:t>
            </w:r>
          </w:p>
        </w:tc>
        <w:tc>
          <w:tcPr>
            <w:tcW w:w="1134"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品牌3</w:t>
            </w:r>
          </w:p>
        </w:tc>
        <w:tc>
          <w:tcPr>
            <w:tcW w:w="789"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ascii="仿宋" w:hAnsi="仿宋" w:eastAsia="仿宋" w:cs="仿宋"/>
                <w:highlight w:val="none"/>
              </w:rPr>
            </w:pPr>
            <w:r>
              <w:rPr>
                <w:rFonts w:hint="eastAsia" w:ascii="仿宋" w:hAnsi="仿宋" w:eastAsia="仿宋" w:cs="仿宋"/>
                <w:highlight w:val="none"/>
              </w:rPr>
              <w:t>备注</w:t>
            </w:r>
          </w:p>
        </w:tc>
        <w:tc>
          <w:tcPr>
            <w:tcW w:w="1029" w:type="dxa"/>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center"/>
              <w:textAlignment w:val="baseline"/>
              <w:rPr>
                <w:rFonts w:hint="default" w:ascii="仿宋" w:hAnsi="仿宋" w:eastAsia="仿宋" w:cs="仿宋"/>
                <w:highlight w:val="none"/>
                <w:lang w:val="en-US" w:eastAsia="zh-CN"/>
              </w:rPr>
            </w:pPr>
            <w:r>
              <w:rPr>
                <w:rFonts w:hint="eastAsia" w:ascii="仿宋" w:hAnsi="仿宋" w:eastAsia="仿宋" w:cs="仿宋"/>
                <w:highlight w:val="none"/>
                <w:lang w:val="en-US" w:eastAsia="zh-CN"/>
              </w:rPr>
              <w:t>可验证阶段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30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17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10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05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13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78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c>
          <w:tcPr>
            <w:tcW w:w="102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30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7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0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5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3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78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2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30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7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0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5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3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78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2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30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7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0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53"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134"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78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c>
          <w:tcPr>
            <w:tcW w:w="1029" w:type="dxa"/>
            <w:vAlign w:val="top"/>
          </w:tcPr>
          <w:p>
            <w:pPr>
              <w:pStyle w:val="17"/>
              <w:keepNext w:val="0"/>
              <w:keepLines w:val="0"/>
              <w:pageBreakBefore w:val="0"/>
              <w:widowControl w:val="0"/>
              <w:kinsoku/>
              <w:wordWrap/>
              <w:overflowPunct/>
              <w:topLinePunct w:val="0"/>
              <w:autoSpaceDE/>
              <w:autoSpaceDN/>
              <w:bidi w:val="0"/>
              <w:adjustRightInd w:val="0"/>
              <w:snapToGrid w:val="0"/>
              <w:spacing w:after="0" w:line="240" w:lineRule="atLeast"/>
              <w:ind w:left="0" w:leftChars="0"/>
              <w:textAlignment w:val="baseline"/>
              <w:rPr>
                <w:rFonts w:ascii="仿宋" w:hAnsi="仿宋" w:eastAsia="仿宋" w:cs="仿宋"/>
              </w:rPr>
            </w:pPr>
          </w:p>
        </w:tc>
      </w:tr>
    </w:tbl>
    <w:p>
      <w:pPr>
        <w:pStyle w:val="17"/>
        <w:snapToGrid w:val="0"/>
        <w:spacing w:line="360" w:lineRule="auto"/>
        <w:ind w:firstLine="422" w:firstLineChars="200"/>
        <w:rPr>
          <w:rFonts w:ascii="仿宋" w:hAnsi="仿宋" w:eastAsia="仿宋" w:cs="仿宋"/>
          <w:sz w:val="21"/>
          <w:szCs w:val="21"/>
        </w:rPr>
      </w:pPr>
      <w:r>
        <w:rPr>
          <w:rFonts w:hint="eastAsia" w:ascii="仿宋" w:hAnsi="仿宋" w:eastAsia="仿宋" w:cs="仿宋"/>
          <w:b/>
          <w:kern w:val="2"/>
          <w:sz w:val="21"/>
          <w:szCs w:val="21"/>
          <w:lang w:bidi="ar"/>
        </w:rPr>
        <w:t>注：</w:t>
      </w:r>
      <w:r>
        <w:rPr>
          <w:rFonts w:hint="eastAsia" w:ascii="仿宋" w:hAnsi="仿宋" w:eastAsia="仿宋" w:cs="仿宋"/>
          <w:bCs/>
          <w:kern w:val="2"/>
          <w:sz w:val="21"/>
          <w:szCs w:val="21"/>
          <w:lang w:bidi="ar"/>
        </w:rPr>
        <w:t>1.</w:t>
      </w:r>
      <w:r>
        <w:rPr>
          <w:rFonts w:hint="eastAsia" w:ascii="仿宋" w:hAnsi="仿宋" w:eastAsia="仿宋" w:cs="仿宋"/>
          <w:kern w:val="2"/>
          <w:sz w:val="21"/>
          <w:szCs w:val="21"/>
          <w:lang w:bidi="ar"/>
        </w:rPr>
        <w:t>未注明国产或进口的元件均按进口元件选定；</w:t>
      </w:r>
      <w:r>
        <w:rPr>
          <w:rFonts w:hint="eastAsia" w:ascii="仿宋" w:hAnsi="仿宋" w:eastAsia="仿宋" w:cs="仿宋"/>
          <w:b/>
          <w:kern w:val="2"/>
          <w:sz w:val="21"/>
          <w:szCs w:val="21"/>
          <w:lang w:bidi="ar"/>
        </w:rPr>
        <w:t>2.</w:t>
      </w:r>
      <w:r>
        <w:rPr>
          <w:rFonts w:hint="eastAsia" w:ascii="仿宋" w:hAnsi="仿宋" w:eastAsia="仿宋" w:cs="仿宋"/>
          <w:kern w:val="2"/>
          <w:sz w:val="21"/>
          <w:szCs w:val="21"/>
          <w:lang w:bidi="ar"/>
        </w:rPr>
        <w:t>出现不能满足附表选型时，应与招标方进行协商，必须取得招标方的批准；</w:t>
      </w:r>
      <w:r>
        <w:rPr>
          <w:rFonts w:hint="eastAsia" w:ascii="仿宋" w:hAnsi="仿宋" w:eastAsia="仿宋" w:cs="仿宋"/>
          <w:b/>
          <w:kern w:val="2"/>
          <w:sz w:val="21"/>
          <w:szCs w:val="21"/>
          <w:lang w:bidi="ar"/>
        </w:rPr>
        <w:t>3.</w:t>
      </w:r>
      <w:r>
        <w:rPr>
          <w:rFonts w:hint="eastAsia" w:ascii="仿宋" w:hAnsi="仿宋" w:eastAsia="仿宋" w:cs="仿宋"/>
          <w:kern w:val="2"/>
          <w:sz w:val="21"/>
          <w:szCs w:val="21"/>
          <w:lang w:bidi="ar"/>
        </w:rPr>
        <w:t>所有电气零部件保护等级须符合IEC：IP-54以上，如工艺要求更高的防护以实际工艺要求为准。</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color w:val="0000FF"/>
          <w:sz w:val="24"/>
          <w:szCs w:val="24"/>
        </w:rPr>
      </w:pPr>
      <w:r>
        <w:rPr>
          <w:rFonts w:hint="eastAsia" w:ascii="仿宋" w:hAnsi="仿宋" w:eastAsia="仿宋" w:cs="仿宋"/>
          <w:color w:val="0000FF"/>
          <w:sz w:val="24"/>
          <w:szCs w:val="24"/>
        </w:rPr>
        <w:t>3.</w:t>
      </w:r>
      <w:r>
        <w:rPr>
          <w:rFonts w:hint="eastAsia" w:ascii="仿宋" w:hAnsi="仿宋" w:eastAsia="仿宋" w:cs="仿宋"/>
          <w:color w:val="0000FF"/>
          <w:sz w:val="24"/>
          <w:szCs w:val="24"/>
          <w:lang w:val="en-US" w:eastAsia="zh-CN"/>
        </w:rPr>
        <w:t>5</w:t>
      </w:r>
      <w:r>
        <w:rPr>
          <w:rFonts w:hint="eastAsia" w:ascii="仿宋" w:hAnsi="仿宋" w:eastAsia="仿宋" w:cs="仿宋"/>
          <w:color w:val="0000FF"/>
          <w:sz w:val="24"/>
          <w:szCs w:val="24"/>
        </w:rPr>
        <w:t>其它主要要求</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.1在线检测要求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调试螺栓长度及有无螺纹检测</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安全及环保要求</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.1投标方所供的货物（或生产线），必须符合中国最新版的安全</w:t>
      </w:r>
      <w:r>
        <w:rPr>
          <w:rFonts w:hint="eastAsia" w:ascii="仿宋" w:hAnsi="仿宋" w:eastAsia="仿宋" w:cs="仿宋"/>
          <w:sz w:val="24"/>
          <w:szCs w:val="24"/>
          <w:highlight w:val="none"/>
          <w:lang w:eastAsia="zh-CN"/>
        </w:rPr>
        <w:t>、环保、消防及职业健康的</w:t>
      </w:r>
      <w:r>
        <w:rPr>
          <w:rFonts w:hint="eastAsia" w:ascii="仿宋" w:hAnsi="仿宋" w:eastAsia="仿宋" w:cs="仿宋"/>
          <w:sz w:val="24"/>
          <w:szCs w:val="24"/>
          <w:highlight w:val="none"/>
        </w:rPr>
        <w:t>法律、法规要求，符合行业安全标准及项目所在地政府有关特殊要求。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.2 货物（或生产线）应完整且所有的零部件应该安装安全、牢固，外观无损伤，所有的焊缝饱满、无残渣等缺陷且符合国家及行业相关标准。</w:t>
      </w:r>
    </w:p>
    <w:p>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 对生产线存在安全</w:t>
      </w:r>
      <w:r>
        <w:rPr>
          <w:rFonts w:hint="eastAsia" w:ascii="仿宋" w:hAnsi="仿宋" w:eastAsia="仿宋" w:cs="仿宋"/>
          <w:sz w:val="24"/>
          <w:szCs w:val="24"/>
          <w:highlight w:val="none"/>
          <w:lang w:val="en-US" w:eastAsia="zh-CN"/>
        </w:rPr>
        <w:t>风险</w:t>
      </w:r>
      <w:r>
        <w:rPr>
          <w:rFonts w:hint="eastAsia" w:ascii="仿宋" w:hAnsi="仿宋" w:eastAsia="仿宋" w:cs="仿宋"/>
          <w:sz w:val="24"/>
          <w:szCs w:val="24"/>
          <w:highlight w:val="none"/>
        </w:rPr>
        <w:t>的工位</w:t>
      </w:r>
      <w:r>
        <w:rPr>
          <w:rFonts w:hint="eastAsia" w:ascii="仿宋" w:hAnsi="仿宋" w:eastAsia="仿宋" w:cs="仿宋"/>
          <w:sz w:val="24"/>
          <w:szCs w:val="24"/>
        </w:rPr>
        <w:t>必须采取安全措施，如：线体防护板、高温防护、光栅等。</w:t>
      </w:r>
    </w:p>
    <w:p>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.4 从安全生产的角度考虑各单元及工位应设有急停按钮，并有明显标识。</w:t>
      </w:r>
    </w:p>
    <w:p>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.5 单元操作面板上有上电按钮和急停按钮，上</w:t>
      </w:r>
      <w:r>
        <w:rPr>
          <w:rFonts w:hint="eastAsia" w:ascii="仿宋" w:hAnsi="仿宋" w:eastAsia="仿宋" w:cs="仿宋"/>
          <w:sz w:val="24"/>
          <w:szCs w:val="24"/>
          <w:highlight w:val="none"/>
        </w:rPr>
        <w:t>电后可对系统进行操作。</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.6 所有电气安装和施工均应符合我国现行行业标准（规范）</w:t>
      </w:r>
      <w:r>
        <w:rPr>
          <w:rFonts w:hint="eastAsia" w:ascii="仿宋" w:hAnsi="仿宋" w:eastAsia="仿宋" w:cs="仿宋"/>
          <w:sz w:val="24"/>
          <w:szCs w:val="24"/>
          <w:highlight w:val="none"/>
          <w:lang w:eastAsia="zh-CN"/>
        </w:rPr>
        <w:t>，电器柜需张贴当心触电警示标识</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.7 投标方必须提供所供设备相应的安全操作规程和安全事项的说明书，危险化学品“一书一签”；负责对招标方相关人员开展“四新”安全培训。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.8货物（或生产线）应运行稳定、可靠、安全，无非正常变形，非正常振动，无异常声音；无漏水、漏液、漏气（汽）、漏电等现象。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.9 所有的管路和线缆等，接头应完全正确、可靠地联接；应排列有序（正确、牢固、整齐），有必要的防护，无皱褶、收缩</w:t>
      </w:r>
      <w:r>
        <w:rPr>
          <w:rFonts w:hint="eastAsia" w:ascii="仿宋" w:hAnsi="仿宋" w:eastAsia="仿宋" w:cs="仿宋"/>
          <w:sz w:val="24"/>
          <w:szCs w:val="24"/>
          <w:highlight w:val="none"/>
        </w:rPr>
        <w:t>和裂缝等不良现象。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.10地线联接和地极符合国际（ISO/IEC）标准规范</w:t>
      </w:r>
      <w:r>
        <w:rPr>
          <w:rFonts w:hint="eastAsia" w:ascii="仿宋" w:hAnsi="仿宋" w:eastAsia="仿宋" w:cs="仿宋"/>
          <w:sz w:val="24"/>
          <w:szCs w:val="24"/>
          <w:highlight w:val="none"/>
          <w:lang w:eastAsia="zh-CN"/>
        </w:rPr>
        <w:t>，电器柜需张贴当心触电警示标识</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.11货物（或生产线）正常运行时，噪声等环境影响因素满足国家（《工作场所物理因素测量 噪声》GBZ/T 189.8-2007. 噪音≤80dB(A)（距设备一米处测量））和当地环保主管部门规定。项目验收时，投标方须提供</w:t>
      </w:r>
      <w:r>
        <w:rPr>
          <w:rFonts w:hint="eastAsia" w:ascii="仿宋" w:hAnsi="仿宋" w:eastAsia="仿宋" w:cs="仿宋"/>
          <w:sz w:val="24"/>
          <w:szCs w:val="24"/>
          <w:lang w:bidi="ar"/>
        </w:rPr>
        <w:t>由第三方监测机构出具的噪音合格监测报告。</w:t>
      </w:r>
    </w:p>
    <w:p>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.13 涉及需要进行环保、职业卫生强制检测的项目（设备、设施），应由</w:t>
      </w:r>
      <w:r>
        <w:rPr>
          <w:rFonts w:hint="eastAsia" w:ascii="仿宋" w:hAnsi="仿宋" w:eastAsia="仿宋" w:cs="仿宋"/>
          <w:sz w:val="24"/>
          <w:szCs w:val="24"/>
          <w:highlight w:val="none"/>
        </w:rPr>
        <w:t>中标方提供权威第三方检测机构出具的完工检测报告。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.14 特种设备应提供济南市特种设备检验研究院出具的首次检验报告，招标方协助中标方办理相关注册登记手续。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.15机器人作业区域安全防护。</w:t>
      </w:r>
      <w:r>
        <w:rPr>
          <w:rFonts w:hint="eastAsia" w:ascii="仿宋" w:hAnsi="仿宋" w:eastAsia="仿宋" w:cs="仿宋"/>
          <w:color w:val="auto"/>
          <w:sz w:val="24"/>
          <w:szCs w:val="24"/>
          <w:highlight w:val="none"/>
          <w:lang w:val="en-US" w:eastAsia="zh-CN"/>
        </w:rPr>
        <w:t>机器人作业区域需安装</w:t>
      </w:r>
      <w:r>
        <w:rPr>
          <w:rFonts w:hint="eastAsia" w:ascii="仿宋" w:hAnsi="仿宋" w:eastAsia="仿宋" w:cs="仿宋"/>
          <w:color w:val="auto"/>
          <w:sz w:val="24"/>
          <w:szCs w:val="24"/>
          <w:highlight w:val="none"/>
        </w:rPr>
        <w:t>安全防护</w:t>
      </w:r>
      <w:r>
        <w:rPr>
          <w:rFonts w:hint="eastAsia" w:ascii="仿宋" w:hAnsi="仿宋" w:eastAsia="仿宋" w:cs="仿宋"/>
          <w:color w:val="auto"/>
          <w:sz w:val="24"/>
          <w:szCs w:val="24"/>
          <w:highlight w:val="none"/>
          <w:lang w:val="en-US" w:eastAsia="zh-CN"/>
        </w:rPr>
        <w:t>隔离，安全防护隔离</w:t>
      </w:r>
      <w:r>
        <w:rPr>
          <w:rFonts w:hint="eastAsia" w:ascii="仿宋" w:hAnsi="仿宋" w:eastAsia="仿宋" w:cs="仿宋"/>
          <w:color w:val="auto"/>
          <w:sz w:val="24"/>
          <w:szCs w:val="24"/>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.8投标方所投货物外观颜色标准按招标方提供的标准《Q/ZZ 30070—2020》或双方书面约定的标准执行。</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ascii="仿宋" w:hAnsi="仿宋" w:eastAsia="仿宋" w:cs="仿宋"/>
          <w:b/>
          <w:bCs/>
          <w:sz w:val="24"/>
          <w:szCs w:val="24"/>
        </w:rPr>
      </w:pPr>
      <w:bookmarkStart w:id="323" w:name="_Toc900"/>
      <w:bookmarkStart w:id="324" w:name="_Toc73112402"/>
      <w:bookmarkStart w:id="325" w:name="_Toc12980"/>
      <w:bookmarkStart w:id="326" w:name="_Toc31046"/>
      <w:bookmarkStart w:id="327" w:name="_Toc2382"/>
      <w:bookmarkStart w:id="328" w:name="_Toc24311"/>
      <w:bookmarkStart w:id="329" w:name="_Toc17206"/>
      <w:bookmarkStart w:id="330" w:name="_Toc4932"/>
      <w:bookmarkStart w:id="331" w:name="_Toc8256"/>
      <w:bookmarkStart w:id="332" w:name="_Toc31832"/>
      <w:bookmarkStart w:id="333" w:name="_Toc11448"/>
      <w:bookmarkStart w:id="334" w:name="_Toc14715"/>
      <w:bookmarkStart w:id="335" w:name="_Toc11237"/>
      <w:bookmarkStart w:id="336" w:name="_Toc25096"/>
      <w:bookmarkStart w:id="337" w:name="_Toc3721"/>
      <w:bookmarkStart w:id="338" w:name="_Toc15063"/>
      <w:bookmarkStart w:id="339" w:name="_Toc14191"/>
      <w:bookmarkStart w:id="340" w:name="_Toc16595"/>
      <w:bookmarkStart w:id="341" w:name="_Toc16458"/>
      <w:bookmarkStart w:id="342" w:name="_Toc28302"/>
      <w:bookmarkStart w:id="343" w:name="_Toc2761"/>
      <w:bookmarkStart w:id="344" w:name="_Toc13730"/>
      <w:bookmarkStart w:id="345" w:name="_Toc24239"/>
      <w:bookmarkStart w:id="346" w:name="_Toc16723"/>
      <w:bookmarkStart w:id="347" w:name="_Toc28651"/>
      <w:bookmarkStart w:id="348" w:name="_Toc3096"/>
      <w:bookmarkStart w:id="349" w:name="_Toc963"/>
      <w:bookmarkStart w:id="350" w:name="_Toc10838"/>
      <w:bookmarkStart w:id="351" w:name="_Toc10224"/>
      <w:bookmarkStart w:id="352" w:name="_Toc73"/>
      <w:bookmarkStart w:id="353" w:name="_Toc1717"/>
      <w:bookmarkStart w:id="354" w:name="_Toc14754"/>
      <w:bookmarkStart w:id="355" w:name="_Toc12383"/>
      <w:bookmarkStart w:id="356" w:name="_Toc8333"/>
      <w:bookmarkStart w:id="357" w:name="_Toc11582"/>
      <w:bookmarkStart w:id="358" w:name="_Toc11655"/>
      <w:bookmarkStart w:id="359" w:name="_Toc31509"/>
      <w:bookmarkStart w:id="360" w:name="_Toc30526"/>
      <w:bookmarkStart w:id="361" w:name="_Toc28134"/>
      <w:bookmarkStart w:id="362" w:name="_Toc24970"/>
      <w:bookmarkStart w:id="363" w:name="_Toc14086"/>
      <w:bookmarkStart w:id="364" w:name="_Toc466"/>
      <w:r>
        <w:rPr>
          <w:rFonts w:hint="eastAsia" w:ascii="仿宋" w:hAnsi="仿宋" w:eastAsia="仿宋" w:cs="仿宋"/>
          <w:b/>
          <w:bCs/>
          <w:sz w:val="24"/>
          <w:szCs w:val="24"/>
        </w:rPr>
        <w:t>4特别提示</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4.2本技术要求所使用的标准、规范等，如与投标方所执行的标准、规范不一致时，应按高于本技术要求所列的标准、规范执行，并在投标文件“技术偏离”中予以说明。</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4.3投标方认为所供货物（或生产线）必需由招标方配备、解决或提供的其它要求，如设备基础隔振和减振设施、软化水、洁净气源等，均应在投标文件“技术偏离”中予以充分说明。</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4.4投标方须负责在终验收前，在招标方设备现场对投标设备实施电能质量和公用电网谐波检测并出具检测报告。检测工作由投标方负责安排第三方实施（第三方的资质须由招标方认可）。</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4.5投标文件中，针对“特别提示”条款所做的回应，将作为投标方能否中标的重要依据之一。</w:t>
      </w:r>
      <w:bookmarkStart w:id="365" w:name="_Toc133783970"/>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4.5投标方所投货物外观颜色标准按招标方提供的标准或双方书面约定的标准执行。</w:t>
      </w:r>
    </w:p>
    <w:p>
      <w:pPr>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outlineLvl w:val="0"/>
        <w:rPr>
          <w:rFonts w:ascii="仿宋" w:hAnsi="仿宋" w:eastAsia="仿宋" w:cs="仿宋"/>
          <w:b/>
          <w:bCs/>
          <w:sz w:val="24"/>
          <w:szCs w:val="24"/>
        </w:rPr>
      </w:pPr>
      <w:bookmarkStart w:id="366" w:name="_Toc22156"/>
      <w:bookmarkStart w:id="367" w:name="_Toc16352"/>
      <w:bookmarkStart w:id="368" w:name="_Toc6352"/>
      <w:bookmarkStart w:id="369" w:name="_Toc14583"/>
      <w:bookmarkStart w:id="370" w:name="_Toc20260"/>
      <w:bookmarkStart w:id="371" w:name="_Toc20841"/>
      <w:bookmarkStart w:id="372" w:name="_Toc24173"/>
      <w:bookmarkStart w:id="373" w:name="_Toc20329"/>
      <w:bookmarkStart w:id="374" w:name="_Toc22710"/>
      <w:bookmarkStart w:id="375" w:name="_Toc4641"/>
      <w:bookmarkStart w:id="376" w:name="_Toc19081"/>
      <w:bookmarkStart w:id="377" w:name="_Toc11725"/>
      <w:bookmarkStart w:id="378" w:name="_Toc7258"/>
      <w:bookmarkStart w:id="379" w:name="_Toc1909"/>
      <w:bookmarkStart w:id="380" w:name="_Toc1962"/>
      <w:bookmarkStart w:id="381" w:name="_Toc27327"/>
      <w:bookmarkStart w:id="382" w:name="_Toc22662"/>
      <w:bookmarkStart w:id="383" w:name="_Toc22516"/>
      <w:bookmarkStart w:id="384" w:name="_Toc31816"/>
      <w:bookmarkStart w:id="385" w:name="_Toc16317"/>
      <w:bookmarkStart w:id="386" w:name="_Toc26551"/>
      <w:bookmarkStart w:id="387" w:name="_Toc13526"/>
      <w:bookmarkStart w:id="388" w:name="_Toc32382"/>
      <w:bookmarkStart w:id="389" w:name="_Toc11390"/>
      <w:bookmarkStart w:id="390" w:name="_Toc26601"/>
      <w:bookmarkStart w:id="391" w:name="_Toc73112403"/>
      <w:bookmarkStart w:id="392" w:name="_Toc28745"/>
      <w:bookmarkStart w:id="393" w:name="_Toc29006"/>
      <w:bookmarkStart w:id="394" w:name="_Toc1171"/>
      <w:bookmarkStart w:id="395" w:name="_Toc16316"/>
      <w:bookmarkStart w:id="396" w:name="_Toc19022"/>
      <w:bookmarkStart w:id="397" w:name="_Toc25915"/>
      <w:bookmarkStart w:id="398" w:name="_Toc20994"/>
      <w:bookmarkStart w:id="399" w:name="_Toc17909"/>
      <w:bookmarkStart w:id="400" w:name="_Toc28398"/>
      <w:bookmarkStart w:id="401" w:name="_Toc8892"/>
      <w:bookmarkStart w:id="402" w:name="_Toc3808"/>
      <w:bookmarkStart w:id="403" w:name="_Toc22347"/>
      <w:bookmarkStart w:id="404" w:name="_Toc30892"/>
      <w:bookmarkStart w:id="405" w:name="_Toc21086"/>
      <w:bookmarkStart w:id="406" w:name="_Toc19812"/>
      <w:bookmarkStart w:id="407" w:name="_Toc10828"/>
      <w:bookmarkStart w:id="408" w:name="_Toc19805"/>
      <w:r>
        <w:rPr>
          <w:rFonts w:hint="eastAsia" w:ascii="仿宋" w:hAnsi="仿宋" w:eastAsia="仿宋" w:cs="仿宋"/>
          <w:b/>
          <w:bCs/>
          <w:sz w:val="24"/>
          <w:szCs w:val="24"/>
        </w:rPr>
        <w:t>第三章供货范围及供货方式</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5"/>
        <w:pageBreakBefore w:val="0"/>
        <w:widowControl w:val="0"/>
        <w:kinsoku/>
        <w:wordWrap/>
        <w:overflowPunct/>
        <w:topLinePunct w:val="0"/>
        <w:autoSpaceDE/>
        <w:autoSpaceDN/>
        <w:bidi w:val="0"/>
        <w:snapToGrid w:val="0"/>
        <w:spacing w:before="0" w:after="0" w:line="360" w:lineRule="auto"/>
        <w:ind w:left="0" w:leftChars="0" w:firstLine="480" w:firstLineChars="200"/>
        <w:jc w:val="center"/>
        <w:rPr>
          <w:rFonts w:ascii="仿宋" w:hAnsi="仿宋" w:eastAsia="仿宋" w:cs="仿宋"/>
          <w:b w:val="0"/>
          <w:bCs w:val="0"/>
          <w:sz w:val="24"/>
          <w:szCs w:val="24"/>
        </w:rPr>
      </w:pPr>
      <w:bookmarkStart w:id="409" w:name="_Toc680"/>
      <w:bookmarkStart w:id="410" w:name="_Toc32286"/>
      <w:bookmarkStart w:id="411" w:name="_Toc32716"/>
      <w:bookmarkStart w:id="412" w:name="_Toc8238"/>
      <w:bookmarkStart w:id="413" w:name="_Toc19908"/>
      <w:bookmarkStart w:id="414" w:name="_Toc20301"/>
      <w:bookmarkStart w:id="415" w:name="_Toc969"/>
      <w:bookmarkStart w:id="416" w:name="_Toc5032"/>
      <w:bookmarkStart w:id="417" w:name="_Toc20066"/>
      <w:bookmarkStart w:id="418" w:name="_Toc20721"/>
      <w:bookmarkStart w:id="419" w:name="_Toc13578"/>
      <w:bookmarkStart w:id="420" w:name="_Toc10323"/>
      <w:bookmarkStart w:id="421" w:name="_Toc2288"/>
      <w:bookmarkStart w:id="422" w:name="_Toc6219"/>
      <w:bookmarkStart w:id="423" w:name="_Toc9571"/>
      <w:bookmarkStart w:id="424" w:name="_Toc4032"/>
      <w:bookmarkStart w:id="425" w:name="_Toc28344"/>
      <w:bookmarkStart w:id="426" w:name="_Toc17404"/>
      <w:bookmarkStart w:id="427" w:name="_Toc11227"/>
      <w:bookmarkStart w:id="428" w:name="_Toc5131"/>
      <w:bookmarkStart w:id="429" w:name="_Toc16027"/>
      <w:bookmarkStart w:id="430" w:name="_Toc9994"/>
      <w:bookmarkStart w:id="431" w:name="_Toc25354"/>
      <w:bookmarkStart w:id="432" w:name="_Toc27831"/>
      <w:bookmarkStart w:id="433" w:name="_Toc32741"/>
      <w:bookmarkStart w:id="434" w:name="_Toc19860"/>
      <w:bookmarkStart w:id="435" w:name="_Toc3639"/>
      <w:bookmarkStart w:id="436" w:name="_Toc9580"/>
      <w:bookmarkStart w:id="437" w:name="_Toc14383"/>
      <w:bookmarkStart w:id="438" w:name="_Toc31722"/>
      <w:bookmarkStart w:id="439" w:name="_Toc73112404"/>
      <w:bookmarkStart w:id="440" w:name="_Toc29751"/>
      <w:bookmarkStart w:id="441" w:name="_Toc11979"/>
      <w:bookmarkStart w:id="442" w:name="_Toc32542"/>
      <w:bookmarkStart w:id="443" w:name="_Toc5052"/>
      <w:bookmarkStart w:id="444" w:name="_Toc27567"/>
      <w:bookmarkStart w:id="445" w:name="_Toc3358"/>
      <w:bookmarkStart w:id="446" w:name="_Toc4896"/>
      <w:bookmarkStart w:id="447" w:name="_Toc19111"/>
      <w:bookmarkStart w:id="448" w:name="_Toc133783971"/>
      <w:bookmarkStart w:id="449" w:name="_Toc32750"/>
      <w:bookmarkStart w:id="450" w:name="_Toc6864"/>
      <w:bookmarkStart w:id="451" w:name="_Toc12581"/>
      <w:bookmarkStart w:id="452" w:name="_Toc2127"/>
      <w:bookmarkStart w:id="453" w:name="_Toc19155"/>
      <w:bookmarkStart w:id="454" w:name="_Toc18238"/>
      <w:bookmarkStart w:id="455" w:name="_Toc8963"/>
      <w:r>
        <w:rPr>
          <w:rFonts w:hint="eastAsia" w:ascii="仿宋" w:hAnsi="仿宋" w:eastAsia="仿宋" w:cs="仿宋"/>
          <w:b w:val="0"/>
          <w:bCs w:val="0"/>
          <w:sz w:val="24"/>
          <w:szCs w:val="24"/>
        </w:rPr>
        <w:t>第一节供货范围</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ageBreakBefore w:val="0"/>
        <w:widowControl w:val="0"/>
        <w:kinsoku/>
        <w:wordWrap/>
        <w:overflowPunct/>
        <w:topLinePunct w:val="0"/>
        <w:autoSpaceDE/>
        <w:autoSpaceDN/>
        <w:bidi w:val="0"/>
        <w:snapToGrid w:val="0"/>
        <w:spacing w:line="360" w:lineRule="auto"/>
        <w:ind w:left="0" w:leftChars="0" w:firstLine="482" w:firstLineChars="200"/>
        <w:outlineLvl w:val="2"/>
        <w:rPr>
          <w:rFonts w:ascii="仿宋" w:hAnsi="仿宋" w:eastAsia="仿宋" w:cs="仿宋"/>
          <w:b/>
          <w:bCs/>
          <w:sz w:val="24"/>
          <w:szCs w:val="24"/>
        </w:rPr>
      </w:pPr>
      <w:bookmarkStart w:id="456" w:name="_Toc4850"/>
      <w:bookmarkStart w:id="457" w:name="_Toc15878"/>
      <w:bookmarkStart w:id="458" w:name="_Toc4815"/>
      <w:bookmarkStart w:id="459" w:name="_Toc17029"/>
      <w:bookmarkStart w:id="460" w:name="_Toc14280"/>
      <w:bookmarkStart w:id="461" w:name="_Toc29417"/>
      <w:bookmarkStart w:id="462" w:name="_Toc272"/>
      <w:bookmarkStart w:id="463" w:name="_Toc14137"/>
      <w:bookmarkStart w:id="464" w:name="_Toc6385"/>
      <w:bookmarkStart w:id="465" w:name="_Toc21071"/>
      <w:bookmarkStart w:id="466" w:name="_Toc73112405"/>
      <w:bookmarkStart w:id="467" w:name="_Toc17678"/>
      <w:bookmarkStart w:id="468" w:name="_Toc28468"/>
      <w:bookmarkStart w:id="469" w:name="_Toc13760"/>
      <w:bookmarkStart w:id="470" w:name="_Toc25761"/>
      <w:bookmarkStart w:id="471" w:name="_Toc17608"/>
      <w:bookmarkStart w:id="472" w:name="_Toc9769"/>
      <w:bookmarkStart w:id="473" w:name="_Toc18228"/>
      <w:bookmarkStart w:id="474" w:name="_Toc18305"/>
      <w:bookmarkStart w:id="475" w:name="_Toc5149"/>
      <w:r>
        <w:rPr>
          <w:rFonts w:hint="eastAsia" w:ascii="仿宋" w:hAnsi="仿宋" w:eastAsia="仿宋" w:cs="仿宋"/>
          <w:b/>
          <w:bCs/>
          <w:sz w:val="24"/>
          <w:szCs w:val="24"/>
        </w:rPr>
        <w:t>1主要供货范围</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1.1招标方只提供所需厂房、货物（或生产线）的基本砼基础，如不满足项目需求，由投标方负责进行建设。</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1.2招标方只负责提供符合本技术标书中“采购货物概况”和“使用环境”章节所列明品质的电力、自来水、压缩空气、蒸汽、天然气（或煤气）管线至车间接口,投标方负责从车间接口到项目系统的对接。</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1.3投标方应提供包括货物（或生产线）正常运行所必需的全套连线设备、材料等；如：联接法兰外端面（含联接螺栓）之内的、电气系统接口压线板（插座等）之内的设备、材料等；</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color w:val="auto"/>
          <w:sz w:val="24"/>
          <w:szCs w:val="24"/>
          <w:highlight w:val="none"/>
        </w:rPr>
      </w:pPr>
      <w:r>
        <w:rPr>
          <w:rFonts w:hint="eastAsia" w:ascii="仿宋" w:hAnsi="仿宋" w:eastAsia="仿宋" w:cs="仿宋"/>
          <w:sz w:val="24"/>
          <w:szCs w:val="24"/>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color w:val="auto"/>
          <w:sz w:val="24"/>
          <w:szCs w:val="24"/>
          <w:highlight w:val="none"/>
        </w:rPr>
        <w:t>1.5投标方应提供包括为达到环保、消防和</w:t>
      </w:r>
      <w:r>
        <w:rPr>
          <w:rFonts w:hint="eastAsia" w:ascii="仿宋" w:hAnsi="仿宋" w:eastAsia="仿宋" w:cs="仿宋"/>
          <w:color w:val="auto"/>
          <w:sz w:val="24"/>
          <w:szCs w:val="24"/>
          <w:highlight w:val="none"/>
          <w:lang w:eastAsia="zh-CN"/>
        </w:rPr>
        <w:t>职业健康</w:t>
      </w:r>
      <w:r>
        <w:rPr>
          <w:rFonts w:hint="eastAsia" w:ascii="仿宋" w:hAnsi="仿宋" w:eastAsia="仿宋" w:cs="仿宋"/>
          <w:color w:val="auto"/>
          <w:sz w:val="24"/>
          <w:szCs w:val="24"/>
          <w:highlight w:val="none"/>
        </w:rPr>
        <w:t>等国家法律、法规和标准、规范要求的除尘系统、通风系统以及近距离照明系统等配</w:t>
      </w:r>
      <w:r>
        <w:rPr>
          <w:rFonts w:hint="eastAsia" w:ascii="仿宋" w:hAnsi="仿宋" w:eastAsia="仿宋" w:cs="仿宋"/>
          <w:sz w:val="24"/>
          <w:szCs w:val="24"/>
        </w:rPr>
        <w:t>套的设备、材料等。如投标方难以提供或无优势提供，则应当在投标文件的技术偏离条款中，予以详细说明并注明投标报价未包含该部分的货值。</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1.6投标方应提供包括为保证货物（或生产线）自身正常运行所必需的、适应使用地点条件的通风、冷却、降温系统等。</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1.8投标方应提供货物（或生产线）维修所必需的专用工具，并在投标报价部分说明数量。</w:t>
      </w:r>
    </w:p>
    <w:p>
      <w:pPr>
        <w:pageBreakBefore w:val="0"/>
        <w:widowControl w:val="0"/>
        <w:kinsoku/>
        <w:wordWrap/>
        <w:overflowPunct/>
        <w:topLinePunct w:val="0"/>
        <w:autoSpaceDE/>
        <w:autoSpaceDN/>
        <w:bidi w:val="0"/>
        <w:snapToGrid w:val="0"/>
        <w:spacing w:line="360" w:lineRule="auto"/>
        <w:ind w:left="0" w:leftChars="0" w:firstLine="482" w:firstLineChars="200"/>
        <w:outlineLvl w:val="2"/>
        <w:rPr>
          <w:rFonts w:ascii="仿宋" w:hAnsi="仿宋" w:eastAsia="仿宋" w:cs="仿宋"/>
          <w:b/>
          <w:bCs/>
          <w:sz w:val="24"/>
          <w:szCs w:val="24"/>
        </w:rPr>
      </w:pPr>
      <w:bookmarkStart w:id="476" w:name="_Toc5521"/>
      <w:bookmarkStart w:id="477" w:name="_Toc29389"/>
      <w:bookmarkStart w:id="478" w:name="_Toc18018"/>
      <w:bookmarkStart w:id="479" w:name="_Toc31723"/>
      <w:bookmarkStart w:id="480" w:name="_Toc73112406"/>
      <w:bookmarkStart w:id="481" w:name="_Toc6916"/>
      <w:bookmarkStart w:id="482" w:name="_Toc19187"/>
      <w:bookmarkStart w:id="483" w:name="_Toc31074"/>
      <w:bookmarkStart w:id="484" w:name="_Toc20059"/>
      <w:bookmarkStart w:id="485" w:name="_Toc31685"/>
      <w:bookmarkStart w:id="486" w:name="_Toc3726"/>
      <w:bookmarkStart w:id="487" w:name="_Toc11531"/>
      <w:bookmarkStart w:id="488" w:name="_Toc10211"/>
      <w:bookmarkStart w:id="489" w:name="_Toc30004"/>
      <w:bookmarkStart w:id="490" w:name="_Toc2744"/>
      <w:bookmarkStart w:id="491" w:name="_Toc434"/>
      <w:bookmarkStart w:id="492" w:name="_Toc8330"/>
      <w:bookmarkStart w:id="493" w:name="_Toc30087"/>
      <w:bookmarkStart w:id="494" w:name="_Toc10027"/>
      <w:bookmarkStart w:id="495" w:name="_Toc25570"/>
      <w:r>
        <w:rPr>
          <w:rFonts w:hint="eastAsia" w:ascii="仿宋" w:hAnsi="仿宋" w:eastAsia="仿宋" w:cs="仿宋"/>
          <w:b/>
          <w:bCs/>
          <w:sz w:val="24"/>
          <w:szCs w:val="24"/>
        </w:rPr>
        <w:t>2备品备件、易损件和专用耗材供货范围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2.1招标方招标文件所指备品备件、易损件和专用耗材，是招标方为保证货物（或生产线）质保期之后正常运行一年所自备自用的备品备件、易损件和专用耗材。</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2.2投标方按照招标文件要求提供、或投标方认为招标方应当储备的备品备件、易损件和专用耗材，投标方应当在投标报价部分分别说明所列备品备件、易损件和专用耗材的使用时间。</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2.3投标方应提供易损件和专用耗材的制造图纸及其技术要求等资料。</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rPr>
        <w:t>2.4投标文件中，应当有备品备件、易损件和专用耗材的详细清单（内容包括名称、</w:t>
      </w:r>
      <w:r>
        <w:rPr>
          <w:rFonts w:hint="eastAsia" w:ascii="仿宋" w:hAnsi="仿宋" w:eastAsia="仿宋" w:cs="仿宋"/>
          <w:sz w:val="24"/>
          <w:szCs w:val="24"/>
          <w:highlight w:val="none"/>
        </w:rPr>
        <w:t>型号、规格、单位、数量、</w:t>
      </w:r>
      <w:r>
        <w:rPr>
          <w:rFonts w:hint="eastAsia" w:ascii="仿宋" w:hAnsi="仿宋" w:eastAsia="仿宋" w:cs="仿宋"/>
          <w:sz w:val="24"/>
          <w:szCs w:val="24"/>
          <w:highlight w:val="none"/>
          <w:lang w:val="en-US" w:eastAsia="zh-CN"/>
        </w:rPr>
        <w:t>品牌、</w:t>
      </w:r>
      <w:r>
        <w:rPr>
          <w:rFonts w:hint="eastAsia" w:ascii="仿宋" w:hAnsi="仿宋" w:eastAsia="仿宋" w:cs="仿宋"/>
          <w:sz w:val="24"/>
          <w:szCs w:val="24"/>
          <w:highlight w:val="none"/>
        </w:rPr>
        <w:t>生产厂家、单价、总价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重汽折扣价</w:t>
      </w:r>
      <w:r>
        <w:rPr>
          <w:rFonts w:hint="eastAsia" w:ascii="仿宋" w:hAnsi="仿宋" w:eastAsia="仿宋" w:cs="仿宋"/>
          <w:sz w:val="24"/>
          <w:szCs w:val="24"/>
          <w:highlight w:val="none"/>
        </w:rPr>
        <w:t>等）。机床和机器人的主要参数、配置表、关键件和进口外购明细表、随机附明细表、技术文件明细表等。</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2.5备品备件、易损件和专用耗材的费用应分类单列，并计入投标总报价之内。</w:t>
      </w:r>
    </w:p>
    <w:p>
      <w:pPr>
        <w:pageBreakBefore w:val="0"/>
        <w:widowControl w:val="0"/>
        <w:kinsoku/>
        <w:wordWrap/>
        <w:overflowPunct/>
        <w:topLinePunct w:val="0"/>
        <w:autoSpaceDE/>
        <w:autoSpaceDN/>
        <w:bidi w:val="0"/>
        <w:snapToGrid w:val="0"/>
        <w:spacing w:line="360" w:lineRule="auto"/>
        <w:ind w:left="0" w:leftChars="0" w:firstLine="482" w:firstLineChars="200"/>
        <w:outlineLvl w:val="2"/>
        <w:rPr>
          <w:rFonts w:ascii="仿宋" w:hAnsi="仿宋" w:eastAsia="仿宋" w:cs="仿宋"/>
          <w:b/>
          <w:bCs/>
          <w:sz w:val="24"/>
          <w:szCs w:val="24"/>
          <w:highlight w:val="none"/>
        </w:rPr>
      </w:pPr>
      <w:bookmarkStart w:id="496" w:name="_Toc29622"/>
      <w:bookmarkStart w:id="497" w:name="_Toc30185"/>
      <w:bookmarkStart w:id="498" w:name="_Toc21438"/>
      <w:bookmarkStart w:id="499" w:name="_Toc26974"/>
      <w:bookmarkStart w:id="500" w:name="_Toc30333"/>
      <w:bookmarkStart w:id="501" w:name="_Toc30460"/>
      <w:bookmarkStart w:id="502" w:name="_Toc11396"/>
      <w:bookmarkStart w:id="503" w:name="_Toc20956"/>
      <w:bookmarkStart w:id="504" w:name="_Toc8994"/>
      <w:bookmarkStart w:id="505" w:name="_Toc6474"/>
      <w:bookmarkStart w:id="506" w:name="_Toc14387"/>
      <w:bookmarkStart w:id="507" w:name="_Toc23668"/>
      <w:bookmarkStart w:id="508" w:name="_Toc13573"/>
      <w:bookmarkStart w:id="509" w:name="_Toc27176"/>
      <w:bookmarkStart w:id="510" w:name="_Toc8769"/>
      <w:bookmarkStart w:id="511" w:name="_Toc253"/>
      <w:bookmarkStart w:id="512" w:name="_Toc29526"/>
      <w:bookmarkStart w:id="513" w:name="_Toc73112407"/>
      <w:bookmarkStart w:id="514" w:name="_Toc19082"/>
      <w:bookmarkStart w:id="515" w:name="_Toc29028"/>
      <w:r>
        <w:rPr>
          <w:rFonts w:hint="eastAsia" w:ascii="仿宋" w:hAnsi="仿宋" w:eastAsia="仿宋" w:cs="仿宋"/>
          <w:b/>
          <w:bCs/>
          <w:sz w:val="24"/>
          <w:szCs w:val="24"/>
          <w:highlight w:val="none"/>
        </w:rPr>
        <w:t>3技术资料供货范围</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highlight w:val="none"/>
        </w:rPr>
      </w:pPr>
      <w:bookmarkStart w:id="516" w:name="_Toc133783972"/>
      <w:r>
        <w:rPr>
          <w:rFonts w:hint="eastAsia" w:ascii="仿宋" w:hAnsi="仿宋" w:eastAsia="仿宋" w:cs="仿宋"/>
          <w:sz w:val="24"/>
          <w:szCs w:val="24"/>
          <w:highlight w:val="none"/>
        </w:rPr>
        <w:t>技术资料（进口设备要求中英文对照）包括：</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3.1设备安全操作规程和使用手册；</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PLC编程手册和使用手册；</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3.3维修手册及保养手册；</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3.4液压原理图（含动作顺序表）、气动原理图（含动作顺序表）、润滑原理图、电气原理图、电器接线图、电气元件分布图、梯形图（带中文注释）；</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3.5总装配图和主要部件的装配图，全部自制零件正规图纸，提供机床所有零件的明细表，零件号与装配图应一一对应，且能方便地查找零件在装配图上的位置。提供关键件、易损件零件图。</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3.6采购部件提供正规装配图及零件明细;标准件提供明细（包括型号、规格、部位、数量、制造厂家）并与装配图一一对应；提供关键件，易损件明细。</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3.7提供所有电气元件，液压元件，气动元件，润滑元件明细表（包括型号、规格、部位、数量、制造厂家）。</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3.8 主要外购装置、外购件的使用指导说明书。</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3.9主要零部件、元器件，由投标方负责检验，并提供检验报告。</w:t>
      </w:r>
    </w:p>
    <w:p>
      <w:pPr>
        <w:pageBreakBefore w:val="0"/>
        <w:widowControl w:val="0"/>
        <w:kinsoku/>
        <w:wordWrap/>
        <w:overflowPunct/>
        <w:topLinePunct w:val="0"/>
        <w:autoSpaceDE/>
        <w:autoSpaceDN/>
        <w:bidi w:val="0"/>
        <w:snapToGrid w:val="0"/>
        <w:spacing w:line="360" w:lineRule="auto"/>
        <w:ind w:left="0" w:leftChars="0" w:firstLine="480" w:firstLineChars="200"/>
        <w:rPr>
          <w:rFonts w:ascii="仿宋" w:hAnsi="仿宋" w:eastAsia="仿宋" w:cs="仿宋"/>
          <w:kern w:val="0"/>
          <w:sz w:val="24"/>
          <w:szCs w:val="24"/>
        </w:rPr>
      </w:pPr>
      <w:r>
        <w:rPr>
          <w:rFonts w:hint="eastAsia" w:ascii="仿宋" w:hAnsi="仿宋" w:eastAsia="仿宋" w:cs="仿宋"/>
          <w:sz w:val="24"/>
          <w:szCs w:val="24"/>
        </w:rPr>
        <w:t>3.10 应提供设备出厂所必须的具备国际标准或国内标准规定的具备相关计量检定资质单位精度检验证书、性能测试记录和报告。校准（标定）作业指导书。</w:t>
      </w:r>
    </w:p>
    <w:p>
      <w:pPr>
        <w:pageBreakBefore w:val="0"/>
        <w:widowControl w:val="0"/>
        <w:kinsoku/>
        <w:wordWrap/>
        <w:overflowPunct/>
        <w:topLinePunct w:val="0"/>
        <w:autoSpaceDE/>
        <w:autoSpaceDN/>
        <w:bidi w:val="0"/>
        <w:snapToGrid w:val="0"/>
        <w:spacing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应提供具有测量、检定、校准等功能设备及具备有压力、温度、流量、位移等计量监控要求的计量器具进行检定/校准/标定所用受控标准器具及作业指导书、检定机构名单。</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3.11 提供设备消耗水、电、气的详细资料。</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3.12 保证设备正常运行、维护和保养必需的其他参数和资料。</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3.13、投标方须负责在合同签订后</w:t>
      </w:r>
      <w:r>
        <w:rPr>
          <w:rFonts w:hint="eastAsia" w:ascii="仿宋" w:hAnsi="仿宋" w:eastAsia="仿宋" w:cs="仿宋"/>
          <w:sz w:val="24"/>
          <w:szCs w:val="24"/>
          <w:u w:val="single"/>
          <w:shd w:val="pct10" w:color="auto" w:fill="FFFFFF"/>
        </w:rPr>
        <w:t>30</w:t>
      </w:r>
      <w:r>
        <w:rPr>
          <w:rFonts w:hint="eastAsia" w:ascii="仿宋" w:hAnsi="仿宋" w:eastAsia="仿宋" w:cs="仿宋"/>
          <w:sz w:val="24"/>
          <w:szCs w:val="24"/>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3.14投标方须负责在预验收前，提供设备各部分的功能描述文件、图片、影像等资料（进口、设备应有中外文对照）；</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3.15投标方须负责在终验收前，提供招标方所需全套的工装、模具、吊（挂）具明细及其图纸、具体技术要求等资料；</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3.16投标方须负责在终验收前，提供确定的设备的外购件、外协件、电气元件及主要原材料的供货厂家明细表；</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3.17投标方须负责在设备到达招标方工厂时，与设备一并提供包括设备的备品备件、易损件和专用耗材规定的图纸及技术参数、技术要求等资料；</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w:t>
      </w:r>
      <w:r>
        <w:rPr>
          <w:rFonts w:hint="eastAsia" w:ascii="仿宋" w:hAnsi="仿宋" w:eastAsia="仿宋" w:cs="仿宋"/>
          <w:sz w:val="24"/>
          <w:szCs w:val="24"/>
          <w:highlight w:val="none"/>
        </w:rPr>
        <w:t>备，应有中外文资料说明)；</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3.20投标方在设备入场前提供接口的技术文档和参数说明，包括但不限于接口协议、通讯速率、数据格式等。 </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本“技术资料范围”所列的技术资料、图片、影像等，投标方应各提供</w:t>
      </w:r>
      <w:r>
        <w:rPr>
          <w:rFonts w:hint="eastAsia" w:ascii="仿宋" w:hAnsi="仿宋" w:eastAsia="仿宋" w:cs="仿宋"/>
          <w:sz w:val="24"/>
          <w:szCs w:val="24"/>
          <w:highlight w:val="none"/>
          <w:shd w:val="pct10" w:color="auto" w:fill="FFFFFF"/>
        </w:rPr>
        <w:t>4</w:t>
      </w:r>
      <w:r>
        <w:rPr>
          <w:rFonts w:hint="eastAsia" w:ascii="仿宋" w:hAnsi="仿宋" w:eastAsia="仿宋" w:cs="仿宋"/>
          <w:sz w:val="24"/>
          <w:szCs w:val="24"/>
          <w:highlight w:val="none"/>
        </w:rPr>
        <w:t>套，</w:t>
      </w:r>
      <w:r>
        <w:rPr>
          <w:rFonts w:hint="eastAsia" w:ascii="仿宋" w:hAnsi="仿宋" w:eastAsia="仿宋" w:cs="仿宋"/>
          <w:sz w:val="24"/>
          <w:szCs w:val="24"/>
        </w:rPr>
        <w:t>其中</w:t>
      </w:r>
      <w:r>
        <w:rPr>
          <w:rFonts w:hint="eastAsia" w:ascii="仿宋" w:hAnsi="仿宋" w:eastAsia="仿宋" w:cs="仿宋"/>
          <w:sz w:val="24"/>
          <w:szCs w:val="24"/>
          <w:shd w:val="pct10" w:color="auto" w:fill="FFFFFF"/>
        </w:rPr>
        <w:t>2</w:t>
      </w:r>
      <w:r>
        <w:rPr>
          <w:rFonts w:hint="eastAsia" w:ascii="仿宋" w:hAnsi="仿宋" w:eastAsia="仿宋" w:cs="仿宋"/>
          <w:sz w:val="24"/>
          <w:szCs w:val="24"/>
        </w:rPr>
        <w:t>套为电子版光（软）盘；每份技术文件应装有目录清单；</w:t>
      </w:r>
    </w:p>
    <w:p>
      <w:pPr>
        <w:pStyle w:val="17"/>
        <w:pageBreakBefore w:val="0"/>
        <w:widowControl w:val="0"/>
        <w:kinsoku/>
        <w:wordWrap/>
        <w:overflowPunct/>
        <w:topLinePunct w:val="0"/>
        <w:autoSpaceDE/>
        <w:autoSpaceDN/>
        <w:bidi w:val="0"/>
        <w:snapToGrid w:val="0"/>
        <w:spacing w:after="0" w:line="36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3.2</w:t>
      </w:r>
      <w:r>
        <w:rPr>
          <w:rFonts w:hint="eastAsia" w:ascii="仿宋" w:hAnsi="仿宋" w:eastAsia="仿宋" w:cs="仿宋"/>
          <w:sz w:val="24"/>
          <w:szCs w:val="24"/>
          <w:lang w:val="en-US" w:eastAsia="zh-CN"/>
        </w:rPr>
        <w:t>2</w:t>
      </w:r>
      <w:r>
        <w:rPr>
          <w:rFonts w:hint="eastAsia" w:ascii="仿宋" w:hAnsi="仿宋" w:eastAsia="仿宋" w:cs="仿宋"/>
          <w:sz w:val="24"/>
          <w:szCs w:val="24"/>
        </w:rPr>
        <w:t>本“技术资料范围”所列要求，如招标方认为投标方提供的资料不能满足要求时，有权要求投标方补充或增加。</w:t>
      </w:r>
    </w:p>
    <w:p>
      <w:pPr>
        <w:keepNext w:val="0"/>
        <w:keepLines w:val="0"/>
        <w:pageBreakBefore w:val="0"/>
        <w:widowControl w:val="0"/>
        <w:kinsoku/>
        <w:wordWrap/>
        <w:overflowPunct/>
        <w:topLinePunct w:val="0"/>
        <w:autoSpaceDE/>
        <w:autoSpaceDN/>
        <w:bidi w:val="0"/>
        <w:adjustRightInd w:val="0"/>
        <w:snapToGrid w:val="0"/>
        <w:spacing w:line="360" w:lineRule="auto"/>
        <w:jc w:val="center"/>
        <w:outlineLvl w:val="1"/>
        <w:rPr>
          <w:rFonts w:ascii="仿宋" w:hAnsi="仿宋" w:eastAsia="仿宋" w:cs="仿宋"/>
          <w:b/>
          <w:bCs/>
          <w:sz w:val="24"/>
          <w:szCs w:val="24"/>
        </w:rPr>
      </w:pPr>
      <w:bookmarkStart w:id="517" w:name="_Toc25983"/>
      <w:bookmarkStart w:id="518" w:name="_Toc13201"/>
      <w:bookmarkStart w:id="519" w:name="_Toc15620"/>
      <w:bookmarkStart w:id="520" w:name="_Toc29107"/>
      <w:bookmarkStart w:id="521" w:name="_Toc18118"/>
      <w:bookmarkStart w:id="522" w:name="_Toc12288"/>
      <w:bookmarkStart w:id="523" w:name="_Toc4381"/>
      <w:bookmarkStart w:id="524" w:name="_Toc11851"/>
      <w:bookmarkStart w:id="525" w:name="_Toc6313"/>
      <w:bookmarkStart w:id="526" w:name="_Toc3580"/>
      <w:bookmarkStart w:id="527" w:name="_Toc4676"/>
      <w:bookmarkStart w:id="528" w:name="_Toc20754"/>
      <w:bookmarkStart w:id="529" w:name="_Toc27960"/>
      <w:bookmarkStart w:id="530" w:name="_Toc603"/>
      <w:bookmarkStart w:id="531" w:name="_Toc23856"/>
      <w:bookmarkStart w:id="532" w:name="_Toc4183"/>
      <w:bookmarkStart w:id="533" w:name="_Toc22358"/>
      <w:bookmarkStart w:id="534" w:name="_Toc17613"/>
      <w:bookmarkStart w:id="535" w:name="_Toc1897"/>
      <w:bookmarkStart w:id="536" w:name="_Toc19194"/>
      <w:bookmarkStart w:id="537" w:name="_Toc11837"/>
      <w:bookmarkStart w:id="538" w:name="_Toc10692"/>
      <w:bookmarkStart w:id="539" w:name="_Toc17660"/>
      <w:bookmarkStart w:id="540" w:name="_Toc24898"/>
      <w:bookmarkStart w:id="541" w:name="_Toc5634"/>
      <w:bookmarkStart w:id="542" w:name="_Toc81"/>
      <w:bookmarkStart w:id="543" w:name="_Toc3548"/>
      <w:bookmarkStart w:id="544" w:name="_Toc18839"/>
      <w:bookmarkStart w:id="545" w:name="_Toc15671"/>
      <w:bookmarkStart w:id="546" w:name="_Toc73112408"/>
      <w:bookmarkStart w:id="547" w:name="_Toc16163"/>
      <w:bookmarkStart w:id="548" w:name="_Toc16689"/>
      <w:bookmarkStart w:id="549" w:name="_Toc4601"/>
      <w:bookmarkStart w:id="550" w:name="_Toc8309"/>
      <w:bookmarkStart w:id="551" w:name="_Toc23025"/>
      <w:bookmarkStart w:id="552" w:name="_Toc17572"/>
      <w:bookmarkStart w:id="553" w:name="_Toc1998"/>
      <w:bookmarkStart w:id="554" w:name="_Toc18492"/>
      <w:bookmarkStart w:id="555" w:name="_Toc21360"/>
      <w:bookmarkStart w:id="556" w:name="_Toc27636"/>
      <w:bookmarkStart w:id="557" w:name="_Toc29792"/>
      <w:bookmarkStart w:id="558" w:name="_Toc30635"/>
      <w:r>
        <w:rPr>
          <w:rFonts w:hint="eastAsia" w:ascii="仿宋" w:hAnsi="仿宋" w:eastAsia="仿宋" w:cs="仿宋"/>
          <w:b/>
          <w:bCs/>
          <w:sz w:val="24"/>
          <w:szCs w:val="24"/>
        </w:rPr>
        <w:t>第二节供货方式</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keepNext w:val="0"/>
        <w:keepLines w:val="0"/>
        <w:pageBreakBefore w:val="0"/>
        <w:widowControl w:val="0"/>
        <w:kinsoku/>
        <w:wordWrap/>
        <w:overflowPunct/>
        <w:topLinePunct w:val="0"/>
        <w:autoSpaceDE/>
        <w:autoSpaceDN/>
        <w:bidi w:val="0"/>
        <w:snapToGrid w:val="0"/>
        <w:spacing w:line="360" w:lineRule="auto"/>
        <w:ind w:left="480"/>
        <w:outlineLvl w:val="2"/>
        <w:rPr>
          <w:rFonts w:ascii="仿宋" w:hAnsi="仿宋" w:eastAsia="仿宋" w:cs="仿宋"/>
          <w:b/>
          <w:bCs/>
          <w:sz w:val="24"/>
          <w:szCs w:val="24"/>
        </w:rPr>
      </w:pPr>
      <w:bookmarkStart w:id="559" w:name="_Toc22679"/>
      <w:bookmarkStart w:id="560" w:name="_Toc28534"/>
      <w:bookmarkStart w:id="561" w:name="_Toc28759"/>
      <w:bookmarkStart w:id="562" w:name="_Toc28360"/>
      <w:bookmarkStart w:id="563" w:name="_Toc27005"/>
      <w:bookmarkStart w:id="564" w:name="_Toc32491"/>
      <w:bookmarkStart w:id="565" w:name="_Toc28962"/>
      <w:bookmarkStart w:id="566" w:name="_Toc28222"/>
      <w:bookmarkStart w:id="567" w:name="_Toc20263"/>
      <w:bookmarkStart w:id="568" w:name="_Toc1116"/>
      <w:bookmarkStart w:id="569" w:name="_Toc11533"/>
      <w:bookmarkStart w:id="570" w:name="_Toc18282"/>
      <w:bookmarkStart w:id="571" w:name="_Toc3032"/>
      <w:bookmarkStart w:id="572" w:name="_Toc73112409"/>
      <w:bookmarkStart w:id="573" w:name="_Toc1474"/>
      <w:bookmarkStart w:id="574" w:name="_Toc4344"/>
      <w:bookmarkStart w:id="575" w:name="_Toc24179"/>
      <w:bookmarkStart w:id="576" w:name="_Toc19237"/>
      <w:bookmarkStart w:id="577" w:name="_Toc14135"/>
      <w:bookmarkStart w:id="578" w:name="_Toc10286"/>
      <w:r>
        <w:rPr>
          <w:rFonts w:hint="eastAsia" w:ascii="仿宋" w:hAnsi="仿宋" w:eastAsia="仿宋" w:cs="仿宋"/>
          <w:b/>
          <w:bCs/>
          <w:sz w:val="24"/>
          <w:szCs w:val="24"/>
        </w:rPr>
        <w:t>1供货地点</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本项目建设工地。</w:t>
      </w:r>
    </w:p>
    <w:p>
      <w:pPr>
        <w:keepNext w:val="0"/>
        <w:keepLines w:val="0"/>
        <w:pageBreakBefore w:val="0"/>
        <w:widowControl w:val="0"/>
        <w:kinsoku/>
        <w:wordWrap/>
        <w:overflowPunct/>
        <w:topLinePunct w:val="0"/>
        <w:autoSpaceDE/>
        <w:autoSpaceDN/>
        <w:bidi w:val="0"/>
        <w:snapToGrid w:val="0"/>
        <w:spacing w:line="360" w:lineRule="auto"/>
        <w:ind w:left="480"/>
        <w:outlineLvl w:val="2"/>
        <w:rPr>
          <w:rFonts w:ascii="仿宋" w:hAnsi="仿宋" w:eastAsia="仿宋" w:cs="仿宋"/>
          <w:b/>
          <w:bCs/>
          <w:sz w:val="24"/>
          <w:szCs w:val="24"/>
        </w:rPr>
      </w:pPr>
      <w:bookmarkStart w:id="579" w:name="_Toc8043"/>
      <w:bookmarkStart w:id="580" w:name="_Toc20257"/>
      <w:bookmarkStart w:id="581" w:name="_Toc6707"/>
      <w:bookmarkStart w:id="582" w:name="_Toc30858"/>
      <w:bookmarkStart w:id="583" w:name="_Toc26611"/>
      <w:bookmarkStart w:id="584" w:name="_Toc73112410"/>
      <w:bookmarkStart w:id="585" w:name="_Toc21521"/>
      <w:bookmarkStart w:id="586" w:name="_Toc6963"/>
      <w:bookmarkStart w:id="587" w:name="_Toc31657"/>
      <w:bookmarkStart w:id="588" w:name="_Toc2280"/>
      <w:bookmarkStart w:id="589" w:name="_Toc26178"/>
      <w:bookmarkStart w:id="590" w:name="_Toc531"/>
      <w:bookmarkStart w:id="591" w:name="_Toc27558"/>
      <w:bookmarkStart w:id="592" w:name="_Toc27724"/>
      <w:bookmarkStart w:id="593" w:name="_Toc4215"/>
      <w:bookmarkStart w:id="594" w:name="_Toc22044"/>
      <w:bookmarkStart w:id="595" w:name="_Toc11152"/>
      <w:bookmarkStart w:id="596" w:name="_Toc9856"/>
      <w:bookmarkStart w:id="597" w:name="_Toc11086"/>
      <w:bookmarkStart w:id="598" w:name="_Toc5862"/>
      <w:r>
        <w:rPr>
          <w:rFonts w:hint="eastAsia" w:ascii="仿宋" w:hAnsi="仿宋" w:eastAsia="仿宋" w:cs="仿宋"/>
          <w:b/>
          <w:bCs/>
          <w:sz w:val="24"/>
          <w:szCs w:val="24"/>
        </w:rPr>
        <w:t>2供货时间</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rPr>
          <w:rFonts w:ascii="仿宋" w:hAnsi="仿宋" w:eastAsia="仿宋" w:cs="仿宋"/>
          <w:strike/>
          <w:sz w:val="24"/>
          <w:szCs w:val="24"/>
        </w:rPr>
      </w:pPr>
      <w:r>
        <w:rPr>
          <w:rFonts w:hint="eastAsia" w:ascii="仿宋" w:hAnsi="仿宋" w:eastAsia="仿宋" w:cs="仿宋"/>
          <w:sz w:val="24"/>
          <w:szCs w:val="24"/>
        </w:rPr>
        <w:t>2.1投标方应自</w:t>
      </w:r>
      <w:r>
        <w:rPr>
          <w:rFonts w:hint="eastAsia" w:ascii="仿宋" w:hAnsi="仿宋" w:eastAsia="仿宋" w:cs="仿宋"/>
          <w:sz w:val="24"/>
          <w:szCs w:val="24"/>
          <w:lang w:val="en-US" w:eastAsia="zh-CN"/>
        </w:rPr>
        <w:t>签定合同起</w:t>
      </w:r>
      <w:r>
        <w:rPr>
          <w:rFonts w:hint="eastAsia" w:ascii="仿宋" w:hAnsi="仿宋" w:eastAsia="仿宋" w:cs="仿宋"/>
          <w:sz w:val="24"/>
          <w:szCs w:val="24"/>
          <w:u w:val="single"/>
          <w:shd w:val="pct10" w:color="auto" w:fill="FFFFFF"/>
          <w:lang w:val="en-US" w:eastAsia="zh-CN"/>
        </w:rPr>
        <w:t>40</w:t>
      </w:r>
      <w:r>
        <w:rPr>
          <w:rFonts w:hint="eastAsia" w:ascii="仿宋" w:hAnsi="仿宋" w:eastAsia="仿宋" w:cs="仿宋"/>
          <w:sz w:val="24"/>
          <w:szCs w:val="24"/>
        </w:rPr>
        <w:t>日历日之内交货至供货地点。</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2.2连续</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lang w:val="en-US" w:eastAsia="zh-CN"/>
        </w:rPr>
        <w:t>20</w:t>
      </w:r>
      <w:r>
        <w:rPr>
          <w:rFonts w:hint="eastAsia" w:ascii="仿宋" w:hAnsi="仿宋" w:eastAsia="仿宋" w:cs="仿宋"/>
          <w:sz w:val="24"/>
          <w:szCs w:val="24"/>
        </w:rPr>
        <w:t>个日历日之内安装调试完毕；</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3</w:t>
      </w:r>
      <w:r>
        <w:rPr>
          <w:rFonts w:hint="eastAsia" w:ascii="仿宋" w:hAnsi="仿宋" w:eastAsia="仿宋" w:cs="仿宋"/>
          <w:sz w:val="24"/>
          <w:szCs w:val="24"/>
        </w:rPr>
        <w:t>必要时，投标方应当提供详细的工期计划。</w:t>
      </w:r>
    </w:p>
    <w:p>
      <w:pPr>
        <w:keepNext w:val="0"/>
        <w:keepLines w:val="0"/>
        <w:pageBreakBefore w:val="0"/>
        <w:widowControl w:val="0"/>
        <w:kinsoku/>
        <w:wordWrap/>
        <w:overflowPunct/>
        <w:topLinePunct w:val="0"/>
        <w:autoSpaceDE/>
        <w:autoSpaceDN/>
        <w:bidi w:val="0"/>
        <w:snapToGrid w:val="0"/>
        <w:spacing w:line="360" w:lineRule="auto"/>
        <w:ind w:left="480"/>
        <w:outlineLvl w:val="2"/>
        <w:rPr>
          <w:rFonts w:ascii="仿宋" w:hAnsi="仿宋" w:eastAsia="仿宋" w:cs="仿宋"/>
          <w:b/>
          <w:bCs/>
          <w:sz w:val="24"/>
          <w:szCs w:val="24"/>
        </w:rPr>
      </w:pPr>
      <w:bookmarkStart w:id="599" w:name="_Toc5288"/>
      <w:bookmarkStart w:id="600" w:name="_Toc22968"/>
      <w:bookmarkStart w:id="601" w:name="_Toc31485"/>
      <w:bookmarkStart w:id="602" w:name="_Toc18153"/>
      <w:bookmarkStart w:id="603" w:name="_Toc29786"/>
      <w:bookmarkStart w:id="604" w:name="_Toc23122"/>
      <w:bookmarkStart w:id="605" w:name="_Toc22394"/>
      <w:bookmarkStart w:id="606" w:name="_Toc8419"/>
      <w:bookmarkStart w:id="607" w:name="_Toc17489"/>
      <w:bookmarkStart w:id="608" w:name="_Toc24587"/>
      <w:bookmarkStart w:id="609" w:name="_Toc18845"/>
      <w:bookmarkStart w:id="610" w:name="_Toc17351"/>
      <w:bookmarkStart w:id="611" w:name="_Toc9507"/>
      <w:bookmarkStart w:id="612" w:name="_Toc30983"/>
      <w:bookmarkStart w:id="613" w:name="_Toc11749"/>
      <w:bookmarkStart w:id="614" w:name="_Toc16960"/>
      <w:bookmarkStart w:id="615" w:name="_Toc22617"/>
      <w:bookmarkStart w:id="616" w:name="_Toc4431"/>
      <w:bookmarkStart w:id="617" w:name="_Toc8193"/>
      <w:bookmarkStart w:id="618" w:name="_Toc73112411"/>
      <w:r>
        <w:rPr>
          <w:rFonts w:hint="eastAsia" w:ascii="仿宋" w:hAnsi="仿宋" w:eastAsia="仿宋" w:cs="仿宋"/>
          <w:b/>
          <w:bCs/>
          <w:sz w:val="24"/>
          <w:szCs w:val="24"/>
        </w:rPr>
        <w:t>3质保期</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trike/>
          <w:dstrike w:val="0"/>
          <w:sz w:val="24"/>
          <w:szCs w:val="24"/>
        </w:rPr>
      </w:pPr>
      <w:r>
        <w:rPr>
          <w:rFonts w:hint="eastAsia" w:ascii="仿宋" w:hAnsi="仿宋" w:eastAsia="仿宋" w:cs="仿宋"/>
          <w:sz w:val="24"/>
          <w:szCs w:val="24"/>
        </w:rPr>
        <w:t>3.1投标方所提供货物（或生产线）涉及的全部供货范围内的设备、材料、零配件和工器具等，除合同特别约定外，其质保期均自终验收签字生效之日起</w:t>
      </w:r>
      <w:r>
        <w:rPr>
          <w:rFonts w:hint="eastAsia" w:ascii="仿宋" w:hAnsi="仿宋" w:eastAsia="仿宋" w:cs="仿宋"/>
          <w:sz w:val="24"/>
          <w:szCs w:val="24"/>
          <w:u w:val="single"/>
          <w:shd w:val="pct10" w:color="auto" w:fill="FFFFFF"/>
        </w:rPr>
        <w:t>12</w:t>
      </w:r>
      <w:r>
        <w:rPr>
          <w:rFonts w:hint="eastAsia" w:ascii="仿宋" w:hAnsi="仿宋" w:eastAsia="仿宋" w:cs="仿宋"/>
          <w:sz w:val="24"/>
          <w:szCs w:val="24"/>
        </w:rPr>
        <w:t>个月。</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3.2质保期之内，如果货物（或生产线）出现关键设备、总成、零部件或者多处一般设备、总成、零部件的更换或维修行为，则质保期自更换或维修行为结束、货物（或生产线）能够正常运行使用之日起重新计算。</w:t>
      </w:r>
    </w:p>
    <w:p>
      <w:pPr>
        <w:keepNext w:val="0"/>
        <w:keepLines w:val="0"/>
        <w:pageBreakBefore w:val="0"/>
        <w:widowControl w:val="0"/>
        <w:kinsoku/>
        <w:wordWrap/>
        <w:overflowPunct/>
        <w:topLinePunct w:val="0"/>
        <w:autoSpaceDE/>
        <w:autoSpaceDN/>
        <w:bidi w:val="0"/>
        <w:snapToGrid w:val="0"/>
        <w:spacing w:line="360" w:lineRule="auto"/>
        <w:ind w:left="480"/>
        <w:outlineLvl w:val="2"/>
        <w:rPr>
          <w:rFonts w:ascii="仿宋" w:hAnsi="仿宋" w:eastAsia="仿宋" w:cs="仿宋"/>
          <w:b/>
          <w:bCs/>
          <w:sz w:val="24"/>
          <w:szCs w:val="24"/>
        </w:rPr>
      </w:pPr>
      <w:bookmarkStart w:id="619" w:name="_Toc26040"/>
      <w:bookmarkStart w:id="620" w:name="_Toc5126"/>
      <w:bookmarkStart w:id="621" w:name="_Toc27729"/>
      <w:bookmarkStart w:id="622" w:name="_Toc10272"/>
      <w:bookmarkStart w:id="623" w:name="_Toc27377"/>
      <w:bookmarkStart w:id="624" w:name="_Toc29090"/>
      <w:bookmarkStart w:id="625" w:name="_Toc17320"/>
      <w:bookmarkStart w:id="626" w:name="_Toc20400"/>
      <w:bookmarkStart w:id="627" w:name="_Toc16381"/>
      <w:bookmarkStart w:id="628" w:name="_Toc27080"/>
      <w:bookmarkStart w:id="629" w:name="_Toc73112412"/>
      <w:bookmarkStart w:id="630" w:name="_Toc16664"/>
      <w:bookmarkStart w:id="631" w:name="_Toc19011"/>
      <w:bookmarkStart w:id="632" w:name="_Toc21924"/>
      <w:bookmarkStart w:id="633" w:name="_Toc21555"/>
      <w:bookmarkStart w:id="634" w:name="_Toc14622"/>
      <w:bookmarkStart w:id="635" w:name="_Toc20248"/>
      <w:bookmarkStart w:id="636" w:name="_Toc28907"/>
      <w:bookmarkStart w:id="637" w:name="_Toc426"/>
      <w:bookmarkStart w:id="638" w:name="_Toc12791"/>
      <w:r>
        <w:rPr>
          <w:rFonts w:hint="eastAsia" w:ascii="仿宋" w:hAnsi="仿宋" w:eastAsia="仿宋" w:cs="仿宋"/>
          <w:b/>
          <w:bCs/>
          <w:sz w:val="24"/>
          <w:szCs w:val="24"/>
        </w:rPr>
        <w:t>4包装</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4.1投标方所提供货物（或设备）的包装，应遵照国家标准和有关包装、包皮的技术条件，或按照最好的商业惯例进行包装。</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4.2包装应能满足所需要采取的运输方式（船运、汽运或铁路运输）、多次吊装卸装、卸货以及长期露天堆放要求，应能防止雨淋、受潮、生锈、腐蚀、受振、受磁以及机械和化学因素等引起的损坏。</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4.3投标方所提供货物（或设备）的包装，应能防止其一般性被窃或受外力破坏；一般不得采用有大缝隙的板条包装。</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4.4投标方应对包装件做必要的加固和固定等防护措施，以防止运输可能造成的损坏。</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4.5每个包装件应有装箱单，并至少标明名称、型号规格、数量、净重和毛重、投标方（或供货商）名称和制造日期等相关内容。</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4.6每个包装箱应有明显标志，并具有中文书写的合同号、装运标志、发货和到货地点名称、发货人和收货人名称、货物（或生产线）名称和项目号、箱号和外型尺寸等内容。</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4.7投标方还应按照不同的装运要求在包装箱上标明“小心轻放”、“箭头向上”、“防潮”、“防磁”、“不准平放”等标志，以及其它适用的国标通用标志。</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4.8包装箱应连续编号，不应出现重复编号。</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4.9在不受到外界破坏情况下，包装应保证自交货日起一年内货物（或设备）完好无损。</w:t>
      </w:r>
    </w:p>
    <w:p>
      <w:pPr>
        <w:keepNext w:val="0"/>
        <w:keepLines w:val="0"/>
        <w:pageBreakBefore w:val="0"/>
        <w:widowControl w:val="0"/>
        <w:kinsoku/>
        <w:wordWrap/>
        <w:overflowPunct/>
        <w:topLinePunct w:val="0"/>
        <w:autoSpaceDE/>
        <w:autoSpaceDN/>
        <w:bidi w:val="0"/>
        <w:snapToGrid w:val="0"/>
        <w:spacing w:line="360" w:lineRule="auto"/>
        <w:ind w:left="480"/>
        <w:outlineLvl w:val="2"/>
        <w:rPr>
          <w:rFonts w:ascii="仿宋" w:hAnsi="仿宋" w:eastAsia="仿宋" w:cs="仿宋"/>
          <w:b/>
          <w:bCs/>
          <w:sz w:val="24"/>
          <w:szCs w:val="24"/>
        </w:rPr>
      </w:pPr>
      <w:bookmarkStart w:id="639" w:name="_Toc23221"/>
      <w:bookmarkStart w:id="640" w:name="_Toc32266"/>
      <w:bookmarkStart w:id="641" w:name="_Toc1857"/>
      <w:bookmarkStart w:id="642" w:name="_Toc73112413"/>
      <w:bookmarkStart w:id="643" w:name="_Toc31538"/>
      <w:bookmarkStart w:id="644" w:name="_Toc17881"/>
      <w:bookmarkStart w:id="645" w:name="_Toc5373"/>
      <w:bookmarkStart w:id="646" w:name="_Toc7889"/>
      <w:bookmarkStart w:id="647" w:name="_Toc22949"/>
      <w:bookmarkStart w:id="648" w:name="_Toc4346"/>
      <w:bookmarkStart w:id="649" w:name="_Toc21308"/>
      <w:bookmarkStart w:id="650" w:name="_Toc22792"/>
      <w:bookmarkStart w:id="651" w:name="_Toc7046"/>
      <w:bookmarkStart w:id="652" w:name="_Toc26302"/>
      <w:bookmarkStart w:id="653" w:name="_Toc17990"/>
      <w:bookmarkStart w:id="654" w:name="_Toc8"/>
      <w:bookmarkStart w:id="655" w:name="_Toc21886"/>
      <w:bookmarkStart w:id="656" w:name="_Toc22992"/>
      <w:bookmarkStart w:id="657" w:name="_Toc25305"/>
      <w:bookmarkStart w:id="658" w:name="_Toc20536"/>
      <w:r>
        <w:rPr>
          <w:rFonts w:hint="eastAsia" w:ascii="仿宋" w:hAnsi="仿宋" w:eastAsia="仿宋" w:cs="仿宋"/>
          <w:b/>
          <w:bCs/>
          <w:sz w:val="24"/>
          <w:szCs w:val="24"/>
        </w:rPr>
        <w:t>5运输</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5.1投标方应负责将货物（或设备）运到目的地，并必须做到货物（或设备）在任何运输过程中不受损坏和遗失</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5.2同批货物（或设备）应统一包装、编号运输。</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5.3一般情况下，经由铁路、公路运输的包装件尺寸和重量不应超过国家所规定的尺寸限制。特殊情况应予以说明。</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5.4在每批货物（或设备）发出后，投标方应立即通知招标方；通知中应指明：合同号、货运单号、件数、重量和货物（或设备）发出日期等相关内容。</w:t>
      </w:r>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5.5货物（或设备）运抵招标方现场后，投标方应负责货物（或设备）的卸货、搬运、保管等事宜；或按照合同约定。</w:t>
      </w:r>
      <w:bookmarkStart w:id="659" w:name="_Toc133783973"/>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outlineLvl w:val="0"/>
        <w:rPr>
          <w:rFonts w:hint="eastAsia" w:ascii="仿宋" w:hAnsi="仿宋" w:eastAsia="仿宋" w:cs="仿宋"/>
          <w:b/>
          <w:bCs/>
          <w:sz w:val="24"/>
          <w:szCs w:val="24"/>
        </w:rPr>
      </w:pPr>
      <w:bookmarkStart w:id="660" w:name="_Toc22680"/>
      <w:bookmarkStart w:id="661" w:name="_Toc10676"/>
      <w:bookmarkStart w:id="662" w:name="_Toc29063"/>
      <w:bookmarkStart w:id="663" w:name="_Toc13927"/>
      <w:bookmarkStart w:id="664" w:name="_Toc15153"/>
      <w:bookmarkStart w:id="665" w:name="_Toc14414"/>
      <w:bookmarkStart w:id="666" w:name="_Toc14916"/>
      <w:bookmarkStart w:id="667" w:name="_Toc26671"/>
      <w:bookmarkStart w:id="668" w:name="_Toc2668"/>
      <w:bookmarkStart w:id="669" w:name="_Toc1740"/>
      <w:bookmarkStart w:id="670" w:name="_Toc14229"/>
      <w:bookmarkStart w:id="671" w:name="_Toc25780"/>
      <w:bookmarkStart w:id="672" w:name="_Toc11027"/>
      <w:bookmarkStart w:id="673" w:name="_Toc27169"/>
      <w:bookmarkStart w:id="674" w:name="_Toc14023"/>
      <w:bookmarkStart w:id="675" w:name="_Toc24397"/>
      <w:bookmarkStart w:id="676" w:name="_Toc27085"/>
      <w:bookmarkStart w:id="677" w:name="_Toc28164"/>
      <w:bookmarkStart w:id="678" w:name="_Toc14862"/>
      <w:bookmarkStart w:id="679" w:name="_Toc31301"/>
      <w:bookmarkStart w:id="680" w:name="_Toc24415"/>
      <w:bookmarkStart w:id="681" w:name="_Toc12021"/>
      <w:bookmarkStart w:id="682" w:name="_Toc10275"/>
      <w:bookmarkStart w:id="683" w:name="_Toc16036"/>
      <w:bookmarkStart w:id="684" w:name="_Toc19986"/>
      <w:bookmarkStart w:id="685" w:name="_Toc19133"/>
      <w:bookmarkStart w:id="686" w:name="_Toc28211"/>
      <w:bookmarkStart w:id="687" w:name="_Toc18423"/>
      <w:bookmarkStart w:id="688" w:name="_Toc7672"/>
      <w:bookmarkStart w:id="689" w:name="_Toc26651"/>
      <w:bookmarkStart w:id="690" w:name="_Toc24978"/>
      <w:bookmarkStart w:id="691" w:name="_Toc32280"/>
      <w:bookmarkStart w:id="692" w:name="_Toc25292"/>
      <w:bookmarkStart w:id="693" w:name="_Toc3739"/>
      <w:bookmarkStart w:id="694" w:name="_Toc23255"/>
      <w:bookmarkStart w:id="695" w:name="_Toc14171"/>
      <w:bookmarkStart w:id="696" w:name="_Toc8515"/>
      <w:bookmarkStart w:id="697" w:name="_Toc10894"/>
      <w:bookmarkStart w:id="698" w:name="_Toc12478"/>
      <w:bookmarkStart w:id="699" w:name="_Toc9059"/>
      <w:bookmarkStart w:id="700" w:name="_Toc73112414"/>
      <w:bookmarkStart w:id="701" w:name="_Toc25044"/>
      <w:bookmarkStart w:id="702" w:name="_Toc7501"/>
      <w:r>
        <w:rPr>
          <w:rFonts w:hint="eastAsia" w:ascii="仿宋" w:hAnsi="仿宋" w:eastAsia="仿宋" w:cs="仿宋"/>
          <w:b/>
          <w:bCs/>
          <w:sz w:val="24"/>
          <w:szCs w:val="24"/>
        </w:rPr>
        <w:t>第四章售中售后服务</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703" w:name="_Toc13786"/>
      <w:bookmarkStart w:id="704" w:name="_Toc7723"/>
      <w:bookmarkStart w:id="705" w:name="_Toc788"/>
      <w:bookmarkStart w:id="706" w:name="_Toc12793"/>
      <w:bookmarkStart w:id="707" w:name="_Toc24654"/>
      <w:bookmarkStart w:id="708" w:name="_Toc7036"/>
      <w:bookmarkStart w:id="709" w:name="_Toc20772"/>
      <w:bookmarkStart w:id="710" w:name="_Toc23892"/>
      <w:bookmarkStart w:id="711" w:name="_Toc19735"/>
      <w:bookmarkStart w:id="712" w:name="_Toc16066"/>
      <w:bookmarkStart w:id="713" w:name="_Toc27811"/>
      <w:bookmarkStart w:id="714" w:name="_Toc28487"/>
      <w:bookmarkStart w:id="715" w:name="_Toc4682"/>
      <w:bookmarkStart w:id="716" w:name="_Toc13551"/>
      <w:bookmarkStart w:id="717" w:name="_Toc29321"/>
      <w:bookmarkStart w:id="718" w:name="_Toc10791"/>
      <w:bookmarkStart w:id="719" w:name="_Toc9919"/>
      <w:bookmarkStart w:id="720" w:name="_Toc73112415"/>
      <w:bookmarkStart w:id="721" w:name="_Toc23493"/>
      <w:bookmarkStart w:id="722" w:name="_Toc10787"/>
      <w:bookmarkStart w:id="723" w:name="_Toc3697"/>
      <w:bookmarkStart w:id="724" w:name="_Toc414"/>
      <w:bookmarkStart w:id="725" w:name="_Toc17645"/>
      <w:bookmarkStart w:id="726" w:name="_Toc4180"/>
      <w:bookmarkStart w:id="727" w:name="_Toc8465"/>
      <w:bookmarkStart w:id="728" w:name="_Toc17832"/>
      <w:bookmarkStart w:id="729" w:name="_Toc3722"/>
      <w:bookmarkStart w:id="730" w:name="_Toc9079"/>
      <w:bookmarkStart w:id="731" w:name="_Toc217"/>
      <w:bookmarkStart w:id="732" w:name="_Toc23541"/>
      <w:bookmarkStart w:id="733" w:name="_Toc19576"/>
      <w:bookmarkStart w:id="734" w:name="_Toc25505"/>
      <w:bookmarkStart w:id="735" w:name="_Toc24344"/>
      <w:bookmarkStart w:id="736" w:name="_Toc18522"/>
      <w:bookmarkStart w:id="737" w:name="_Toc20514"/>
      <w:bookmarkStart w:id="738" w:name="_Toc344"/>
      <w:bookmarkStart w:id="739" w:name="_Toc2661"/>
      <w:bookmarkStart w:id="740" w:name="_Toc8910"/>
      <w:bookmarkStart w:id="741" w:name="_Toc29262"/>
      <w:bookmarkStart w:id="742" w:name="_Toc2564"/>
      <w:bookmarkStart w:id="743" w:name="_Toc14199"/>
      <w:bookmarkStart w:id="744" w:name="_Toc4952"/>
      <w:r>
        <w:rPr>
          <w:rFonts w:hint="eastAsia" w:ascii="仿宋" w:hAnsi="仿宋" w:eastAsia="仿宋" w:cs="仿宋"/>
          <w:b/>
          <w:bCs/>
          <w:sz w:val="24"/>
          <w:szCs w:val="24"/>
        </w:rPr>
        <w:t>1技术及培训服务</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1.1投标方应负责对招标方</w:t>
      </w:r>
      <w:r>
        <w:rPr>
          <w:rFonts w:hint="eastAsia" w:ascii="仿宋" w:hAnsi="仿宋" w:eastAsia="仿宋" w:cs="仿宋"/>
          <w:sz w:val="24"/>
          <w:szCs w:val="24"/>
          <w:u w:val="single"/>
          <w:shd w:val="pct10" w:color="auto" w:fill="FFFFFF"/>
        </w:rPr>
        <w:t xml:space="preserve"> 5</w:t>
      </w:r>
      <w:r>
        <w:rPr>
          <w:rFonts w:hint="eastAsia" w:ascii="仿宋" w:hAnsi="仿宋" w:eastAsia="仿宋" w:cs="仿宋"/>
          <w:sz w:val="24"/>
          <w:szCs w:val="24"/>
          <w:u w:val="single"/>
        </w:rPr>
        <w:t xml:space="preserve"> </w:t>
      </w:r>
      <w:r>
        <w:rPr>
          <w:rFonts w:hint="eastAsia" w:ascii="仿宋" w:hAnsi="仿宋" w:eastAsia="仿宋" w:cs="仿宋"/>
          <w:sz w:val="24"/>
          <w:szCs w:val="24"/>
        </w:rPr>
        <w:t>名工程技术人员、维修人员和操作人员提供不少于</w:t>
      </w:r>
      <w:r>
        <w:rPr>
          <w:rFonts w:hint="eastAsia" w:ascii="仿宋" w:hAnsi="仿宋" w:eastAsia="仿宋" w:cs="仿宋"/>
          <w:sz w:val="24"/>
          <w:szCs w:val="24"/>
          <w:u w:val="single"/>
          <w:shd w:val="pct10" w:color="auto" w:fill="FFFFFF"/>
        </w:rPr>
        <w:t xml:space="preserve"> 10</w:t>
      </w:r>
      <w:r>
        <w:rPr>
          <w:rFonts w:hint="eastAsia" w:ascii="仿宋" w:hAnsi="仿宋" w:eastAsia="仿宋" w:cs="仿宋"/>
          <w:sz w:val="24"/>
          <w:szCs w:val="24"/>
          <w:u w:val="single"/>
        </w:rPr>
        <w:t xml:space="preserve"> </w:t>
      </w:r>
      <w:r>
        <w:rPr>
          <w:rFonts w:hint="eastAsia" w:ascii="仿宋" w:hAnsi="仿宋" w:eastAsia="仿宋" w:cs="仿宋"/>
          <w:sz w:val="24"/>
          <w:szCs w:val="24"/>
        </w:rPr>
        <w:t>个日历日的免费的、生产制造现场的理论、技术和操作、维修、安全等方面的指导和培训。</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1.2投标方应负责在招标方货物（或生产线）使用现场，进行</w:t>
      </w:r>
      <w:r>
        <w:rPr>
          <w:rFonts w:hint="eastAsia" w:ascii="仿宋" w:hAnsi="仿宋" w:eastAsia="仿宋" w:cs="仿宋"/>
          <w:sz w:val="24"/>
          <w:szCs w:val="24"/>
          <w:shd w:val="pct10" w:color="auto" w:fill="FFFFFF"/>
        </w:rPr>
        <w:t>2～3</w:t>
      </w:r>
      <w:r>
        <w:rPr>
          <w:rFonts w:hint="eastAsia" w:ascii="仿宋" w:hAnsi="仿宋" w:eastAsia="仿宋" w:cs="仿宋"/>
          <w:sz w:val="24"/>
          <w:szCs w:val="24"/>
        </w:rPr>
        <w:t>次免费的技术指导和培训，并接受招标方有关人员的技术咨询。</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1.3投标方应免费提供全套培训资料。所有设备均需要配备产品说明书，包括设备的内部结构、组成及保养、维护、调试等相关内容，便于生产人员及维修人员查阅。</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1.4投标方应按要求，免费积极协助和提供招标方以及招标方所委托的工程设计单位有关人员所需要的、与货物（或生产线）有关的工程设计资料、技术咨询等。</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745" w:name="_Toc32690"/>
      <w:bookmarkStart w:id="746" w:name="_Toc26880"/>
      <w:bookmarkStart w:id="747" w:name="_Toc11060"/>
      <w:bookmarkStart w:id="748" w:name="_Toc17849"/>
      <w:bookmarkStart w:id="749" w:name="_Toc16259"/>
      <w:bookmarkStart w:id="750" w:name="_Toc16493"/>
      <w:bookmarkStart w:id="751" w:name="_Toc16867"/>
      <w:bookmarkStart w:id="752" w:name="_Toc29981"/>
      <w:bookmarkStart w:id="753" w:name="_Toc13864"/>
      <w:bookmarkStart w:id="754" w:name="_Toc17516"/>
      <w:bookmarkStart w:id="755" w:name="_Toc25721"/>
      <w:bookmarkStart w:id="756" w:name="_Toc22719"/>
      <w:bookmarkStart w:id="757" w:name="_Toc3892"/>
      <w:bookmarkStart w:id="758" w:name="_Toc6394"/>
      <w:bookmarkStart w:id="759" w:name="_Toc25347"/>
      <w:bookmarkStart w:id="760" w:name="_Toc29691"/>
      <w:bookmarkStart w:id="761" w:name="_Toc22880"/>
      <w:bookmarkStart w:id="762" w:name="_Toc5703"/>
      <w:bookmarkStart w:id="763" w:name="_Toc30271"/>
      <w:bookmarkStart w:id="764" w:name="_Toc3907"/>
      <w:bookmarkStart w:id="765" w:name="_Toc3042"/>
      <w:bookmarkStart w:id="766" w:name="_Toc73112416"/>
      <w:bookmarkStart w:id="767" w:name="_Toc19866"/>
      <w:bookmarkStart w:id="768" w:name="_Toc13970"/>
      <w:bookmarkStart w:id="769" w:name="_Toc31039"/>
      <w:bookmarkStart w:id="770" w:name="_Toc1176"/>
      <w:bookmarkStart w:id="771" w:name="_Toc11516"/>
      <w:bookmarkStart w:id="772" w:name="_Toc15028"/>
      <w:bookmarkStart w:id="773" w:name="_Toc13235"/>
      <w:bookmarkStart w:id="774" w:name="_Toc19800"/>
      <w:bookmarkStart w:id="775" w:name="_Toc9824"/>
      <w:bookmarkStart w:id="776" w:name="_Toc15460"/>
      <w:bookmarkStart w:id="777" w:name="_Toc26430"/>
      <w:bookmarkStart w:id="778" w:name="_Toc14504"/>
      <w:bookmarkStart w:id="779" w:name="_Toc21693"/>
      <w:bookmarkStart w:id="780" w:name="_Toc3976"/>
      <w:bookmarkStart w:id="781" w:name="_Toc29413"/>
      <w:bookmarkStart w:id="782" w:name="_Toc16207"/>
      <w:bookmarkStart w:id="783" w:name="_Toc22693"/>
      <w:bookmarkStart w:id="784" w:name="_Toc1420"/>
      <w:bookmarkStart w:id="785" w:name="_Toc17865"/>
      <w:bookmarkStart w:id="786" w:name="_Toc10782"/>
      <w:r>
        <w:rPr>
          <w:rFonts w:hint="eastAsia" w:ascii="仿宋" w:hAnsi="仿宋" w:eastAsia="仿宋" w:cs="仿宋"/>
          <w:b/>
          <w:bCs/>
          <w:sz w:val="24"/>
          <w:szCs w:val="24"/>
        </w:rPr>
        <w:t>2安装调试服务</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2.1根据货物（或生产线）的要求，调试可分空载和负载两个阶段进行；招标方将予以积极配合，协助投标方达到货物（或生产线）的各项技术指标和性能要求。</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pPr>
        <w:pStyle w:val="17"/>
        <w:keepNext w:val="0"/>
        <w:keepLines w:val="0"/>
        <w:pageBreakBefore w:val="0"/>
        <w:widowControl w:val="0"/>
        <w:kinsoku/>
        <w:wordWrap/>
        <w:overflowPunct/>
        <w:topLinePunct w:val="0"/>
        <w:autoSpaceDE/>
        <w:autoSpaceDN/>
        <w:bidi w:val="0"/>
        <w:snapToGrid w:val="0"/>
        <w:spacing w:after="0"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2.3投标方提供收费的或免费的、指导安装调试或负责安装调试，至少应在投标文件的报价章节中，予以明确说明。</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787" w:name="_Toc12739"/>
      <w:bookmarkStart w:id="788" w:name="_Toc30398"/>
      <w:bookmarkStart w:id="789" w:name="_Toc29125"/>
      <w:bookmarkStart w:id="790" w:name="_Toc4751"/>
      <w:bookmarkStart w:id="791" w:name="_Toc11229"/>
      <w:bookmarkStart w:id="792" w:name="_Toc3170"/>
      <w:bookmarkStart w:id="793" w:name="_Toc9329"/>
      <w:bookmarkStart w:id="794" w:name="_Toc22871"/>
      <w:bookmarkStart w:id="795" w:name="_Toc9269"/>
      <w:bookmarkStart w:id="796" w:name="_Toc24615"/>
      <w:bookmarkStart w:id="797" w:name="_Toc8975"/>
      <w:bookmarkStart w:id="798" w:name="_Toc73112417"/>
      <w:bookmarkStart w:id="799" w:name="_Toc17427"/>
      <w:bookmarkStart w:id="800" w:name="_Toc2657"/>
      <w:bookmarkStart w:id="801" w:name="_Toc7956"/>
      <w:bookmarkStart w:id="802" w:name="_Toc25079"/>
      <w:bookmarkStart w:id="803" w:name="_Toc30193"/>
      <w:bookmarkStart w:id="804" w:name="_Toc18269"/>
      <w:bookmarkStart w:id="805" w:name="_Toc16337"/>
      <w:bookmarkStart w:id="806" w:name="_Toc9878"/>
      <w:bookmarkStart w:id="807" w:name="_Toc32442"/>
      <w:bookmarkStart w:id="808" w:name="_Toc628"/>
      <w:bookmarkStart w:id="809" w:name="_Toc32488"/>
      <w:bookmarkStart w:id="810" w:name="_Toc13921"/>
      <w:bookmarkStart w:id="811" w:name="_Toc1565"/>
      <w:bookmarkStart w:id="812" w:name="_Toc4076"/>
      <w:bookmarkStart w:id="813" w:name="_Toc2097"/>
      <w:bookmarkStart w:id="814" w:name="_Toc13443"/>
      <w:bookmarkStart w:id="815" w:name="_Toc2510"/>
      <w:bookmarkStart w:id="816" w:name="_Toc29245"/>
      <w:bookmarkStart w:id="817" w:name="_Toc1585"/>
      <w:bookmarkStart w:id="818" w:name="_Toc10635"/>
      <w:bookmarkStart w:id="819" w:name="_Toc16435"/>
      <w:bookmarkStart w:id="820" w:name="_Toc17284"/>
      <w:bookmarkStart w:id="821" w:name="_Toc29126"/>
      <w:bookmarkStart w:id="822" w:name="_Toc218"/>
      <w:bookmarkStart w:id="823" w:name="_Toc19810"/>
      <w:bookmarkStart w:id="824" w:name="_Toc16373"/>
      <w:bookmarkStart w:id="825" w:name="_Toc7783"/>
      <w:bookmarkStart w:id="826" w:name="_Toc16916"/>
      <w:bookmarkStart w:id="827" w:name="_Toc16706"/>
      <w:bookmarkStart w:id="828" w:name="_Toc19674"/>
      <w:r>
        <w:rPr>
          <w:rFonts w:hint="eastAsia" w:ascii="仿宋" w:hAnsi="仿宋" w:eastAsia="仿宋" w:cs="仿宋"/>
          <w:b/>
          <w:bCs/>
          <w:sz w:val="24"/>
          <w:szCs w:val="24"/>
        </w:rPr>
        <w:t>3验收服务</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3.1投标方在招标方现场进行的货物（或生产线）的预验收和终验收配合或指导，应当是免费的。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pPr>
        <w:keepNext w:val="0"/>
        <w:keepLines w:val="0"/>
        <w:pageBreakBefore w:val="0"/>
        <w:widowControl w:val="0"/>
        <w:tabs>
          <w:tab w:val="left" w:pos="-1800"/>
          <w:tab w:val="left" w:pos="720"/>
        </w:tabs>
        <w:kinsoku/>
        <w:wordWrap/>
        <w:overflowPunct/>
        <w:topLinePunct w:val="0"/>
        <w:autoSpaceDE/>
        <w:autoSpaceDN/>
        <w:bidi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3.4合格验收时，投标方提供测量功能设备及计量器具资质合格证书，招标方根据实际情况进行相关复检，复检合格视为合格。</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829" w:name="_Toc29300"/>
      <w:bookmarkStart w:id="830" w:name="_Toc22965"/>
      <w:bookmarkStart w:id="831" w:name="_Toc29778"/>
      <w:bookmarkStart w:id="832" w:name="_Toc20081"/>
      <w:bookmarkStart w:id="833" w:name="_Toc2093"/>
      <w:bookmarkStart w:id="834" w:name="_Toc28635"/>
      <w:bookmarkStart w:id="835" w:name="_Toc8078"/>
      <w:bookmarkStart w:id="836" w:name="_Toc1311"/>
      <w:bookmarkStart w:id="837" w:name="_Toc10808"/>
      <w:bookmarkStart w:id="838" w:name="_Toc26554"/>
      <w:bookmarkStart w:id="839" w:name="_Toc17895"/>
      <w:bookmarkStart w:id="840" w:name="_Toc26773"/>
      <w:bookmarkStart w:id="841" w:name="_Toc19397"/>
      <w:bookmarkStart w:id="842" w:name="_Toc18968"/>
      <w:bookmarkStart w:id="843" w:name="_Toc17056"/>
      <w:bookmarkStart w:id="844" w:name="_Toc27224"/>
      <w:bookmarkStart w:id="845" w:name="_Toc14739"/>
      <w:bookmarkStart w:id="846" w:name="_Toc4417"/>
      <w:bookmarkStart w:id="847" w:name="_Toc20916"/>
      <w:bookmarkStart w:id="848" w:name="_Toc3798"/>
      <w:bookmarkStart w:id="849" w:name="_Toc542"/>
      <w:bookmarkStart w:id="850" w:name="_Toc6099"/>
      <w:bookmarkStart w:id="851" w:name="_Toc20717"/>
      <w:bookmarkStart w:id="852" w:name="_Toc18836"/>
      <w:bookmarkStart w:id="853" w:name="_Toc32079"/>
      <w:bookmarkStart w:id="854" w:name="_Toc19441"/>
      <w:bookmarkStart w:id="855" w:name="_Toc29633"/>
      <w:bookmarkStart w:id="856" w:name="_Toc10014"/>
      <w:bookmarkStart w:id="857" w:name="_Toc22392"/>
      <w:bookmarkStart w:id="858" w:name="_Toc73112418"/>
      <w:bookmarkStart w:id="859" w:name="_Toc20426"/>
      <w:bookmarkStart w:id="860" w:name="_Toc11213"/>
      <w:bookmarkStart w:id="861" w:name="_Toc7478"/>
      <w:bookmarkStart w:id="862" w:name="_Toc32682"/>
      <w:bookmarkStart w:id="863" w:name="_Toc30412"/>
      <w:bookmarkStart w:id="864" w:name="_Toc6232"/>
      <w:bookmarkStart w:id="865" w:name="_Toc1454"/>
      <w:bookmarkStart w:id="866" w:name="_Toc1199"/>
      <w:bookmarkStart w:id="867" w:name="_Toc7782"/>
      <w:bookmarkStart w:id="868" w:name="_Toc11699"/>
      <w:bookmarkStart w:id="869" w:name="_Toc9592"/>
      <w:bookmarkStart w:id="870" w:name="_Toc21987"/>
      <w:r>
        <w:rPr>
          <w:rFonts w:hint="eastAsia" w:ascii="仿宋" w:hAnsi="仿宋" w:eastAsia="仿宋" w:cs="仿宋"/>
          <w:b/>
          <w:bCs/>
          <w:sz w:val="24"/>
          <w:szCs w:val="24"/>
        </w:rPr>
        <w:t>4售后服务</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4.1所有的售后服务均由投标方受理。如果发生问题并且收到报告，投标方应当在2小时内予以答复。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4.2如发现所提供的货物（或生产线）存在问题，需要投标方解决或配合解决时：在质保期之内，应在接到通知后</w:t>
      </w:r>
      <w:r>
        <w:rPr>
          <w:rFonts w:hint="eastAsia" w:ascii="仿宋" w:hAnsi="仿宋" w:eastAsia="仿宋" w:cs="仿宋"/>
          <w:sz w:val="24"/>
          <w:szCs w:val="24"/>
          <w:u w:val="single"/>
          <w:shd w:val="pct10" w:color="auto" w:fill="FFFFFF"/>
        </w:rPr>
        <w:t>24</w:t>
      </w:r>
      <w:r>
        <w:rPr>
          <w:rFonts w:hint="eastAsia" w:ascii="仿宋" w:hAnsi="仿宋" w:eastAsia="仿宋" w:cs="仿宋"/>
          <w:sz w:val="24"/>
          <w:szCs w:val="24"/>
          <w:u w:val="single"/>
        </w:rPr>
        <w:t xml:space="preserve"> </w:t>
      </w:r>
      <w:r>
        <w:rPr>
          <w:rFonts w:hint="eastAsia" w:ascii="仿宋" w:hAnsi="仿宋" w:eastAsia="仿宋" w:cs="仿宋"/>
          <w:sz w:val="24"/>
          <w:szCs w:val="24"/>
        </w:rPr>
        <w:t>小时内派有关人员到达现场；在质保期之外，应在接到通知后</w:t>
      </w:r>
      <w:r>
        <w:rPr>
          <w:rFonts w:hint="eastAsia" w:ascii="仿宋" w:hAnsi="仿宋" w:eastAsia="仿宋" w:cs="仿宋"/>
          <w:sz w:val="24"/>
          <w:szCs w:val="24"/>
          <w:u w:val="single"/>
          <w:shd w:val="pct10" w:color="auto" w:fill="FFFFFF"/>
        </w:rPr>
        <w:t>48</w:t>
      </w:r>
      <w:r>
        <w:rPr>
          <w:rFonts w:hint="eastAsia" w:ascii="仿宋" w:hAnsi="仿宋" w:eastAsia="仿宋" w:cs="仿宋"/>
          <w:sz w:val="24"/>
          <w:szCs w:val="24"/>
          <w:u w:val="single"/>
        </w:rPr>
        <w:t xml:space="preserve"> </w:t>
      </w:r>
      <w:r>
        <w:rPr>
          <w:rFonts w:hint="eastAsia" w:ascii="仿宋" w:hAnsi="仿宋" w:eastAsia="仿宋" w:cs="仿宋"/>
          <w:sz w:val="24"/>
          <w:szCs w:val="24"/>
        </w:rPr>
        <w:t>小时内派有关人员到达现场。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4.3投标方派往招标方使用现场的人员，应具有较高的业务素质；现场解决问题时，</w:t>
      </w:r>
      <w:r>
        <w:rPr>
          <w:rFonts w:hint="eastAsia" w:ascii="仿宋" w:hAnsi="仿宋" w:eastAsia="仿宋" w:cs="仿宋"/>
          <w:sz w:val="24"/>
          <w:szCs w:val="24"/>
          <w:highlight w:val="none"/>
        </w:rPr>
        <w:t>不得无故拖延或推迟，应为招标方提供最佳的服务。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4设备（或生产线）在使用周期内，投标方免费派遣技术人员与甲方调试团队共同进行设备通讯接口的调试工作。</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871" w:name="_Toc21895"/>
      <w:bookmarkStart w:id="872" w:name="_Toc6730"/>
      <w:bookmarkStart w:id="873" w:name="_Toc26976"/>
      <w:bookmarkStart w:id="874" w:name="_Toc19301"/>
      <w:bookmarkStart w:id="875" w:name="_Toc913"/>
      <w:bookmarkStart w:id="876" w:name="_Toc28927"/>
      <w:bookmarkStart w:id="877" w:name="_Toc27733"/>
      <w:bookmarkStart w:id="878" w:name="_Toc27505"/>
      <w:bookmarkStart w:id="879" w:name="_Toc14349"/>
      <w:bookmarkStart w:id="880" w:name="_Toc6107"/>
      <w:bookmarkStart w:id="881" w:name="_Toc6354"/>
      <w:bookmarkStart w:id="882" w:name="_Toc10752"/>
      <w:bookmarkStart w:id="883" w:name="_Toc18148"/>
      <w:bookmarkStart w:id="884" w:name="_Toc12294"/>
      <w:bookmarkStart w:id="885" w:name="_Toc9688"/>
      <w:bookmarkStart w:id="886" w:name="_Toc115"/>
      <w:bookmarkStart w:id="887" w:name="_Toc32366"/>
      <w:bookmarkStart w:id="888" w:name="_Toc17891"/>
      <w:bookmarkStart w:id="889" w:name="_Toc1573"/>
      <w:bookmarkStart w:id="890" w:name="_Toc3819"/>
      <w:bookmarkStart w:id="891" w:name="_Toc13974"/>
      <w:bookmarkStart w:id="892" w:name="_Toc1118"/>
      <w:bookmarkStart w:id="893" w:name="_Toc20327"/>
      <w:bookmarkStart w:id="894" w:name="_Toc20936"/>
      <w:bookmarkStart w:id="895" w:name="_Toc30887"/>
      <w:bookmarkStart w:id="896" w:name="_Toc4793"/>
      <w:bookmarkStart w:id="897" w:name="_Toc16849"/>
      <w:bookmarkStart w:id="898" w:name="_Toc32502"/>
      <w:bookmarkStart w:id="899" w:name="_Toc25994"/>
      <w:bookmarkStart w:id="900" w:name="_Toc6984"/>
      <w:bookmarkStart w:id="901" w:name="_Toc25242"/>
      <w:bookmarkStart w:id="902" w:name="_Toc26623"/>
      <w:bookmarkStart w:id="903" w:name="_Toc30999"/>
      <w:bookmarkStart w:id="904" w:name="_Toc22593"/>
      <w:bookmarkStart w:id="905" w:name="_Toc73112419"/>
      <w:bookmarkStart w:id="906" w:name="_Toc22732"/>
      <w:bookmarkStart w:id="907" w:name="_Toc25693"/>
      <w:bookmarkStart w:id="908" w:name="_Toc7130"/>
      <w:bookmarkStart w:id="909" w:name="_Toc27285"/>
      <w:bookmarkStart w:id="910" w:name="_Toc26287"/>
      <w:bookmarkStart w:id="911" w:name="_Toc9982"/>
      <w:bookmarkStart w:id="912" w:name="_Toc31498"/>
      <w:r>
        <w:rPr>
          <w:rFonts w:hint="eastAsia" w:ascii="仿宋" w:hAnsi="仿宋" w:eastAsia="仿宋" w:cs="仿宋"/>
          <w:b/>
          <w:bCs/>
          <w:sz w:val="24"/>
          <w:szCs w:val="24"/>
        </w:rPr>
        <w:t>5其它服务</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5.1若投标方所提供货物（或生产线）有需要进口的，投标方一般应自行、自费办理；必要时，招标方和投标方共同办理。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5.2除招标文件、投标文件、答疑文件、技术协议、合同等约定之外，投标方应免费负责必要的或强制性的货物（或生产线）的检验、试验、化验等直接费用。</w:t>
      </w:r>
      <w:bookmarkStart w:id="913" w:name="_Toc133783974"/>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center"/>
        <w:textAlignment w:val="auto"/>
        <w:outlineLvl w:val="0"/>
        <w:rPr>
          <w:rFonts w:hint="eastAsia" w:ascii="仿宋" w:hAnsi="仿宋" w:eastAsia="仿宋" w:cs="仿宋"/>
          <w:b/>
          <w:bCs/>
          <w:sz w:val="24"/>
          <w:szCs w:val="24"/>
        </w:rPr>
      </w:pPr>
      <w:bookmarkStart w:id="914" w:name="_Toc32409"/>
      <w:bookmarkStart w:id="915" w:name="_Toc7461"/>
      <w:bookmarkStart w:id="916" w:name="_Toc6228"/>
      <w:bookmarkStart w:id="917" w:name="_Toc5996"/>
      <w:bookmarkStart w:id="918" w:name="_Toc73112420"/>
      <w:bookmarkStart w:id="919" w:name="_Toc23730"/>
      <w:bookmarkStart w:id="920" w:name="_Toc30293"/>
      <w:bookmarkStart w:id="921" w:name="_Toc29777"/>
      <w:bookmarkStart w:id="922" w:name="_Toc10438"/>
      <w:bookmarkStart w:id="923" w:name="_Toc22725"/>
      <w:bookmarkStart w:id="924" w:name="_Toc15356"/>
      <w:bookmarkStart w:id="925" w:name="_Toc29269"/>
      <w:bookmarkStart w:id="926" w:name="_Toc10492"/>
      <w:bookmarkStart w:id="927" w:name="_Toc12454"/>
      <w:bookmarkStart w:id="928" w:name="_Toc2800"/>
      <w:bookmarkStart w:id="929" w:name="_Toc18621"/>
      <w:bookmarkStart w:id="930" w:name="_Toc10873"/>
      <w:bookmarkStart w:id="931" w:name="_Toc32483"/>
      <w:bookmarkStart w:id="932" w:name="_Toc8076"/>
      <w:bookmarkStart w:id="933" w:name="_Toc5013"/>
      <w:bookmarkStart w:id="934" w:name="_Toc13250"/>
      <w:bookmarkStart w:id="935" w:name="_Toc25825"/>
      <w:bookmarkStart w:id="936" w:name="_Toc9498"/>
      <w:bookmarkStart w:id="937" w:name="_Toc18030"/>
      <w:bookmarkStart w:id="938" w:name="_Toc27484"/>
      <w:bookmarkStart w:id="939" w:name="_Toc19017"/>
      <w:bookmarkStart w:id="940" w:name="_Toc21122"/>
      <w:bookmarkStart w:id="941" w:name="_Toc12013"/>
      <w:bookmarkStart w:id="942" w:name="_Toc13895"/>
      <w:bookmarkStart w:id="943" w:name="_Toc16312"/>
      <w:bookmarkStart w:id="944" w:name="_Toc19208"/>
      <w:bookmarkStart w:id="945" w:name="_Toc19942"/>
      <w:bookmarkStart w:id="946" w:name="_Toc24752"/>
      <w:bookmarkStart w:id="947" w:name="_Toc9121"/>
      <w:bookmarkStart w:id="948" w:name="_Toc14411"/>
      <w:bookmarkStart w:id="949" w:name="_Toc2140"/>
      <w:bookmarkStart w:id="950" w:name="_Toc16355"/>
      <w:bookmarkStart w:id="951" w:name="_Toc9482"/>
      <w:bookmarkStart w:id="952" w:name="_Toc26489"/>
      <w:bookmarkStart w:id="953" w:name="_Toc25057"/>
      <w:bookmarkStart w:id="954" w:name="_Toc4011"/>
      <w:bookmarkStart w:id="955" w:name="_Toc11150"/>
      <w:bookmarkStart w:id="956" w:name="_Toc8547"/>
      <w:r>
        <w:rPr>
          <w:rFonts w:hint="eastAsia" w:ascii="仿宋" w:hAnsi="仿宋" w:eastAsia="仿宋" w:cs="仿宋"/>
          <w:b/>
          <w:bCs/>
          <w:sz w:val="24"/>
          <w:szCs w:val="24"/>
        </w:rPr>
        <w:t>第五章预验收和终验收</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957" w:name="_Toc242"/>
      <w:bookmarkStart w:id="958" w:name="_Toc24809"/>
      <w:bookmarkStart w:id="959" w:name="_Toc22140"/>
      <w:bookmarkStart w:id="960" w:name="_Toc7463"/>
      <w:bookmarkStart w:id="961" w:name="_Toc1286"/>
      <w:bookmarkStart w:id="962" w:name="_Toc31478"/>
      <w:bookmarkStart w:id="963" w:name="_Toc25574"/>
      <w:bookmarkStart w:id="964" w:name="_Toc73112421"/>
      <w:bookmarkStart w:id="965" w:name="_Toc3676"/>
      <w:bookmarkStart w:id="966" w:name="_Toc7184"/>
      <w:bookmarkStart w:id="967" w:name="_Toc7191"/>
      <w:bookmarkStart w:id="968" w:name="_Toc29608"/>
      <w:bookmarkStart w:id="969" w:name="_Toc22207"/>
      <w:bookmarkStart w:id="970" w:name="_Toc21557"/>
      <w:bookmarkStart w:id="971" w:name="_Toc28506"/>
      <w:bookmarkStart w:id="972" w:name="_Toc4070"/>
      <w:bookmarkStart w:id="973" w:name="_Toc27225"/>
      <w:bookmarkStart w:id="974" w:name="_Toc24517"/>
      <w:bookmarkStart w:id="975" w:name="_Toc22981"/>
      <w:bookmarkStart w:id="976" w:name="_Toc5401"/>
      <w:bookmarkStart w:id="977" w:name="_Toc15025"/>
      <w:bookmarkStart w:id="978" w:name="_Toc27448"/>
      <w:bookmarkStart w:id="979" w:name="_Toc11331"/>
      <w:bookmarkStart w:id="980" w:name="_Toc13718"/>
      <w:bookmarkStart w:id="981" w:name="_Toc23191"/>
      <w:bookmarkStart w:id="982" w:name="_Toc29964"/>
      <w:bookmarkStart w:id="983" w:name="_Toc21206"/>
      <w:bookmarkStart w:id="984" w:name="_Toc12239"/>
      <w:bookmarkStart w:id="985" w:name="_Toc17620"/>
      <w:bookmarkStart w:id="986" w:name="_Toc9902"/>
      <w:bookmarkStart w:id="987" w:name="_Toc29287"/>
      <w:bookmarkStart w:id="988" w:name="_Toc14541"/>
      <w:bookmarkStart w:id="989" w:name="_Toc6378"/>
      <w:bookmarkStart w:id="990" w:name="_Toc14965"/>
      <w:bookmarkStart w:id="991" w:name="_Toc23231"/>
      <w:bookmarkStart w:id="992" w:name="_Toc27951"/>
      <w:bookmarkStart w:id="993" w:name="_Toc10033"/>
      <w:bookmarkStart w:id="994" w:name="_Toc6924"/>
      <w:bookmarkStart w:id="995" w:name="_Toc28073"/>
      <w:bookmarkStart w:id="996" w:name="_Toc29611"/>
      <w:bookmarkStart w:id="997" w:name="_Toc12676"/>
      <w:bookmarkStart w:id="998" w:name="_Toc2326"/>
      <w:r>
        <w:rPr>
          <w:rFonts w:hint="eastAsia" w:ascii="仿宋" w:hAnsi="仿宋" w:eastAsia="仿宋" w:cs="仿宋"/>
          <w:b/>
          <w:bCs/>
          <w:sz w:val="24"/>
          <w:szCs w:val="24"/>
        </w:rPr>
        <w:t>1验收的一般约定</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1.1验收标准一般以技术协议书和合同规定验收。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1.2如果验收过程中，发现招标文件、投标文件、答疑文件、技术交流文件等与技术协议书、合同存在差异，原则上以涉及条款中对买方最有利条款为验收依据。</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999" w:name="_Toc21568"/>
      <w:bookmarkStart w:id="1000" w:name="_Toc29669"/>
      <w:bookmarkStart w:id="1001" w:name="_Toc6471"/>
      <w:bookmarkStart w:id="1002" w:name="_Toc17335"/>
      <w:bookmarkStart w:id="1003" w:name="_Toc28925"/>
      <w:bookmarkStart w:id="1004" w:name="_Toc8742"/>
      <w:bookmarkStart w:id="1005" w:name="_Toc10568"/>
      <w:bookmarkStart w:id="1006" w:name="_Toc11248"/>
      <w:bookmarkStart w:id="1007" w:name="_Toc7863"/>
      <w:bookmarkStart w:id="1008" w:name="_Toc13736"/>
      <w:bookmarkStart w:id="1009" w:name="_Toc7457"/>
      <w:bookmarkStart w:id="1010" w:name="_Toc23133"/>
      <w:bookmarkStart w:id="1011" w:name="_Toc16943"/>
      <w:bookmarkStart w:id="1012" w:name="_Toc21414"/>
      <w:bookmarkStart w:id="1013" w:name="_Toc32581"/>
      <w:bookmarkStart w:id="1014" w:name="_Toc31116"/>
      <w:bookmarkStart w:id="1015" w:name="_Toc22558"/>
      <w:bookmarkStart w:id="1016" w:name="_Toc21722"/>
      <w:bookmarkStart w:id="1017" w:name="_Toc73112422"/>
      <w:bookmarkStart w:id="1018" w:name="_Toc8338"/>
      <w:bookmarkStart w:id="1019" w:name="_Toc19505"/>
      <w:bookmarkStart w:id="1020" w:name="_Toc6206"/>
      <w:bookmarkStart w:id="1021" w:name="_Toc27467"/>
      <w:bookmarkStart w:id="1022" w:name="_Toc28873"/>
      <w:bookmarkStart w:id="1023" w:name="_Toc27120"/>
      <w:bookmarkStart w:id="1024" w:name="_Toc30274"/>
      <w:bookmarkStart w:id="1025" w:name="_Toc1155"/>
      <w:bookmarkStart w:id="1026" w:name="_Toc25951"/>
      <w:bookmarkStart w:id="1027" w:name="_Toc513"/>
      <w:bookmarkStart w:id="1028" w:name="_Toc17720"/>
      <w:bookmarkStart w:id="1029" w:name="_Toc23919"/>
      <w:bookmarkStart w:id="1030" w:name="_Toc9729"/>
      <w:bookmarkStart w:id="1031" w:name="_Toc22158"/>
      <w:bookmarkStart w:id="1032" w:name="_Toc10200"/>
      <w:bookmarkStart w:id="1033" w:name="_Toc15379"/>
      <w:bookmarkStart w:id="1034" w:name="_Toc2310"/>
      <w:bookmarkStart w:id="1035" w:name="_Toc13173"/>
      <w:bookmarkStart w:id="1036" w:name="_Toc11335"/>
      <w:bookmarkStart w:id="1037" w:name="_Toc8093"/>
      <w:bookmarkStart w:id="1038" w:name="_Toc8916"/>
      <w:bookmarkStart w:id="1039" w:name="_Toc20876"/>
      <w:bookmarkStart w:id="1040" w:name="_Toc18517"/>
      <w:r>
        <w:rPr>
          <w:rFonts w:hint="eastAsia" w:ascii="仿宋" w:hAnsi="仿宋" w:eastAsia="仿宋" w:cs="仿宋"/>
          <w:b/>
          <w:bCs/>
          <w:sz w:val="24"/>
          <w:szCs w:val="24"/>
        </w:rPr>
        <w:t>2检验</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2.1国产货物（或生产线）的检验由卖买双方按照合同要求或在制造现场进行。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2.2进口货物（或生产线）的检验按照下述要求进行：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2.1.1进口货物（或生产线）发货前，卖方应对货物（或生产线）的质量、型号、规格、性能和数量/重量作精密、全面的检验，并出具证明书，证明所供货物（或生产线）符合合同规定。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2.1.2卖方应依据合同规定的要求，提供买卖双方达成一致的货物（或生产线）的验收标准和装箱单，作为买方检验的依据。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z w:val="24"/>
          <w:szCs w:val="24"/>
          <w:shd w:val="pct10" w:color="auto" w:fill="FFFFFF"/>
        </w:rPr>
        <w:t>180</w:t>
      </w:r>
      <w:r>
        <w:rPr>
          <w:rFonts w:hint="eastAsia" w:ascii="仿宋" w:hAnsi="仿宋" w:eastAsia="仿宋" w:cs="仿宋"/>
          <w:sz w:val="24"/>
          <w:szCs w:val="24"/>
        </w:rPr>
        <w:t>个日历日内，根据中国商品检验检疫局出具的证明书向卖方提出索赔，因索赔所发生的一切费用(包括检验检疫费等)均由卖方承担。</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1041" w:name="_Toc23252"/>
      <w:bookmarkStart w:id="1042" w:name="_Toc11846"/>
      <w:bookmarkStart w:id="1043" w:name="_Toc29497"/>
      <w:bookmarkStart w:id="1044" w:name="_Toc31780"/>
      <w:bookmarkStart w:id="1045" w:name="_Toc14993"/>
      <w:bookmarkStart w:id="1046" w:name="_Toc1969"/>
      <w:bookmarkStart w:id="1047" w:name="_Toc27538"/>
      <w:bookmarkStart w:id="1048" w:name="_Toc27145"/>
      <w:bookmarkStart w:id="1049" w:name="_Toc8128"/>
      <w:bookmarkStart w:id="1050" w:name="_Toc8477"/>
      <w:bookmarkStart w:id="1051" w:name="_Toc19311"/>
      <w:bookmarkStart w:id="1052" w:name="_Toc28225"/>
      <w:bookmarkStart w:id="1053" w:name="_Toc30797"/>
      <w:bookmarkStart w:id="1054" w:name="_Toc6506"/>
      <w:bookmarkStart w:id="1055" w:name="_Toc27310"/>
      <w:bookmarkStart w:id="1056" w:name="_Toc16665"/>
      <w:bookmarkStart w:id="1057" w:name="_Toc18036"/>
      <w:bookmarkStart w:id="1058" w:name="_Toc32111"/>
      <w:bookmarkStart w:id="1059" w:name="_Toc17499"/>
      <w:bookmarkStart w:id="1060" w:name="_Toc21757"/>
      <w:bookmarkStart w:id="1061" w:name="_Toc25654"/>
      <w:bookmarkStart w:id="1062" w:name="_Toc14587"/>
      <w:bookmarkStart w:id="1063" w:name="_Toc14904"/>
      <w:bookmarkStart w:id="1064" w:name="_Toc18595"/>
      <w:bookmarkStart w:id="1065" w:name="_Toc15488"/>
      <w:bookmarkStart w:id="1066" w:name="_Toc27594"/>
      <w:bookmarkStart w:id="1067" w:name="_Toc11780"/>
      <w:bookmarkStart w:id="1068" w:name="_Toc1461"/>
      <w:bookmarkStart w:id="1069" w:name="_Toc10879"/>
      <w:bookmarkStart w:id="1070" w:name="_Toc22379"/>
      <w:bookmarkStart w:id="1071" w:name="_Toc21487"/>
      <w:bookmarkStart w:id="1072" w:name="_Toc73112423"/>
      <w:bookmarkStart w:id="1073" w:name="_Toc5653"/>
      <w:bookmarkStart w:id="1074" w:name="_Toc27629"/>
      <w:bookmarkStart w:id="1075" w:name="_Toc8214"/>
      <w:bookmarkStart w:id="1076" w:name="_Toc16878"/>
      <w:bookmarkStart w:id="1077" w:name="_Toc14844"/>
      <w:bookmarkStart w:id="1078" w:name="_Toc23250"/>
      <w:bookmarkStart w:id="1079" w:name="_Toc228"/>
      <w:bookmarkStart w:id="1080" w:name="_Toc8664"/>
      <w:bookmarkStart w:id="1081" w:name="_Toc5604"/>
      <w:bookmarkStart w:id="1082" w:name="_Toc1041"/>
      <w:r>
        <w:rPr>
          <w:rFonts w:hint="eastAsia" w:ascii="仿宋" w:hAnsi="仿宋" w:eastAsia="仿宋" w:cs="仿宋"/>
          <w:b/>
          <w:bCs/>
          <w:sz w:val="24"/>
          <w:szCs w:val="24"/>
        </w:rPr>
        <w:t>3验收条件</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买卖双方按照合同约定执行了合同，同时货物（或生产线）完成了试运行并经检验合格，则具备验收条件。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bookmarkStart w:id="1083" w:name="_Toc23170"/>
      <w:bookmarkStart w:id="1084" w:name="_Toc10586"/>
      <w:bookmarkStart w:id="1085" w:name="_Toc30563"/>
      <w:bookmarkStart w:id="1086" w:name="_Toc20087"/>
      <w:bookmarkStart w:id="1087" w:name="_Toc27856"/>
      <w:bookmarkStart w:id="1088" w:name="_Toc16974"/>
      <w:bookmarkStart w:id="1089" w:name="_Toc18963"/>
      <w:bookmarkStart w:id="1090" w:name="_Toc18903"/>
      <w:bookmarkStart w:id="1091" w:name="_Toc18487"/>
      <w:bookmarkStart w:id="1092" w:name="_Toc23548"/>
      <w:bookmarkStart w:id="1093" w:name="_Toc362"/>
      <w:bookmarkStart w:id="1094" w:name="_Toc20504"/>
      <w:bookmarkStart w:id="1095" w:name="_Toc31328"/>
      <w:bookmarkStart w:id="1096" w:name="_Toc9015"/>
      <w:bookmarkStart w:id="1097" w:name="_Toc25547"/>
      <w:bookmarkStart w:id="1098" w:name="_Toc17709"/>
      <w:bookmarkStart w:id="1099" w:name="_Toc11412"/>
      <w:bookmarkStart w:id="1100" w:name="_Toc6977"/>
      <w:bookmarkStart w:id="1101" w:name="_Toc24814"/>
      <w:bookmarkStart w:id="1102" w:name="_Toc1849"/>
      <w:bookmarkStart w:id="1103" w:name="_Toc31639"/>
      <w:bookmarkStart w:id="1104" w:name="_Toc11234"/>
      <w:bookmarkStart w:id="1105" w:name="_Toc771"/>
      <w:bookmarkStart w:id="1106" w:name="_Toc7303"/>
      <w:bookmarkStart w:id="1107" w:name="_Toc22247"/>
      <w:bookmarkStart w:id="1108" w:name="_Toc10052"/>
      <w:bookmarkStart w:id="1109" w:name="_Toc11902"/>
      <w:bookmarkStart w:id="1110" w:name="_Toc27848"/>
      <w:bookmarkStart w:id="1111" w:name="_Toc19344"/>
      <w:bookmarkStart w:id="1112" w:name="_Toc24921"/>
      <w:bookmarkStart w:id="1113" w:name="_Toc4741"/>
      <w:bookmarkStart w:id="1114" w:name="_Toc5473"/>
      <w:bookmarkStart w:id="1115" w:name="_Toc5952"/>
      <w:bookmarkStart w:id="1116" w:name="_Toc21811"/>
      <w:bookmarkStart w:id="1117" w:name="_Toc4157"/>
      <w:bookmarkStart w:id="1118" w:name="_Toc16622"/>
      <w:bookmarkStart w:id="1119" w:name="_Toc24377"/>
      <w:bookmarkStart w:id="1120" w:name="_Toc6731"/>
      <w:bookmarkStart w:id="1121" w:name="_Toc10389"/>
      <w:bookmarkStart w:id="1122" w:name="_Toc32498"/>
      <w:bookmarkStart w:id="1123" w:name="_Toc3034"/>
      <w:r>
        <w:rPr>
          <w:rFonts w:hint="eastAsia" w:ascii="仿宋" w:hAnsi="仿宋" w:eastAsia="仿宋" w:cs="仿宋"/>
          <w:sz w:val="24"/>
          <w:szCs w:val="24"/>
        </w:rPr>
        <w:t>3.1预验收一般条件</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3.1.1卖方已经按照“供货范围”要求提供了预验收资料，并且资料齐全、完整和有效。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3.1.2货物（或生产线）应运行稳定、可靠、安全，无非正常变形，非正常振动，无异常声音；无漏水、漏液、漏气（汽）、漏电等现象。运动的零部件（如链条、联轴器、离合器、主轴、工作台等）动作平稳、灵活运动准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3.1.3货物（或生产线）应完整且所有的零部件应该安装安全、牢固，外观无损伤，所有的焊缝饱满、无残渣等缺陷。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3.1.4一般情况下，所有的管路和线缆等，接头应完全正确、可靠地联接；应排列有序（正确、牢固、整齐），有必要的防护，无皱褶、收缩和裂缝等不良现象。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3.1.5货物（或生产线）的润滑系统工作正常、可靠，润滑点易于到达。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3.1.6使用的压力容器、电气等应具备合格证（如果有压力容器），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3.1.7货物（或生产线）的油漆质量应饱满、有光泽，无掉漆、无色差、无“桔皮”等不良现象（特殊标志除外）。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3.1.8货物（或生产线）标牌完整、清晰、明确。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3.1.9地线联接和地极符合国际（ISO/IEC）标准规范。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3.1.10货物（或生产线）的安全要求符合中国最新的相关法律、法规、标准和规范以及合同要求。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3.1.11预验收试件的发放：试件品种及数量由技术协议约定，试件由招标方发到中标方所产生的一切费用（或损失）由中标方承担。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bookmarkStart w:id="1124" w:name="_Toc15751"/>
      <w:bookmarkStart w:id="1125" w:name="_Toc18823"/>
      <w:bookmarkStart w:id="1126" w:name="_Toc21671"/>
      <w:bookmarkStart w:id="1127" w:name="_Toc2362"/>
      <w:bookmarkStart w:id="1128" w:name="_Toc12439"/>
      <w:bookmarkStart w:id="1129" w:name="_Toc4643"/>
      <w:bookmarkStart w:id="1130" w:name="_Toc17924"/>
      <w:bookmarkStart w:id="1131" w:name="_Toc931"/>
      <w:bookmarkStart w:id="1132" w:name="_Toc11537"/>
      <w:bookmarkStart w:id="1133" w:name="_Toc5422"/>
      <w:bookmarkStart w:id="1134" w:name="_Toc22891"/>
      <w:bookmarkStart w:id="1135" w:name="_Toc16821"/>
      <w:bookmarkStart w:id="1136" w:name="_Toc8879"/>
      <w:bookmarkStart w:id="1137" w:name="_Toc1293"/>
      <w:bookmarkStart w:id="1138" w:name="_Toc4066"/>
      <w:bookmarkStart w:id="1139" w:name="_Toc9105"/>
      <w:bookmarkStart w:id="1140" w:name="_Toc20374"/>
      <w:bookmarkStart w:id="1141" w:name="_Toc2134"/>
      <w:bookmarkStart w:id="1142" w:name="_Toc24950"/>
      <w:bookmarkStart w:id="1143" w:name="_Toc8938"/>
      <w:bookmarkStart w:id="1144" w:name="_Toc4108"/>
      <w:bookmarkStart w:id="1145" w:name="_Toc17491"/>
      <w:bookmarkStart w:id="1146" w:name="_Toc19728"/>
      <w:bookmarkStart w:id="1147" w:name="_Toc30498"/>
      <w:bookmarkStart w:id="1148" w:name="_Toc24874"/>
      <w:bookmarkStart w:id="1149" w:name="_Toc7060"/>
      <w:bookmarkStart w:id="1150" w:name="_Toc27491"/>
      <w:bookmarkStart w:id="1151" w:name="_Toc29327"/>
      <w:bookmarkStart w:id="1152" w:name="_Toc19887"/>
      <w:bookmarkStart w:id="1153" w:name="_Toc3329"/>
      <w:bookmarkStart w:id="1154" w:name="_Toc6062"/>
      <w:bookmarkStart w:id="1155" w:name="_Toc29661"/>
      <w:bookmarkStart w:id="1156" w:name="_Toc26496"/>
      <w:bookmarkStart w:id="1157" w:name="_Toc17523"/>
      <w:bookmarkStart w:id="1158" w:name="_Toc8320"/>
      <w:bookmarkStart w:id="1159" w:name="_Toc28390"/>
      <w:bookmarkStart w:id="1160" w:name="_Toc23596"/>
      <w:bookmarkStart w:id="1161" w:name="_Toc14552"/>
      <w:bookmarkStart w:id="1162" w:name="_Toc21629"/>
      <w:bookmarkStart w:id="1163" w:name="_Toc21953"/>
      <w:bookmarkStart w:id="1164" w:name="_Toc12987"/>
      <w:r>
        <w:rPr>
          <w:rFonts w:hint="eastAsia" w:ascii="仿宋" w:hAnsi="仿宋" w:eastAsia="仿宋" w:cs="仿宋"/>
          <w:sz w:val="24"/>
          <w:szCs w:val="24"/>
        </w:rPr>
        <w:t>3.2终验收一般条件</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3.2.1经过预验收而且没有出现新的质量问题，或者满足预验收条款。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3.2.2货物（或生产线）安装调试完毕，并至少经过了验收要求的负荷试运行。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3.2.4计量仪器、仪表配套合理，采用中国的法定计量单位，计量准确、灵敏可靠。保证设计指标和仪器说明书的参数的实现。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3.2.5试运行期间或之后无维修、调整等行为（特殊情况除外）。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3.2.6货物（或生产线）质量、技术性能等，达到签定的技术协议书和合同规定的终验收标准。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3.2.7试件：终验收完成前的所有试件，</w:t>
      </w:r>
      <w:r>
        <w:rPr>
          <w:rFonts w:hint="eastAsia" w:ascii="仿宋" w:hAnsi="仿宋" w:eastAsia="仿宋" w:cs="仿宋"/>
          <w:color w:val="auto"/>
          <w:sz w:val="24"/>
          <w:szCs w:val="24"/>
          <w:highlight w:val="none"/>
        </w:rPr>
        <w:t>大件可允许报废</w:t>
      </w:r>
      <w:r>
        <w:rPr>
          <w:rFonts w:hint="eastAsia" w:ascii="仿宋" w:hAnsi="仿宋" w:eastAsia="仿宋" w:cs="仿宋"/>
          <w:color w:val="auto"/>
          <w:sz w:val="24"/>
          <w:szCs w:val="24"/>
          <w:highlight w:val="none"/>
          <w:shd w:val="pct10" w:color="auto" w:fill="FFFFFF"/>
        </w:rPr>
        <w:t>5</w:t>
      </w:r>
      <w:r>
        <w:rPr>
          <w:rFonts w:hint="eastAsia" w:ascii="仿宋" w:hAnsi="仿宋" w:eastAsia="仿宋" w:cs="仿宋"/>
          <w:color w:val="auto"/>
          <w:sz w:val="24"/>
          <w:szCs w:val="24"/>
          <w:highlight w:val="none"/>
        </w:rPr>
        <w:t>件，中小件可允许报废</w:t>
      </w:r>
      <w:r>
        <w:rPr>
          <w:rFonts w:hint="eastAsia" w:ascii="仿宋" w:hAnsi="仿宋" w:eastAsia="仿宋" w:cs="仿宋"/>
          <w:color w:val="auto"/>
          <w:sz w:val="24"/>
          <w:szCs w:val="24"/>
          <w:highlight w:val="none"/>
          <w:shd w:val="pct10" w:color="auto" w:fill="FFFFFF"/>
        </w:rPr>
        <w:t>10</w:t>
      </w:r>
      <w:r>
        <w:rPr>
          <w:rFonts w:hint="eastAsia" w:ascii="仿宋" w:hAnsi="仿宋" w:eastAsia="仿宋" w:cs="仿宋"/>
          <w:color w:val="auto"/>
          <w:sz w:val="24"/>
          <w:szCs w:val="24"/>
          <w:highlight w:val="none"/>
        </w:rPr>
        <w:t>件，超过此数量的产品损失费用由中标方承担。</w:t>
      </w:r>
      <w:bookmarkStart w:id="1165" w:name="_Toc25411"/>
      <w:bookmarkStart w:id="1166" w:name="_Toc193"/>
      <w:bookmarkStart w:id="1167" w:name="_Toc180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8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9在终验收之前:提供设备全生命周期内的备品备件、易损件和专用耗材的明细清单并全部移交完成。</w:t>
      </w:r>
    </w:p>
    <w:p>
      <w:pPr>
        <w:keepNext w:val="0"/>
        <w:keepLines w:val="0"/>
        <w:pageBreakBefore w:val="0"/>
        <w:widowControl w:val="0"/>
        <w:kinsoku/>
        <w:wordWrap/>
        <w:overflowPunct/>
        <w:topLinePunct w:val="0"/>
        <w:autoSpaceDE/>
        <w:autoSpaceDN/>
        <w:bidi w:val="0"/>
        <w:snapToGrid w:val="0"/>
        <w:spacing w:line="360" w:lineRule="auto"/>
        <w:ind w:left="0" w:leftChars="0" w:firstLine="482" w:firstLineChars="200"/>
        <w:outlineLvl w:val="1"/>
        <w:rPr>
          <w:rFonts w:hint="eastAsia" w:ascii="仿宋" w:hAnsi="仿宋" w:eastAsia="仿宋" w:cs="仿宋"/>
          <w:b/>
          <w:bCs/>
          <w:sz w:val="24"/>
          <w:szCs w:val="24"/>
        </w:rPr>
      </w:pPr>
      <w:bookmarkStart w:id="1168" w:name="_Toc6573"/>
      <w:bookmarkStart w:id="1169" w:name="_Toc20983"/>
      <w:bookmarkStart w:id="1170" w:name="_Toc1761"/>
      <w:bookmarkStart w:id="1171" w:name="_Toc1885"/>
      <w:bookmarkStart w:id="1172" w:name="_Toc73112424"/>
      <w:bookmarkStart w:id="1173" w:name="_Toc9027"/>
      <w:bookmarkStart w:id="1174" w:name="_Toc17223"/>
      <w:bookmarkStart w:id="1175" w:name="_Toc26083"/>
      <w:bookmarkStart w:id="1176" w:name="_Toc21504"/>
      <w:bookmarkStart w:id="1177" w:name="_Toc11114"/>
      <w:bookmarkStart w:id="1178" w:name="_Toc1961"/>
      <w:bookmarkStart w:id="1179" w:name="_Toc10673"/>
      <w:bookmarkStart w:id="1180" w:name="_Toc7243"/>
      <w:bookmarkStart w:id="1181" w:name="_Toc21291"/>
      <w:bookmarkStart w:id="1182" w:name="_Toc22500"/>
      <w:bookmarkStart w:id="1183" w:name="_Toc17549"/>
      <w:bookmarkStart w:id="1184" w:name="_Toc1469"/>
      <w:bookmarkStart w:id="1185" w:name="_Toc32661"/>
      <w:r>
        <w:rPr>
          <w:rFonts w:hint="eastAsia" w:ascii="仿宋" w:hAnsi="仿宋" w:eastAsia="仿宋" w:cs="仿宋"/>
          <w:b/>
          <w:bCs/>
          <w:sz w:val="24"/>
          <w:szCs w:val="24"/>
        </w:rPr>
        <w:t>4终验收基本要求</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4.1货物（或生产线）允许情况下，一般先连续空运转</w:t>
      </w:r>
      <w:r>
        <w:rPr>
          <w:rFonts w:hint="eastAsia" w:ascii="仿宋" w:hAnsi="仿宋" w:eastAsia="仿宋" w:cs="仿宋"/>
          <w:sz w:val="24"/>
          <w:szCs w:val="24"/>
          <w:u w:val="single"/>
          <w:shd w:val="pct10" w:color="auto" w:fill="FFFFFF"/>
        </w:rPr>
        <w:t>8</w:t>
      </w:r>
      <w:r>
        <w:rPr>
          <w:rFonts w:hint="eastAsia" w:ascii="仿宋" w:hAnsi="仿宋" w:eastAsia="仿宋" w:cs="仿宋"/>
          <w:sz w:val="24"/>
          <w:szCs w:val="24"/>
        </w:rPr>
        <w:t>小时，然后再进行负荷运行。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4.2负荷运行时，货物（或生产线）应连续运行</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5 </w:t>
      </w:r>
      <w:r>
        <w:rPr>
          <w:rFonts w:hint="eastAsia" w:ascii="仿宋" w:hAnsi="仿宋" w:eastAsia="仿宋" w:cs="仿宋"/>
          <w:sz w:val="24"/>
          <w:szCs w:val="24"/>
        </w:rPr>
        <w:t>天，每天连续</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8 </w:t>
      </w:r>
      <w:r>
        <w:rPr>
          <w:rFonts w:hint="eastAsia" w:ascii="仿宋" w:hAnsi="仿宋" w:eastAsia="仿宋" w:cs="仿宋"/>
          <w:sz w:val="24"/>
          <w:szCs w:val="24"/>
        </w:rPr>
        <w:t>小时，除用户方面因素外，必须达到以下要求：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4.2.1在整个验收过程中没有维修、更换零部件或元件行为；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4.2.2所有出现的调整，每次调整时间均不超过</w:t>
      </w:r>
      <w:r>
        <w:rPr>
          <w:rFonts w:hint="eastAsia" w:ascii="仿宋" w:hAnsi="仿宋" w:eastAsia="仿宋" w:cs="仿宋"/>
          <w:sz w:val="24"/>
          <w:szCs w:val="24"/>
          <w:u w:val="single"/>
          <w:shd w:val="pct10" w:color="auto" w:fill="FFFFFF"/>
        </w:rPr>
        <w:t>120</w:t>
      </w:r>
      <w:r>
        <w:rPr>
          <w:rFonts w:hint="eastAsia" w:ascii="仿宋" w:hAnsi="仿宋" w:eastAsia="仿宋" w:cs="仿宋"/>
          <w:sz w:val="24"/>
          <w:szCs w:val="24"/>
        </w:rPr>
        <w:t>分钟；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4.2.3所有调整时间的总和不超过总运行时间的</w:t>
      </w:r>
      <w:r>
        <w:rPr>
          <w:rFonts w:hint="eastAsia" w:ascii="仿宋" w:hAnsi="仿宋" w:eastAsia="仿宋" w:cs="仿宋"/>
          <w:sz w:val="24"/>
          <w:szCs w:val="24"/>
          <w:u w:val="single"/>
          <w:shd w:val="pct10" w:color="auto" w:fill="FFFFFF"/>
        </w:rPr>
        <w:t>10</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4.2.4累计负载运行实际性能（或生产率）达到合同规定；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4.2.5终验收原则上要求一次完成。若一次验收不成功，最多允许两次；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4.2.6终验收通过后签署终验收报告（终验收报告以买方提供的签署完毕并盖章的《新增设备安装竣工验收转资单》为准），并移交、核对全部供货范围内物品。</w:t>
      </w:r>
      <w:bookmarkStart w:id="1186" w:name="_Toc133783975"/>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仿宋" w:hAnsi="仿宋" w:eastAsia="仿宋" w:cs="仿宋"/>
          <w:b/>
          <w:bCs/>
          <w:sz w:val="24"/>
          <w:szCs w:val="24"/>
        </w:rPr>
      </w:pPr>
      <w:bookmarkStart w:id="1187" w:name="_Toc4953"/>
      <w:bookmarkStart w:id="1188" w:name="_Toc73112425"/>
      <w:bookmarkStart w:id="1189" w:name="_Toc28594"/>
      <w:bookmarkStart w:id="1190" w:name="_Toc8015"/>
      <w:bookmarkStart w:id="1191" w:name="_Toc7458"/>
      <w:bookmarkStart w:id="1192" w:name="_Toc26248"/>
      <w:bookmarkStart w:id="1193" w:name="_Toc18146"/>
      <w:bookmarkStart w:id="1194" w:name="_Toc25348"/>
      <w:bookmarkStart w:id="1195" w:name="_Toc32074"/>
      <w:bookmarkStart w:id="1196" w:name="_Toc20836"/>
      <w:bookmarkStart w:id="1197" w:name="_Toc30125"/>
      <w:bookmarkStart w:id="1198" w:name="_Toc1673"/>
      <w:bookmarkStart w:id="1199" w:name="_Toc22488"/>
      <w:bookmarkStart w:id="1200" w:name="_Toc28136"/>
      <w:bookmarkStart w:id="1201" w:name="_Toc23397"/>
      <w:bookmarkStart w:id="1202" w:name="_Toc27525"/>
      <w:bookmarkStart w:id="1203" w:name="_Toc2957"/>
      <w:bookmarkStart w:id="1204" w:name="_Toc14217"/>
      <w:bookmarkStart w:id="1205" w:name="_Toc15914"/>
      <w:bookmarkStart w:id="1206" w:name="_Toc1228"/>
      <w:bookmarkStart w:id="1207" w:name="_Toc1683"/>
      <w:bookmarkStart w:id="1208" w:name="_Toc10830"/>
      <w:bookmarkStart w:id="1209" w:name="_Toc663"/>
      <w:bookmarkStart w:id="1210" w:name="_Toc15351"/>
      <w:bookmarkStart w:id="1211" w:name="_Toc2612"/>
      <w:bookmarkStart w:id="1212" w:name="_Toc17110"/>
      <w:bookmarkStart w:id="1213" w:name="_Toc8435"/>
      <w:bookmarkStart w:id="1214" w:name="_Toc1705"/>
      <w:bookmarkStart w:id="1215" w:name="_Toc14133"/>
      <w:bookmarkStart w:id="1216" w:name="_Toc23616"/>
      <w:bookmarkStart w:id="1217" w:name="_Toc23268"/>
      <w:bookmarkStart w:id="1218" w:name="_Toc24925"/>
      <w:bookmarkStart w:id="1219" w:name="_Toc29322"/>
      <w:bookmarkStart w:id="1220" w:name="_Toc25401"/>
      <w:bookmarkStart w:id="1221" w:name="_Toc22179"/>
      <w:bookmarkStart w:id="1222" w:name="_Toc12636"/>
      <w:bookmarkStart w:id="1223" w:name="_Toc18510"/>
      <w:bookmarkStart w:id="1224" w:name="_Toc30219"/>
      <w:bookmarkStart w:id="1225" w:name="_Toc19911"/>
      <w:bookmarkStart w:id="1226" w:name="_Toc1195"/>
      <w:bookmarkStart w:id="1227" w:name="_Toc30187"/>
      <w:bookmarkStart w:id="1228" w:name="_Toc2249"/>
      <w:bookmarkStart w:id="1229" w:name="_Toc27346"/>
      <w:r>
        <w:rPr>
          <w:rFonts w:hint="eastAsia" w:ascii="仿宋" w:hAnsi="仿宋" w:eastAsia="仿宋" w:cs="仿宋"/>
          <w:b/>
          <w:bCs/>
          <w:sz w:val="24"/>
          <w:szCs w:val="24"/>
        </w:rPr>
        <w:t>第六章投标技术文件一般要求</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1投标方应认真阅读招标文件和本技术标书，并按要求编写投标技术文件。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2投标技术文件至少应对投标货物（或生产线）的“技术偏离”、“商务偏离”作出有无说明；若有，应予以详细填写和说明。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3投标技术文件至少应对投标货物（或生产线）的功能用途、技术性能、质量标准、技术参数等作出详细说明。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4投标技术文件至少应根据投标货物（或生产线）的关键设备、总成、零部件或系统作出优越性说明。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5投标技术文件至少应根据投标货物（或生产线）的配置，按照备品备件、易损件和专用耗材明细表要求以及投标货物（或生产线）主要配置一览表要求（见下表），认真全面填写。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投标货物（或生产线）主要配置一览表单位：元</w:t>
      </w:r>
    </w:p>
    <w:tbl>
      <w:tblPr>
        <w:tblStyle w:val="31"/>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8" w:type="dxa"/>
          </w:tcPr>
          <w:p>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rPr>
            </w:pPr>
          </w:p>
        </w:tc>
        <w:tc>
          <w:tcPr>
            <w:tcW w:w="1940"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1665" w:type="dxa"/>
          </w:tcPr>
          <w:p>
            <w:pPr>
              <w:adjustRightInd w:val="0"/>
              <w:snapToGrid w:val="0"/>
              <w:spacing w:line="360"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rPr>
            </w:pPr>
          </w:p>
        </w:tc>
        <w:tc>
          <w:tcPr>
            <w:tcW w:w="1940"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1665" w:type="dxa"/>
          </w:tcPr>
          <w:p>
            <w:pPr>
              <w:adjustRightInd w:val="0"/>
              <w:snapToGrid w:val="0"/>
              <w:spacing w:line="360"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rPr>
            </w:pPr>
          </w:p>
        </w:tc>
        <w:tc>
          <w:tcPr>
            <w:tcW w:w="1940"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1665" w:type="dxa"/>
          </w:tcPr>
          <w:p>
            <w:pPr>
              <w:adjustRightInd w:val="0"/>
              <w:snapToGrid w:val="0"/>
              <w:spacing w:line="360"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rPr>
            </w:pPr>
          </w:p>
        </w:tc>
        <w:tc>
          <w:tcPr>
            <w:tcW w:w="1940"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697" w:type="dxa"/>
          </w:tcPr>
          <w:p>
            <w:pPr>
              <w:adjustRightInd w:val="0"/>
              <w:snapToGrid w:val="0"/>
              <w:spacing w:line="360" w:lineRule="auto"/>
              <w:rPr>
                <w:rFonts w:ascii="仿宋" w:hAnsi="仿宋" w:eastAsia="仿宋" w:cs="仿宋"/>
              </w:rPr>
            </w:pPr>
          </w:p>
        </w:tc>
        <w:tc>
          <w:tcPr>
            <w:tcW w:w="1665" w:type="dxa"/>
          </w:tcPr>
          <w:p>
            <w:pPr>
              <w:adjustRightInd w:val="0"/>
              <w:snapToGrid w:val="0"/>
              <w:spacing w:line="360" w:lineRule="auto"/>
              <w:rPr>
                <w:rFonts w:ascii="仿宋" w:hAnsi="仿宋" w:eastAsia="仿宋" w:cs="仿宋"/>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备注：本表作为投标方编制投标技术文件的一般格式。表中应当尽可能将配置列全、列细，这将有助于投标方胜出。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6投标技术文件至少应对招标文件和本技术标书所提出的要求，将投标方认为难以满足的条款和要求，予以明确和详细的说明或澄清。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8供货范围内的物品或服务，应当尽可能详细且分类填入配置表，其费用应当计入投标总报价之内。如果出现不一致的报价，将有可能导致废标。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9除招标文件明确的验收标准或内容之外，投标方应当在投标文件中提供预验收（必要时）和终验收的标准以及规程，在合同签定之前，经投标方和招标方双方洽谈确认并签署，以作为验收标准执行。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10带 ★ 号条款为否定项条款。</w:t>
      </w:r>
      <w:bookmarkStart w:id="1230" w:name="_Toc133783976"/>
    </w:p>
    <w:p>
      <w:pPr>
        <w:keepNext w:val="0"/>
        <w:keepLines w:val="0"/>
        <w:pageBreakBefore w:val="0"/>
        <w:widowControl w:val="0"/>
        <w:kinsoku/>
        <w:wordWrap/>
        <w:overflowPunct/>
        <w:topLinePunct w:val="0"/>
        <w:autoSpaceDE/>
        <w:autoSpaceDN/>
        <w:bidi w:val="0"/>
        <w:adjustRightInd w:val="0"/>
        <w:snapToGrid w:val="0"/>
        <w:spacing w:line="360" w:lineRule="auto"/>
        <w:jc w:val="center"/>
        <w:outlineLvl w:val="0"/>
        <w:rPr>
          <w:rFonts w:ascii="仿宋" w:hAnsi="仿宋" w:eastAsia="仿宋" w:cs="仿宋"/>
          <w:b/>
          <w:bCs/>
          <w:sz w:val="24"/>
          <w:szCs w:val="24"/>
        </w:rPr>
      </w:pPr>
      <w:bookmarkStart w:id="1231" w:name="_Toc29369"/>
      <w:bookmarkStart w:id="1232" w:name="_Toc15645"/>
      <w:bookmarkStart w:id="1233" w:name="_Toc5153"/>
      <w:bookmarkStart w:id="1234" w:name="_Toc24401"/>
      <w:bookmarkStart w:id="1235" w:name="_Toc147"/>
      <w:bookmarkStart w:id="1236" w:name="_Toc10081"/>
      <w:bookmarkStart w:id="1237" w:name="_Toc2151"/>
      <w:bookmarkStart w:id="1238" w:name="_Toc17174"/>
      <w:bookmarkStart w:id="1239" w:name="_Toc2783"/>
      <w:bookmarkStart w:id="1240" w:name="_Toc19821"/>
      <w:bookmarkStart w:id="1241" w:name="_Toc31830"/>
      <w:bookmarkStart w:id="1242" w:name="_Toc1126"/>
      <w:bookmarkStart w:id="1243" w:name="_Toc22743"/>
      <w:bookmarkStart w:id="1244" w:name="_Toc3744"/>
      <w:bookmarkStart w:id="1245" w:name="_Toc15684"/>
      <w:bookmarkStart w:id="1246" w:name="_Toc17463"/>
      <w:bookmarkStart w:id="1247" w:name="_Toc4563"/>
      <w:bookmarkStart w:id="1248" w:name="_Toc5380"/>
      <w:bookmarkStart w:id="1249" w:name="_Toc9954"/>
      <w:bookmarkStart w:id="1250" w:name="_Toc13666"/>
      <w:bookmarkStart w:id="1251" w:name="_Toc11416"/>
      <w:bookmarkStart w:id="1252" w:name="_Toc26481"/>
      <w:bookmarkStart w:id="1253" w:name="_Toc23538"/>
      <w:bookmarkStart w:id="1254" w:name="_Toc19119"/>
      <w:bookmarkStart w:id="1255" w:name="_Toc671"/>
      <w:bookmarkStart w:id="1256" w:name="_Toc26559"/>
      <w:bookmarkStart w:id="1257" w:name="_Toc2341"/>
      <w:bookmarkStart w:id="1258" w:name="_Toc19444"/>
      <w:bookmarkStart w:id="1259" w:name="_Toc919"/>
      <w:bookmarkStart w:id="1260" w:name="_Toc25823"/>
      <w:bookmarkStart w:id="1261" w:name="_Toc11155"/>
      <w:bookmarkStart w:id="1262" w:name="_Toc29655"/>
      <w:bookmarkStart w:id="1263" w:name="_Toc73112426"/>
      <w:bookmarkStart w:id="1264" w:name="_Toc7541"/>
      <w:bookmarkStart w:id="1265" w:name="_Toc13350"/>
      <w:bookmarkStart w:id="1266" w:name="_Toc10484"/>
      <w:bookmarkStart w:id="1267" w:name="_Toc32403"/>
      <w:bookmarkStart w:id="1268" w:name="_Toc16301"/>
      <w:bookmarkStart w:id="1269" w:name="_Toc2177"/>
      <w:bookmarkStart w:id="1270" w:name="_Toc3256"/>
      <w:bookmarkStart w:id="1271" w:name="_Toc623"/>
      <w:bookmarkStart w:id="1272" w:name="_Toc7423"/>
      <w:bookmarkStart w:id="1273" w:name="_Toc17045"/>
      <w:r>
        <w:rPr>
          <w:rFonts w:hint="eastAsia" w:ascii="仿宋" w:hAnsi="仿宋" w:eastAsia="仿宋" w:cs="仿宋"/>
          <w:b/>
          <w:bCs/>
          <w:sz w:val="24"/>
          <w:szCs w:val="24"/>
        </w:rPr>
        <w:t>第七章其它要求</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keepNext w:val="0"/>
        <w:keepLines w:val="0"/>
        <w:pageBreakBefore w:val="0"/>
        <w:widowControl w:val="0"/>
        <w:kinsoku/>
        <w:wordWrap/>
        <w:overflowPunct/>
        <w:topLinePunct w:val="0"/>
        <w:autoSpaceDE/>
        <w:autoSpaceDN/>
        <w:bidi w:val="0"/>
        <w:snapToGrid w:val="0"/>
        <w:spacing w:line="360" w:lineRule="auto"/>
        <w:ind w:left="480"/>
        <w:outlineLvl w:val="1"/>
        <w:rPr>
          <w:rFonts w:ascii="仿宋" w:hAnsi="仿宋" w:eastAsia="仿宋" w:cs="仿宋"/>
          <w:b/>
          <w:bCs/>
          <w:sz w:val="24"/>
          <w:szCs w:val="24"/>
        </w:rPr>
      </w:pPr>
      <w:bookmarkStart w:id="1274" w:name="_Toc16614"/>
      <w:bookmarkStart w:id="1275" w:name="_Toc11058"/>
      <w:bookmarkStart w:id="1276" w:name="_Toc32470"/>
      <w:bookmarkStart w:id="1277" w:name="_Toc30535"/>
      <w:bookmarkStart w:id="1278" w:name="_Toc20262"/>
      <w:bookmarkStart w:id="1279" w:name="_Toc24680"/>
      <w:bookmarkStart w:id="1280" w:name="_Toc15205"/>
      <w:bookmarkStart w:id="1281" w:name="_Toc26831"/>
      <w:bookmarkStart w:id="1282" w:name="_Toc16802"/>
      <w:bookmarkStart w:id="1283" w:name="_Toc21465"/>
      <w:bookmarkStart w:id="1284" w:name="_Toc16829"/>
      <w:bookmarkStart w:id="1285" w:name="_Toc18469"/>
      <w:bookmarkStart w:id="1286" w:name="_Toc17727"/>
      <w:bookmarkStart w:id="1287" w:name="_Toc22430"/>
      <w:bookmarkStart w:id="1288" w:name="_Toc4997"/>
      <w:bookmarkStart w:id="1289" w:name="_Toc31105"/>
      <w:bookmarkStart w:id="1290" w:name="_Toc11901"/>
      <w:bookmarkStart w:id="1291" w:name="_Toc17357"/>
      <w:bookmarkStart w:id="1292" w:name="_Toc24669"/>
      <w:bookmarkStart w:id="1293" w:name="_Toc25903"/>
      <w:bookmarkStart w:id="1294" w:name="_Toc28364"/>
      <w:bookmarkStart w:id="1295" w:name="_Toc12542"/>
      <w:bookmarkStart w:id="1296" w:name="_Toc27273"/>
      <w:bookmarkStart w:id="1297" w:name="_Toc15256"/>
      <w:bookmarkStart w:id="1298" w:name="_Toc32544"/>
      <w:bookmarkStart w:id="1299" w:name="_Toc22010"/>
      <w:bookmarkStart w:id="1300" w:name="_Toc17435"/>
      <w:bookmarkStart w:id="1301" w:name="_Toc29679"/>
      <w:bookmarkStart w:id="1302" w:name="_Toc17702"/>
      <w:bookmarkStart w:id="1303" w:name="_Toc2497"/>
      <w:bookmarkStart w:id="1304" w:name="_Toc29015"/>
      <w:bookmarkStart w:id="1305" w:name="_Toc24181"/>
      <w:bookmarkStart w:id="1306" w:name="_Toc12406"/>
      <w:bookmarkStart w:id="1307" w:name="_Toc32525"/>
      <w:bookmarkStart w:id="1308" w:name="_Toc24782"/>
      <w:bookmarkStart w:id="1309" w:name="_Toc32012"/>
      <w:bookmarkStart w:id="1310" w:name="_Toc5514"/>
      <w:bookmarkStart w:id="1311" w:name="_Toc73112427"/>
      <w:bookmarkStart w:id="1312" w:name="_Toc14684"/>
      <w:bookmarkStart w:id="1313" w:name="_Toc15541"/>
      <w:bookmarkStart w:id="1314" w:name="_Toc13820"/>
      <w:bookmarkStart w:id="1315" w:name="_Toc14484"/>
      <w:r>
        <w:rPr>
          <w:rFonts w:hint="eastAsia" w:ascii="仿宋" w:hAnsi="仿宋" w:eastAsia="仿宋" w:cs="仿宋"/>
          <w:b/>
          <w:bCs/>
          <w:sz w:val="24"/>
          <w:szCs w:val="24"/>
        </w:rPr>
        <w:t>1特殊要求</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17"/>
        <w:keepNext w:val="0"/>
        <w:keepLines w:val="0"/>
        <w:pageBreakBefore w:val="0"/>
        <w:widowControl w:val="0"/>
        <w:kinsoku/>
        <w:wordWrap/>
        <w:overflowPunct/>
        <w:topLinePunct w:val="0"/>
        <w:autoSpaceDE/>
        <w:autoSpaceDN/>
        <w:bidi w:val="0"/>
        <w:snapToGrid w:val="0"/>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为保证本技术标书所列采购货物（或生产线）的质量以及先进性、可靠性、经济性和实用性，要求投标方在投标文件中，至少应具备以下资格证明文件或资料：</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1.1投标方应是通过有关资格认证的单位，因此应附有有效期内的资格认证证书，如：ISO9001、VDA6.1、QS9000等。</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1.2国产设备应附有采购货物（或设备）涉及的由“中国质量认证中心”颁发的《中国国家强制性产品认证证书》（CCC证书）。</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1.4应附有其它与投标单位、采购货物（或生产线）有关的荣誉证书或资料。</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1.5应附有中国相关国家部委颁发的有效期之内所必需的《生产许可证》。</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1.6应附有必要的采购货物（或设备）的相关检验、试验报告，如：《型式试验的检验报告》、《产品鉴定证书》、《新技术成果证书》等。</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1.7投标方必须附有采购货物（或设备）涉及国家规定必须进行的检验、试验报告等。</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keepNext w:val="0"/>
        <w:keepLines w:val="0"/>
        <w:pageBreakBefore w:val="0"/>
        <w:widowControl w:val="0"/>
        <w:kinsoku/>
        <w:wordWrap/>
        <w:overflowPunct/>
        <w:topLinePunct w:val="0"/>
        <w:autoSpaceDE/>
        <w:autoSpaceDN/>
        <w:bidi w:val="0"/>
        <w:snapToGrid w:val="0"/>
        <w:spacing w:line="360" w:lineRule="auto"/>
        <w:ind w:left="480"/>
        <w:outlineLvl w:val="1"/>
        <w:rPr>
          <w:rFonts w:ascii="仿宋" w:hAnsi="仿宋" w:eastAsia="仿宋" w:cs="仿宋"/>
          <w:b/>
          <w:bCs/>
          <w:sz w:val="24"/>
          <w:szCs w:val="24"/>
        </w:rPr>
      </w:pPr>
      <w:bookmarkStart w:id="1316" w:name="_Toc16457"/>
      <w:bookmarkStart w:id="1317" w:name="_Toc4278"/>
      <w:bookmarkStart w:id="1318" w:name="_Toc24176"/>
      <w:bookmarkStart w:id="1319" w:name="_Toc25028"/>
      <w:bookmarkStart w:id="1320" w:name="_Toc3323"/>
      <w:bookmarkStart w:id="1321" w:name="_Toc27894"/>
      <w:bookmarkStart w:id="1322" w:name="_Toc29233"/>
      <w:bookmarkStart w:id="1323" w:name="_Toc4243"/>
      <w:bookmarkStart w:id="1324" w:name="_Toc3658"/>
      <w:bookmarkStart w:id="1325" w:name="_Toc1823"/>
      <w:bookmarkStart w:id="1326" w:name="_Toc26626"/>
      <w:bookmarkStart w:id="1327" w:name="_Toc18674"/>
      <w:bookmarkStart w:id="1328" w:name="_Toc28700"/>
      <w:bookmarkStart w:id="1329" w:name="_Toc22763"/>
      <w:bookmarkStart w:id="1330" w:name="_Toc18370"/>
      <w:bookmarkStart w:id="1331" w:name="_Toc11255"/>
      <w:bookmarkStart w:id="1332" w:name="_Toc22893"/>
      <w:bookmarkStart w:id="1333" w:name="_Toc14956"/>
      <w:bookmarkStart w:id="1334" w:name="_Toc5504"/>
      <w:bookmarkStart w:id="1335" w:name="_Toc13528"/>
      <w:bookmarkStart w:id="1336" w:name="_Toc11707"/>
      <w:bookmarkStart w:id="1337" w:name="_Toc29954"/>
      <w:bookmarkStart w:id="1338" w:name="_Toc335"/>
      <w:bookmarkStart w:id="1339" w:name="_Toc14052"/>
      <w:bookmarkStart w:id="1340" w:name="_Toc21942"/>
      <w:bookmarkStart w:id="1341" w:name="_Toc25498"/>
      <w:bookmarkStart w:id="1342" w:name="_Toc8864"/>
      <w:bookmarkStart w:id="1343" w:name="_Toc24482"/>
      <w:bookmarkStart w:id="1344" w:name="_Toc28380"/>
      <w:bookmarkStart w:id="1345" w:name="_Toc18745"/>
      <w:bookmarkStart w:id="1346" w:name="_Toc26724"/>
      <w:bookmarkStart w:id="1347" w:name="_Toc28559"/>
      <w:bookmarkStart w:id="1348" w:name="_Toc27164"/>
      <w:bookmarkStart w:id="1349" w:name="_Toc20370"/>
      <w:bookmarkStart w:id="1350" w:name="_Toc3821"/>
      <w:bookmarkStart w:id="1351" w:name="_Toc73112429"/>
      <w:bookmarkStart w:id="1352" w:name="_Toc28267"/>
      <w:bookmarkStart w:id="1353" w:name="_Toc28718"/>
      <w:bookmarkStart w:id="1354" w:name="_Toc19315"/>
      <w:bookmarkStart w:id="1355" w:name="_Toc26307"/>
      <w:bookmarkStart w:id="1356" w:name="_Toc20830"/>
      <w:bookmarkStart w:id="1357" w:name="_Toc13497"/>
      <w:r>
        <w:rPr>
          <w:rFonts w:hint="eastAsia" w:ascii="仿宋" w:hAnsi="仿宋" w:eastAsia="仿宋" w:cs="仿宋"/>
          <w:b/>
          <w:bCs/>
          <w:sz w:val="24"/>
          <w:szCs w:val="24"/>
        </w:rPr>
        <w:t>2说明</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2.1投标方可以根据自身的技术、经验等优势以及对招标文件和本技术标书的理解，写明对招标方所采购货物（或生产线）的优化方案或建议意见。投标方的这些努力，招标方表示感谢，并将有助于投标方优先胜出。</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2.2即使有建议意见或建议方案，仍应依据招标文件和本技术标书要求，编写符合要求的投标文件。建议方案或建议意见，应以单独篇章或文件，予以说明。</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2.4招标文件、投标文件、答疑文件、技术交流文件、技术协议书等，在招标过程全部为有效文件，如有差异，以对招标方或买方最有利的条款为准。</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仿宋" w:hAnsi="仿宋" w:eastAsia="仿宋" w:cs="仿宋"/>
          <w:highlight w:val="none"/>
        </w:rPr>
      </w:pPr>
      <w:r>
        <w:rPr>
          <w:rFonts w:hint="eastAsia" w:ascii="仿宋" w:hAnsi="仿宋" w:eastAsia="仿宋" w:cs="仿宋"/>
          <w:sz w:val="24"/>
          <w:szCs w:val="24"/>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pStyle w:val="77"/>
        <w:rPr>
          <w:b/>
          <w:bCs/>
        </w:rPr>
      </w:pPr>
    </w:p>
    <w:p>
      <w:pPr>
        <w:rPr>
          <w:rFonts w:hint="eastAsia"/>
        </w:rPr>
      </w:pPr>
      <w:bookmarkStart w:id="1358" w:name="_Toc47976609"/>
      <w:r>
        <w:rPr>
          <w:rFonts w:hint="eastAsia"/>
        </w:rPr>
        <w:br w:type="page"/>
      </w:r>
    </w:p>
    <w:bookmarkEnd w:id="1358"/>
    <w:p>
      <w:pPr>
        <w:pStyle w:val="72"/>
        <w:numPr>
          <w:ilvl w:val="0"/>
          <w:numId w:val="29"/>
        </w:numPr>
        <w:rPr>
          <w:rFonts w:hint="eastAsia"/>
        </w:rPr>
      </w:pPr>
      <w:r>
        <w:rPr>
          <w:rFonts w:hint="eastAsia" w:ascii="宋体" w:hAnsi="宋体" w:eastAsia="宋体" w:cs="Times New Roman"/>
          <w:b/>
          <w:sz w:val="36"/>
          <w:szCs w:val="36"/>
        </w:rPr>
        <w:t>设备采购合同</w:t>
      </w:r>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模板</w:t>
      </w:r>
      <w:r>
        <w:rPr>
          <w:rFonts w:hint="eastAsia" w:ascii="宋体" w:hAnsi="宋体" w:eastAsia="宋体" w:cs="Times New Roman"/>
          <w:b/>
          <w:sz w:val="36"/>
          <w:szCs w:val="36"/>
          <w:lang w:eastAsia="zh-CN"/>
        </w:rPr>
        <w:t>）</w:t>
      </w:r>
    </w:p>
    <w:p>
      <w:pPr>
        <w:wordWrap w:val="0"/>
        <w:adjustRightInd w:val="0"/>
        <w:snapToGrid w:val="0"/>
        <w:spacing w:line="360" w:lineRule="auto"/>
        <w:jc w:val="right"/>
        <w:rPr>
          <w:rFonts w:ascii="宋体" w:hAnsi="宋体"/>
          <w:b/>
          <w:sz w:val="28"/>
          <w:szCs w:val="28"/>
        </w:rPr>
      </w:pPr>
    </w:p>
    <w:p>
      <w:pPr>
        <w:adjustRightInd w:val="0"/>
        <w:snapToGrid w:val="0"/>
        <w:spacing w:line="360" w:lineRule="auto"/>
        <w:jc w:val="center"/>
        <w:rPr>
          <w:rFonts w:ascii="方正小标宋简体" w:hAnsi="宋体" w:eastAsia="方正小标宋简体"/>
          <w:bCs/>
          <w:sz w:val="52"/>
          <w:szCs w:val="36"/>
        </w:rPr>
      </w:pPr>
      <w:bookmarkStart w:id="1359" w:name="_Toc47976615"/>
      <w:r>
        <w:rPr>
          <w:rFonts w:hint="eastAsia" w:ascii="方正小标宋简体" w:hAnsi="宋体" w:eastAsia="方正小标宋简体"/>
          <w:bCs/>
          <w:sz w:val="52"/>
          <w:szCs w:val="36"/>
        </w:rPr>
        <w:t>设备采购合同（模板）</w:t>
      </w:r>
    </w:p>
    <w:p>
      <w:pPr>
        <w:pStyle w:val="15"/>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0" w:name="_Toc16330018"/>
      <w:bookmarkStart w:id="1361" w:name="_Toc17619"/>
      <w:bookmarkStart w:id="1362" w:name="_Toc11823"/>
      <w:bookmarkStart w:id="1363" w:name="_Toc11930"/>
      <w:r>
        <w:rPr>
          <w:rFonts w:hint="eastAsia" w:ascii="黑体" w:hAnsi="黑体" w:eastAsia="黑体" w:cstheme="minorEastAsia"/>
          <w:b w:val="0"/>
          <w:sz w:val="28"/>
          <w:szCs w:val="28"/>
        </w:rPr>
        <w:t>1 合同设备</w:t>
      </w:r>
      <w:bookmarkEnd w:id="1360"/>
      <w:bookmarkEnd w:id="1361"/>
      <w:bookmarkEnd w:id="1362"/>
      <w:bookmarkEnd w:id="13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364" w:name="_Toc32510"/>
      <w:bookmarkStart w:id="1365" w:name="_Toc29026"/>
      <w:bookmarkStart w:id="1366"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7" w:name="_Toc16330019"/>
      <w:r>
        <w:rPr>
          <w:rFonts w:hint="eastAsia" w:ascii="黑体" w:hAnsi="黑体" w:eastAsia="黑体" w:cstheme="minorEastAsia"/>
          <w:b w:val="0"/>
          <w:sz w:val="28"/>
          <w:szCs w:val="28"/>
        </w:rPr>
        <w:t>2 包装</w:t>
      </w:r>
      <w:bookmarkEnd w:id="1364"/>
      <w:bookmarkEnd w:id="1365"/>
      <w:bookmarkEnd w:id="1366"/>
      <w:bookmarkEnd w:id="136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8" w:name="_Toc16330020"/>
      <w:bookmarkStart w:id="1369" w:name="_Toc2833"/>
      <w:bookmarkStart w:id="1370" w:name="_Toc27453"/>
      <w:bookmarkStart w:id="1371" w:name="_Toc27144"/>
      <w:r>
        <w:rPr>
          <w:rFonts w:hint="eastAsia" w:ascii="黑体" w:hAnsi="黑体" w:eastAsia="黑体" w:cstheme="minorEastAsia"/>
          <w:b w:val="0"/>
          <w:sz w:val="28"/>
          <w:szCs w:val="28"/>
        </w:rPr>
        <w:t>3 运输标记</w:t>
      </w:r>
      <w:bookmarkEnd w:id="1368"/>
      <w:bookmarkEnd w:id="1369"/>
      <w:bookmarkEnd w:id="1370"/>
      <w:bookmarkEnd w:id="13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2" w:name="_Toc7431"/>
      <w:bookmarkStart w:id="1373" w:name="_Toc16133"/>
      <w:bookmarkStart w:id="1374" w:name="_Toc10630"/>
      <w:bookmarkStart w:id="1375" w:name="_Toc16330021"/>
      <w:r>
        <w:rPr>
          <w:rFonts w:hint="eastAsia" w:ascii="黑体" w:hAnsi="黑体" w:eastAsia="黑体" w:cstheme="minorEastAsia"/>
          <w:b w:val="0"/>
          <w:sz w:val="28"/>
          <w:szCs w:val="28"/>
        </w:rPr>
        <w:t>4 检验</w:t>
      </w:r>
      <w:bookmarkEnd w:id="1372"/>
      <w:bookmarkEnd w:id="1373"/>
      <w:bookmarkEnd w:id="1374"/>
      <w:bookmarkEnd w:id="13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6" w:name="_Toc11217"/>
      <w:bookmarkStart w:id="1377" w:name="_Toc19850"/>
      <w:bookmarkStart w:id="1378" w:name="_Toc16330022"/>
      <w:bookmarkStart w:id="1379" w:name="_Toc24467"/>
      <w:r>
        <w:rPr>
          <w:rFonts w:hint="eastAsia" w:ascii="黑体" w:hAnsi="黑体" w:eastAsia="黑体" w:cstheme="minorEastAsia"/>
          <w:b w:val="0"/>
          <w:sz w:val="28"/>
          <w:szCs w:val="28"/>
        </w:rPr>
        <w:t>5 权利担保</w:t>
      </w:r>
      <w:bookmarkEnd w:id="1376"/>
      <w:bookmarkEnd w:id="1377"/>
      <w:bookmarkEnd w:id="1378"/>
      <w:bookmarkEnd w:id="13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0" w:name="_Toc11759"/>
      <w:bookmarkStart w:id="1381" w:name="_Toc16330023"/>
      <w:bookmarkStart w:id="1382" w:name="_Toc27500"/>
      <w:bookmarkStart w:id="1383" w:name="_Toc14809"/>
      <w:r>
        <w:rPr>
          <w:rFonts w:hint="eastAsia" w:ascii="黑体" w:hAnsi="黑体" w:eastAsia="黑体" w:cstheme="minorEastAsia"/>
          <w:b w:val="0"/>
          <w:sz w:val="28"/>
          <w:szCs w:val="28"/>
        </w:rPr>
        <w:t>6 交货</w:t>
      </w:r>
      <w:bookmarkEnd w:id="1380"/>
      <w:bookmarkEnd w:id="1381"/>
      <w:bookmarkEnd w:id="1382"/>
      <w:bookmarkEnd w:id="13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4" w:name="_Toc25510"/>
      <w:bookmarkStart w:id="1385" w:name="_Toc16330024"/>
      <w:bookmarkStart w:id="1386" w:name="_Toc8024"/>
      <w:bookmarkStart w:id="1387" w:name="_Toc2984"/>
      <w:r>
        <w:rPr>
          <w:rFonts w:hint="eastAsia" w:ascii="黑体" w:hAnsi="黑体" w:eastAsia="黑体" w:cstheme="minorEastAsia"/>
          <w:b w:val="0"/>
          <w:sz w:val="28"/>
          <w:szCs w:val="28"/>
        </w:rPr>
        <w:t>7 安装、调试</w:t>
      </w:r>
      <w:bookmarkEnd w:id="1384"/>
      <w:bookmarkEnd w:id="1385"/>
      <w:bookmarkEnd w:id="1386"/>
      <w:bookmarkEnd w:id="1387"/>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8" w:name="_Toc14098"/>
      <w:bookmarkStart w:id="1389" w:name="_Toc6350"/>
      <w:bookmarkStart w:id="1390" w:name="_Toc16330025"/>
      <w:bookmarkStart w:id="1391" w:name="_Toc14260"/>
      <w:r>
        <w:rPr>
          <w:rFonts w:hint="eastAsia" w:ascii="黑体" w:hAnsi="黑体" w:eastAsia="黑体" w:cstheme="minorEastAsia"/>
          <w:b w:val="0"/>
          <w:sz w:val="28"/>
          <w:szCs w:val="28"/>
        </w:rPr>
        <w:t>8 价款与支付</w:t>
      </w:r>
      <w:bookmarkEnd w:id="1388"/>
      <w:bookmarkEnd w:id="1389"/>
      <w:bookmarkEnd w:id="1390"/>
      <w:bookmarkEnd w:id="13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392" w:name="_Toc14676804"/>
      <w:bookmarkStart w:id="139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92"/>
      <w:bookmarkEnd w:id="1393"/>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4" w:name="_Toc6726"/>
      <w:bookmarkStart w:id="1395" w:name="_Toc25708"/>
      <w:bookmarkStart w:id="1396" w:name="_Toc16330026"/>
      <w:bookmarkStart w:id="1397" w:name="_Toc24085"/>
      <w:r>
        <w:rPr>
          <w:rFonts w:hint="eastAsia" w:ascii="黑体" w:hAnsi="黑体" w:eastAsia="黑体" w:cstheme="minorEastAsia"/>
          <w:b w:val="0"/>
          <w:sz w:val="28"/>
          <w:szCs w:val="28"/>
        </w:rPr>
        <w:t>9 质量保证及售后服务</w:t>
      </w:r>
      <w:bookmarkEnd w:id="1394"/>
      <w:bookmarkEnd w:id="1395"/>
      <w:bookmarkEnd w:id="1396"/>
      <w:bookmarkEnd w:id="13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8" w:name="_Toc15570"/>
      <w:bookmarkStart w:id="1399" w:name="_Toc16330027"/>
      <w:bookmarkStart w:id="1400" w:name="_Toc10359"/>
      <w:bookmarkStart w:id="1401" w:name="_Toc12927"/>
      <w:r>
        <w:rPr>
          <w:rFonts w:hint="eastAsia" w:ascii="黑体" w:hAnsi="黑体" w:eastAsia="黑体" w:cstheme="minorEastAsia"/>
          <w:b w:val="0"/>
          <w:sz w:val="28"/>
          <w:szCs w:val="28"/>
        </w:rPr>
        <w:t>10法定责任</w:t>
      </w:r>
      <w:bookmarkEnd w:id="1398"/>
      <w:bookmarkEnd w:id="1399"/>
      <w:bookmarkEnd w:id="1400"/>
      <w:bookmarkEnd w:id="140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2" w:name="_Toc16330028"/>
      <w:bookmarkStart w:id="1403" w:name="_Toc27314"/>
      <w:bookmarkStart w:id="1404" w:name="_Toc9708"/>
      <w:bookmarkStart w:id="1405" w:name="_Toc30381"/>
      <w:r>
        <w:rPr>
          <w:rFonts w:hint="eastAsia" w:ascii="黑体" w:hAnsi="黑体" w:eastAsia="黑体" w:cstheme="minorEastAsia"/>
          <w:b w:val="0"/>
          <w:sz w:val="28"/>
          <w:szCs w:val="28"/>
        </w:rPr>
        <w:t>11 违约责任</w:t>
      </w:r>
      <w:bookmarkEnd w:id="1402"/>
      <w:bookmarkEnd w:id="1403"/>
      <w:bookmarkEnd w:id="1404"/>
      <w:bookmarkEnd w:id="14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6" w:name="_Toc9172"/>
      <w:bookmarkStart w:id="1407" w:name="_Toc1827"/>
      <w:bookmarkStart w:id="1408" w:name="_Toc31554"/>
      <w:bookmarkStart w:id="1409" w:name="_Toc16330029"/>
      <w:r>
        <w:rPr>
          <w:rFonts w:hint="eastAsia" w:ascii="黑体" w:hAnsi="黑体" w:eastAsia="黑体" w:cstheme="minorEastAsia"/>
          <w:b w:val="0"/>
          <w:sz w:val="28"/>
          <w:szCs w:val="28"/>
        </w:rPr>
        <w:t>12 合同的终止与解除</w:t>
      </w:r>
      <w:bookmarkEnd w:id="1406"/>
      <w:bookmarkEnd w:id="1407"/>
      <w:bookmarkEnd w:id="1408"/>
      <w:bookmarkEnd w:id="140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0" w:name="_Toc31945"/>
      <w:bookmarkStart w:id="1411" w:name="_Toc8620"/>
      <w:bookmarkStart w:id="1412" w:name="_Toc16330030"/>
      <w:bookmarkStart w:id="1413" w:name="_Toc13671"/>
      <w:r>
        <w:rPr>
          <w:rFonts w:hint="eastAsia" w:ascii="黑体" w:hAnsi="黑体" w:eastAsia="黑体" w:cstheme="minorEastAsia"/>
          <w:b w:val="0"/>
          <w:sz w:val="28"/>
          <w:szCs w:val="28"/>
        </w:rPr>
        <w:t>13 不可抗力</w:t>
      </w:r>
      <w:bookmarkEnd w:id="1410"/>
      <w:bookmarkEnd w:id="1411"/>
      <w:bookmarkEnd w:id="1412"/>
      <w:bookmarkEnd w:id="14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4" w:name="_Toc637"/>
      <w:bookmarkStart w:id="1415" w:name="_Toc31243"/>
      <w:bookmarkStart w:id="1416" w:name="_Toc16330031"/>
      <w:bookmarkStart w:id="1417" w:name="_Toc30389"/>
      <w:r>
        <w:rPr>
          <w:rFonts w:hint="eastAsia" w:ascii="黑体" w:hAnsi="黑体" w:eastAsia="黑体" w:cstheme="minorEastAsia"/>
          <w:b w:val="0"/>
          <w:sz w:val="28"/>
          <w:szCs w:val="28"/>
        </w:rPr>
        <w:t>14 通讯</w:t>
      </w:r>
      <w:bookmarkEnd w:id="1414"/>
      <w:bookmarkEnd w:id="1415"/>
      <w:bookmarkEnd w:id="1416"/>
      <w:bookmarkEnd w:id="14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1418" w:name="_Toc11290"/>
      <w:bookmarkStart w:id="1419" w:name="_Toc9915"/>
      <w:bookmarkStart w:id="1420" w:name="_Toc16330032"/>
      <w:bookmarkStart w:id="1421" w:name="_Toc12984"/>
      <w:r>
        <w:rPr>
          <w:rFonts w:hint="eastAsia" w:ascii="黑体" w:hAnsi="黑体" w:eastAsia="黑体" w:cstheme="minorEastAsia"/>
          <w:b w:val="0"/>
          <w:sz w:val="28"/>
          <w:szCs w:val="28"/>
        </w:rPr>
        <w:t>15 适用法律及争议解决</w:t>
      </w:r>
      <w:bookmarkEnd w:id="1418"/>
      <w:bookmarkEnd w:id="1419"/>
      <w:bookmarkEnd w:id="1420"/>
      <w:bookmarkEnd w:id="14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2" w:name="_Toc23765"/>
      <w:bookmarkStart w:id="1423" w:name="_Toc16330033"/>
      <w:bookmarkStart w:id="1424" w:name="_Toc23906"/>
      <w:bookmarkStart w:id="1425" w:name="_Toc18207"/>
      <w:r>
        <w:rPr>
          <w:rFonts w:hint="eastAsia" w:ascii="黑体" w:hAnsi="黑体" w:eastAsia="黑体" w:cstheme="minorEastAsia"/>
          <w:b w:val="0"/>
          <w:sz w:val="28"/>
          <w:szCs w:val="28"/>
        </w:rPr>
        <w:t>16 附件</w:t>
      </w:r>
      <w:bookmarkEnd w:id="1422"/>
      <w:bookmarkEnd w:id="1423"/>
      <w:bookmarkEnd w:id="1424"/>
      <w:bookmarkEnd w:id="14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6" w:name="_Toc16330034"/>
      <w:bookmarkStart w:id="1427" w:name="_Toc17656"/>
      <w:bookmarkStart w:id="1428" w:name="_Toc27202"/>
      <w:bookmarkStart w:id="1429" w:name="_Toc31331"/>
      <w:r>
        <w:rPr>
          <w:rFonts w:hint="eastAsia" w:ascii="黑体" w:hAnsi="黑体" w:eastAsia="黑体" w:cstheme="minorEastAsia"/>
          <w:b w:val="0"/>
          <w:sz w:val="28"/>
          <w:szCs w:val="28"/>
        </w:rPr>
        <w:t>17 其他规定</w:t>
      </w:r>
      <w:bookmarkEnd w:id="1426"/>
      <w:bookmarkEnd w:id="1427"/>
      <w:bookmarkEnd w:id="1428"/>
      <w:bookmarkEnd w:id="142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30" w:name="_Toc16330035"/>
      <w:bookmarkStart w:id="1431" w:name="_Toc19077"/>
      <w:bookmarkStart w:id="1432" w:name="_Toc29136"/>
      <w:bookmarkStart w:id="1433"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30"/>
      <w:bookmarkEnd w:id="1431"/>
      <w:bookmarkEnd w:id="1432"/>
      <w:bookmarkEnd w:id="143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cstheme="minorEastAsia"/>
          <w:sz w:val="20"/>
          <w:szCs w:val="20"/>
        </w:rPr>
      </w:pPr>
      <w:bookmarkStart w:id="1434" w:name="_Toc24623"/>
      <w:bookmarkStart w:id="1435" w:name="_Toc3778"/>
      <w:bookmarkStart w:id="1436" w:name="_Toc5379"/>
      <w:bookmarkStart w:id="1437" w:name="_Toc25120"/>
      <w:bookmarkStart w:id="1438" w:name="_Toc16330037"/>
      <w:r>
        <w:rPr>
          <w:rFonts w:hint="eastAsia" w:asciiTheme="minorEastAsia" w:hAnsiTheme="minorEastAsia" w:cstheme="minorEastAsia"/>
          <w:sz w:val="20"/>
          <w:szCs w:val="20"/>
        </w:rPr>
        <w:br w:type="page"/>
      </w:r>
    </w:p>
    <w:p>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34"/>
      <w:bookmarkEnd w:id="1435"/>
      <w:bookmarkEnd w:id="1436"/>
      <w:bookmarkEnd w:id="1437"/>
      <w:bookmarkEnd w:id="1438"/>
      <w:r>
        <w:rPr>
          <w:rFonts w:hint="eastAsia" w:ascii="黑体" w:hAnsi="黑体" w:eastAsia="黑体" w:cstheme="minorEastAsia"/>
          <w:b w:val="0"/>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439" w:name="_Toc14341849"/>
    </w:p>
    <w:p>
      <w:pPr>
        <w:ind w:right="480"/>
        <w:jc w:val="center"/>
        <w:rPr>
          <w:sz w:val="24"/>
          <w:szCs w:val="24"/>
        </w:rPr>
      </w:pPr>
      <w:r>
        <w:rPr>
          <w:rFonts w:hint="eastAsia" w:ascii="楷体_GB2312" w:hAnsi="宋体" w:eastAsia="楷体_GB2312"/>
          <w:sz w:val="24"/>
        </w:rPr>
        <w:t xml:space="preserve">                                    </w:t>
      </w:r>
    </w:p>
    <w:bookmarkEnd w:id="1439"/>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spacing w:after="156"/>
        <w:rPr>
          <w:rFonts w:ascii="楷体" w:hAnsi="楷体" w:eastAsia="楷体" w:cs="楷体"/>
          <w:b/>
          <w:sz w:val="24"/>
          <w:szCs w:val="28"/>
        </w:rPr>
      </w:pPr>
    </w:p>
    <w:p>
      <w:pPr>
        <w:pStyle w:val="2"/>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spacing w:after="156"/>
        <w:rPr>
          <w:rFonts w:ascii="楷体" w:hAnsi="楷体" w:eastAsia="楷体" w:cs="楷体"/>
          <w:b/>
          <w:sz w:val="24"/>
          <w:szCs w:val="28"/>
        </w:rPr>
      </w:pPr>
    </w:p>
    <w:p>
      <w:pPr>
        <w:pStyle w:val="2"/>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hint="eastAsia"/>
        </w:rPr>
      </w:pPr>
    </w:p>
    <w:p>
      <w:pPr>
        <w:pStyle w:val="72"/>
        <w:rPr>
          <w:rFonts w:ascii="黑体" w:hAnsi="Calibri" w:eastAsia="黑体" w:cs="Times New Roman"/>
          <w:color w:val="000000"/>
          <w:sz w:val="24"/>
          <w:szCs w:val="24"/>
        </w:rPr>
      </w:pPr>
      <w:bookmarkStart w:id="1440" w:name="_Toc16500"/>
      <w:r>
        <w:rPr>
          <w:rFonts w:hint="eastAsia"/>
        </w:rPr>
        <w:t>第四部分　</w:t>
      </w:r>
      <w:bookmarkEnd w:id="1359"/>
      <w:r>
        <w:rPr>
          <w:rFonts w:hint="eastAsia"/>
          <w:lang w:val="en-US" w:eastAsia="zh-CN"/>
        </w:rPr>
        <w:t>投标文件附件</w:t>
      </w:r>
      <w:bookmarkEnd w:id="1440"/>
    </w:p>
    <w:p>
      <w:pPr>
        <w:jc w:val="both"/>
        <w:rPr>
          <w:rFonts w:ascii="宋体"/>
          <w:b/>
          <w:color w:val="000000"/>
          <w:szCs w:val="24"/>
        </w:rPr>
      </w:pPr>
    </w:p>
    <w:p>
      <w:pPr>
        <w:pStyle w:val="15"/>
      </w:pPr>
    </w:p>
    <w:p>
      <w:pPr>
        <w:pStyle w:val="73"/>
        <w:numPr>
          <w:ilvl w:val="0"/>
          <w:numId w:val="0"/>
        </w:numPr>
        <w:ind w:leftChars="0"/>
        <w:outlineLvl w:val="1"/>
        <w:rPr>
          <w:rFonts w:hint="default" w:ascii="宋体" w:hAnsi="宋体" w:eastAsia="宋体" w:cs="宋体"/>
          <w:sz w:val="32"/>
          <w:szCs w:val="32"/>
          <w:highlight w:val="yellow"/>
          <w:lang w:val="en-US" w:eastAsia="zh-CN"/>
        </w:rPr>
      </w:pPr>
      <w:bookmarkStart w:id="1441" w:name="_Toc47976618"/>
      <w:bookmarkStart w:id="1442" w:name="_Toc29366865"/>
      <w:bookmarkStart w:id="1443" w:name="_Toc29366869"/>
      <w:r>
        <w:rPr>
          <w:rFonts w:hint="eastAsia" w:ascii="宋体" w:hAnsi="宋体" w:eastAsia="宋体" w:cs="宋体"/>
          <w:sz w:val="32"/>
          <w:szCs w:val="32"/>
          <w:highlight w:val="none"/>
          <w:lang w:val="en-US" w:eastAsia="zh-CN"/>
        </w:rPr>
        <w:t>附件1 法定代表人授权委托书</w:t>
      </w:r>
    </w:p>
    <w:bookmarkEnd w:id="1441"/>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w:t>
      </w:r>
      <w:r>
        <w:rPr>
          <w:rFonts w:hint="eastAsia" w:ascii="宋体" w:hAnsi="宋体" w:eastAsia="宋体" w:cs="Times New Roman"/>
          <w:color w:val="000000"/>
          <w:sz w:val="24"/>
          <w:szCs w:val="24"/>
          <w:highlight w:val="none"/>
        </w:rPr>
        <w:t>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车桥公司前桥车轮螺栓压装单元改造项目  </w:t>
      </w:r>
      <w:r>
        <w:rPr>
          <w:rFonts w:hint="eastAsia" w:ascii="宋体" w:hAnsi="宋体" w:eastAsia="宋体" w:cs="Times New Roman"/>
          <w:color w:val="000000"/>
          <w:sz w:val="24"/>
          <w:szCs w:val="24"/>
          <w:highlight w:val="none"/>
        </w:rPr>
        <w:t>现授权委托＿＿＿＿＿＿＿＿＿＿＿＿＿＿＿＿＿＿＿＿＿＿＿＿＿＿＿＿（单位名称）的＿＿＿＿＿＿</w:t>
      </w:r>
      <w:r>
        <w:rPr>
          <w:rFonts w:hint="eastAsia" w:ascii="宋体" w:hAnsi="宋体" w:eastAsia="宋体" w:cs="Times New Roman"/>
          <w:color w:val="000000"/>
          <w:sz w:val="24"/>
          <w:szCs w:val="24"/>
        </w:rPr>
        <w:t>＿＿（姓名、职务）为我公司全权代表，全权代表在投标文件、评标过程中的书面承诺、合同等所签署的一切文件和处理与之有关的一切事务，我均予以承认。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5"/>
        <w:rPr>
          <w:rFonts w:ascii="Calibri" w:hAnsi="Calibri" w:eastAsia="黑体" w:cs="Times New Roman"/>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pStyle w:val="73"/>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highlight w:val="none"/>
        </w:rPr>
      </w:pPr>
    </w:p>
    <w:p>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车桥公司前桥车轮螺栓压装单元改造项目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442"/>
    <w:bookmarkEnd w:id="1443"/>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highlight w:val="none"/>
        </w:rPr>
        <w:t>：</w:t>
      </w:r>
      <w:r>
        <w:rPr>
          <w:rFonts w:hint="eastAsia" w:cs="Times New Roman"/>
          <w:sz w:val="24"/>
          <w:szCs w:val="24"/>
          <w:highlight w:val="none"/>
          <w:u w:val="single"/>
          <w:lang w:val="en-US" w:eastAsia="zh-CN"/>
        </w:rPr>
        <w:t>车桥公司前桥车轮螺栓压装单元改造项目</w:t>
      </w: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bl>
    <w:p>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402"/>
        <w:gridCol w:w="543"/>
        <w:gridCol w:w="2308"/>
        <w:gridCol w:w="660"/>
        <w:gridCol w:w="1589"/>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0" w:type="auto"/>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center"/>
              <w:rPr>
                <w:rFonts w:hint="eastAsia" w:ascii="Times New Roman" w:hAnsi="Times New Roman" w:eastAsia="宋体" w:cs="Times New Roman"/>
                <w:b/>
                <w:szCs w:val="20"/>
                <w:lang w:eastAsia="zh-CN"/>
              </w:rPr>
            </w:pPr>
            <w:r>
              <w:rPr>
                <w:rFonts w:hint="eastAsia" w:cs="Times New Roman"/>
                <w:b/>
                <w:szCs w:val="20"/>
                <w:lang w:eastAsia="zh-CN"/>
              </w:rPr>
              <w:t>车桥公司前桥车轮螺栓压装单元改造项目</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5"/>
        <w:rPr>
          <w:rFonts w:hint="eastAsia" w:hAnsi="宋体" w:eastAsia="宋体" w:cs="Times New Roman"/>
          <w:b/>
          <w:bCs/>
          <w:szCs w:val="21"/>
          <w:highlight w:val="yellow"/>
        </w:rPr>
      </w:pPr>
    </w:p>
    <w:p>
      <w:pPr>
        <w:pStyle w:val="15"/>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pStyle w:val="77"/>
        <w:bidi w:val="0"/>
      </w:pPr>
    </w:p>
    <w:p>
      <w:pPr>
        <w:rPr>
          <w:rFonts w:hint="eastAsia" w:ascii="宋体" w:hAnsi="宋体" w:eastAsia="宋体" w:cs="宋体"/>
          <w:sz w:val="32"/>
          <w:szCs w:val="32"/>
          <w:highlight w:val="none"/>
          <w:lang w:val="en-US" w:eastAsia="zh-CN"/>
        </w:rPr>
      </w:pPr>
      <w:bookmarkStart w:id="1444" w:name="_Toc47976616"/>
      <w:bookmarkStart w:id="1445" w:name="_Toc4225"/>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444"/>
      <w:bookmarkEnd w:id="1445"/>
      <w:r>
        <w:rPr>
          <w:rFonts w:hint="eastAsia" w:ascii="宋体" w:hAnsi="宋体" w:eastAsia="宋体" w:cs="宋体"/>
          <w:sz w:val="32"/>
          <w:szCs w:val="32"/>
          <w:highlight w:val="none"/>
          <w:lang w:val="en-US" w:eastAsia="zh-CN"/>
        </w:rPr>
        <w:t>5 投标函</w:t>
      </w:r>
    </w:p>
    <w:p>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重汽（济南）车桥有限公司</w:t>
      </w:r>
      <w:r>
        <w:rPr>
          <w:rFonts w:hint="eastAsia" w:ascii="宋体" w:hAnsi="宋体" w:eastAsia="宋体" w:cs="Times New Roman"/>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车桥公司前桥车轮螺栓压装单元改造项目</w:t>
      </w:r>
      <w:r>
        <w:rPr>
          <w:rFonts w:hint="eastAsia" w:ascii="宋体" w:hAnsi="宋体" w:eastAsia="宋体" w:cs="Times New Roman"/>
          <w:bCs/>
          <w:snapToGrid w:val="0"/>
          <w:color w:val="000000"/>
          <w:kern w:val="0"/>
          <w:sz w:val="24"/>
          <w:szCs w:val="24"/>
          <w:highlight w:val="none"/>
        </w:rPr>
        <w:t>招标</w:t>
      </w:r>
      <w:r>
        <w:rPr>
          <w:rFonts w:hint="eastAsia" w:ascii="宋体" w:hAnsi="宋体" w:eastAsia="宋体" w:cs="Times New Roman"/>
          <w:bCs/>
          <w:snapToGrid w:val="0"/>
          <w:color w:val="000000"/>
          <w:kern w:val="0"/>
          <w:sz w:val="24"/>
          <w:szCs w:val="24"/>
        </w:rPr>
        <w:t>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default" w:ascii="Times New Roman" w:hAnsi="Times New Roman" w:eastAsia="宋体" w:cs="Times New Roman"/>
          <w:color w:val="000000"/>
          <w:sz w:val="24"/>
          <w:szCs w:val="24"/>
        </w:rPr>
        <w:t>一份</w:t>
      </w:r>
      <w:r>
        <w:rPr>
          <w:rFonts w:hint="eastAsia" w:ascii="宋体" w:hAnsi="宋体" w:eastAsia="宋体" w:cs="Times New Roman"/>
          <w:color w:val="000000"/>
          <w:sz w:val="24"/>
          <w:szCs w:val="24"/>
        </w:rPr>
        <w:t>：资质证明文件、商务文件和技术文件。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7"/>
        <w:bidi w:val="0"/>
      </w:pPr>
    </w:p>
    <w:p>
      <w:pPr>
        <w:pStyle w:val="77"/>
        <w:bidi w:val="0"/>
      </w:pPr>
    </w:p>
    <w:p>
      <w:pPr>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pPr>
        <w:spacing w:line="240" w:lineRule="exact"/>
        <w:jc w:val="both"/>
        <w:rPr>
          <w:rFonts w:hint="default" w:ascii="Times New Roman" w:hAnsi="Times New Roman" w:eastAsia="宋体" w:cs="Times New Roman"/>
          <w:b/>
          <w:bCs/>
          <w:sz w:val="36"/>
          <w:szCs w:val="20"/>
        </w:rPr>
      </w:pPr>
    </w:p>
    <w:p>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车桥公司前桥车轮螺栓压装单元改造项目</w:t>
      </w:r>
    </w:p>
    <w:p>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重汽（济南）车桥有限公司</w:t>
      </w:r>
      <w:r>
        <w:rPr>
          <w:rFonts w:hint="default" w:ascii="Times New Roman" w:hAnsi="Times New Roman" w:eastAsia="宋体" w:cs="Times New Roman"/>
          <w:b/>
          <w:bCs/>
          <w:sz w:val="24"/>
          <w:szCs w:val="20"/>
        </w:rPr>
        <w:t>：</w:t>
      </w:r>
    </w:p>
    <w:p>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highlight w:val="none"/>
                <w:lang w:val="en-US"/>
              </w:rPr>
            </w:pPr>
            <w:r>
              <w:rPr>
                <w:rFonts w:hint="eastAsia" w:ascii="宋体" w:hAnsi="宋体" w:cs="宋体"/>
                <w:b/>
                <w:bCs/>
                <w:i w:val="0"/>
                <w:iCs w:val="0"/>
                <w:sz w:val="24"/>
                <w:szCs w:val="24"/>
                <w:highlight w:val="none"/>
                <w:u w:val="none"/>
                <w:lang w:val="en-US" w:eastAsia="zh-CN"/>
              </w:rPr>
              <w:t>车桥公司前桥车轮螺栓压装单元改造项目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2"/>
        <w:rPr>
          <w:rFonts w:hint="eastAsia" w:ascii="宋体" w:hAnsi="宋体" w:eastAsia="宋体" w:cs="宋体"/>
          <w:sz w:val="32"/>
          <w:szCs w:val="32"/>
          <w:highlight w:val="none"/>
          <w:lang w:val="en-US" w:eastAsia="zh-CN"/>
        </w:rPr>
      </w:pPr>
    </w:p>
    <w:p>
      <w:pPr>
        <w:pStyle w:val="2"/>
        <w:rPr>
          <w:rFonts w:hint="eastAsia" w:ascii="宋体" w:hAnsi="宋体" w:eastAsia="宋体" w:cs="宋体"/>
          <w:sz w:val="32"/>
          <w:szCs w:val="32"/>
          <w:highlight w:val="none"/>
          <w:lang w:val="en-US" w:eastAsia="zh-CN"/>
        </w:rPr>
      </w:pPr>
    </w:p>
    <w:p>
      <w:pPr>
        <w:pStyle w:val="2"/>
        <w:rPr>
          <w:rFonts w:hint="eastAsia" w:ascii="宋体" w:hAnsi="宋体" w:eastAsia="宋体" w:cs="宋体"/>
          <w:sz w:val="32"/>
          <w:szCs w:val="32"/>
          <w:highlight w:val="none"/>
          <w:lang w:val="en-US" w:eastAsia="zh-CN"/>
        </w:rPr>
      </w:pPr>
    </w:p>
    <w:p>
      <w:pPr>
        <w:pStyle w:val="2"/>
        <w:rPr>
          <w:rFonts w:hint="eastAsia" w:ascii="宋体" w:hAnsi="宋体" w:eastAsia="宋体" w:cs="宋体"/>
          <w:sz w:val="32"/>
          <w:szCs w:val="32"/>
          <w:highlight w:val="none"/>
          <w:lang w:val="en-US" w:eastAsia="zh-CN"/>
        </w:rPr>
      </w:pPr>
    </w:p>
    <w:p>
      <w:pPr>
        <w:pStyle w:val="2"/>
      </w:pPr>
      <w:r>
        <w:rPr>
          <w:rFonts w:hint="eastAsia" w:ascii="宋体" w:hAnsi="宋体" w:eastAsia="宋体" w:cs="宋体"/>
          <w:sz w:val="32"/>
          <w:szCs w:val="32"/>
          <w:highlight w:val="none"/>
          <w:lang w:val="en-US" w:eastAsia="zh-CN"/>
        </w:rPr>
        <w:t>附件8 分项报价表</w:t>
      </w:r>
    </w:p>
    <w:tbl>
      <w:tblPr>
        <w:tblStyle w:val="31"/>
        <w:tblpPr w:leftFromText="180" w:rightFromText="180" w:vertAnchor="text" w:horzAnchor="page" w:tblpX="723" w:tblpY="764"/>
        <w:tblOverlap w:val="never"/>
        <w:tblW w:w="103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9"/>
        <w:gridCol w:w="2000"/>
        <w:gridCol w:w="1525"/>
        <w:gridCol w:w="1412"/>
        <w:gridCol w:w="1663"/>
        <w:gridCol w:w="1337"/>
        <w:gridCol w:w="950"/>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内容</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规格型号</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单价/元</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总价/元</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44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bl>
    <w:p>
      <w:pPr>
        <w:rPr>
          <w:rFonts w:hint="default" w:hAnsi="宋体"/>
          <w:sz w:val="24"/>
          <w:lang w:val="en-US"/>
        </w:rPr>
      </w:pPr>
      <w:r>
        <w:rPr>
          <w:rFonts w:hint="default" w:hAnsi="宋体"/>
          <w:sz w:val="24"/>
          <w:lang w:val="en-US"/>
        </w:rPr>
        <w:br w:type="page"/>
      </w:r>
    </w:p>
    <w:p>
      <w:pPr>
        <w:pStyle w:val="2"/>
        <w:rPr>
          <w:rFonts w:hint="default"/>
          <w:lang w:val="en-US"/>
        </w:r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5"/>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13335" b="165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2"/>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3"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4"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5"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6" cstate="print"/>
                    <a:srcRect/>
                    <a:stretch>
                      <a:fillRect/>
                    </a:stretch>
                  </pic:blipFill>
                  <pic:spPr>
                    <a:xfrm>
                      <a:off x="0" y="0"/>
                      <a:ext cx="5760085" cy="2853055"/>
                    </a:xfrm>
                    <a:prstGeom prst="rect">
                      <a:avLst/>
                    </a:prstGeom>
                  </pic:spPr>
                </pic:pic>
              </a:graphicData>
            </a:graphic>
          </wp:inline>
        </w:drawing>
      </w:r>
    </w:p>
    <w:p>
      <w:pPr>
        <w:numPr>
          <w:ilvl w:val="0"/>
          <w:numId w:val="3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7"/>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8"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3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3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pPr>
        <w:numPr>
          <w:ilvl w:val="0"/>
          <w:numId w:val="3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3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9"/>
                    <a:stretch>
                      <a:fillRect/>
                    </a:stretch>
                  </pic:blipFill>
                  <pic:spPr>
                    <a:xfrm>
                      <a:off x="0" y="0"/>
                      <a:ext cx="5486400" cy="2661285"/>
                    </a:xfrm>
                    <a:prstGeom prst="rect">
                      <a:avLst/>
                    </a:prstGeom>
                    <a:noFill/>
                    <a:ln>
                      <a:noFill/>
                    </a:ln>
                  </pic:spPr>
                </pic:pic>
              </a:graphicData>
            </a:graphic>
          </wp:inline>
        </w:drawing>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SRM系统供应商用户手册</w:t>
      </w:r>
    </w:p>
    <w:p>
      <w:pPr>
        <w:snapToGrid/>
        <w:spacing w:before="0" w:after="0" w:line="360" w:lineRule="auto"/>
        <w:ind w:left="0" w:right="0" w:firstLine="0"/>
        <w:jc w:val="both"/>
        <w:rPr>
          <w:rStyle w:val="38"/>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pStyle w:val="2"/>
        <w:rPr>
          <w:rFonts w:hint="eastAsia"/>
        </w:rPr>
      </w:pPr>
      <w:r>
        <w:rPr>
          <w:rFonts w:hint="eastAsia"/>
          <w:sz w:val="24"/>
          <w:highlight w:val="none"/>
        </w:rPr>
        <w:t>初始密码为scm@2022或@2023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rPr>
          <w:rFonts w:hint="default" w:hAnsi="宋体"/>
          <w:sz w:val="24"/>
          <w:lang w:val="en-US"/>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sectPr>
      <w:headerReference r:id="rId19" w:type="first"/>
      <w:footerReference r:id="rId21" w:type="first"/>
      <w:footerReference r:id="rId2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5">
    <w:nsid w:val="C6C94E46"/>
    <w:multiLevelType w:val="multilevel"/>
    <w:tmpl w:val="C6C94E46"/>
    <w:lvl w:ilvl="0" w:tentative="0">
      <w:start w:val="1"/>
      <w:numFmt w:val="decimal"/>
      <w:lvlText w:val="%1."/>
      <w:lvlJc w:val="left"/>
      <w:pPr>
        <w:ind w:left="425" w:hanging="425"/>
      </w:pPr>
      <w:rPr>
        <w:rFonts w:hint="default"/>
      </w:rPr>
    </w:lvl>
    <w:lvl w:ilvl="1" w:tentative="0">
      <w:start w:val="1"/>
      <w:numFmt w:val="decimal"/>
      <w:suff w:val="nothing"/>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F54BF83F"/>
    <w:multiLevelType w:val="singleLevel"/>
    <w:tmpl w:val="F54BF83F"/>
    <w:lvl w:ilvl="0" w:tentative="0">
      <w:start w:val="1"/>
      <w:numFmt w:val="decimal"/>
      <w:suff w:val="space"/>
      <w:lvlText w:val="%1."/>
      <w:lvlJc w:val="left"/>
      <w:pPr>
        <w:ind w:left="0" w:firstLine="0"/>
      </w:p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4AF0723E"/>
    <w:multiLevelType w:val="singleLevel"/>
    <w:tmpl w:val="4AF0723E"/>
    <w:lvl w:ilvl="0" w:tentative="0">
      <w:start w:val="2"/>
      <w:numFmt w:val="chineseCounting"/>
      <w:suff w:val="nothing"/>
      <w:lvlText w:val="%1、"/>
      <w:lvlJc w:val="left"/>
      <w:rPr>
        <w:rFonts w:hint="eastAsia"/>
      </w:rPr>
    </w:lvl>
  </w:abstractNum>
  <w:abstractNum w:abstractNumId="22">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7">
    <w:nsid w:val="5A6836EF"/>
    <w:multiLevelType w:val="singleLevel"/>
    <w:tmpl w:val="5A6836EF"/>
    <w:lvl w:ilvl="0" w:tentative="0">
      <w:start w:val="1"/>
      <w:numFmt w:val="decimal"/>
      <w:suff w:val="nothing"/>
      <w:lvlText w:val="%1."/>
      <w:lvlJc w:val="left"/>
      <w:pPr>
        <w:ind w:left="0" w:firstLine="0"/>
      </w:pPr>
    </w:lvl>
  </w:abstractNum>
  <w:abstractNum w:abstractNumId="28">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9">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2"/>
  </w:num>
  <w:num w:numId="2">
    <w:abstractNumId w:val="30"/>
  </w:num>
  <w:num w:numId="3">
    <w:abstractNumId w:val="25"/>
  </w:num>
  <w:num w:numId="4">
    <w:abstractNumId w:val="23"/>
  </w:num>
  <w:num w:numId="5">
    <w:abstractNumId w:val="12"/>
  </w:num>
  <w:num w:numId="6">
    <w:abstractNumId w:val="17"/>
  </w:num>
  <w:num w:numId="7">
    <w:abstractNumId w:val="19"/>
  </w:num>
  <w:num w:numId="8">
    <w:abstractNumId w:val="24"/>
  </w:num>
  <w:num w:numId="9">
    <w:abstractNumId w:val="26"/>
  </w:num>
  <w:num w:numId="10">
    <w:abstractNumId w:val="16"/>
  </w:num>
  <w:num w:numId="11">
    <w:abstractNumId w:val="4"/>
  </w:num>
  <w:num w:numId="12">
    <w:abstractNumId w:val="14"/>
  </w:num>
  <w:num w:numId="13">
    <w:abstractNumId w:val="31"/>
  </w:num>
  <w:num w:numId="14">
    <w:abstractNumId w:val="0"/>
  </w:num>
  <w:num w:numId="15">
    <w:abstractNumId w:val="6"/>
  </w:num>
  <w:num w:numId="16">
    <w:abstractNumId w:val="7"/>
  </w:num>
  <w:num w:numId="17">
    <w:abstractNumId w:val="3"/>
  </w:num>
  <w:num w:numId="18">
    <w:abstractNumId w:val="13"/>
  </w:num>
  <w:num w:numId="19">
    <w:abstractNumId w:val="18"/>
  </w:num>
  <w:num w:numId="20">
    <w:abstractNumId w:val="2"/>
  </w:num>
  <w:num w:numId="21">
    <w:abstractNumId w:val="29"/>
  </w:num>
  <w:num w:numId="22">
    <w:abstractNumId w:val="8"/>
  </w:num>
  <w:num w:numId="23">
    <w:abstractNumId w:val="28"/>
  </w:num>
  <w:num w:numId="24">
    <w:abstractNumId w:val="9"/>
  </w:num>
  <w:num w:numId="25">
    <w:abstractNumId w:val="1"/>
  </w:num>
  <w:num w:numId="26">
    <w:abstractNumId w:val="20"/>
  </w:num>
  <w:num w:numId="27">
    <w:abstractNumId w:val="27"/>
  </w:num>
  <w:num w:numId="28">
    <w:abstractNumId w:val="5"/>
  </w:num>
  <w:num w:numId="29">
    <w:abstractNumId w:val="15"/>
  </w:num>
  <w:num w:numId="30">
    <w:abstractNumId w:val="11"/>
  </w:num>
  <w:num w:numId="31">
    <w:abstractNumId w:val="1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F1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B40D3"/>
    <w:rsid w:val="01563B79"/>
    <w:rsid w:val="02173A21"/>
    <w:rsid w:val="02CC3DCA"/>
    <w:rsid w:val="02FE76EF"/>
    <w:rsid w:val="034E1239"/>
    <w:rsid w:val="03F033B0"/>
    <w:rsid w:val="05612989"/>
    <w:rsid w:val="057C1D39"/>
    <w:rsid w:val="05891259"/>
    <w:rsid w:val="05D554DB"/>
    <w:rsid w:val="0654565B"/>
    <w:rsid w:val="07253DF6"/>
    <w:rsid w:val="07613623"/>
    <w:rsid w:val="07C1191B"/>
    <w:rsid w:val="08633479"/>
    <w:rsid w:val="09630A6C"/>
    <w:rsid w:val="0A63147A"/>
    <w:rsid w:val="0ADB2EF0"/>
    <w:rsid w:val="0ADD4CBE"/>
    <w:rsid w:val="0B415BB4"/>
    <w:rsid w:val="0C83309C"/>
    <w:rsid w:val="0CB51572"/>
    <w:rsid w:val="0D01045C"/>
    <w:rsid w:val="0DA915A6"/>
    <w:rsid w:val="0DE73E36"/>
    <w:rsid w:val="0E4D31E3"/>
    <w:rsid w:val="0E530E38"/>
    <w:rsid w:val="10DC2AA3"/>
    <w:rsid w:val="10FA7C8C"/>
    <w:rsid w:val="12174CE2"/>
    <w:rsid w:val="121D1E44"/>
    <w:rsid w:val="12F64B6E"/>
    <w:rsid w:val="130B198F"/>
    <w:rsid w:val="13653566"/>
    <w:rsid w:val="13FA68E0"/>
    <w:rsid w:val="15BB1367"/>
    <w:rsid w:val="168618F8"/>
    <w:rsid w:val="16A918E4"/>
    <w:rsid w:val="17D966D6"/>
    <w:rsid w:val="18146E94"/>
    <w:rsid w:val="18945E62"/>
    <w:rsid w:val="19517BDA"/>
    <w:rsid w:val="19581095"/>
    <w:rsid w:val="19AE68D1"/>
    <w:rsid w:val="19E33213"/>
    <w:rsid w:val="1A463A67"/>
    <w:rsid w:val="1B481CDF"/>
    <w:rsid w:val="1BA3160C"/>
    <w:rsid w:val="1BC71D3B"/>
    <w:rsid w:val="1C59115B"/>
    <w:rsid w:val="1D495EC4"/>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4AB04CD"/>
    <w:rsid w:val="25113A8A"/>
    <w:rsid w:val="25EC6AF8"/>
    <w:rsid w:val="268B0052"/>
    <w:rsid w:val="26CF6817"/>
    <w:rsid w:val="272A6A1B"/>
    <w:rsid w:val="27743C90"/>
    <w:rsid w:val="27B358EA"/>
    <w:rsid w:val="283931F7"/>
    <w:rsid w:val="284A307C"/>
    <w:rsid w:val="28B55739"/>
    <w:rsid w:val="28CE6296"/>
    <w:rsid w:val="295C4F0B"/>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7E71B4"/>
    <w:rsid w:val="35D271A0"/>
    <w:rsid w:val="36254FE4"/>
    <w:rsid w:val="36AA39B8"/>
    <w:rsid w:val="372F61E0"/>
    <w:rsid w:val="39322FCA"/>
    <w:rsid w:val="3A503E1E"/>
    <w:rsid w:val="3AB90991"/>
    <w:rsid w:val="3B706131"/>
    <w:rsid w:val="3BF833EC"/>
    <w:rsid w:val="3C8E02FC"/>
    <w:rsid w:val="3D3346FD"/>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4744838"/>
    <w:rsid w:val="45354CBC"/>
    <w:rsid w:val="45746921"/>
    <w:rsid w:val="45BD47FC"/>
    <w:rsid w:val="45CC5FB2"/>
    <w:rsid w:val="46B75BA8"/>
    <w:rsid w:val="46E91D19"/>
    <w:rsid w:val="476E5648"/>
    <w:rsid w:val="47DE0683"/>
    <w:rsid w:val="48C97955"/>
    <w:rsid w:val="48D805C0"/>
    <w:rsid w:val="492E2C7C"/>
    <w:rsid w:val="49880C8F"/>
    <w:rsid w:val="4A1A43A3"/>
    <w:rsid w:val="4A2007F8"/>
    <w:rsid w:val="4A8835F7"/>
    <w:rsid w:val="4AB619BA"/>
    <w:rsid w:val="4B592E71"/>
    <w:rsid w:val="4BFA7044"/>
    <w:rsid w:val="4D595294"/>
    <w:rsid w:val="4DF75369"/>
    <w:rsid w:val="4E9E572E"/>
    <w:rsid w:val="4EA23B01"/>
    <w:rsid w:val="4EB0217D"/>
    <w:rsid w:val="4F8B220C"/>
    <w:rsid w:val="504F4EAF"/>
    <w:rsid w:val="516C4BAA"/>
    <w:rsid w:val="51D51447"/>
    <w:rsid w:val="52B9239A"/>
    <w:rsid w:val="52D52A7F"/>
    <w:rsid w:val="530023B1"/>
    <w:rsid w:val="54287EA1"/>
    <w:rsid w:val="54BD78FD"/>
    <w:rsid w:val="54C512BB"/>
    <w:rsid w:val="552A3C28"/>
    <w:rsid w:val="555A2DA3"/>
    <w:rsid w:val="555B06B0"/>
    <w:rsid w:val="55F244FB"/>
    <w:rsid w:val="56901A99"/>
    <w:rsid w:val="571B2939"/>
    <w:rsid w:val="581925FA"/>
    <w:rsid w:val="58A86DDE"/>
    <w:rsid w:val="59154AD7"/>
    <w:rsid w:val="5A542AB4"/>
    <w:rsid w:val="5ADF548D"/>
    <w:rsid w:val="5BF95104"/>
    <w:rsid w:val="5C4627AE"/>
    <w:rsid w:val="5C9249CA"/>
    <w:rsid w:val="5D5C60B4"/>
    <w:rsid w:val="5DA23E51"/>
    <w:rsid w:val="5E5B22B9"/>
    <w:rsid w:val="5EB41BD3"/>
    <w:rsid w:val="5F9B694B"/>
    <w:rsid w:val="60027C70"/>
    <w:rsid w:val="60367925"/>
    <w:rsid w:val="60651FB9"/>
    <w:rsid w:val="614E12EC"/>
    <w:rsid w:val="616D6769"/>
    <w:rsid w:val="61996E40"/>
    <w:rsid w:val="62BD60DC"/>
    <w:rsid w:val="63F04A69"/>
    <w:rsid w:val="646A3D0C"/>
    <w:rsid w:val="64A82747"/>
    <w:rsid w:val="65336B29"/>
    <w:rsid w:val="66526AE4"/>
    <w:rsid w:val="66A50B1E"/>
    <w:rsid w:val="67095CF1"/>
    <w:rsid w:val="674074C0"/>
    <w:rsid w:val="674E3DF4"/>
    <w:rsid w:val="67B2063C"/>
    <w:rsid w:val="67C97AC3"/>
    <w:rsid w:val="67D5595A"/>
    <w:rsid w:val="67DD0DA5"/>
    <w:rsid w:val="67E30EC1"/>
    <w:rsid w:val="67FB3202"/>
    <w:rsid w:val="690861D7"/>
    <w:rsid w:val="695D046C"/>
    <w:rsid w:val="6A4E3B2B"/>
    <w:rsid w:val="6AC838A9"/>
    <w:rsid w:val="6AED682D"/>
    <w:rsid w:val="6B481C3B"/>
    <w:rsid w:val="6B875383"/>
    <w:rsid w:val="6C1331A3"/>
    <w:rsid w:val="6C765676"/>
    <w:rsid w:val="6CA84BC1"/>
    <w:rsid w:val="6CF4744B"/>
    <w:rsid w:val="6D170ADE"/>
    <w:rsid w:val="6D3E4756"/>
    <w:rsid w:val="6E335CDC"/>
    <w:rsid w:val="6F12155D"/>
    <w:rsid w:val="6FC523EB"/>
    <w:rsid w:val="6FE22646"/>
    <w:rsid w:val="70825D63"/>
    <w:rsid w:val="70857728"/>
    <w:rsid w:val="71FE41EB"/>
    <w:rsid w:val="72895F2E"/>
    <w:rsid w:val="72C02EBE"/>
    <w:rsid w:val="72C507AD"/>
    <w:rsid w:val="72D028D8"/>
    <w:rsid w:val="73234831"/>
    <w:rsid w:val="745D47C3"/>
    <w:rsid w:val="75341FA7"/>
    <w:rsid w:val="755404B8"/>
    <w:rsid w:val="764F7753"/>
    <w:rsid w:val="76683BFA"/>
    <w:rsid w:val="767F1DA7"/>
    <w:rsid w:val="76AC3757"/>
    <w:rsid w:val="7714326D"/>
    <w:rsid w:val="77D4005C"/>
    <w:rsid w:val="78292927"/>
    <w:rsid w:val="78D35C78"/>
    <w:rsid w:val="78D62583"/>
    <w:rsid w:val="78F33EC6"/>
    <w:rsid w:val="78F37D6B"/>
    <w:rsid w:val="7A6B48EE"/>
    <w:rsid w:val="7A8E4ACC"/>
    <w:rsid w:val="7B8A3D70"/>
    <w:rsid w:val="7C6021A7"/>
    <w:rsid w:val="7CAB4D9F"/>
    <w:rsid w:val="7CB93F8E"/>
    <w:rsid w:val="7CED7FF7"/>
    <w:rsid w:val="7CF66B46"/>
    <w:rsid w:val="7D185B2A"/>
    <w:rsid w:val="7D4A0A5C"/>
    <w:rsid w:val="7D592847"/>
    <w:rsid w:val="7D97125D"/>
    <w:rsid w:val="7DB618B0"/>
    <w:rsid w:val="7DBD28BA"/>
    <w:rsid w:val="7E736B66"/>
    <w:rsid w:val="7EE64005"/>
    <w:rsid w:val="7EEE33A0"/>
    <w:rsid w:val="7FBE1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styleId="3">
    <w:name w:val="Body Text Indent"/>
    <w:basedOn w:val="1"/>
    <w:link w:val="50"/>
    <w:semiHidden/>
    <w:qFormat/>
    <w:uiPriority w:val="0"/>
    <w:pPr>
      <w:spacing w:after="120"/>
      <w:ind w:left="420" w:leftChars="200"/>
    </w:pPr>
    <w:rPr>
      <w:rFonts w:ascii="Calibri" w:hAnsi="Calibri"/>
      <w:szCs w:val="2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Normal Indent"/>
    <w:basedOn w:val="1"/>
    <w:next w:val="1"/>
    <w:unhideWhenUsed/>
    <w:qFormat/>
    <w:uiPriority w:val="99"/>
    <w:pPr>
      <w:tabs>
        <w:tab w:val="left" w:pos="1620"/>
      </w:tabs>
      <w:autoSpaceDE w:val="0"/>
      <w:autoSpaceDN w:val="0"/>
      <w:adjustRightInd w:val="0"/>
      <w:snapToGrid w:val="0"/>
      <w:spacing w:line="360" w:lineRule="auto"/>
      <w:ind w:firstLine="920" w:firstLineChars="200"/>
    </w:pPr>
    <w:rPr>
      <w:rFonts w:ascii="宋体" w:hAnsi="宋体" w:cs="宋体"/>
      <w:lang w:val="zh-CN"/>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7"/>
    <w:qFormat/>
    <w:uiPriority w:val="99"/>
    <w:pPr>
      <w:jc w:val="left"/>
    </w:p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5"/>
    <w:semiHidden/>
    <w:qFormat/>
    <w:uiPriority w:val="98"/>
    <w:rPr>
      <w:b/>
      <w:bCs/>
    </w:rPr>
  </w:style>
  <w:style w:type="paragraph" w:styleId="30">
    <w:name w:val="Body Text First Indent 2"/>
    <w:basedOn w:val="3"/>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3"/>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5"/>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2"/>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6"/>
    <w:qFormat/>
    <w:uiPriority w:val="0"/>
    <w:rPr>
      <w:b/>
      <w:sz w:val="32"/>
    </w:rPr>
  </w:style>
  <w:style w:type="paragraph" w:customStyle="1" w:styleId="113">
    <w:name w:val="Table Paragraph"/>
    <w:basedOn w:val="1"/>
    <w:qFormat/>
    <w:uiPriority w:val="1"/>
    <w:rPr>
      <w:rFonts w:ascii="宋体" w:hAnsi="宋体" w:eastAsia="宋体" w:cs="宋体"/>
    </w:rPr>
  </w:style>
  <w:style w:type="table" w:customStyle="1" w:styleId="114">
    <w:name w:val="Table Normal"/>
    <w:qFormat/>
    <w:uiPriority w:val="0"/>
    <w:tblPr>
      <w:tblCellMar>
        <w:top w:w="0" w:type="dxa"/>
        <w:left w:w="0" w:type="dxa"/>
        <w:bottom w:w="0" w:type="dxa"/>
        <w:right w:w="0" w:type="dxa"/>
      </w:tblCellMar>
    </w:tblPr>
  </w:style>
  <w:style w:type="paragraph" w:customStyle="1" w:styleId="115">
    <w:name w:val="Fließtext"/>
    <w:basedOn w:val="1"/>
    <w:qFormat/>
    <w:uiPriority w:val="99"/>
    <w:pPr>
      <w:widowControl/>
      <w:ind w:left="1134"/>
      <w:jc w:val="left"/>
    </w:pPr>
    <w:rPr>
      <w:rFonts w:ascii="Arial" w:hAnsi="Arial"/>
      <w:kern w:val="0"/>
      <w:szCs w:val="20"/>
      <w:lang w:val="de-DE" w:eastAsia="de-DE"/>
    </w:rPr>
  </w:style>
  <w:style w:type="paragraph" w:customStyle="1" w:styleId="116">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71</Pages>
  <Words>7075</Words>
  <Characters>7342</Characters>
  <Lines>127</Lines>
  <Paragraphs>35</Paragraphs>
  <TotalTime>5</TotalTime>
  <ScaleCrop>false</ScaleCrop>
  <LinksUpToDate>false</LinksUpToDate>
  <CharactersWithSpaces>7407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LYB</cp:lastModifiedBy>
  <cp:lastPrinted>2020-06-28T02:28:00Z</cp:lastPrinted>
  <dcterms:modified xsi:type="dcterms:W3CDTF">2026-03-05T08:40:54Z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986CF6E9289443A29DA95F29057299E0_13</vt:lpwstr>
  </property>
  <property fmtid="{D5CDD505-2E9C-101B-9397-08002B2CF9AE}" pid="4" name="KSOTemplateDocerSaveRecord">
    <vt:lpwstr>eyJoZGlkIjoiNWEyMmViNmYwNWVmYTJkZDQ4N2IyNDVjOWRmZDUzYmQiLCJ1c2VySWQiOiIxMDEzMDg5NzU1In0=</vt:lpwstr>
  </property>
</Properties>
</file>