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Calibri" w:eastAsia="宋体" w:cs="Times New Roman"/>
          <w:color w:val="000000"/>
          <w:sz w:val="30"/>
          <w:szCs w:val="30"/>
        </w:rPr>
      </w:pPr>
      <w:bookmarkStart w:id="0" w:name="OLE_LINK31"/>
      <w:bookmarkStart w:id="1" w:name="OLE_LINK30"/>
    </w:p>
    <w:p>
      <w:pPr>
        <w:pStyle w:val="18"/>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济南卡车</w:t>
      </w:r>
      <w:r>
        <w:rPr>
          <w:rFonts w:hint="eastAsia" w:ascii="Calibri" w:hAnsi="宋体" w:eastAsia="宋体" w:cs="Times New Roman"/>
          <w:b/>
          <w:bCs/>
          <w:color w:val="000000"/>
          <w:spacing w:val="-8"/>
          <w:sz w:val="48"/>
          <w:szCs w:val="44"/>
          <w:lang w:val="en-US" w:eastAsia="zh-CN"/>
        </w:rPr>
        <w:t>制造</w:t>
      </w:r>
      <w:r>
        <w:rPr>
          <w:rFonts w:hint="eastAsia" w:ascii="Calibri" w:hAnsi="宋体" w:eastAsia="宋体" w:cs="Times New Roman"/>
          <w:b/>
          <w:bCs/>
          <w:color w:val="000000"/>
          <w:spacing w:val="-8"/>
          <w:sz w:val="48"/>
          <w:szCs w:val="44"/>
        </w:rPr>
        <w:t>公司</w:t>
      </w:r>
      <w:r>
        <w:rPr>
          <w:rFonts w:hint="eastAsia" w:ascii="Calibri" w:hAnsi="宋体" w:eastAsia="宋体" w:cs="Times New Roman"/>
          <w:b/>
          <w:bCs/>
          <w:color w:val="000000"/>
          <w:spacing w:val="-8"/>
          <w:sz w:val="48"/>
          <w:szCs w:val="44"/>
          <w:lang w:val="en-US" w:eastAsia="zh-CN"/>
        </w:rPr>
        <w:t>党家庄</w:t>
      </w:r>
      <w:r>
        <w:rPr>
          <w:rFonts w:hint="eastAsia" w:ascii="Calibri" w:hAnsi="宋体" w:eastAsia="宋体" w:cs="Times New Roman"/>
          <w:b/>
          <w:bCs/>
          <w:color w:val="000000"/>
          <w:spacing w:val="-8"/>
          <w:sz w:val="48"/>
          <w:szCs w:val="44"/>
        </w:rPr>
        <w:t>厂区</w:t>
      </w:r>
    </w:p>
    <w:p>
      <w:pPr>
        <w:pStyle w:val="18"/>
        <w:jc w:val="center"/>
      </w:pPr>
      <w:r>
        <w:rPr>
          <w:rFonts w:hint="eastAsia" w:ascii="Calibri" w:hAnsi="宋体" w:eastAsia="宋体" w:cs="Times New Roman"/>
          <w:b/>
          <w:bCs/>
          <w:color w:val="000000"/>
          <w:spacing w:val="-8"/>
          <w:sz w:val="48"/>
          <w:szCs w:val="44"/>
        </w:rPr>
        <w:t>总三车间总装北线加固改造技改项目</w:t>
      </w:r>
    </w:p>
    <w:p>
      <w:pPr>
        <w:pStyle w:val="18"/>
      </w:pPr>
    </w:p>
    <w:p>
      <w:pPr>
        <w:pStyle w:val="18"/>
      </w:pPr>
    </w:p>
    <w:p>
      <w:pPr>
        <w:jc w:val="right"/>
        <w:rPr>
          <w:rFonts w:ascii="Calibri" w:hAnsi="Calibri" w:eastAsia="宋体" w:cs="Times New Roman"/>
          <w:color w:val="000000"/>
          <w:sz w:val="28"/>
          <w:szCs w:val="28"/>
        </w:rPr>
      </w:pP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pPr>
        <w:jc w:val="center"/>
        <w:rPr>
          <w:rFonts w:hint="eastAsia" w:ascii="黑体" w:hAnsi="宋体" w:eastAsia="黑体" w:cs="Times New Roman"/>
          <w:color w:val="000000"/>
          <w:sz w:val="72"/>
          <w:szCs w:val="72"/>
        </w:rPr>
      </w:pP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pPr>
        <w:jc w:val="center"/>
        <w:rPr>
          <w:rFonts w:hint="eastAsia" w:ascii="黑体" w:hAnsi="宋体" w:eastAsia="黑体" w:cs="Times New Roman"/>
          <w:color w:val="000000"/>
          <w:sz w:val="72"/>
          <w:szCs w:val="72"/>
        </w:rPr>
      </w:pPr>
    </w:p>
    <w:p>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pPr>
        <w:spacing w:line="860" w:lineRule="exact"/>
        <w:rPr>
          <w:rFonts w:hint="eastAsia" w:ascii="华文仿宋" w:hAnsi="华文仿宋" w:eastAsia="华文仿宋"/>
          <w:sz w:val="32"/>
          <w:szCs w:val="28"/>
        </w:rPr>
      </w:pPr>
      <w:r>
        <w:rPr>
          <w:rFonts w:hint="eastAsia" w:ascii="华文仿宋" w:hAnsi="华文仿宋" w:eastAsia="华文仿宋"/>
          <w:sz w:val="32"/>
          <w:szCs w:val="28"/>
        </w:rPr>
        <w:t xml:space="preserve">            </w:t>
      </w:r>
    </w:p>
    <w:p>
      <w:pPr>
        <w:spacing w:line="860" w:lineRule="exact"/>
        <w:rPr>
          <w:rFonts w:hint="eastAsia" w:ascii="华文仿宋" w:hAnsi="华文仿宋" w:eastAsia="华文仿宋"/>
          <w:sz w:val="32"/>
          <w:szCs w:val="28"/>
        </w:rPr>
      </w:pPr>
    </w:p>
    <w:p>
      <w:pPr>
        <w:spacing w:line="860" w:lineRule="exact"/>
        <w:rPr>
          <w:rFonts w:hint="eastAsia" w:ascii="华文仿宋" w:hAnsi="华文仿宋" w:eastAsia="华文仿宋"/>
          <w:sz w:val="32"/>
          <w:szCs w:val="28"/>
        </w:rPr>
      </w:pPr>
    </w:p>
    <w:p>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pPr>
        <w:pStyle w:val="18"/>
        <w:rPr>
          <w:b/>
          <w:bCs/>
        </w:rPr>
      </w:pPr>
    </w:p>
    <w:p>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人：中国重汽集团济南卡车股份有限公司</w:t>
      </w:r>
    </w:p>
    <w:p>
      <w:pPr>
        <w:jc w:val="center"/>
        <w:rPr>
          <w:rFonts w:ascii="宋体" w:hAnsi="Calibri" w:eastAsia="宋体" w:cs="Times New Roman"/>
          <w:color w:val="000000"/>
          <w:sz w:val="28"/>
          <w:szCs w:val="28"/>
        </w:rPr>
      </w:pPr>
      <w:r>
        <w:rPr>
          <w:rFonts w:hint="eastAsia" w:ascii="Calibri" w:hAnsi="Calibri" w:eastAsia="宋体" w:cs="Times New Roman"/>
          <w:color w:val="000000"/>
          <w:sz w:val="28"/>
          <w:szCs w:val="28"/>
        </w:rPr>
        <w:t>2026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p>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pPr>
            <w:spacing w:line="480" w:lineRule="auto"/>
            <w:jc w:val="center"/>
            <w:rPr>
              <w:rFonts w:hint="eastAsia" w:cs="宋体"/>
              <w:b/>
              <w:bCs/>
              <w:sz w:val="48"/>
              <w:szCs w:val="48"/>
            </w:rPr>
          </w:pPr>
          <w:r>
            <w:rPr>
              <w:rFonts w:ascii="宋体" w:hAnsi="宋体" w:eastAsia="宋体" w:cs="宋体"/>
              <w:b/>
              <w:bCs/>
              <w:sz w:val="48"/>
              <w:szCs w:val="48"/>
            </w:rPr>
            <w:t>目录</w:t>
          </w:r>
        </w:p>
        <w:p>
          <w:pPr>
            <w:pStyle w:val="25"/>
            <w:tabs>
              <w:tab w:val="right" w:leader="dot" w:pos="9071"/>
            </w:tabs>
            <w:spacing w:line="480" w:lineRule="auto"/>
            <w:rPr>
              <w:rFonts w:hint="eastAsia"/>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pPr>
            <w:pStyle w:val="25"/>
            <w:tabs>
              <w:tab w:val="right" w:leader="dot" w:pos="9071"/>
            </w:tabs>
            <w:spacing w:line="480" w:lineRule="auto"/>
            <w:rPr>
              <w:rFonts w:hint="eastAsia"/>
              <w:color w:val="auto"/>
              <w:sz w:val="32"/>
              <w:szCs w:val="32"/>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rPr>
            <w:t>7</w:t>
          </w:r>
        </w:p>
        <w:p>
          <w:pPr>
            <w:pStyle w:val="25"/>
            <w:tabs>
              <w:tab w:val="right" w:leader="dot" w:pos="9071"/>
            </w:tabs>
            <w:spacing w:line="480" w:lineRule="auto"/>
            <w:rPr>
              <w:rFonts w:hint="eastAsia"/>
              <w:color w:val="auto"/>
              <w:sz w:val="32"/>
              <w:szCs w:val="32"/>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13</w:t>
          </w:r>
        </w:p>
        <w:p>
          <w:pPr>
            <w:pStyle w:val="25"/>
            <w:tabs>
              <w:tab w:val="right" w:leader="dot" w:pos="9071"/>
            </w:tabs>
            <w:spacing w:line="480" w:lineRule="auto"/>
            <w:rPr>
              <w:rFonts w:hint="eastAsia"/>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16</w:t>
          </w:r>
        </w:p>
        <w:p>
          <w:pPr>
            <w:pStyle w:val="25"/>
            <w:tabs>
              <w:tab w:val="right" w:leader="dot" w:pos="9071"/>
            </w:tabs>
            <w:spacing w:line="480" w:lineRule="auto"/>
            <w:rPr>
              <w:rFonts w:hint="eastAsia"/>
              <w:color w:val="auto"/>
              <w:sz w:val="32"/>
              <w:szCs w:val="32"/>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rPr>
            <w:t>35</w:t>
          </w:r>
        </w:p>
        <w:p>
          <w:pPr>
            <w:pStyle w:val="25"/>
            <w:tabs>
              <w:tab w:val="right" w:leader="dot" w:pos="9071"/>
            </w:tabs>
            <w:spacing w:line="480" w:lineRule="auto"/>
            <w:rPr>
              <w:rFonts w:hint="eastAsia"/>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rPr>
            <w:t>53</w:t>
          </w:r>
        </w:p>
        <w:p>
          <w:pPr>
            <w:pStyle w:val="18"/>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pPr>
        <w:pStyle w:val="18"/>
        <w:numPr>
          <w:ilvl w:val="0"/>
          <w:numId w:val="5"/>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pPr>
        <w:pStyle w:val="18"/>
        <w:jc w:val="center"/>
        <w:rPr>
          <w:rFonts w:ascii="Calibri" w:hAnsi="Calibri" w:eastAsia="宋体" w:cs="Times New Roman"/>
          <w:b/>
          <w:bCs/>
          <w:kern w:val="44"/>
          <w:sz w:val="36"/>
          <w:szCs w:val="44"/>
        </w:rPr>
      </w:pP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9"/>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pPr>
              <w:jc w:val="center"/>
              <w:rPr>
                <w:rStyle w:val="132"/>
                <w:rFonts w:hint="eastAsia" w:ascii="宋体" w:hAnsi="宋体" w:eastAsia="宋体" w:cs="宋体"/>
                <w:b/>
                <w:sz w:val="28"/>
                <w:szCs w:val="28"/>
              </w:rPr>
            </w:pPr>
            <w:bookmarkStart w:id="3" w:name="_Toc346372875"/>
            <w:r>
              <w:rPr>
                <w:rStyle w:val="132"/>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pPr>
              <w:ind w:firstLine="562" w:firstLineChars="200"/>
              <w:jc w:val="center"/>
              <w:rPr>
                <w:rFonts w:hint="eastAsia" w:ascii="宋体" w:hAnsi="宋体" w:eastAsia="宋体" w:cs="宋体"/>
                <w:b/>
                <w:bCs/>
                <w:sz w:val="28"/>
                <w:szCs w:val="28"/>
              </w:rPr>
            </w:pPr>
            <w:r>
              <w:rPr>
                <w:rStyle w:val="132"/>
                <w:rFonts w:hint="eastAsia" w:ascii="宋体" w:hAnsi="宋体" w:eastAsia="宋体" w:cs="宋体"/>
                <w:b/>
                <w:sz w:val="28"/>
                <w:szCs w:val="28"/>
              </w:rPr>
              <w:t>编  列  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6"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u w:val="single"/>
              </w:rPr>
              <w:t>济南卡车制造公司</w:t>
            </w:r>
            <w:r>
              <w:rPr>
                <w:rFonts w:hint="eastAsia" w:ascii="宋体" w:hAnsi="宋体" w:eastAsia="宋体" w:cs="宋体"/>
                <w:sz w:val="24"/>
                <w:szCs w:val="24"/>
                <w:u w:val="single"/>
                <w:lang w:val="en-US" w:eastAsia="zh-CN"/>
              </w:rPr>
              <w:t>党家庄厂区</w:t>
            </w:r>
            <w:r>
              <w:rPr>
                <w:rFonts w:hint="eastAsia" w:ascii="宋体" w:hAnsi="宋体" w:eastAsia="宋体" w:cs="宋体"/>
                <w:sz w:val="24"/>
                <w:szCs w:val="24"/>
                <w:u w:val="single"/>
              </w:rPr>
              <w:t>总三车间总装北线加固改造技改项目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采购形式编号：</w:t>
            </w:r>
            <w:r>
              <w:rPr>
                <w:rFonts w:hint="eastAsia" w:ascii="宋体" w:hAnsi="宋体" w:eastAsia="宋体" w:cs="宋体"/>
                <w:b/>
                <w:bCs/>
                <w:color w:val="000000" w:themeColor="text1"/>
                <w:sz w:val="24"/>
                <w:szCs w:val="24"/>
                <w:highlight w:val="none"/>
                <w14:textFill>
                  <w14:solidFill>
                    <w14:schemeClr w14:val="tx1"/>
                  </w14:solidFill>
                </w14:textFill>
              </w:rPr>
              <w:t>ZBGL2026070282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sz w:val="24"/>
                <w:szCs w:val="24"/>
                <w:lang w:val="en-US"/>
              </w:rPr>
            </w:pPr>
            <w:r>
              <w:rPr>
                <w:rFonts w:hint="eastAsia" w:ascii="宋体" w:hAnsi="宋体" w:eastAsia="宋体" w:cs="宋体"/>
                <w:b/>
                <w:bCs/>
                <w:sz w:val="24"/>
                <w:szCs w:val="24"/>
              </w:rPr>
              <w:t>招标内容：</w:t>
            </w:r>
            <w:r>
              <w:rPr>
                <w:rFonts w:hint="eastAsia" w:ascii="宋体" w:hAnsi="宋体" w:eastAsia="宋体" w:cs="宋体"/>
                <w:sz w:val="24"/>
                <w:szCs w:val="24"/>
                <w:lang w:val="en-US" w:eastAsia="zh-CN"/>
              </w:rPr>
              <w:t>党家庄厂区总三车间总装北线承载能力加固改造至20T，使用系数不小于1.2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中国重汽集团济南卡车股份有限公司</w:t>
            </w:r>
            <w:r>
              <w:rPr>
                <w:rFonts w:hint="eastAsia" w:ascii="宋体" w:hAnsi="宋体" w:eastAsia="宋体" w:cs="宋体"/>
                <w:bCs/>
                <w:snapToGrid w:val="0"/>
                <w:kern w:val="0"/>
                <w:sz w:val="24"/>
                <w:szCs w:val="24"/>
              </w:rPr>
              <w:t xml:space="preserve"> </w:t>
            </w:r>
          </w:p>
          <w:p>
            <w:pPr>
              <w:ind w:firstLine="482" w:firstLineChars="200"/>
              <w:rPr>
                <w:rFonts w:hint="eastAsia"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u w:val="single"/>
              </w:rPr>
              <w:t>济南市莱芜区莱城大道777号</w:t>
            </w:r>
          </w:p>
          <w:p>
            <w:pPr>
              <w:ind w:firstLine="482" w:firstLineChars="200"/>
              <w:rPr>
                <w:rFonts w:hint="eastAsia" w:ascii="宋体" w:hAnsi="宋体" w:eastAsia="宋体" w:cs="宋体"/>
                <w:bCs/>
                <w:snapToGrid w:val="0"/>
                <w:kern w:val="0"/>
                <w:sz w:val="24"/>
                <w:szCs w:val="24"/>
                <w:highlight w:val="yellow"/>
                <w:lang w:eastAsia="zh-CN"/>
              </w:rPr>
            </w:pPr>
            <w:r>
              <w:rPr>
                <w:rFonts w:hint="eastAsia" w:ascii="宋体" w:hAnsi="宋体" w:eastAsia="宋体" w:cs="宋体"/>
                <w:b/>
                <w:snapToGrid w:val="0"/>
                <w:kern w:val="0"/>
                <w:sz w:val="24"/>
                <w:szCs w:val="24"/>
                <w:highlight w:val="yellow"/>
              </w:rPr>
              <w:t>技术联系人：</w:t>
            </w:r>
            <w:r>
              <w:rPr>
                <w:rFonts w:hint="eastAsia" w:ascii="宋体" w:hAnsi="宋体" w:eastAsia="宋体" w:cs="宋体"/>
                <w:b/>
                <w:snapToGrid w:val="0"/>
                <w:kern w:val="0"/>
                <w:sz w:val="24"/>
                <w:szCs w:val="24"/>
                <w:highlight w:val="yellow"/>
                <w:lang w:val="en-US" w:eastAsia="zh-CN"/>
              </w:rPr>
              <w:t>刘兴瑶</w:t>
            </w:r>
          </w:p>
          <w:p>
            <w:pPr>
              <w:pStyle w:val="18"/>
              <w:ind w:firstLine="482" w:firstLineChars="200"/>
              <w:rPr>
                <w:rFonts w:hint="default" w:hAnsi="宋体" w:eastAsia="宋体" w:cs="宋体"/>
                <w:b/>
                <w:snapToGrid w:val="0"/>
                <w:kern w:val="0"/>
                <w:sz w:val="24"/>
                <w:szCs w:val="24"/>
                <w:highlight w:val="yellow"/>
                <w:lang w:val="en-US" w:eastAsia="zh-CN"/>
              </w:rPr>
            </w:pPr>
            <w:r>
              <w:rPr>
                <w:rFonts w:hint="eastAsia" w:hAnsi="宋体" w:eastAsia="宋体" w:cs="宋体"/>
                <w:b/>
                <w:snapToGrid w:val="0"/>
                <w:kern w:val="0"/>
                <w:sz w:val="24"/>
                <w:szCs w:val="24"/>
                <w:highlight w:val="yellow"/>
              </w:rPr>
              <w:t>电话：198</w:t>
            </w:r>
            <w:r>
              <w:rPr>
                <w:rFonts w:hint="eastAsia" w:hAnsi="宋体" w:eastAsia="宋体" w:cs="宋体"/>
                <w:b/>
                <w:snapToGrid w:val="0"/>
                <w:kern w:val="0"/>
                <w:sz w:val="24"/>
                <w:szCs w:val="24"/>
                <w:highlight w:val="yellow"/>
                <w:lang w:val="en-US" w:eastAsia="zh-CN"/>
              </w:rPr>
              <w:t>61850639</w:t>
            </w:r>
          </w:p>
          <w:p>
            <w:pPr>
              <w:pStyle w:val="18"/>
              <w:ind w:firstLine="482" w:firstLineChars="200"/>
              <w:rPr>
                <w:rFonts w:hint="eastAsia" w:hAnsi="宋体" w:eastAsia="宋体" w:cs="宋体"/>
                <w:b/>
                <w:snapToGrid w:val="0"/>
                <w:kern w:val="0"/>
                <w:sz w:val="24"/>
                <w:szCs w:val="24"/>
                <w:highlight w:val="yellow"/>
              </w:rPr>
            </w:pPr>
            <w:r>
              <w:rPr>
                <w:rFonts w:hint="eastAsia" w:hAnsi="宋体" w:eastAsia="宋体" w:cs="宋体"/>
                <w:b/>
                <w:snapToGrid w:val="0"/>
                <w:kern w:val="0"/>
                <w:sz w:val="24"/>
                <w:szCs w:val="24"/>
                <w:highlight w:val="yellow"/>
              </w:rPr>
              <w:t>邮箱：liuxingyao@sinotruk.com</w:t>
            </w:r>
          </w:p>
          <w:p>
            <w:pPr>
              <w:ind w:firstLine="482" w:firstLineChars="200"/>
              <w:rPr>
                <w:rFonts w:hint="default" w:ascii="宋体" w:hAnsi="宋体" w:eastAsia="宋体" w:cs="宋体"/>
                <w:bCs/>
                <w:snapToGrid w:val="0"/>
                <w:kern w:val="0"/>
                <w:sz w:val="24"/>
                <w:szCs w:val="24"/>
                <w:highlight w:val="yellow"/>
                <w:lang w:val="en-US" w:eastAsia="zh-CN"/>
              </w:rPr>
            </w:pPr>
            <w:r>
              <w:rPr>
                <w:rFonts w:hint="eastAsia" w:ascii="宋体" w:hAnsi="宋体" w:eastAsia="宋体" w:cs="宋体"/>
                <w:b/>
                <w:snapToGrid w:val="0"/>
                <w:kern w:val="0"/>
                <w:sz w:val="24"/>
                <w:szCs w:val="24"/>
                <w:highlight w:val="yellow"/>
              </w:rPr>
              <w:t>商务联系人：</w:t>
            </w:r>
            <w:r>
              <w:rPr>
                <w:rFonts w:hint="eastAsia" w:ascii="宋体" w:hAnsi="宋体" w:eastAsia="宋体" w:cs="宋体"/>
                <w:b/>
                <w:snapToGrid w:val="0"/>
                <w:kern w:val="0"/>
                <w:sz w:val="24"/>
                <w:szCs w:val="24"/>
                <w:highlight w:val="yellow"/>
                <w:lang w:val="en-US" w:eastAsia="zh-CN"/>
              </w:rPr>
              <w:t>温崇炜</w:t>
            </w:r>
          </w:p>
          <w:p>
            <w:pPr>
              <w:pStyle w:val="18"/>
              <w:ind w:firstLine="482" w:firstLineChars="200"/>
              <w:rPr>
                <w:rFonts w:hint="eastAsia" w:hAnsi="宋体" w:eastAsia="宋体" w:cs="宋体"/>
                <w:b/>
                <w:snapToGrid w:val="0"/>
                <w:kern w:val="0"/>
                <w:sz w:val="24"/>
                <w:szCs w:val="24"/>
                <w:highlight w:val="yellow"/>
              </w:rPr>
            </w:pPr>
            <w:r>
              <w:rPr>
                <w:rFonts w:hint="eastAsia" w:hAnsi="宋体" w:eastAsia="宋体" w:cs="宋体"/>
                <w:b/>
                <w:snapToGrid w:val="0"/>
                <w:kern w:val="0"/>
                <w:sz w:val="24"/>
                <w:szCs w:val="24"/>
                <w:highlight w:val="yellow"/>
              </w:rPr>
              <w:t>电话：15169592696</w:t>
            </w:r>
          </w:p>
          <w:p>
            <w:pPr>
              <w:ind w:firstLine="482" w:firstLineChars="200"/>
              <w:rPr>
                <w:rFonts w:hint="eastAsia"/>
              </w:rPr>
            </w:pPr>
            <w:r>
              <w:rPr>
                <w:rFonts w:hint="eastAsia" w:ascii="宋体" w:hAnsi="宋体" w:eastAsia="宋体" w:cs="宋体"/>
                <w:b/>
                <w:snapToGrid w:val="0"/>
                <w:kern w:val="0"/>
                <w:sz w:val="24"/>
                <w:szCs w:val="24"/>
                <w:highlight w:val="yellow"/>
              </w:rPr>
              <w:t>邮箱：wenchongwei@sinotruk.com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w:t>
            </w:r>
            <w:r>
              <w:rPr>
                <w:rFonts w:hint="eastAsia" w:ascii="宋体" w:hAnsi="宋体" w:eastAsia="宋体" w:cs="Times New Roman"/>
                <w:color w:val="000000"/>
                <w:sz w:val="24"/>
                <w:szCs w:val="24"/>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pPr>
              <w:ind w:firstLine="482" w:firstLineChars="200"/>
              <w:rPr>
                <w:rFonts w:eastAsia="宋体"/>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pPr>
              <w:pStyle w:val="18"/>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1.拟标投人必须是在中华人民共和国境内注册的独立法人机构，具有独立承担民事责任能力；注册资金不少于</w:t>
            </w:r>
            <w:r>
              <w:rPr>
                <w:rFonts w:hint="eastAsia" w:hAnsi="宋体" w:eastAsia="宋体" w:cs="宋体"/>
                <w:b/>
                <w:bCs/>
                <w:color w:val="000000"/>
                <w:sz w:val="24"/>
                <w:szCs w:val="24"/>
                <w:highlight w:val="yellow"/>
                <w:u w:val="single"/>
                <w:lang w:val="en-US" w:eastAsia="zh-CN"/>
              </w:rPr>
              <w:t>5</w:t>
            </w:r>
            <w:r>
              <w:rPr>
                <w:rFonts w:hint="eastAsia" w:hAnsi="宋体" w:eastAsia="宋体" w:cs="宋体"/>
                <w:b/>
                <w:bCs/>
                <w:color w:val="000000"/>
                <w:sz w:val="24"/>
                <w:szCs w:val="24"/>
                <w:highlight w:val="yellow"/>
                <w:u w:val="single"/>
              </w:rPr>
              <w:t>00</w:t>
            </w:r>
            <w:r>
              <w:rPr>
                <w:rFonts w:hint="eastAsia" w:hAnsi="宋体" w:eastAsia="宋体" w:cs="宋体"/>
                <w:b/>
                <w:color w:val="000000"/>
                <w:sz w:val="24"/>
                <w:szCs w:val="24"/>
                <w:highlight w:val="yellow"/>
                <w:u w:val="single"/>
                <w:lang w:eastAsia="zh-CN"/>
              </w:rPr>
              <w:t>万元</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sz w:val="24"/>
                <w:szCs w:val="24"/>
                <w:highlight w:val="yellow"/>
              </w:rPr>
              <w:t>2022年1月1日</w:t>
            </w:r>
            <w:r>
              <w:rPr>
                <w:rFonts w:hint="eastAsia" w:hAnsi="宋体" w:eastAsia="宋体" w:cs="宋体"/>
                <w:sz w:val="24"/>
                <w:szCs w:val="24"/>
              </w:rPr>
              <w:t>至今</w:t>
            </w:r>
            <w:r>
              <w:rPr>
                <w:rFonts w:hint="eastAsia" w:hAnsi="宋体" w:eastAsia="宋体" w:cs="宋体"/>
                <w:color w:val="000000"/>
                <w:sz w:val="24"/>
                <w:szCs w:val="24"/>
              </w:rPr>
              <w:t>经</w:t>
            </w:r>
            <w:r>
              <w:rPr>
                <w:rFonts w:hint="eastAsia" w:hAnsi="宋体" w:eastAsia="宋体" w:cs="宋体"/>
                <w:b/>
                <w:bCs/>
                <w:color w:val="000000"/>
                <w:sz w:val="24"/>
                <w:szCs w:val="24"/>
              </w:rPr>
              <w:t>第三方</w:t>
            </w:r>
            <w:r>
              <w:rPr>
                <w:rFonts w:hint="eastAsia" w:hAnsi="宋体" w:eastAsia="宋体" w:cs="宋体"/>
                <w:color w:val="000000"/>
                <w:sz w:val="24"/>
                <w:szCs w:val="24"/>
              </w:rPr>
              <w:t>会计师事务所审计且出具无保留意见的财务审计报告，并加盖公章，包括但不限于报告页、经审计的资产负债表、利润表、现金流量表及报表附注，且未显示异常；</w:t>
            </w:r>
          </w:p>
          <w:p>
            <w:pPr>
              <w:pStyle w:val="18"/>
              <w:ind w:firstLine="480" w:firstLineChars="200"/>
              <w:rPr>
                <w:rFonts w:hint="eastAsia"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拟投标人有与本次招标内容相同或类似项目业绩，且近3年内无因服务不当而造成重大事故；</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8.</w:t>
            </w:r>
            <w:r>
              <w:rPr>
                <w:rFonts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11.拟投标人信用证明材料（征信报告）未显示异常；</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13.</w:t>
            </w:r>
            <w:r>
              <w:rPr>
                <w:rFonts w:hint="eastAsia" w:hAnsi="宋体" w:eastAsia="宋体" w:cs="宋体"/>
                <w:b/>
                <w:bCs/>
                <w:color w:val="000000"/>
                <w:sz w:val="24"/>
                <w:szCs w:val="24"/>
              </w:rPr>
              <w:t>本项目不接受联合体投标，</w:t>
            </w:r>
            <w:r>
              <w:rPr>
                <w:rFonts w:hint="eastAsia" w:hAnsi="宋体" w:eastAsia="宋体" w:cs="宋体"/>
                <w:color w:val="000000"/>
                <w:sz w:val="24"/>
                <w:szCs w:val="24"/>
              </w:rPr>
              <w:t>拟投标人必须是最终投标单位和签订合同单位，不得以任何理由将已中标项目以任何形式分包或转包给其他单位。</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14.与招标人存在利害关系可能影响招标公正性的法人、其他组织或者个人，不得参加投标。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highlight w:val="none"/>
              </w:rPr>
              <w:t>发标时间：</w:t>
            </w:r>
            <w:r>
              <w:rPr>
                <w:rFonts w:hint="eastAsia" w:ascii="宋体" w:hAnsi="宋体" w:eastAsia="宋体" w:cs="宋体"/>
                <w:bCs/>
                <w:sz w:val="24"/>
                <w:szCs w:val="24"/>
                <w:highlight w:val="yellow"/>
              </w:rPr>
              <w:t>2026年</w:t>
            </w:r>
            <w:r>
              <w:rPr>
                <w:rFonts w:hint="eastAsia" w:ascii="宋体" w:hAnsi="宋体" w:eastAsia="宋体" w:cs="宋体"/>
                <w:bCs/>
                <w:sz w:val="24"/>
                <w:szCs w:val="24"/>
                <w:highlight w:val="yellow"/>
                <w:lang w:val="en-US" w:eastAsia="zh-CN"/>
              </w:rPr>
              <w:t>7</w:t>
            </w:r>
            <w:r>
              <w:rPr>
                <w:rFonts w:hint="eastAsia" w:ascii="宋体" w:hAnsi="宋体" w:eastAsia="宋体" w:cs="宋体"/>
                <w:bCs/>
                <w:sz w:val="24"/>
                <w:szCs w:val="24"/>
                <w:highlight w:val="yellow"/>
              </w:rPr>
              <w:t xml:space="preserve">月 </w:t>
            </w:r>
            <w:r>
              <w:rPr>
                <w:rFonts w:hint="eastAsia" w:ascii="宋体" w:hAnsi="宋体" w:eastAsia="宋体" w:cs="宋体"/>
                <w:bCs/>
                <w:sz w:val="24"/>
                <w:szCs w:val="24"/>
                <w:highlight w:val="yellow"/>
                <w:lang w:val="en-US" w:eastAsia="zh-CN"/>
              </w:rPr>
              <w:t>16</w:t>
            </w:r>
            <w:r>
              <w:rPr>
                <w:rFonts w:hint="eastAsia" w:ascii="宋体" w:hAnsi="宋体" w:eastAsia="宋体" w:cs="宋体"/>
                <w:bCs/>
                <w:sz w:val="24"/>
                <w:szCs w:val="24"/>
                <w:highlight w:val="yellow"/>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w:t>
            </w:r>
            <w:r>
              <w:rPr>
                <w:rFonts w:hint="eastAsia" w:ascii="宋体" w:hAnsi="宋体" w:eastAsia="宋体" w:cs="Times New Roman"/>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yellow"/>
              </w:rPr>
              <w:t>2026年</w:t>
            </w:r>
            <w:r>
              <w:rPr>
                <w:rFonts w:hint="eastAsia" w:ascii="宋体" w:hAnsi="宋体" w:eastAsia="宋体" w:cs="宋体"/>
                <w:bCs/>
                <w:sz w:val="24"/>
                <w:szCs w:val="24"/>
                <w:highlight w:val="yellow"/>
                <w:lang w:val="en-US" w:eastAsia="zh-CN"/>
              </w:rPr>
              <w:t>7</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lang w:val="en-US" w:eastAsia="zh-CN"/>
              </w:rPr>
              <w:t>23</w:t>
            </w:r>
            <w:r>
              <w:rPr>
                <w:rFonts w:hint="eastAsia" w:ascii="宋体" w:hAnsi="宋体" w:eastAsia="宋体" w:cs="宋体"/>
                <w:bCs/>
                <w:sz w:val="24"/>
                <w:szCs w:val="24"/>
                <w:highlight w:val="yellow"/>
              </w:rPr>
              <w:t>日17:00前；</w:t>
            </w:r>
          </w:p>
          <w:p>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rPr>
              <w:t>：</w:t>
            </w:r>
            <w:r>
              <w:rPr>
                <w:rFonts w:hint="eastAsia" w:ascii="宋体" w:hAnsi="宋体" w:eastAsia="宋体" w:cs="宋体"/>
                <w:sz w:val="24"/>
                <w:szCs w:val="24"/>
                <w:highlight w:val="yellow"/>
              </w:rPr>
              <w:t>2026年</w:t>
            </w:r>
            <w:r>
              <w:rPr>
                <w:rFonts w:hint="eastAsia" w:ascii="宋体" w:hAnsi="宋体" w:eastAsia="宋体" w:cs="宋体"/>
                <w:sz w:val="24"/>
                <w:szCs w:val="24"/>
                <w:highlight w:val="yellow"/>
                <w:lang w:val="en-US" w:eastAsia="zh-CN"/>
              </w:rPr>
              <w:t>7</w:t>
            </w:r>
            <w:r>
              <w:rPr>
                <w:rFonts w:hint="eastAsia" w:ascii="宋体" w:hAnsi="宋体" w:eastAsia="宋体" w:cs="宋体"/>
                <w:sz w:val="24"/>
                <w:szCs w:val="24"/>
                <w:highlight w:val="yellow"/>
              </w:rPr>
              <w:t xml:space="preserve">月 </w:t>
            </w:r>
            <w:r>
              <w:rPr>
                <w:rFonts w:hint="eastAsia" w:ascii="宋体" w:hAnsi="宋体" w:eastAsia="宋体" w:cs="宋体"/>
                <w:sz w:val="24"/>
                <w:szCs w:val="24"/>
                <w:highlight w:val="yellow"/>
                <w:lang w:val="en-US" w:eastAsia="zh-CN"/>
              </w:rPr>
              <w:t>25</w:t>
            </w:r>
            <w:r>
              <w:rPr>
                <w:rFonts w:hint="eastAsia" w:ascii="宋体" w:hAnsi="宋体" w:eastAsia="宋体" w:cs="宋体"/>
                <w:sz w:val="24"/>
                <w:szCs w:val="24"/>
                <w:highlight w:val="yellow"/>
              </w:rPr>
              <w:t>日17:00前</w:t>
            </w:r>
            <w:r>
              <w:rPr>
                <w:rFonts w:hint="eastAsia" w:ascii="宋体" w:hAnsi="宋体" w:eastAsia="宋体" w:cs="宋体"/>
                <w:sz w:val="24"/>
                <w:szCs w:val="24"/>
              </w:rPr>
              <w:t>；</w:t>
            </w:r>
          </w:p>
          <w:p>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pPr>
              <w:jc w:val="center"/>
              <w:rPr>
                <w:rFonts w:hint="eastAsia"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5"/>
              <w:spacing w:line="240" w:lineRule="auto"/>
              <w:ind w:firstLine="482"/>
              <w:rPr>
                <w:rFonts w:hint="eastAsia" w:eastAsia="宋体" w:cs="宋体"/>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highlight w:val="red"/>
              </w:rPr>
              <w:t>“</w:t>
            </w:r>
            <w:r>
              <w:rPr>
                <w:rFonts w:hint="eastAsia" w:eastAsia="宋体" w:cs="Times New Roman"/>
                <w:b/>
                <w:bCs/>
                <w:highlight w:val="red"/>
              </w:rPr>
              <w:t>应标</w:t>
            </w:r>
            <w:r>
              <w:rPr>
                <w:rFonts w:hint="eastAsia" w:eastAsia="宋体" w:cs="Times New Roman"/>
                <w:highlight w:val="red"/>
              </w:rPr>
              <w:t>”</w:t>
            </w:r>
            <w:r>
              <w:rPr>
                <w:rFonts w:hint="eastAsia" w:eastAsia="宋体" w:cs="Times New Roman"/>
                <w:b/>
                <w:bCs/>
                <w:highlight w:val="red"/>
              </w:rPr>
              <w:t>后按照招标文件第三部分投标文件组成资格证明文件中的1.1</w:t>
            </w:r>
            <w:r>
              <w:rPr>
                <w:rFonts w:eastAsia="宋体" w:cs="Times New Roman"/>
                <w:b/>
                <w:bCs/>
                <w:highlight w:val="red"/>
              </w:rPr>
              <w:t>-</w:t>
            </w:r>
            <w:r>
              <w:rPr>
                <w:rFonts w:hint="eastAsia" w:eastAsia="宋体" w:cs="Times New Roman"/>
                <w:b/>
                <w:bCs/>
                <w:highlight w:val="red"/>
              </w:rPr>
              <w:t>1.1</w:t>
            </w:r>
            <w:r>
              <w:rPr>
                <w:rFonts w:hint="eastAsia" w:eastAsia="宋体" w:cs="Times New Roman"/>
                <w:b/>
                <w:bCs/>
                <w:highlight w:val="red"/>
                <w:lang w:val="en-US" w:eastAsia="zh-CN"/>
              </w:rPr>
              <w:t>3</w:t>
            </w:r>
            <w:r>
              <w:rPr>
                <w:rFonts w:hint="eastAsia" w:eastAsia="宋体" w:cs="Times New Roman"/>
                <w:b/>
                <w:bCs/>
                <w:highlight w:val="red"/>
              </w:rPr>
              <w:t>准备资料并</w:t>
            </w:r>
            <w:r>
              <w:rPr>
                <w:rFonts w:hint="eastAsia" w:eastAsia="宋体" w:cs="Times New Roman"/>
                <w:highlight w:val="red"/>
              </w:rPr>
              <w:t>上传，资质审查通过即为报名成功</w:t>
            </w:r>
            <w:r>
              <w:rPr>
                <w:rFonts w:hint="eastAsia" w:hAnsi="Courier New" w:eastAsia="宋体" w:cs="Times New Roman"/>
                <w:highlight w:val="red"/>
              </w:rPr>
              <w:t>；</w:t>
            </w:r>
            <w:r>
              <w:rPr>
                <w:rFonts w:hint="eastAsia" w:hAnsi="Courier New" w:eastAsia="宋体" w:cs="Times New Roman"/>
              </w:rPr>
              <w:t>公示期间请尽快报名</w:t>
            </w:r>
            <w:r>
              <w:rPr>
                <w:rFonts w:hint="eastAsia" w:eastAsia="宋体" w:cs="宋体"/>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pPr>
              <w:pStyle w:val="115"/>
              <w:spacing w:line="240" w:lineRule="auto"/>
              <w:ind w:firstLine="482"/>
              <w:rPr>
                <w:rFonts w:hint="eastAsia" w:eastAsia="宋体" w:cs="宋体"/>
                <w:highlight w:val="yellow"/>
              </w:rPr>
            </w:pPr>
            <w:r>
              <w:rPr>
                <w:rFonts w:hint="eastAsia" w:eastAsia="宋体" w:cs="宋体"/>
                <w:b/>
                <w:bCs/>
                <w:highlight w:val="none"/>
              </w:rPr>
              <w:t>应标截止时间：</w:t>
            </w:r>
            <w:r>
              <w:rPr>
                <w:rFonts w:hint="eastAsia" w:eastAsia="宋体" w:cs="宋体"/>
                <w:highlight w:val="yellow"/>
              </w:rPr>
              <w:t>2026年</w:t>
            </w:r>
            <w:r>
              <w:rPr>
                <w:rFonts w:hint="eastAsia" w:eastAsia="宋体" w:cs="宋体"/>
                <w:highlight w:val="yellow"/>
                <w:lang w:val="en-US" w:eastAsia="zh-CN"/>
              </w:rPr>
              <w:t>7</w:t>
            </w:r>
            <w:r>
              <w:rPr>
                <w:rFonts w:hint="eastAsia" w:eastAsia="宋体" w:cs="宋体"/>
                <w:highlight w:val="yellow"/>
              </w:rPr>
              <w:t xml:space="preserve">月 </w:t>
            </w:r>
            <w:r>
              <w:rPr>
                <w:rFonts w:hint="eastAsia" w:eastAsia="宋体" w:cs="宋体"/>
                <w:highlight w:val="yellow"/>
                <w:lang w:val="en-US" w:eastAsia="zh-CN"/>
              </w:rPr>
              <w:t>21</w:t>
            </w:r>
            <w:r>
              <w:rPr>
                <w:rFonts w:hint="eastAsia" w:eastAsia="宋体" w:cs="宋体"/>
                <w:highlight w:val="yellow"/>
              </w:rPr>
              <w:t>日17时00分00秒</w:t>
            </w:r>
          </w:p>
          <w:p>
            <w:pPr>
              <w:pStyle w:val="115"/>
              <w:spacing w:line="240" w:lineRule="auto"/>
              <w:ind w:firstLine="482"/>
              <w:rPr>
                <w:rFonts w:hint="eastAsia"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hAnsi="宋体" w:eastAsia="宋体" w:cs="宋体"/>
                <w:b/>
                <w:bCs/>
                <w:sz w:val="24"/>
                <w:szCs w:val="24"/>
              </w:rPr>
            </w:pPr>
            <w:r>
              <w:rPr>
                <w:rFonts w:hint="eastAsia" w:ascii="宋体" w:hAnsi="宋体" w:eastAsia="宋体" w:cs="宋体"/>
                <w:b/>
                <w:bCs/>
                <w:sz w:val="24"/>
                <w:szCs w:val="24"/>
              </w:rPr>
              <w:t>3.投标文件的组成、编制及投递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hint="eastAsia"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w:t>
            </w:r>
            <w:r>
              <w:rPr>
                <w:rFonts w:hint="eastAsia" w:eastAsia="宋体" w:cs="宋体"/>
                <w:bCs/>
                <w:sz w:val="24"/>
                <w:szCs w:val="24"/>
                <w:highlight w:val="yellow"/>
              </w:rPr>
              <w:t>（电子版为纸质盖章版的扫描件）</w:t>
            </w:r>
            <w:r>
              <w:rPr>
                <w:rFonts w:hint="eastAsia" w:eastAsia="宋体" w:cs="宋体"/>
                <w:bCs/>
                <w:sz w:val="24"/>
                <w:szCs w:val="24"/>
              </w:rPr>
              <w:t>，均由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pPr>
              <w:ind w:firstLine="480" w:firstLineChars="200"/>
              <w:rPr>
                <w:rFonts w:hint="eastAsia" w:ascii="宋体" w:hAnsi="宋体" w:eastAsia="宋体" w:cs="宋体"/>
                <w:sz w:val="24"/>
                <w:szCs w:val="24"/>
              </w:rPr>
            </w:pPr>
            <w:r>
              <w:rPr>
                <w:rFonts w:hint="eastAsia" w:ascii="宋体" w:hAnsi="宋体" w:eastAsia="宋体" w:cs="宋体"/>
                <w:bCs/>
                <w:color w:val="000000"/>
                <w:sz w:val="24"/>
                <w:szCs w:val="24"/>
              </w:rPr>
              <w:t>注意不按此要求提供投标文件的，投标文件做无效标处理。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pPr>
              <w:ind w:firstLine="420" w:firstLineChars="200"/>
              <w:rPr>
                <w:rFonts w:hint="eastAsia" w:eastAsia="宋体" w:cs="宋体"/>
                <w:bCs/>
                <w:sz w:val="24"/>
                <w:szCs w:val="24"/>
              </w:rPr>
            </w:pPr>
            <w:r>
              <w:rPr>
                <w:rFonts w:hint="eastAsia"/>
                <w:bCs/>
              </w:rPr>
              <w:t xml:space="preserve"> </w:t>
            </w:r>
            <w:r>
              <w:rPr>
                <w:rFonts w:hint="eastAsia" w:eastAsia="宋体" w:cs="宋体"/>
                <w:bCs/>
                <w:sz w:val="24"/>
                <w:szCs w:val="24"/>
              </w:rPr>
              <w:t>纸质版投标文件的份数要求为</w:t>
            </w:r>
            <w:r>
              <w:rPr>
                <w:rFonts w:hint="eastAsia" w:ascii="宋体" w:hAnsi="宋体" w:eastAsia="宋体" w:cs="宋体"/>
                <w:b/>
                <w:sz w:val="24"/>
                <w:szCs w:val="24"/>
                <w:highlight w:val="yellow"/>
              </w:rPr>
              <w:t>正本一份，</w:t>
            </w:r>
            <w:r>
              <w:rPr>
                <w:rFonts w:hint="eastAsia" w:ascii="宋体"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p>
            <w:pPr>
              <w:pStyle w:val="18"/>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如选择到场参与开标，自行携带纸质投标文件于开标前至开标地点即可。</w:t>
            </w:r>
          </w:p>
          <w:p>
            <w:pPr>
              <w:pStyle w:val="18"/>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如选择线上参与开标，纸质投标文件需在开标日前两天，邮寄到指定地址。</w:t>
            </w:r>
          </w:p>
          <w:p>
            <w:pPr>
              <w:pStyle w:val="18"/>
              <w:rPr>
                <w:rFonts w:hint="eastAsia" w:hAnsi="宋体" w:eastAsia="宋体" w:cs="Times New Roman"/>
                <w:color w:val="000000"/>
                <w:sz w:val="24"/>
                <w:szCs w:val="24"/>
              </w:rPr>
            </w:pPr>
            <w:r>
              <w:rPr>
                <w:rFonts w:hint="eastAsia" w:eastAsia="宋体" w:cs="宋体" w:asciiTheme="minorHAnsi" w:hAnsiTheme="minorHAnsi"/>
                <w:b/>
                <w:sz w:val="24"/>
                <w:szCs w:val="24"/>
                <w:highlight w:val="none"/>
              </w:rPr>
              <w:t>邮寄地址：</w:t>
            </w:r>
            <w:r>
              <w:rPr>
                <w:rFonts w:hint="eastAsia" w:hAnsi="宋体" w:eastAsia="宋体" w:cs="Times New Roman"/>
                <w:color w:val="000000"/>
                <w:sz w:val="24"/>
                <w:szCs w:val="24"/>
                <w:highlight w:val="yellow"/>
              </w:rPr>
              <w:t>山东省济南市莱芜区莱城大道</w:t>
            </w:r>
            <w:r>
              <w:rPr>
                <w:rFonts w:hAnsi="宋体" w:eastAsia="宋体" w:cs="Times New Roman"/>
                <w:color w:val="000000"/>
                <w:sz w:val="24"/>
                <w:szCs w:val="24"/>
                <w:highlight w:val="yellow"/>
              </w:rPr>
              <w:t>777</w:t>
            </w:r>
            <w:r>
              <w:rPr>
                <w:rFonts w:hint="eastAsia" w:hAnsi="宋体" w:eastAsia="宋体" w:cs="Times New Roman"/>
                <w:color w:val="000000"/>
                <w:sz w:val="24"/>
                <w:szCs w:val="24"/>
                <w:highlight w:val="yellow"/>
              </w:rPr>
              <w:t>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pPr>
              <w:pStyle w:val="18"/>
              <w:ind w:firstLine="482" w:firstLineChars="200"/>
              <w:rPr>
                <w:rFonts w:hint="eastAsia"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w:t>
            </w:r>
            <w:r>
              <w:rPr>
                <w:rFonts w:hint="eastAsia" w:hAnsi="宋体" w:eastAsia="宋体" w:cs="宋体"/>
                <w:b/>
                <w:bCs/>
                <w:sz w:val="24"/>
                <w:lang w:eastAsia="zh-CN"/>
              </w:rPr>
              <w:t>作出</w:t>
            </w:r>
            <w:r>
              <w:rPr>
                <w:rFonts w:hint="eastAsia" w:hAnsi="宋体" w:eastAsia="宋体" w:cs="宋体"/>
                <w:b/>
                <w:bCs/>
                <w:sz w:val="24"/>
              </w:rPr>
              <w:t>修正。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pPr>
              <w:pStyle w:val="14"/>
              <w:spacing w:before="0" w:after="0" w:afterLines="0" w:line="24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，各自不允许超过两册。</w:t>
            </w:r>
          </w:p>
          <w:p>
            <w:pPr>
              <w:pStyle w:val="18"/>
              <w:rPr>
                <w:rFonts w:hint="eastAsia"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pPr>
              <w:pStyle w:val="18"/>
              <w:ind w:firstLine="482" w:firstLineChars="200"/>
              <w:rPr>
                <w:rFonts w:hint="eastAsia" w:hAnsi="宋体" w:eastAsia="宋体" w:cs="宋体"/>
                <w:sz w:val="24"/>
                <w:szCs w:val="24"/>
                <w:highlight w:val="yellow"/>
              </w:rPr>
            </w:pPr>
            <w:r>
              <w:rPr>
                <w:rFonts w:hint="eastAsia" w:hAnsi="宋体" w:eastAsia="宋体" w:cs="宋体"/>
                <w:b/>
                <w:bCs/>
                <w:sz w:val="24"/>
                <w:szCs w:val="24"/>
                <w:highlight w:val="none"/>
              </w:rPr>
              <w:t>投标文件递交截止时间：</w:t>
            </w:r>
            <w:r>
              <w:rPr>
                <w:rFonts w:hint="eastAsia" w:hAnsi="宋体" w:eastAsia="宋体" w:cs="宋体"/>
                <w:sz w:val="24"/>
                <w:szCs w:val="24"/>
                <w:highlight w:val="yellow"/>
                <w:u w:val="single"/>
              </w:rPr>
              <w:t>2026</w:t>
            </w:r>
            <w:r>
              <w:rPr>
                <w:rFonts w:hint="eastAsia" w:hAnsi="宋体" w:eastAsia="宋体" w:cs="宋体"/>
                <w:sz w:val="24"/>
                <w:szCs w:val="24"/>
                <w:highlight w:val="yellow"/>
              </w:rPr>
              <w:t>年</w:t>
            </w:r>
            <w:r>
              <w:rPr>
                <w:rFonts w:hint="eastAsia" w:hAnsi="宋体" w:eastAsia="宋体" w:cs="宋体"/>
                <w:sz w:val="24"/>
                <w:szCs w:val="24"/>
                <w:highlight w:val="yellow"/>
                <w:lang w:val="en-US" w:eastAsia="zh-CN"/>
              </w:rPr>
              <w:t>7</w:t>
            </w:r>
            <w:r>
              <w:rPr>
                <w:rFonts w:hint="eastAsia" w:hAnsi="宋体" w:eastAsia="宋体" w:cs="宋体"/>
                <w:sz w:val="24"/>
                <w:szCs w:val="24"/>
                <w:highlight w:val="yellow"/>
              </w:rPr>
              <w:t>月</w:t>
            </w:r>
            <w:r>
              <w:rPr>
                <w:rFonts w:hint="eastAsia" w:hAnsi="宋体" w:eastAsia="宋体" w:cs="宋体"/>
                <w:sz w:val="24"/>
                <w:szCs w:val="24"/>
                <w:highlight w:val="yellow"/>
                <w:u w:val="single"/>
              </w:rPr>
              <w:t xml:space="preserve"> </w:t>
            </w:r>
            <w:r>
              <w:rPr>
                <w:rFonts w:hint="eastAsia" w:hAnsi="宋体" w:eastAsia="宋体" w:cs="宋体"/>
                <w:sz w:val="24"/>
                <w:szCs w:val="24"/>
                <w:highlight w:val="yellow"/>
                <w:u w:val="single"/>
                <w:lang w:val="en-US" w:eastAsia="zh-CN"/>
              </w:rPr>
              <w:t>26</w:t>
            </w:r>
            <w:r>
              <w:rPr>
                <w:rFonts w:hint="eastAsia" w:hAnsi="宋体" w:eastAsia="宋体" w:cs="宋体"/>
                <w:sz w:val="24"/>
                <w:szCs w:val="24"/>
                <w:highlight w:val="yellow"/>
              </w:rPr>
              <w:t>日下</w:t>
            </w:r>
            <w:r>
              <w:rPr>
                <w:rFonts w:hint="eastAsia" w:hAnsi="宋体" w:eastAsia="宋体" w:cs="宋体"/>
                <w:kern w:val="0"/>
                <w:sz w:val="24"/>
                <w:szCs w:val="24"/>
                <w:highlight w:val="yellow"/>
              </w:rPr>
              <w:t>午17</w:t>
            </w:r>
            <w:r>
              <w:rPr>
                <w:rFonts w:hint="eastAsia" w:hAnsi="宋体" w:eastAsia="宋体" w:cs="宋体"/>
                <w:sz w:val="24"/>
                <w:szCs w:val="24"/>
                <w:highlight w:val="yellow"/>
              </w:rPr>
              <w:t>:00:00（北京时间）</w:t>
            </w:r>
          </w:p>
          <w:p>
            <w:pPr>
              <w:pStyle w:val="18"/>
              <w:ind w:firstLine="482" w:firstLineChars="200"/>
              <w:rPr>
                <w:rFonts w:hint="eastAsia"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pPr>
              <w:tabs>
                <w:tab w:val="left" w:pos="932"/>
              </w:tabs>
              <w:ind w:firstLine="482" w:firstLineChars="200"/>
              <w:rPr>
                <w:rFonts w:hint="eastAsia" w:ascii="宋体" w:hAnsi="宋体" w:eastAsia="宋体" w:cs="宋体"/>
                <w:sz w:val="24"/>
                <w:szCs w:val="24"/>
                <w:highlight w:val="yellow"/>
              </w:rPr>
            </w:pPr>
            <w:r>
              <w:rPr>
                <w:rFonts w:hint="eastAsia" w:ascii="宋体" w:hAnsi="宋体" w:eastAsia="宋体" w:cs="宋体"/>
                <w:b/>
                <w:bCs/>
                <w:sz w:val="24"/>
                <w:szCs w:val="24"/>
                <w:highlight w:val="yellow"/>
              </w:rPr>
              <w:t>投标保证金的金额：</w:t>
            </w:r>
            <w:r>
              <w:rPr>
                <w:rFonts w:hint="eastAsia" w:ascii="宋体" w:hAnsi="宋体" w:eastAsia="宋体" w:cs="宋体"/>
                <w:sz w:val="24"/>
                <w:szCs w:val="24"/>
                <w:highlight w:val="yellow"/>
              </w:rPr>
              <w:t>人民币</w:t>
            </w:r>
            <w:r>
              <w:rPr>
                <w:rFonts w:hint="eastAsia" w:ascii="宋体" w:hAnsi="宋体" w:eastAsia="宋体" w:cs="宋体"/>
                <w:sz w:val="24"/>
                <w:szCs w:val="24"/>
                <w:highlight w:val="yellow"/>
                <w:lang w:val="en-US" w:eastAsia="zh-CN"/>
              </w:rPr>
              <w:t>20</w:t>
            </w:r>
            <w:r>
              <w:rPr>
                <w:rFonts w:hint="eastAsia" w:ascii="宋体" w:hAnsi="宋体" w:eastAsia="宋体" w:cs="宋体"/>
                <w:sz w:val="24"/>
                <w:szCs w:val="24"/>
                <w:highlight w:val="yellow"/>
              </w:rPr>
              <w:t>000元</w:t>
            </w:r>
          </w:p>
          <w:p>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单位名称：</w:t>
            </w:r>
            <w:r>
              <w:rPr>
                <w:rFonts w:ascii="宋体" w:hAnsi="宋体" w:eastAsia="宋体" w:cs="宋体"/>
                <w:sz w:val="24"/>
                <w:szCs w:val="24"/>
              </w:rPr>
              <w:t>中国重汽集团济南卡车股份有限公司</w:t>
            </w:r>
          </w:p>
          <w:p>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开户银行：</w:t>
            </w:r>
            <w:r>
              <w:rPr>
                <w:rFonts w:ascii="宋体" w:hAnsi="宋体" w:eastAsia="宋体" w:cs="宋体"/>
                <w:sz w:val="24"/>
                <w:szCs w:val="24"/>
              </w:rPr>
              <w:t>招商银行股份有限公司济南分行营业部</w:t>
            </w:r>
          </w:p>
          <w:p>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银行</w:t>
            </w:r>
            <w:r>
              <w:rPr>
                <w:rFonts w:hint="eastAsia" w:ascii="宋体" w:hAnsi="宋体" w:eastAsia="宋体" w:cs="宋体"/>
                <w:b/>
                <w:bCs/>
                <w:color w:val="000000"/>
                <w:kern w:val="0"/>
                <w:sz w:val="24"/>
                <w:szCs w:val="24"/>
                <w:highlight w:val="yellow"/>
                <w:lang w:eastAsia="zh-CN"/>
              </w:rPr>
              <w:t>账号</w:t>
            </w:r>
            <w:r>
              <w:rPr>
                <w:rFonts w:hint="eastAsia" w:ascii="宋体" w:hAnsi="宋体" w:eastAsia="宋体" w:cs="宋体"/>
                <w:b/>
                <w:bCs/>
                <w:color w:val="000000"/>
                <w:kern w:val="0"/>
                <w:sz w:val="24"/>
                <w:szCs w:val="24"/>
                <w:highlight w:val="yellow"/>
              </w:rPr>
              <w:t>：</w:t>
            </w:r>
            <w:r>
              <w:rPr>
                <w:rFonts w:ascii="宋体" w:hAnsi="宋体" w:eastAsia="宋体" w:cs="宋体"/>
                <w:sz w:val="24"/>
                <w:szCs w:val="24"/>
              </w:rPr>
              <w:t>531900051810601</w:t>
            </w:r>
          </w:p>
          <w:p>
            <w:pPr>
              <w:ind w:firstLine="482" w:firstLineChars="200"/>
              <w:rPr>
                <w:rFonts w:hint="eastAsia" w:ascii="宋体" w:hAnsi="宋体" w:eastAsia="宋体" w:cs="宋体"/>
                <w:sz w:val="24"/>
                <w:szCs w:val="24"/>
                <w:highlight w:val="yellow"/>
              </w:rPr>
            </w:pPr>
            <w:r>
              <w:rPr>
                <w:rFonts w:hint="eastAsia" w:ascii="宋体" w:hAnsi="宋体" w:eastAsia="宋体" w:cs="宋体"/>
                <w:b/>
                <w:bCs/>
                <w:color w:val="000000"/>
                <w:kern w:val="0"/>
                <w:sz w:val="24"/>
                <w:szCs w:val="24"/>
                <w:highlight w:val="yellow"/>
              </w:rPr>
              <w:t>联行号：</w:t>
            </w:r>
            <w:r>
              <w:rPr>
                <w:rFonts w:ascii="宋体" w:hAnsi="宋体" w:eastAsia="宋体" w:cs="宋体"/>
                <w:sz w:val="24"/>
                <w:szCs w:val="24"/>
              </w:rPr>
              <w:t>308451028020</w:t>
            </w:r>
          </w:p>
          <w:p>
            <w:pPr>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投标保证金应从投标人的基本账户转出至上述账户并到账，否则视为无效投标。</w:t>
            </w:r>
          </w:p>
          <w:p>
            <w:pPr>
              <w:ind w:firstLine="480" w:firstLineChars="200"/>
              <w:rPr>
                <w:rFonts w:hint="eastAsia" w:ascii="宋体" w:hAnsi="宋体" w:eastAsia="宋体" w:cs="宋体"/>
                <w:sz w:val="24"/>
                <w:szCs w:val="24"/>
                <w:highlight w:val="cyan"/>
              </w:rPr>
            </w:pPr>
            <w:r>
              <w:rPr>
                <w:rFonts w:hint="eastAsia" w:eastAsia="宋体" w:cs="Times New Roman"/>
                <w:sz w:val="24"/>
                <w:szCs w:val="28"/>
                <w:highlight w:val="yellow"/>
              </w:rPr>
              <w:t>转账附言：公司名称+项目名称+投标保证金。（严格按照此格式备注）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pPr>
              <w:pStyle w:val="38"/>
              <w:spacing w:after="0" w:line="240" w:lineRule="auto"/>
              <w:ind w:left="0" w:leftChars="0" w:firstLine="482"/>
              <w:rPr>
                <w:rFonts w:hint="eastAsia" w:ascii="宋体" w:hAnsi="宋体" w:cs="宋体"/>
                <w:sz w:val="24"/>
                <w:szCs w:val="24"/>
              </w:rPr>
            </w:pPr>
            <w:r>
              <w:rPr>
                <w:rFonts w:hint="eastAsia" w:ascii="宋体" w:hAnsi="宋体" w:cs="宋体"/>
                <w:b/>
                <w:bCs/>
                <w:sz w:val="24"/>
                <w:szCs w:val="24"/>
                <w:highlight w:val="none"/>
              </w:rPr>
              <w:t>保证金缴纳截止时间：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rPr>
              <w:t>6年</w:t>
            </w:r>
            <w:r>
              <w:rPr>
                <w:rFonts w:hint="eastAsia" w:ascii="宋体" w:hAnsi="宋体" w:cs="宋体"/>
                <w:sz w:val="24"/>
                <w:szCs w:val="24"/>
                <w:highlight w:val="yellow"/>
                <w:lang w:val="en-US" w:eastAsia="zh-CN"/>
              </w:rPr>
              <w:t>7</w:t>
            </w:r>
            <w:r>
              <w:rPr>
                <w:rFonts w:hint="eastAsia" w:ascii="宋体" w:hAnsi="宋体" w:cs="宋体"/>
                <w:sz w:val="24"/>
                <w:szCs w:val="24"/>
                <w:highlight w:val="yellow"/>
              </w:rPr>
              <w:t>月</w:t>
            </w:r>
            <w:r>
              <w:rPr>
                <w:rFonts w:hint="eastAsia" w:ascii="宋体" w:hAnsi="宋体" w:cs="宋体"/>
                <w:sz w:val="24"/>
                <w:szCs w:val="24"/>
                <w:highlight w:val="yellow"/>
                <w:lang w:val="en-US" w:eastAsia="zh-CN"/>
              </w:rPr>
              <w:t>26</w:t>
            </w:r>
            <w:r>
              <w:rPr>
                <w:rFonts w:hint="eastAsia" w:ascii="宋体" w:hAnsi="宋体" w:cs="宋体"/>
                <w:sz w:val="24"/>
                <w:szCs w:val="24"/>
                <w:highlight w:val="yellow"/>
              </w:rPr>
              <w:t>日1</w:t>
            </w:r>
            <w:r>
              <w:rPr>
                <w:rFonts w:ascii="宋体" w:hAnsi="宋体" w:cs="宋体"/>
                <w:sz w:val="24"/>
                <w:szCs w:val="24"/>
                <w:highlight w:val="yellow"/>
              </w:rPr>
              <w:t>7</w:t>
            </w:r>
            <w:r>
              <w:rPr>
                <w:rFonts w:hint="eastAsia" w:ascii="宋体" w:hAnsi="宋体" w:cs="宋体"/>
                <w:sz w:val="24"/>
                <w:szCs w:val="24"/>
                <w:highlight w:val="yellow"/>
              </w:rPr>
              <w:t>：</w:t>
            </w:r>
            <w:r>
              <w:rPr>
                <w:rFonts w:ascii="宋体" w:hAnsi="宋体" w:cs="宋体"/>
                <w:sz w:val="24"/>
                <w:szCs w:val="24"/>
                <w:highlight w:val="yellow"/>
              </w:rPr>
              <w:t>0</w:t>
            </w:r>
            <w:r>
              <w:rPr>
                <w:rFonts w:hint="eastAsia" w:ascii="宋体" w:hAnsi="宋体" w:cs="宋体"/>
                <w:sz w:val="24"/>
                <w:szCs w:val="24"/>
                <w:highlight w:val="yellow"/>
              </w:rPr>
              <w:t>0前</w:t>
            </w:r>
          </w:p>
          <w:p>
            <w:pPr>
              <w:pStyle w:val="38"/>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w:t>
            </w:r>
            <w:r>
              <w:rPr>
                <w:rFonts w:hint="eastAsia" w:ascii="宋体" w:hAnsi="宋体" w:cs="宋体"/>
                <w:sz w:val="24"/>
                <w:szCs w:val="24"/>
                <w:lang w:val="en-US" w:eastAsia="zh-CN"/>
              </w:rPr>
              <w:t>账</w:t>
            </w:r>
            <w:r>
              <w:rPr>
                <w:rFonts w:hint="eastAsia" w:ascii="宋体" w:hAnsi="宋体" w:cs="宋体"/>
                <w:sz w:val="24"/>
                <w:szCs w:val="24"/>
              </w:rPr>
              <w:t>的责任由供应商自行承担。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pPr>
              <w:pStyle w:val="38"/>
              <w:spacing w:after="0" w:line="240" w:lineRule="auto"/>
              <w:ind w:left="0" w:leftChars="0" w:firstLine="480"/>
              <w:rPr>
                <w:rFonts w:hint="eastAsia"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对于没有中标的投标人，投标保证金将于招标人内部完成中标人评审并确认最终中标人后在30工作日内予以原路返还（无息）；对于中标方，投标保证金将在签订合同后30个工作日内原路返还（无息）。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highlight w:val="none"/>
              </w:rPr>
              <w:t>开标时间：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rPr>
              <w:t>6年</w:t>
            </w:r>
            <w:r>
              <w:rPr>
                <w:rFonts w:hint="eastAsia" w:ascii="宋体" w:hAnsi="宋体" w:cs="宋体"/>
                <w:sz w:val="24"/>
                <w:szCs w:val="24"/>
                <w:highlight w:val="yellow"/>
                <w:lang w:val="en-US" w:eastAsia="zh-CN"/>
              </w:rPr>
              <w:t>7</w:t>
            </w:r>
            <w:r>
              <w:rPr>
                <w:rFonts w:hint="eastAsia" w:ascii="宋体" w:hAnsi="宋体" w:cs="宋体"/>
                <w:sz w:val="24"/>
                <w:szCs w:val="24"/>
                <w:highlight w:val="yellow"/>
              </w:rPr>
              <w:t xml:space="preserve">月 </w:t>
            </w:r>
            <w:r>
              <w:rPr>
                <w:rFonts w:hint="eastAsia" w:ascii="宋体" w:hAnsi="宋体" w:cs="宋体"/>
                <w:sz w:val="24"/>
                <w:szCs w:val="24"/>
                <w:highlight w:val="yellow"/>
                <w:lang w:val="en-US" w:eastAsia="zh-CN"/>
              </w:rPr>
              <w:t>27</w:t>
            </w:r>
            <w:r>
              <w:rPr>
                <w:rFonts w:hint="eastAsia" w:ascii="宋体" w:hAnsi="宋体" w:cs="宋体"/>
                <w:sz w:val="24"/>
                <w:szCs w:val="24"/>
                <w:highlight w:val="yellow"/>
              </w:rPr>
              <w:t>日9:</w:t>
            </w:r>
            <w:r>
              <w:rPr>
                <w:rFonts w:ascii="宋体" w:hAnsi="宋体" w:cs="宋体"/>
                <w:sz w:val="24"/>
                <w:szCs w:val="24"/>
                <w:highlight w:val="yellow"/>
              </w:rPr>
              <w:t>0</w:t>
            </w:r>
            <w:r>
              <w:rPr>
                <w:rFonts w:hint="eastAsia" w:ascii="宋体" w:hAnsi="宋体" w:cs="宋体"/>
                <w:sz w:val="24"/>
                <w:szCs w:val="24"/>
                <w:highlight w:val="yellow"/>
              </w:rPr>
              <w:t>0:00</w:t>
            </w:r>
            <w:r>
              <w:rPr>
                <w:rFonts w:hint="eastAsia" w:ascii="宋体" w:hAnsi="宋体" w:eastAsia="宋体" w:cs="宋体"/>
                <w:kern w:val="0"/>
                <w:sz w:val="24"/>
                <w:szCs w:val="24"/>
                <w:highlight w:val="yellow"/>
              </w:rPr>
              <w:t>。（暂定，具体时间地点另行通知）</w:t>
            </w:r>
          </w:p>
          <w:p>
            <w:pPr>
              <w:ind w:firstLine="482" w:firstLineChars="200"/>
              <w:rPr>
                <w:rFonts w:hint="eastAsia" w:ascii="宋体" w:hAnsi="宋体" w:eastAsia="宋体" w:cs="宋体"/>
                <w:sz w:val="24"/>
                <w:szCs w:val="24"/>
              </w:rPr>
            </w:pPr>
            <w:r>
              <w:rPr>
                <w:rFonts w:hint="eastAsia" w:ascii="宋体" w:hAnsi="宋体" w:eastAsia="宋体" w:cs="宋体"/>
                <w:b/>
                <w:bCs/>
                <w:sz w:val="24"/>
                <w:szCs w:val="24"/>
                <w:highlight w:val="none"/>
              </w:rPr>
              <w:t>开标地点：</w:t>
            </w:r>
            <w:r>
              <w:rPr>
                <w:rFonts w:hint="eastAsia" w:ascii="宋体" w:hAnsi="宋体" w:eastAsia="宋体" w:cs="宋体"/>
                <w:sz w:val="24"/>
                <w:szCs w:val="24"/>
                <w:highlight w:val="yellow"/>
              </w:rPr>
              <w:t>济南市</w:t>
            </w:r>
            <w:r>
              <w:rPr>
                <w:rFonts w:hint="eastAsia" w:ascii="宋体" w:hAnsi="宋体" w:eastAsia="宋体" w:cs="Times New Roman"/>
                <w:color w:val="000000"/>
                <w:sz w:val="24"/>
                <w:szCs w:val="24"/>
                <w:highlight w:val="yellow"/>
              </w:rPr>
              <w:t>莱芜区莱城大道</w:t>
            </w:r>
            <w:r>
              <w:rPr>
                <w:rFonts w:hint="eastAsia" w:ascii="宋体" w:hAnsi="宋体" w:eastAsia="宋体" w:cs="宋体"/>
                <w:sz w:val="24"/>
                <w:szCs w:val="24"/>
                <w:highlight w:val="yellow"/>
              </w:rPr>
              <w:t>777号办公楼三楼会议室</w:t>
            </w:r>
            <w:r>
              <w:rPr>
                <w:rFonts w:hint="eastAsia" w:ascii="宋体" w:hAnsi="宋体" w:eastAsia="宋体" w:cs="宋体"/>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pPr>
              <w:pStyle w:val="12"/>
              <w:ind w:firstLine="482" w:firstLineChars="200"/>
              <w:rPr>
                <w:rFonts w:hint="eastAsia" w:ascii="宋体" w:hAnsi="宋体" w:eastAsia="宋体" w:cs="宋体"/>
                <w:sz w:val="24"/>
                <w:szCs w:val="24"/>
              </w:rPr>
            </w:pPr>
            <w:r>
              <w:rPr>
                <w:rFonts w:hint="eastAsia" w:ascii="宋体" w:hAnsi="宋体" w:eastAsia="宋体" w:cs="宋体"/>
                <w:b/>
                <w:bCs/>
                <w:sz w:val="24"/>
                <w:szCs w:val="24"/>
              </w:rPr>
              <w:t>评标方法：资质标审核→唱标→综合评标。</w:t>
            </w:r>
            <w:r>
              <w:rPr>
                <w:rFonts w:hint="eastAsia" w:ascii="宋体" w:hAnsi="宋体" w:eastAsia="宋体" w:cs="宋体"/>
                <w:sz w:val="24"/>
                <w:szCs w:val="24"/>
              </w:rPr>
              <w:t>具体详见“第二部分投标须知第六条：评标原则”。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6.合同签订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pPr>
              <w:pStyle w:val="18"/>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交货期：</w:t>
            </w:r>
          </w:p>
          <w:p>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自接到中标通知日起，</w:t>
            </w:r>
            <w:r>
              <w:rPr>
                <w:rFonts w:hint="eastAsia" w:hAnsi="宋体" w:eastAsia="宋体" w:cs="宋体"/>
                <w:color w:val="000000"/>
                <w:sz w:val="24"/>
                <w:szCs w:val="24"/>
                <w:highlight w:val="yellow"/>
                <w:lang w:val="en-US" w:eastAsia="zh-CN"/>
              </w:rPr>
              <w:t>4</w:t>
            </w:r>
            <w:r>
              <w:rPr>
                <w:rFonts w:hint="eastAsia" w:hAnsi="宋体" w:eastAsia="宋体" w:cs="宋体"/>
                <w:color w:val="000000"/>
                <w:sz w:val="24"/>
                <w:szCs w:val="24"/>
                <w:highlight w:val="yellow"/>
              </w:rPr>
              <w:t>个月内</w:t>
            </w:r>
            <w:r>
              <w:rPr>
                <w:rFonts w:hint="eastAsia" w:hAnsi="宋体" w:eastAsia="宋体" w:cs="宋体"/>
                <w:color w:val="000000"/>
                <w:sz w:val="24"/>
                <w:szCs w:val="24"/>
              </w:rPr>
              <w:t>完成现场安装调试及培训服务</w:t>
            </w:r>
            <w:r>
              <w:rPr>
                <w:rFonts w:hint="eastAsia" w:hAnsi="宋体" w:eastAsia="宋体" w:cs="宋体"/>
                <w:color w:val="000000"/>
                <w:sz w:val="24"/>
                <w:szCs w:val="24"/>
                <w:lang w:eastAsia="zh-CN"/>
              </w:rPr>
              <w:t>，</w:t>
            </w:r>
            <w:r>
              <w:rPr>
                <w:rFonts w:hint="eastAsia" w:hAnsi="宋体" w:eastAsia="宋体" w:cs="宋体"/>
                <w:color w:val="000000"/>
                <w:sz w:val="24"/>
                <w:szCs w:val="24"/>
              </w:rPr>
              <w:t>投标人应当随标书提供详细的工期计划。</w:t>
            </w:r>
          </w:p>
          <w:p>
            <w:pPr>
              <w:pStyle w:val="18"/>
              <w:ind w:firstLine="482" w:firstLineChars="200"/>
              <w:rPr>
                <w:rFonts w:hint="eastAsia" w:hAnsi="宋体" w:eastAsia="宋体" w:cs="宋体"/>
                <w:color w:val="000000"/>
                <w:sz w:val="24"/>
                <w:szCs w:val="24"/>
              </w:rPr>
            </w:pPr>
            <w:r>
              <w:rPr>
                <w:rFonts w:hint="eastAsia" w:hAnsi="宋体" w:eastAsia="宋体" w:cs="宋体"/>
                <w:b/>
                <w:bCs/>
                <w:color w:val="000000"/>
                <w:sz w:val="24"/>
                <w:szCs w:val="24"/>
                <w:highlight w:val="cyan"/>
                <w:lang w:val="en-US" w:eastAsia="zh-CN"/>
              </w:rPr>
              <w:t>说明</w:t>
            </w:r>
            <w:r>
              <w:rPr>
                <w:rFonts w:hint="eastAsia" w:hAnsi="宋体" w:eastAsia="宋体" w:cs="宋体"/>
                <w:b/>
                <w:bCs/>
                <w:color w:val="000000"/>
                <w:sz w:val="24"/>
                <w:szCs w:val="24"/>
                <w:highlight w:val="cyan"/>
              </w:rPr>
              <w:t>：以投标人承诺的交货期为准，交货期越短，该项评审得分越高。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pPr>
              <w:pStyle w:val="18"/>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pPr>
              <w:widowControl/>
              <w:ind w:firstLine="482" w:firstLineChars="200"/>
              <w:jc w:val="left"/>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ascii="宋体" w:hAnsi="宋体" w:eastAsia="宋体" w:cs="宋体"/>
                <w:color w:val="000000"/>
                <w:sz w:val="24"/>
                <w:szCs w:val="24"/>
                <w:highlight w:val="yellow"/>
                <w:u w:val="single"/>
              </w:rPr>
              <w:t>济南卡车制造公司</w:t>
            </w:r>
            <w:r>
              <w:rPr>
                <w:rFonts w:hint="eastAsia" w:ascii="宋体" w:hAnsi="宋体" w:eastAsia="宋体" w:cs="宋体"/>
                <w:color w:val="000000"/>
                <w:sz w:val="24"/>
                <w:szCs w:val="24"/>
                <w:highlight w:val="yellow"/>
                <w:u w:val="single"/>
                <w:lang w:val="en-US" w:eastAsia="zh-CN"/>
              </w:rPr>
              <w:t>党家庄厂区总三</w:t>
            </w:r>
            <w:r>
              <w:rPr>
                <w:rFonts w:hint="eastAsia" w:ascii="宋体" w:hAnsi="宋体" w:eastAsia="宋体" w:cs="宋体"/>
                <w:color w:val="000000"/>
                <w:sz w:val="24"/>
                <w:szCs w:val="24"/>
                <w:highlight w:val="yellow"/>
                <w:u w:val="single"/>
              </w:rPr>
              <w:t>车间</w:t>
            </w:r>
            <w:r>
              <w:rPr>
                <w:rFonts w:hint="eastAsia" w:ascii="宋体" w:hAnsi="宋体" w:eastAsia="宋体" w:cs="宋体"/>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pPr>
              <w:pStyle w:val="12"/>
              <w:ind w:firstLine="482" w:firstLineChars="200"/>
              <w:rPr>
                <w:rFonts w:hint="eastAsia" w:ascii="宋体" w:hAnsi="宋体" w:eastAsia="宋体" w:cs="宋体"/>
                <w:sz w:val="24"/>
                <w:szCs w:val="24"/>
              </w:rPr>
            </w:pPr>
            <w:r>
              <w:rPr>
                <w:rFonts w:hint="eastAsia" w:ascii="宋体" w:hAnsi="宋体" w:eastAsia="宋体" w:cs="宋体"/>
                <w:b/>
                <w:sz w:val="24"/>
                <w:szCs w:val="24"/>
              </w:rPr>
              <w:t>质保期：自设备验收文件最终签署之日起</w:t>
            </w:r>
            <w:r>
              <w:rPr>
                <w:rFonts w:hint="eastAsia" w:ascii="宋体" w:hAnsi="宋体" w:eastAsia="宋体" w:cs="宋体"/>
                <w:b/>
                <w:sz w:val="24"/>
                <w:szCs w:val="24"/>
                <w:highlight w:val="yellow"/>
                <w:u w:val="single"/>
              </w:rPr>
              <w:t>1</w:t>
            </w:r>
            <w:r>
              <w:rPr>
                <w:rFonts w:hint="eastAsia" w:ascii="宋体" w:hAnsi="宋体" w:eastAsia="宋体" w:cs="宋体"/>
                <w:b/>
                <w:sz w:val="24"/>
                <w:szCs w:val="24"/>
                <w:highlight w:val="yellow"/>
              </w:rPr>
              <w:t>年</w:t>
            </w:r>
            <w:r>
              <w:rPr>
                <w:rFonts w:hint="eastAsia" w:ascii="宋体" w:hAnsi="宋体" w:eastAsia="宋体" w:cs="宋体"/>
                <w:b/>
                <w:sz w:val="24"/>
                <w:szCs w:val="24"/>
              </w:rPr>
              <w:t>。</w:t>
            </w:r>
            <w:r>
              <w:rPr>
                <w:rFonts w:hint="eastAsia" w:ascii="宋体" w:hAnsi="宋体" w:eastAsia="宋体" w:cs="宋体"/>
                <w:b/>
                <w:bCs/>
                <w:sz w:val="24"/>
                <w:szCs w:val="24"/>
              </w:rPr>
              <w:t>（投标人可在满足上述最短质保期基础上竞报）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pPr>
              <w:pStyle w:val="18"/>
              <w:ind w:firstLine="482" w:firstLineChars="200"/>
              <w:rPr>
                <w:rFonts w:hint="eastAsia" w:hAnsi="宋体" w:eastAsia="宋体" w:cs="宋体"/>
                <w:color w:val="000000"/>
                <w:sz w:val="24"/>
                <w:szCs w:val="24"/>
                <w:highlight w:val="yellow"/>
              </w:rPr>
            </w:pPr>
            <w:r>
              <w:rPr>
                <w:rFonts w:hint="eastAsia" w:hAnsi="宋体" w:eastAsia="宋体" w:cs="宋体"/>
                <w:b/>
                <w:bCs/>
                <w:color w:val="000000"/>
                <w:sz w:val="24"/>
                <w:szCs w:val="24"/>
              </w:rPr>
              <w:t>付款方式：</w:t>
            </w:r>
            <w:r>
              <w:rPr>
                <w:rFonts w:hint="eastAsia" w:hAnsi="宋体" w:eastAsia="宋体" w:cs="宋体"/>
                <w:b/>
                <w:bCs/>
                <w:color w:val="000000"/>
                <w:sz w:val="24"/>
                <w:szCs w:val="24"/>
                <w:highlight w:val="yellow"/>
                <w:u w:val="single"/>
              </w:rPr>
              <w:t>半年期商业汇票（包括银行承兑汇票和商业承兑汇票）</w:t>
            </w:r>
            <w:r>
              <w:rPr>
                <w:rFonts w:hint="eastAsia" w:hAnsi="宋体" w:eastAsia="宋体" w:cs="宋体"/>
                <w:color w:val="000000"/>
                <w:sz w:val="24"/>
                <w:szCs w:val="24"/>
                <w:highlight w:val="yellow"/>
              </w:rPr>
              <w:t>：</w:t>
            </w:r>
          </w:p>
          <w:p>
            <w:pPr>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lang w:val="en-US" w:eastAsia="zh-CN"/>
              </w:rPr>
              <w:t>(1</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rPr>
              <w:t>合同生效设备全部到齐无质量问题通过买方初步验收后, 卖方提交金额为合同含税价款</w:t>
            </w:r>
            <w:r>
              <w:rPr>
                <w:rFonts w:hint="eastAsia" w:ascii="宋体" w:hAnsi="宋体" w:eastAsia="宋体" w:cs="宋体"/>
                <w:b/>
                <w:bCs/>
                <w:color w:val="000000"/>
                <w:sz w:val="24"/>
                <w:szCs w:val="24"/>
                <w:highlight w:val="yellow"/>
                <w:lang w:val="en-US" w:eastAsia="zh-CN"/>
              </w:rPr>
              <w:t>30</w:t>
            </w:r>
            <w:r>
              <w:rPr>
                <w:rFonts w:hint="eastAsia" w:ascii="宋体" w:hAnsi="宋体" w:eastAsia="宋体" w:cs="宋体"/>
                <w:b/>
                <w:bCs/>
                <w:color w:val="000000"/>
                <w:sz w:val="24"/>
                <w:szCs w:val="24"/>
                <w:highlight w:val="yellow"/>
              </w:rPr>
              <w:t>%</w:t>
            </w:r>
            <w:r>
              <w:rPr>
                <w:rFonts w:hint="eastAsia" w:ascii="宋体" w:hAnsi="宋体" w:eastAsia="宋体" w:cs="宋体"/>
                <w:color w:val="000000"/>
                <w:sz w:val="24"/>
                <w:szCs w:val="24"/>
                <w:highlight w:val="yellow"/>
              </w:rPr>
              <w:t>的收据及合同全额</w:t>
            </w:r>
            <w:r>
              <w:rPr>
                <w:rFonts w:hint="eastAsia" w:ascii="宋体" w:hAnsi="宋体" w:eastAsia="宋体" w:cs="宋体"/>
                <w:color w:val="000000"/>
                <w:sz w:val="24"/>
                <w:szCs w:val="24"/>
                <w:highlight w:val="yellow"/>
                <w:lang w:val="en-US" w:eastAsia="zh-CN"/>
              </w:rPr>
              <w:t>30%</w:t>
            </w:r>
            <w:r>
              <w:rPr>
                <w:rFonts w:hint="eastAsia" w:ascii="宋体" w:hAnsi="宋体" w:eastAsia="宋体" w:cs="宋体"/>
                <w:color w:val="000000"/>
                <w:sz w:val="24"/>
                <w:szCs w:val="24"/>
                <w:highlight w:val="yellow"/>
              </w:rPr>
              <w:t>增值税专用发票（税率为</w:t>
            </w:r>
            <w:r>
              <w:rPr>
                <w:rFonts w:hint="eastAsia" w:ascii="宋体" w:hAnsi="宋体" w:eastAsia="宋体" w:cs="宋体"/>
                <w:color w:val="000000"/>
                <w:sz w:val="24"/>
                <w:szCs w:val="24"/>
                <w:highlight w:val="yellow"/>
                <w:lang w:val="en-US" w:eastAsia="zh-CN"/>
              </w:rPr>
              <w:t>13</w:t>
            </w:r>
            <w:r>
              <w:rPr>
                <w:rFonts w:hint="eastAsia" w:ascii="宋体" w:hAnsi="宋体" w:eastAsia="宋体" w:cs="宋体"/>
                <w:color w:val="000000"/>
                <w:sz w:val="24"/>
                <w:szCs w:val="24"/>
                <w:highlight w:val="yellow"/>
              </w:rPr>
              <w:t xml:space="preserve"> %，正本一份，复印件二份），经买方依照财务制度审核无误后支付。</w:t>
            </w:r>
          </w:p>
          <w:p>
            <w:pPr>
              <w:ind w:firstLine="480" w:firstLineChars="200"/>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2</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rPr>
              <w:t>设备全部到齐无质量问题，经安装、调试最终验收合格后，卖方提交金额为合同含税价款</w:t>
            </w:r>
            <w:r>
              <w:rPr>
                <w:rFonts w:hint="eastAsia" w:ascii="宋体" w:hAnsi="宋体" w:eastAsia="宋体" w:cs="宋体"/>
                <w:b/>
                <w:bCs/>
                <w:color w:val="000000"/>
                <w:sz w:val="24"/>
                <w:szCs w:val="24"/>
                <w:highlight w:val="yellow"/>
                <w:lang w:val="en-US" w:eastAsia="zh-CN"/>
              </w:rPr>
              <w:t>60</w:t>
            </w:r>
            <w:r>
              <w:rPr>
                <w:rFonts w:hint="eastAsia" w:ascii="宋体" w:hAnsi="宋体" w:eastAsia="宋体" w:cs="宋体"/>
                <w:b/>
                <w:bCs/>
                <w:color w:val="000000"/>
                <w:sz w:val="24"/>
                <w:szCs w:val="24"/>
                <w:highlight w:val="yellow"/>
              </w:rPr>
              <w:t xml:space="preserve"> %</w:t>
            </w:r>
            <w:r>
              <w:rPr>
                <w:rFonts w:hint="eastAsia" w:ascii="宋体" w:hAnsi="宋体" w:eastAsia="宋体" w:cs="宋体"/>
                <w:color w:val="000000"/>
                <w:sz w:val="24"/>
                <w:szCs w:val="24"/>
                <w:highlight w:val="yellow"/>
              </w:rPr>
              <w:t>的收据及合同全额</w:t>
            </w:r>
            <w:r>
              <w:rPr>
                <w:rFonts w:hint="eastAsia" w:ascii="宋体" w:hAnsi="宋体" w:eastAsia="宋体" w:cs="宋体"/>
                <w:color w:val="000000"/>
                <w:sz w:val="24"/>
                <w:szCs w:val="24"/>
                <w:highlight w:val="yellow"/>
                <w:lang w:val="en-US" w:eastAsia="zh-CN"/>
              </w:rPr>
              <w:t>70%</w:t>
            </w:r>
            <w:r>
              <w:rPr>
                <w:rFonts w:hint="eastAsia" w:ascii="宋体" w:hAnsi="宋体" w:eastAsia="宋体" w:cs="宋体"/>
                <w:color w:val="000000"/>
                <w:sz w:val="24"/>
                <w:szCs w:val="24"/>
                <w:highlight w:val="yellow"/>
              </w:rPr>
              <w:t>增值税专用发票（税率为</w:t>
            </w:r>
            <w:r>
              <w:rPr>
                <w:rFonts w:hint="eastAsia" w:ascii="宋体" w:hAnsi="宋体" w:eastAsia="宋体" w:cs="宋体"/>
                <w:color w:val="000000"/>
                <w:sz w:val="24"/>
                <w:szCs w:val="24"/>
                <w:highlight w:val="yellow"/>
                <w:lang w:val="en-US" w:eastAsia="zh-CN"/>
              </w:rPr>
              <w:t>13</w:t>
            </w:r>
            <w:r>
              <w:rPr>
                <w:rFonts w:hint="eastAsia" w:ascii="宋体" w:hAnsi="宋体" w:eastAsia="宋体" w:cs="宋体"/>
                <w:color w:val="000000"/>
                <w:sz w:val="24"/>
                <w:szCs w:val="24"/>
                <w:highlight w:val="yellow"/>
              </w:rPr>
              <w:t xml:space="preserve"> %，正本一份，复印件二份）并附带该套合同设备最终验收报告的原件及其复印件两份，经买方依照财务制度审核无误后支付</w:t>
            </w:r>
            <w:r>
              <w:rPr>
                <w:rFonts w:hint="eastAsia" w:ascii="宋体" w:hAnsi="宋体" w:eastAsia="宋体" w:cs="宋体"/>
                <w:color w:val="000000"/>
                <w:sz w:val="24"/>
                <w:szCs w:val="24"/>
                <w:highlight w:val="yellow"/>
                <w:lang w:eastAsia="zh-CN"/>
              </w:rPr>
              <w:t>。</w:t>
            </w:r>
          </w:p>
          <w:p>
            <w:pPr>
              <w:ind w:firstLine="480" w:firstLineChars="200"/>
              <w:rPr>
                <w:rFonts w:hint="eastAsia" w:ascii="宋体" w:hAnsi="宋体" w:eastAsia="宋体" w:cs="宋体"/>
                <w:sz w:val="24"/>
                <w:szCs w:val="24"/>
              </w:rPr>
            </w:pP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3</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rPr>
              <w:t>合同含税总价款的</w:t>
            </w:r>
            <w:r>
              <w:rPr>
                <w:rFonts w:hint="eastAsia" w:ascii="宋体" w:hAnsi="宋体" w:eastAsia="宋体" w:cs="宋体"/>
                <w:b/>
                <w:bCs/>
                <w:color w:val="000000"/>
                <w:sz w:val="24"/>
                <w:szCs w:val="24"/>
                <w:highlight w:val="yellow"/>
              </w:rPr>
              <w:t xml:space="preserve"> 10 %</w:t>
            </w:r>
            <w:r>
              <w:rPr>
                <w:rFonts w:hint="eastAsia" w:ascii="宋体" w:hAnsi="宋体" w:eastAsia="宋体" w:cs="宋体"/>
                <w:color w:val="000000"/>
                <w:sz w:val="24"/>
                <w:szCs w:val="24"/>
                <w:highlight w:val="yellow"/>
              </w:rPr>
              <w:t>作为本合同约定设备的质量保证金，质量保证金在质量保证期内不计利息。待每套合同设备质量保证期满后，卖方向买方提交金额为合同价款10%的收据（正本一份，复印件二份）及设备使用单位的使用情况说明，经买方依照财务制度审核无误后支付。如有质量问题，质量保证金予以相应扣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2" w:firstLineChars="200"/>
              <w:rPr>
                <w:rFonts w:hint="eastAsia" w:ascii="宋体" w:hAnsi="宋体" w:eastAsia="宋体" w:cs="宋体"/>
                <w:b/>
                <w:color w:val="000000"/>
                <w:sz w:val="24"/>
                <w:szCs w:val="24"/>
                <w:highlight w:val="yellow"/>
              </w:rPr>
            </w:pPr>
            <w:r>
              <w:rPr>
                <w:rFonts w:hint="eastAsia" w:ascii="宋体" w:hAnsi="宋体" w:eastAsia="宋体" w:cs="宋体"/>
                <w:b/>
                <w:color w:val="000000"/>
                <w:sz w:val="24"/>
                <w:szCs w:val="24"/>
                <w:highlight w:val="yellow"/>
              </w:rPr>
              <w:t>增值税专用发票开票信息：</w:t>
            </w:r>
          </w:p>
          <w:p>
            <w:pPr>
              <w:ind w:firstLine="480" w:firstLineChars="200"/>
              <w:rPr>
                <w:rFonts w:hint="eastAsia" w:ascii="宋体" w:hAnsi="宋体" w:cs="宋体"/>
                <w:bCs/>
                <w:sz w:val="24"/>
                <w:szCs w:val="24"/>
              </w:rPr>
            </w:pPr>
            <w:r>
              <w:rPr>
                <w:rFonts w:hint="eastAsia" w:ascii="宋体" w:hAnsi="宋体" w:eastAsia="宋体" w:cs="宋体"/>
                <w:color w:val="000000"/>
                <w:sz w:val="24"/>
                <w:szCs w:val="24"/>
                <w:highlight w:val="yellow"/>
              </w:rPr>
              <w:t>详见合同签订信息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pStyle w:val="12"/>
              <w:jc w:val="center"/>
              <w:rPr>
                <w:rFonts w:hint="eastAsia" w:ascii="宋体" w:hAnsi="宋体" w:eastAsia="宋体" w:cs="宋体"/>
                <w:sz w:val="24"/>
                <w:szCs w:val="24"/>
              </w:rPr>
            </w:pPr>
            <w:r>
              <w:rPr>
                <w:rFonts w:hint="eastAsia" w:ascii="宋体" w:hAnsi="宋体" w:eastAsia="宋体" w:cs="宋体"/>
                <w:b/>
                <w:bCs/>
                <w:sz w:val="24"/>
                <w:szCs w:val="24"/>
              </w:rPr>
              <w:t>8.其它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pPr>
              <w:pStyle w:val="12"/>
              <w:ind w:firstLine="480" w:firstLineChars="200"/>
              <w:rPr>
                <w:rFonts w:hint="eastAsia"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hint="eastAsia"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pPr>
              <w:pStyle w:val="12"/>
              <w:ind w:firstLine="480" w:firstLineChars="200"/>
              <w:rPr>
                <w:rFonts w:hint="eastAsia" w:ascii="宋体" w:hAnsi="宋体" w:eastAsia="宋体" w:cs="宋体"/>
                <w:sz w:val="24"/>
                <w:szCs w:val="24"/>
              </w:rPr>
            </w:pPr>
            <w:r>
              <w:rPr>
                <w:rFonts w:hint="eastAsia" w:ascii="宋体" w:hAnsi="宋体" w:eastAsia="宋体" w:cs="宋体"/>
                <w:sz w:val="24"/>
                <w:szCs w:val="24"/>
              </w:rPr>
              <w:t>中标方应在合同签订后</w:t>
            </w:r>
            <w:r>
              <w:rPr>
                <w:rFonts w:hint="eastAsia" w:ascii="宋体" w:hAnsi="宋体" w:eastAsia="宋体" w:cs="宋体"/>
                <w:sz w:val="24"/>
                <w:szCs w:val="24"/>
                <w:highlight w:val="yellow"/>
              </w:rPr>
              <w:t>10</w:t>
            </w:r>
            <w:r>
              <w:rPr>
                <w:rFonts w:hint="eastAsia" w:ascii="宋体" w:hAnsi="宋体" w:eastAsia="宋体" w:cs="宋体"/>
                <w:sz w:val="24"/>
                <w:szCs w:val="24"/>
              </w:rPr>
              <w:t>日内需根据设计</w:t>
            </w:r>
            <w:r>
              <w:rPr>
                <w:rStyle w:val="45"/>
                <w:rFonts w:hint="eastAsia" w:ascii="宋体" w:hAnsi="宋体" w:eastAsia="宋体" w:cs="宋体"/>
                <w:sz w:val="24"/>
                <w:szCs w:val="24"/>
              </w:rPr>
              <w:t>提资</w:t>
            </w:r>
            <w:r>
              <w:rPr>
                <w:rFonts w:hint="eastAsia" w:ascii="宋体" w:hAnsi="宋体" w:eastAsia="宋体" w:cs="宋体"/>
                <w:sz w:val="24"/>
                <w:szCs w:val="24"/>
              </w:rPr>
              <w:t>要求提供详细的</w:t>
            </w:r>
            <w:r>
              <w:rPr>
                <w:rStyle w:val="45"/>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5"/>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5"/>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pPr>
        <w:pStyle w:val="18"/>
        <w:jc w:val="center"/>
        <w:outlineLvl w:val="0"/>
        <w:rPr>
          <w:rFonts w:ascii="Calibri" w:hAnsi="Calibri" w:eastAsia="宋体" w:cs="Times New Roman"/>
          <w:b/>
          <w:bCs/>
          <w:kern w:val="44"/>
          <w:sz w:val="36"/>
          <w:szCs w:val="44"/>
        </w:rPr>
      </w:pPr>
      <w:bookmarkStart w:id="4" w:name="_Toc15609"/>
    </w:p>
    <w:p>
      <w:pPr>
        <w:pStyle w:val="18"/>
        <w:jc w:val="center"/>
        <w:outlineLvl w:val="0"/>
        <w:rPr>
          <w:rFonts w:ascii="Calibri" w:hAnsi="Calibri" w:eastAsia="宋体" w:cs="Times New Roman"/>
          <w:b/>
          <w:bCs/>
          <w:kern w:val="44"/>
          <w:sz w:val="36"/>
          <w:szCs w:val="44"/>
        </w:rPr>
      </w:pPr>
    </w:p>
    <w:p>
      <w:pPr>
        <w:widowControl/>
        <w:jc w:val="left"/>
        <w:rPr>
          <w:rFonts w:ascii="Calibri" w:hAnsi="Calibri" w:eastAsia="宋体" w:cs="Times New Roman"/>
          <w:b/>
          <w:bCs/>
          <w:kern w:val="44"/>
          <w:sz w:val="36"/>
          <w:szCs w:val="44"/>
        </w:rPr>
      </w:pPr>
      <w:r>
        <w:rPr>
          <w:rFonts w:ascii="Calibri" w:hAnsi="Calibri" w:eastAsia="宋体" w:cs="Times New Roman"/>
          <w:b/>
          <w:bCs/>
          <w:kern w:val="44"/>
          <w:sz w:val="36"/>
          <w:szCs w:val="44"/>
        </w:rPr>
        <w:br w:type="page"/>
      </w:r>
    </w:p>
    <w:p>
      <w:pPr>
        <w:pStyle w:val="18"/>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第二部分 投标须知</w:t>
      </w:r>
      <w:bookmarkEnd w:id="4"/>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5" w:name="OLE_LINK1"/>
      <w:r>
        <w:rPr>
          <w:rFonts w:hint="eastAsia" w:ascii="宋体" w:hAnsi="宋体" w:eastAsia="宋体" w:cs="宋体"/>
          <w:color w:val="000000"/>
          <w:sz w:val="24"/>
          <w:szCs w:val="24"/>
        </w:rPr>
        <w:t>见《投标须知前附表》。</w:t>
      </w:r>
    </w:p>
    <w:bookmarkEnd w:id="5"/>
    <w:p>
      <w:pPr>
        <w:keepNext/>
        <w:keepLines/>
        <w:numPr>
          <w:ilvl w:val="0"/>
          <w:numId w:val="6"/>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pPr>
        <w:pStyle w:val="18"/>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pPr>
        <w:keepNext/>
        <w:keepLines/>
        <w:numPr>
          <w:ilvl w:val="0"/>
          <w:numId w:val="6"/>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pPr>
        <w:pStyle w:val="18"/>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pPr>
        <w:keepNext/>
        <w:keepLines/>
        <w:numPr>
          <w:ilvl w:val="0"/>
          <w:numId w:val="7"/>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pPr>
        <w:pStyle w:val="18"/>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w:t>
      </w:r>
      <w:r>
        <w:rPr>
          <w:rFonts w:hint="eastAsia" w:hAnsi="宋体" w:eastAsia="宋体" w:cs="宋体"/>
          <w:color w:val="000000"/>
          <w:sz w:val="24"/>
          <w:szCs w:val="24"/>
          <w:highlight w:val="yellow"/>
        </w:rPr>
        <w:t>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3.2</w:t>
      </w:r>
      <w:r>
        <w:rPr>
          <w:rFonts w:hint="eastAsia" w:ascii="宋体" w:hAnsi="宋体" w:eastAsia="宋体" w:cs="宋体"/>
          <w:b/>
          <w:bCs/>
          <w:color w:val="000000"/>
          <w:sz w:val="24"/>
          <w:szCs w:val="24"/>
          <w:highlight w:val="yellow"/>
        </w:rPr>
        <w:t>所有设备的报价货币单位为：</w:t>
      </w:r>
      <w:r>
        <w:rPr>
          <w:rFonts w:hint="eastAsia" w:ascii="宋体" w:hAnsi="宋体" w:eastAsia="宋体" w:cs="宋体"/>
          <w:b/>
          <w:bCs/>
          <w:color w:val="000000"/>
          <w:sz w:val="24"/>
          <w:szCs w:val="24"/>
          <w:highlight w:val="yellow"/>
          <w:u w:val="single"/>
        </w:rPr>
        <w:t xml:space="preserve">         </w:t>
      </w:r>
      <w:r>
        <w:rPr>
          <w:rFonts w:hint="eastAsia" w:ascii="宋体" w:hAnsi="宋体" w:eastAsia="宋体" w:cs="宋体"/>
          <w:b/>
          <w:bCs/>
          <w:color w:val="000000"/>
          <w:sz w:val="24"/>
          <w:szCs w:val="24"/>
          <w:highlight w:val="yellow"/>
        </w:rPr>
        <w:t>元</w:t>
      </w:r>
      <w:r>
        <w:rPr>
          <w:rFonts w:hint="eastAsia" w:ascii="宋体" w:hAnsi="宋体" w:eastAsia="宋体" w:cs="宋体"/>
          <w:b/>
          <w:bCs/>
          <w:color w:val="000000"/>
          <w:sz w:val="24"/>
          <w:szCs w:val="24"/>
        </w:rPr>
        <w:t>【人民币（应同时报含税价和不含税价并写明税率）】</w:t>
      </w:r>
      <w:r>
        <w:rPr>
          <w:rFonts w:hint="eastAsia" w:ascii="宋体" w:hAnsi="宋体" w:eastAsia="宋体" w:cs="宋体"/>
          <w:b/>
          <w:bCs/>
          <w:color w:val="000000"/>
          <w:sz w:val="24"/>
          <w:szCs w:val="24"/>
          <w:highlight w:val="yellow"/>
        </w:rPr>
        <w:t>。</w:t>
      </w:r>
    </w:p>
    <w:p>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4.4设备交货要求直接发货至合同指定地点，否则买方有权拒绝接受货物；</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pPr>
        <w:pStyle w:val="18"/>
        <w:spacing w:line="360" w:lineRule="auto"/>
        <w:ind w:firstLine="480" w:firstLineChars="200"/>
        <w:rPr>
          <w:rFonts w:hint="eastAsia" w:hAnsi="宋体" w:eastAsia="宋体" w:cs="宋体"/>
          <w:color w:val="000000"/>
          <w:sz w:val="24"/>
          <w:szCs w:val="24"/>
          <w:highlight w:val="yellow"/>
        </w:rPr>
      </w:pPr>
      <w:r>
        <w:rPr>
          <w:rFonts w:hint="eastAsia" w:hAnsi="宋体" w:eastAsia="宋体" w:cs="宋体"/>
          <w:color w:val="000000"/>
          <w:sz w:val="24"/>
          <w:szCs w:val="24"/>
        </w:rPr>
        <w:t>4.7</w:t>
      </w:r>
      <w:r>
        <w:rPr>
          <w:rFonts w:hint="eastAsia" w:hAnsi="宋体" w:eastAsia="宋体" w:cs="宋体"/>
          <w:color w:val="000000"/>
          <w:sz w:val="24"/>
          <w:szCs w:val="24"/>
          <w:highlight w:val="yellow"/>
        </w:rPr>
        <w:t>设备设施颜色严格执行我公司企业标准《设备设施颜色标识》（Q/ZZ30070</w:t>
      </w:r>
    </w:p>
    <w:p>
      <w:pPr>
        <w:pStyle w:val="18"/>
        <w:spacing w:line="360" w:lineRule="auto"/>
        <w:rPr>
          <w:rFonts w:hint="eastAsia" w:hAnsi="宋体" w:eastAsia="宋体" w:cs="宋体"/>
          <w:color w:val="000000"/>
          <w:sz w:val="24"/>
          <w:szCs w:val="24"/>
        </w:rPr>
      </w:pPr>
      <w:r>
        <w:rPr>
          <w:rFonts w:hint="eastAsia" w:hAnsi="宋体" w:eastAsia="宋体" w:cs="宋体"/>
          <w:color w:val="000000"/>
          <w:sz w:val="24"/>
          <w:szCs w:val="24"/>
          <w:highlight w:val="yellow"/>
        </w:rPr>
        <w:t>—2020）</w:t>
      </w:r>
      <w:r>
        <w:rPr>
          <w:rFonts w:hint="eastAsia" w:hAnsi="宋体" w:eastAsia="宋体" w:cs="宋体"/>
          <w:color w:val="000000"/>
          <w:sz w:val="24"/>
          <w:szCs w:val="24"/>
        </w:rPr>
        <w:t>。</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见《投标须知前附表》2.1。</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中国重汽官网、山东省阳光采购服务平台、中国招标投标公共服务平台等公开媒体</w:t>
      </w:r>
      <w:r>
        <w:rPr>
          <w:rFonts w:hint="eastAsia" w:ascii="宋体" w:hAnsi="宋体" w:eastAsia="宋体" w:cs="宋体"/>
          <w:color w:val="000000"/>
          <w:sz w:val="24"/>
          <w:szCs w:val="24"/>
        </w:rPr>
        <w:t>公布。</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见《投标须知前附表》第二条，逾期不受理。</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w:t>
      </w:r>
      <w:r>
        <w:rPr>
          <w:rFonts w:hint="eastAsia" w:ascii="宋体" w:hAnsi="宋体" w:eastAsia="宋体" w:cs="宋体"/>
          <w:sz w:val="24"/>
          <w:szCs w:val="24"/>
          <w:lang w:val="en-US" w:eastAsia="zh-CN"/>
        </w:rPr>
        <w:t>账</w:t>
      </w:r>
      <w:r>
        <w:rPr>
          <w:rFonts w:hint="eastAsia" w:ascii="宋体" w:hAnsi="宋体" w:eastAsia="宋体" w:cs="宋体"/>
          <w:sz w:val="24"/>
          <w:szCs w:val="24"/>
        </w:rPr>
        <w:t>户转出并到账，否则按否决投标处理；未按规定提交保证金的投标人，其投标文件按否决投标处理。</w:t>
      </w:r>
      <w:r>
        <w:rPr>
          <w:rFonts w:hint="eastAsia" w:ascii="宋体" w:hAnsi="宋体" w:eastAsia="宋体" w:cs="宋体"/>
          <w:sz w:val="24"/>
          <w:szCs w:val="24"/>
          <w:highlight w:val="yellow"/>
        </w:rPr>
        <w:t>（保证金具体金额及缴纳截止时间见《投标须知前附表》4.2和4.3）。</w:t>
      </w:r>
    </w:p>
    <w:p>
      <w:pPr>
        <w:pStyle w:val="115"/>
        <w:ind w:firstLine="480"/>
        <w:rPr>
          <w:rFonts w:hint="eastAsia" w:eastAsia="宋体" w:cs="宋体"/>
        </w:rPr>
      </w:pPr>
      <w:r>
        <w:rPr>
          <w:rFonts w:hint="eastAsia" w:eastAsia="宋体" w:cs="宋体"/>
        </w:rPr>
        <w:t>4.2招标人银行账户信息如下：见《投标须知前附表》4.2。</w:t>
      </w:r>
    </w:p>
    <w:p>
      <w:pPr>
        <w:pStyle w:val="115"/>
        <w:ind w:firstLine="480"/>
        <w:rPr>
          <w:rFonts w:hint="eastAsia" w:eastAsia="宋体" w:cs="宋体"/>
        </w:rPr>
      </w:pPr>
      <w:r>
        <w:rPr>
          <w:rFonts w:hint="eastAsia" w:eastAsia="宋体" w:cs="宋体"/>
        </w:rPr>
        <w:t>转账附言：公司名称+项目名称+投标保证金；</w:t>
      </w:r>
    </w:p>
    <w:p>
      <w:pPr>
        <w:pStyle w:val="115"/>
        <w:ind w:firstLine="480"/>
        <w:rPr>
          <w:rFonts w:hint="eastAsia"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p>
    <w:p>
      <w:pPr>
        <w:pStyle w:val="115"/>
        <w:ind w:firstLine="480"/>
        <w:rPr>
          <w:rFonts w:hint="eastAsia" w:eastAsia="宋体" w:cs="宋体"/>
        </w:rPr>
      </w:pPr>
      <w:r>
        <w:rPr>
          <w:rFonts w:hint="eastAsia" w:eastAsia="宋体" w:cs="宋体"/>
        </w:rPr>
        <w:t>4.3说明</w:t>
      </w:r>
    </w:p>
    <w:p>
      <w:pPr>
        <w:pStyle w:val="115"/>
        <w:ind w:firstLine="480"/>
        <w:rPr>
          <w:rFonts w:hint="eastAsia" w:eastAsia="宋体" w:cs="宋体"/>
        </w:rPr>
      </w:pPr>
      <w:r>
        <w:rPr>
          <w:rFonts w:hint="eastAsia" w:eastAsia="宋体" w:cs="宋体"/>
        </w:rPr>
        <w:t>4.3.1 投标人在向招标人出示《投标保证金缴纳凭证》后方可进行投标；</w:t>
      </w:r>
    </w:p>
    <w:p>
      <w:pPr>
        <w:pStyle w:val="115"/>
        <w:ind w:firstLine="480"/>
        <w:rPr>
          <w:rFonts w:hint="eastAsia" w:eastAsia="宋体" w:cs="宋体"/>
        </w:rPr>
      </w:pPr>
      <w:r>
        <w:rPr>
          <w:rFonts w:hint="eastAsia" w:eastAsia="宋体" w:cs="宋体"/>
        </w:rPr>
        <w:t>4.3.2 发生以下情况时，招标人有权没收保证金：</w:t>
      </w:r>
    </w:p>
    <w:p>
      <w:pPr>
        <w:pStyle w:val="115"/>
        <w:ind w:firstLine="480"/>
        <w:rPr>
          <w:rFonts w:hint="eastAsia" w:eastAsia="宋体" w:cs="宋体"/>
        </w:rPr>
      </w:pPr>
      <w:r>
        <w:rPr>
          <w:rFonts w:hint="eastAsia" w:eastAsia="宋体" w:cs="宋体"/>
        </w:rPr>
        <w:t>4.3.2.1 截至开标前3天，投标人无正当理由且未以书面形式递交说明而在投标截止日不来投标的；</w:t>
      </w:r>
    </w:p>
    <w:p>
      <w:pPr>
        <w:pStyle w:val="115"/>
        <w:ind w:firstLine="480"/>
        <w:rPr>
          <w:rFonts w:hint="eastAsia" w:eastAsia="宋体" w:cs="宋体"/>
        </w:rPr>
      </w:pPr>
      <w:r>
        <w:rPr>
          <w:rFonts w:hint="eastAsia" w:eastAsia="宋体" w:cs="宋体"/>
        </w:rPr>
        <w:t>4.3.2.2 投标人递送投标文件后，无正当理由放弃投标的；</w:t>
      </w:r>
    </w:p>
    <w:p>
      <w:pPr>
        <w:pStyle w:val="115"/>
        <w:ind w:firstLine="480"/>
        <w:rPr>
          <w:rFonts w:hint="eastAsia" w:eastAsia="宋体" w:cs="宋体"/>
        </w:rPr>
      </w:pPr>
      <w:r>
        <w:rPr>
          <w:rFonts w:hint="eastAsia" w:eastAsia="宋体" w:cs="宋体"/>
        </w:rPr>
        <w:t>4.3.2.3若为视频开标，招标过程中澄清函等资料原件未按要求提交的；</w:t>
      </w:r>
    </w:p>
    <w:p>
      <w:pPr>
        <w:pStyle w:val="115"/>
        <w:ind w:firstLine="480"/>
        <w:rPr>
          <w:rFonts w:hint="eastAsia" w:eastAsia="宋体" w:cs="宋体"/>
        </w:rPr>
      </w:pPr>
      <w:r>
        <w:rPr>
          <w:rFonts w:hint="eastAsia" w:eastAsia="宋体" w:cs="宋体"/>
        </w:rPr>
        <w:t>4.3.2.4自中标通知书发出之日起30日内，中标人无正当理由不签订合同的；</w:t>
      </w:r>
    </w:p>
    <w:p>
      <w:pPr>
        <w:pStyle w:val="115"/>
        <w:ind w:firstLine="480"/>
        <w:rPr>
          <w:rFonts w:hint="eastAsia" w:eastAsia="宋体" w:cs="宋体"/>
        </w:rPr>
      </w:pPr>
      <w:r>
        <w:rPr>
          <w:rFonts w:hint="eastAsia" w:eastAsia="宋体" w:cs="宋体"/>
        </w:rPr>
        <w:t>4.3.2.5投标人在投标过程中被查实有串标、围标、陪标等违规违纪行为的；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pPr>
        <w:pStyle w:val="115"/>
        <w:ind w:firstLine="480"/>
        <w:rPr>
          <w:rFonts w:hint="eastAsia" w:eastAsia="宋体" w:cs="宋体"/>
        </w:rPr>
      </w:pPr>
      <w:r>
        <w:rPr>
          <w:rFonts w:hint="eastAsia" w:eastAsia="宋体" w:cs="宋体"/>
        </w:rPr>
        <w:t>4.4投标报名截止时间</w:t>
      </w:r>
    </w:p>
    <w:p>
      <w:pPr>
        <w:pStyle w:val="115"/>
        <w:ind w:firstLine="480"/>
        <w:rPr>
          <w:rFonts w:hint="eastAsia" w:eastAsia="宋体" w:cs="宋体"/>
        </w:rPr>
      </w:pPr>
      <w:r>
        <w:rPr>
          <w:rFonts w:hint="eastAsia" w:eastAsia="宋体" w:cs="宋体"/>
        </w:rPr>
        <w:t>报名方式：</w:t>
      </w:r>
      <w:r>
        <w:rPr>
          <w:rFonts w:hint="eastAsia" w:eastAsia="宋体" w:cs="宋体"/>
          <w:highlight w:val="yellow"/>
        </w:rPr>
        <w:t>见《投标须知前附表》2.3。</w:t>
      </w:r>
    </w:p>
    <w:p>
      <w:pPr>
        <w:pStyle w:val="115"/>
        <w:ind w:firstLine="480"/>
        <w:rPr>
          <w:rFonts w:hint="eastAsia" w:eastAsia="宋体" w:cs="宋体"/>
        </w:rPr>
      </w:pPr>
      <w:r>
        <w:rPr>
          <w:rFonts w:hint="eastAsia" w:eastAsia="宋体" w:cs="宋体"/>
        </w:rPr>
        <w:t>报名提交资料：均为盖章电子扫描版，用“公司名称+文件名称”命名。</w:t>
      </w:r>
    </w:p>
    <w:p>
      <w:pPr>
        <w:numPr>
          <w:ilvl w:val="0"/>
          <w:numId w:val="8"/>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pPr>
        <w:numPr>
          <w:ilvl w:val="0"/>
          <w:numId w:val="8"/>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pPr>
        <w:numPr>
          <w:ilvl w:val="0"/>
          <w:numId w:val="8"/>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如果是代理商投标</w:t>
      </w:r>
      <w:r>
        <w:rPr>
          <w:rFonts w:hint="eastAsia" w:ascii="宋体" w:hAnsi="宋体" w:eastAsia="宋体" w:cs="宋体"/>
          <w:color w:val="000000"/>
          <w:sz w:val="24"/>
          <w:szCs w:val="24"/>
        </w:rPr>
        <w:t>，除上述a)b)中要求的资料，要另外携带生产商的授权书、原厂售后服务承诺书。</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见《投标须知前附表》5.1，若有变动另行通知。</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原则上来现场参与开标。如因特殊情况无法现场参与，需在开标前三日，通知招标人，由招标人创建视频链接，并在报名结束后统一通知。</w:t>
      </w:r>
    </w:p>
    <w:p>
      <w:pPr>
        <w:spacing w:line="360" w:lineRule="auto"/>
        <w:jc w:val="left"/>
        <w:outlineLvl w:val="1"/>
        <w:rPr>
          <w:rFonts w:hint="eastAsia" w:ascii="宋体" w:hAnsi="宋体" w:eastAsia="宋体" w:cs="宋体"/>
          <w:b/>
          <w:sz w:val="24"/>
          <w:szCs w:val="24"/>
        </w:rPr>
      </w:pPr>
      <w:bookmarkStart w:id="6" w:name="_Toc33285487"/>
      <w:bookmarkStart w:id="7" w:name="_Toc33265752"/>
      <w:bookmarkStart w:id="8" w:name="_Toc33265653"/>
      <w:bookmarkStart w:id="9" w:name="_Toc33266627"/>
      <w:bookmarkStart w:id="10" w:name="_Toc33266914"/>
      <w:bookmarkStart w:id="11" w:name="_Toc33266950"/>
      <w:bookmarkStart w:id="12" w:name="_Toc33267001"/>
      <w:r>
        <w:rPr>
          <w:rFonts w:hint="eastAsia" w:ascii="宋体" w:hAnsi="宋体" w:eastAsia="宋体" w:cs="宋体"/>
          <w:b/>
          <w:sz w:val="24"/>
          <w:szCs w:val="24"/>
        </w:rPr>
        <w:t>六、评价原则</w:t>
      </w:r>
      <w:bookmarkEnd w:id="6"/>
      <w:bookmarkEnd w:id="7"/>
      <w:bookmarkEnd w:id="8"/>
      <w:bookmarkEnd w:id="9"/>
      <w:bookmarkEnd w:id="10"/>
      <w:bookmarkEnd w:id="11"/>
      <w:bookmarkEnd w:id="12"/>
      <w:bookmarkStart w:id="13" w:name="_Toc395116633"/>
    </w:p>
    <w:bookmarkEnd w:id="13"/>
    <w:p>
      <w:p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1.评标（综合评分法）</w:t>
      </w:r>
    </w:p>
    <w:p>
      <w:pPr>
        <w:pStyle w:val="162"/>
        <w:numPr>
          <w:ilvl w:val="0"/>
          <w:numId w:val="0"/>
        </w:numPr>
        <w:ind w:firstLine="420"/>
        <w:rPr>
          <w:rFonts w:hint="eastAsia" w:ascii="宋体" w:hAnsi="宋体" w:eastAsia="宋体" w:cs="宋体"/>
          <w:b w:val="0"/>
          <w:bCs w:val="0"/>
          <w:color w:val="000000"/>
          <w:sz w:val="24"/>
          <w:szCs w:val="24"/>
        </w:rPr>
      </w:pPr>
      <w:bookmarkStart w:id="14" w:name="_Toc33265654"/>
      <w:bookmarkStart w:id="15" w:name="_Toc33265753"/>
      <w:bookmarkStart w:id="16" w:name="_Toc33285489"/>
      <w:bookmarkStart w:id="17" w:name="_Toc33266628"/>
      <w:bookmarkStart w:id="18" w:name="_Toc395116634"/>
      <w:bookmarkStart w:id="19" w:name="_Toc33266915"/>
      <w:bookmarkStart w:id="20" w:name="_Toc33267002"/>
      <w:bookmarkStart w:id="21" w:name="_Toc33266951"/>
      <w:r>
        <w:rPr>
          <w:rFonts w:hint="eastAsia" w:ascii="宋体" w:hAnsi="宋体" w:eastAsia="宋体" w:cs="宋体"/>
          <w:b w:val="0"/>
          <w:bCs w:val="0"/>
          <w:color w:val="000000"/>
          <w:sz w:val="24"/>
          <w:szCs w:val="24"/>
        </w:rPr>
        <w:t>本次招标采用综合评分法评标，即在最大限度地满足招标文件实质性要求的前提下，按照评分标准中规定的评分因素和评分细则进行综合评价、评分。</w:t>
      </w:r>
    </w:p>
    <w:p>
      <w:pPr>
        <w:pStyle w:val="162"/>
        <w:numPr>
          <w:ilvl w:val="0"/>
          <w:numId w:val="0"/>
        </w:numP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评标委员会各成员独立对每一份有效投标文件进行评价并对除报价以外的评分项目进行评分，报价得分由工作人员通过计算得出。</w:t>
      </w:r>
    </w:p>
    <w:p>
      <w:pPr>
        <w:pStyle w:val="162"/>
        <w:numPr>
          <w:ilvl w:val="0"/>
          <w:numId w:val="0"/>
        </w:numPr>
      </w:pPr>
      <w:r>
        <w:rPr>
          <w:rFonts w:hint="eastAsia" w:ascii="宋体" w:hAnsi="宋体" w:eastAsia="宋体" w:cs="宋体"/>
          <w:b w:val="0"/>
          <w:bCs w:val="0"/>
          <w:color w:val="000000"/>
          <w:sz w:val="24"/>
          <w:szCs w:val="24"/>
        </w:rPr>
        <w:t>投标人得分＝∑评委评价得分/评委人数＋商务标得分</w:t>
      </w:r>
    </w:p>
    <w:bookmarkEnd w:id="14"/>
    <w:bookmarkEnd w:id="15"/>
    <w:bookmarkEnd w:id="16"/>
    <w:bookmarkEnd w:id="17"/>
    <w:bookmarkEnd w:id="18"/>
    <w:bookmarkEnd w:id="19"/>
    <w:bookmarkEnd w:id="20"/>
    <w:bookmarkEnd w:id="21"/>
    <w:p>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评标流程：</w:t>
      </w:r>
    </w:p>
    <w:p>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应标资格审查：在“中国重汽e采通”应标报名时，按照第一部分第四条投标文件编制资格证明文件中的1.1-1.11准备资料，上传完毕后，等待审核；</w:t>
      </w:r>
    </w:p>
    <w:p>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通过应标资格审查的单位进入投标环节，按照“SRM系统供应商用户手册”，在重汽e采通平台投递电子标书（包含资质标、技术标、商务标）；没有通过应标资质审查的单位不能进入投标环节；</w:t>
      </w:r>
    </w:p>
    <w:p>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资质标评审：资质标审核通过的单位，可以进入公开唱标环节；</w:t>
      </w:r>
    </w:p>
    <w:p>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公开唱标：公示资质标入围单位的开标价格及商务条款响应情况；</w:t>
      </w:r>
    </w:p>
    <w:p>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商务标评审：商务条款相应确认→价格澄清→商务标评审；评审期间产生的商务价格澄清均由投标人在重汽e采通平台限时内完成提交；</w:t>
      </w:r>
    </w:p>
    <w:p>
      <w:pPr>
        <w:numPr>
          <w:ilvl w:val="0"/>
          <w:numId w:val="10"/>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注意：投标人均需要自带笔记本电脑在重汽e采通进行自主投标和提交澄清函；投标和提交澄清函均有时间限制，超时未提交的按无效处理。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pPr>
        <w:spacing w:line="360" w:lineRule="auto"/>
        <w:ind w:firstLine="482" w:firstLineChars="200"/>
        <w:outlineLvl w:val="2"/>
        <w:rPr>
          <w:rFonts w:hint="eastAsia"/>
        </w:rPr>
      </w:pPr>
      <w:r>
        <w:rPr>
          <w:rFonts w:hint="eastAsia" w:ascii="宋体" w:hAnsi="宋体" w:eastAsia="宋体" w:cs="宋体"/>
          <w:b/>
          <w:bCs/>
          <w:color w:val="000000"/>
          <w:sz w:val="24"/>
          <w:szCs w:val="24"/>
        </w:rPr>
        <w:t>2.评分标准（综合评分法）</w:t>
      </w:r>
    </w:p>
    <w:p>
      <w:pPr>
        <w:keepNext/>
        <w:keepLines/>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详见附件14</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8"/>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（14）投标人报价均超过投标限价的；</w:t>
      </w:r>
    </w:p>
    <w:p>
      <w:pPr>
        <w:spacing w:line="360" w:lineRule="auto"/>
        <w:ind w:right="2" w:firstLine="480" w:firstLineChars="200"/>
        <w:rPr>
          <w:rFonts w:hint="eastAsia"/>
        </w:rPr>
      </w:pPr>
      <w:r>
        <w:rPr>
          <w:rFonts w:hint="eastAsia" w:ascii="宋体" w:hAnsi="宋体" w:eastAsia="宋体" w:cs="宋体"/>
          <w:color w:val="000000"/>
          <w:sz w:val="24"/>
          <w:szCs w:val="24"/>
        </w:rPr>
        <w:t>（15）法律、法规规定的其他情况。</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2" w:name="OLE_LINK29"/>
      <w:bookmarkStart w:id="23" w:name="OLE_LINK28"/>
      <w:bookmarkStart w:id="24" w:name="OLE_LINK26"/>
      <w:bookmarkStart w:id="25" w:name="OLE_LINK27"/>
      <w:bookmarkStart w:id="26" w:name="OLE_LINK25"/>
      <w:r>
        <w:rPr>
          <w:rFonts w:hint="eastAsia" w:ascii="宋体" w:hAnsi="宋体" w:eastAsia="宋体" w:cs="宋体"/>
          <w:bCs/>
          <w:sz w:val="24"/>
          <w:szCs w:val="24"/>
        </w:rPr>
        <w:t>；</w:t>
      </w:r>
      <w:bookmarkEnd w:id="22"/>
      <w:bookmarkEnd w:id="23"/>
      <w:bookmarkEnd w:id="24"/>
      <w:bookmarkEnd w:id="25"/>
      <w:bookmarkEnd w:id="26"/>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8"/>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pStyle w:val="2"/>
        <w:ind w:firstLine="480"/>
        <w:rPr>
          <w:rFonts w:hint="default"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4.其他：</w:t>
      </w:r>
      <w:r>
        <w:rPr>
          <w:rFonts w:hint="default" w:ascii="宋体" w:hAnsi="宋体" w:eastAsia="宋体" w:cs="宋体"/>
          <w:b w:val="0"/>
          <w:bCs w:val="0"/>
          <w:color w:val="000000"/>
          <w:kern w:val="2"/>
          <w:sz w:val="24"/>
          <w:szCs w:val="24"/>
          <w:highlight w:val="none"/>
          <w:lang w:val="en-US" w:eastAsia="zh-CN" w:bidi="ar-SA"/>
        </w:rPr>
        <w:t>中标人在收到中标通知书后或合同签订后，非因招标人原因导致项目无法继续实施的，中标人应承担由此给招标人造成的一切损失（包括但不限于直接损失、间接损失</w:t>
      </w:r>
      <w:r>
        <w:rPr>
          <w:rFonts w:hint="eastAsia" w:ascii="宋体" w:hAnsi="宋体" w:cs="宋体"/>
          <w:b w:val="0"/>
          <w:bCs w:val="0"/>
          <w:color w:val="000000"/>
          <w:kern w:val="2"/>
          <w:sz w:val="24"/>
          <w:szCs w:val="24"/>
          <w:highlight w:val="none"/>
          <w:lang w:val="en-US" w:eastAsia="zh-CN" w:bidi="ar-SA"/>
        </w:rPr>
        <w:t>和</w:t>
      </w:r>
      <w:r>
        <w:rPr>
          <w:rFonts w:hint="default" w:ascii="宋体" w:hAnsi="宋体" w:eastAsia="宋体" w:cs="宋体"/>
          <w:b w:val="0"/>
          <w:bCs w:val="0"/>
          <w:color w:val="000000"/>
          <w:kern w:val="2"/>
          <w:sz w:val="24"/>
          <w:szCs w:val="24"/>
          <w:highlight w:val="none"/>
          <w:lang w:val="en-US" w:eastAsia="zh-CN" w:bidi="ar-SA"/>
        </w:rPr>
        <w:t>重新招标</w:t>
      </w:r>
      <w:r>
        <w:rPr>
          <w:rFonts w:hint="eastAsia" w:ascii="宋体" w:hAnsi="宋体" w:cs="宋体"/>
          <w:b w:val="0"/>
          <w:bCs w:val="0"/>
          <w:color w:val="000000"/>
          <w:kern w:val="2"/>
          <w:sz w:val="24"/>
          <w:szCs w:val="24"/>
          <w:highlight w:val="none"/>
          <w:lang w:val="en-US" w:eastAsia="zh-CN" w:bidi="ar-SA"/>
        </w:rPr>
        <w:t>等</w:t>
      </w:r>
      <w:r>
        <w:rPr>
          <w:rFonts w:hint="default" w:ascii="宋体" w:hAnsi="宋体" w:eastAsia="宋体" w:cs="宋体"/>
          <w:b w:val="0"/>
          <w:bCs w:val="0"/>
          <w:color w:val="000000"/>
          <w:kern w:val="2"/>
          <w:sz w:val="24"/>
          <w:szCs w:val="24"/>
          <w:highlight w:val="none"/>
          <w:lang w:val="en-US" w:eastAsia="zh-CN" w:bidi="ar-SA"/>
        </w:rPr>
        <w:t>费用），招标人有权单方解除合同，并不予退还</w:t>
      </w:r>
      <w:r>
        <w:rPr>
          <w:rFonts w:hint="eastAsia" w:ascii="宋体" w:hAnsi="宋体" w:cs="宋体"/>
          <w:b w:val="0"/>
          <w:bCs w:val="0"/>
          <w:color w:val="000000"/>
          <w:kern w:val="2"/>
          <w:sz w:val="24"/>
          <w:szCs w:val="24"/>
          <w:highlight w:val="none"/>
          <w:lang w:val="en-US" w:eastAsia="zh-CN" w:bidi="ar-SA"/>
        </w:rPr>
        <w:t>投标</w:t>
      </w:r>
      <w:r>
        <w:rPr>
          <w:rFonts w:hint="default" w:ascii="宋体" w:hAnsi="宋体" w:eastAsia="宋体" w:cs="宋体"/>
          <w:b w:val="0"/>
          <w:bCs w:val="0"/>
          <w:color w:val="000000"/>
          <w:kern w:val="2"/>
          <w:sz w:val="24"/>
          <w:szCs w:val="24"/>
          <w:highlight w:val="none"/>
          <w:lang w:val="en-US" w:eastAsia="zh-CN" w:bidi="ar-SA"/>
        </w:rPr>
        <w:t>保证金，同时保留追究中标人其他违约责任的权利。</w:t>
      </w:r>
    </w:p>
    <w:p>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归中国重汽集团济南卡车股份有限公司。</w:t>
      </w:r>
    </w:p>
    <w:p>
      <w:pPr>
        <w:widowControl/>
        <w:jc w:val="left"/>
        <w:rPr>
          <w:rFonts w:ascii="Arial" w:hAnsi="Arial" w:eastAsia="宋体" w:cs="Times New Roman"/>
          <w:b/>
          <w:bCs/>
          <w:sz w:val="24"/>
          <w:szCs w:val="32"/>
        </w:rPr>
      </w:pPr>
      <w:r>
        <w:br w:type="page"/>
      </w:r>
    </w:p>
    <w:p>
      <w:pPr>
        <w:pStyle w:val="18"/>
        <w:spacing w:line="360" w:lineRule="auto"/>
        <w:jc w:val="center"/>
        <w:rPr>
          <w:rFonts w:hint="eastAsia" w:hAnsi="宋体" w:eastAsia="宋体" w:cs="宋体"/>
          <w:b/>
          <w:bCs/>
          <w:kern w:val="44"/>
          <w:sz w:val="24"/>
          <w:szCs w:val="24"/>
        </w:rPr>
        <w:sectPr>
          <w:headerReference r:id="rId7" w:type="default"/>
          <w:footerReference r:id="rId8" w:type="default"/>
          <w:pgSz w:w="11907" w:h="16840"/>
          <w:pgMar w:top="1304" w:right="1418" w:bottom="1304" w:left="1418" w:header="724" w:footer="851" w:gutter="0"/>
          <w:cols w:space="720" w:num="1"/>
          <w:docGrid w:linePitch="290" w:charSpace="-3931"/>
        </w:sectPr>
      </w:pPr>
    </w:p>
    <w:p>
      <w:pPr>
        <w:pStyle w:val="18"/>
        <w:numPr>
          <w:ilvl w:val="255"/>
          <w:numId w:val="0"/>
        </w:numPr>
        <w:jc w:val="center"/>
        <w:outlineLvl w:val="0"/>
        <w:rPr>
          <w:rFonts w:ascii="Calibri" w:hAnsi="Calibri" w:eastAsia="宋体" w:cs="Times New Roman"/>
          <w:b/>
          <w:bCs/>
          <w:kern w:val="44"/>
          <w:sz w:val="36"/>
          <w:szCs w:val="44"/>
        </w:rPr>
      </w:pPr>
      <w:bookmarkStart w:id="27" w:name="_Toc22879"/>
      <w:r>
        <w:rPr>
          <w:rFonts w:hint="eastAsia" w:ascii="Calibri" w:hAnsi="Calibri" w:eastAsia="宋体" w:cs="Times New Roman"/>
          <w:b/>
          <w:bCs/>
          <w:kern w:val="44"/>
          <w:sz w:val="36"/>
          <w:szCs w:val="44"/>
        </w:rPr>
        <w:t>第三部分 投标文件编制</w:t>
      </w:r>
      <w:bookmarkEnd w:id="27"/>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本项目投标文件分为</w:t>
      </w:r>
      <w:r>
        <w:rPr>
          <w:rFonts w:hint="eastAsia" w:ascii="宋体" w:hAnsi="宋体" w:eastAsia="宋体" w:cs="宋体"/>
          <w:b/>
          <w:sz w:val="24"/>
          <w:szCs w:val="24"/>
        </w:rPr>
        <w:t>纸质版</w:t>
      </w:r>
      <w:r>
        <w:rPr>
          <w:rFonts w:hint="eastAsia" w:ascii="宋体" w:hAnsi="宋体" w:eastAsia="宋体" w:cs="宋体"/>
          <w:bCs/>
          <w:sz w:val="24"/>
          <w:szCs w:val="24"/>
        </w:rPr>
        <w:t>投标文件和</w:t>
      </w:r>
      <w:r>
        <w:rPr>
          <w:rFonts w:hint="eastAsia" w:ascii="宋体" w:hAnsi="宋体" w:eastAsia="宋体" w:cs="宋体"/>
          <w:b/>
          <w:sz w:val="24"/>
          <w:szCs w:val="24"/>
        </w:rPr>
        <w:t>电子版</w:t>
      </w:r>
      <w:r>
        <w:rPr>
          <w:rFonts w:hint="eastAsia" w:ascii="宋体" w:hAnsi="宋体" w:eastAsia="宋体" w:cs="宋体"/>
          <w:bCs/>
          <w:sz w:val="24"/>
          <w:szCs w:val="24"/>
        </w:rPr>
        <w:t>投标文件，均由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详见附件格式1—13，其余未尽事宜请按各单位习惯制定即可。</w:t>
      </w:r>
    </w:p>
    <w:p>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1.1营业执照副本复印件（需加盖公章）；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（含法人身份证和被授权人身份证正反面复印件）和</w:t>
      </w:r>
      <w:r>
        <w:rPr>
          <w:rFonts w:hint="eastAsia" w:ascii="宋体" w:hAnsi="宋体" w:eastAsia="宋体" w:cs="宋体"/>
          <w:sz w:val="24"/>
          <w:szCs w:val="24"/>
          <w:highlight w:val="yellow"/>
        </w:rPr>
        <w:t>被授权人</w:t>
      </w:r>
      <w:r>
        <w:rPr>
          <w:rFonts w:hint="eastAsia" w:ascii="宋体" w:hAnsi="宋体" w:eastAsia="宋体" w:cs="宋体"/>
          <w:kern w:val="0"/>
          <w:sz w:val="24"/>
          <w:szCs w:val="24"/>
          <w:highlight w:val="yellow"/>
          <w:lang w:bidi="en-US"/>
        </w:rPr>
        <w:t>近6个月及以上在授权单位的社保缴纳证明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b/>
          <w:color w:val="000000"/>
          <w:sz w:val="24"/>
          <w:szCs w:val="24"/>
          <w:highlight w:val="yellow"/>
        </w:rPr>
      </w:pPr>
      <w:r>
        <w:rPr>
          <w:rFonts w:hint="eastAsia" w:ascii="宋体" w:hAnsi="宋体" w:eastAsia="宋体" w:cs="宋体"/>
          <w:color w:val="000000"/>
          <w:sz w:val="24"/>
          <w:szCs w:val="24"/>
        </w:rPr>
        <w:t>1.4近三年经第三方机构审计的财务报表（报告页、资产负债表、损益表、现金流量表）复印件（需加盖公章），必须连续，同时填写投标人基本情况表（附件3）</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rPr>
        <w:t>无与本项目有关的违法及重大违规</w:t>
      </w:r>
      <w:r>
        <w:rPr>
          <w:rFonts w:hint="eastAsia" w:ascii="宋体" w:hAnsi="宋体" w:eastAsia="宋体" w:cs="宋体"/>
          <w:color w:val="000000"/>
          <w:sz w:val="24"/>
          <w:szCs w:val="24"/>
        </w:rPr>
        <w:t>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r>
        <w:rPr>
          <w:rFonts w:hint="eastAsia" w:ascii="宋体" w:hAnsi="宋体" w:eastAsia="宋体" w:cs="宋体"/>
          <w:color w:val="000000"/>
          <w:sz w:val="24"/>
          <w:szCs w:val="24"/>
          <w:highlight w:val="yellow"/>
        </w:rPr>
        <w:t>（附投标当日系统内相关截图）</w:t>
      </w:r>
    </w:p>
    <w:p>
      <w:pPr>
        <w:spacing w:line="360" w:lineRule="auto"/>
        <w:ind w:firstLine="480" w:firstLineChars="200"/>
        <w:rPr>
          <w:rFonts w:hint="eastAsia"/>
        </w:rPr>
      </w:pPr>
      <w:r>
        <w:rPr>
          <w:rFonts w:hint="eastAsia" w:ascii="宋体" w:hAnsi="宋体" w:eastAsia="宋体" w:cs="宋体"/>
          <w:color w:val="000000"/>
          <w:sz w:val="24"/>
          <w:szCs w:val="24"/>
        </w:rPr>
        <w:t>1.7</w:t>
      </w:r>
      <w:r>
        <w:rPr>
          <w:rFonts w:ascii="宋体" w:hAnsi="宋体" w:eastAsia="宋体" w:cs="宋体"/>
          <w:sz w:val="24"/>
          <w:szCs w:val="24"/>
        </w:rPr>
        <w:t>企业对外担保说明</w:t>
      </w:r>
      <w:r>
        <w:rPr>
          <w:rFonts w:ascii="宋体" w:hAnsi="宋体" w:eastAsia="宋体" w:cs="宋体"/>
          <w:sz w:val="24"/>
          <w:szCs w:val="24"/>
          <w:highlight w:val="yellow"/>
        </w:rPr>
        <w:t>（写明贵单位对外有无对外担保和质押业务，需加盖公章）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w:t>
      </w:r>
      <w:r>
        <w:rPr>
          <w:rFonts w:hint="eastAsia" w:ascii="宋体" w:hAnsi="宋体" w:eastAsia="宋体" w:cs="宋体"/>
          <w:color w:val="000000"/>
          <w:sz w:val="24"/>
          <w:szCs w:val="24"/>
          <w:highlight w:val="yellow"/>
        </w:rPr>
        <w:t>（征信中心出具的信用报告）</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1.9代理商投标要携带生产商的授权书、原厂售后服务承诺书，根据实际情况提供即可，无格式限制</w:t>
      </w:r>
      <w:r>
        <w:rPr>
          <w:rFonts w:hint="eastAsia" w:hAnsi="宋体" w:eastAsia="宋体" w:cs="宋体"/>
          <w:color w:val="000000"/>
          <w:sz w:val="24"/>
          <w:szCs w:val="24"/>
        </w:rPr>
        <w:t>（</w:t>
      </w:r>
      <w:r>
        <w:rPr>
          <w:rFonts w:hint="eastAsia" w:hAnsi="宋体" w:eastAsia="宋体" w:cs="宋体"/>
          <w:color w:val="000000"/>
          <w:sz w:val="24"/>
          <w:szCs w:val="24"/>
          <w:highlight w:val="yellow"/>
        </w:rPr>
        <w:t>包括所代理品牌针对项目的唯一授权书</w:t>
      </w:r>
      <w:r>
        <w:rPr>
          <w:rFonts w:hint="eastAsia" w:hAnsi="宋体" w:eastAsia="宋体" w:cs="宋体"/>
          <w:color w:val="000000"/>
          <w:sz w:val="24"/>
          <w:szCs w:val="24"/>
        </w:rPr>
        <w:t>）</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1.10企业最近半年的完税证明，并附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1.11保密承诺函（附件4）；</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1.12 2022年1月1日至今，企业近三年同类项目业绩证明，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1.13投标保证金缴纳凭证，同时</w:t>
      </w:r>
      <w:r>
        <w:rPr>
          <w:rFonts w:hint="eastAsia" w:ascii="宋体" w:hAnsi="宋体" w:eastAsia="宋体" w:cs="宋体"/>
          <w:color w:val="000000"/>
          <w:sz w:val="24"/>
          <w:szCs w:val="24"/>
          <w:highlight w:val="yellow"/>
        </w:rPr>
        <w:t>正文描述付款账号、户名、开户行名称、开户行行号、保证金金额</w:t>
      </w:r>
      <w:r>
        <w:rPr>
          <w:rFonts w:hint="eastAsia" w:ascii="宋体" w:hAnsi="宋体" w:eastAsia="宋体" w:cs="宋体"/>
          <w:color w:val="000000"/>
          <w:sz w:val="24"/>
          <w:szCs w:val="24"/>
        </w:rPr>
        <w:t>。</w:t>
      </w:r>
    </w:p>
    <w:p>
      <w:pPr>
        <w:spacing w:line="360" w:lineRule="auto"/>
        <w:ind w:firstLine="482" w:firstLineChars="200"/>
        <w:rPr>
          <w:rFonts w:hint="eastAsia" w:ascii="宋体" w:hAnsi="宋体" w:eastAsia="宋体" w:cs="宋体"/>
          <w:b/>
          <w:bCs/>
          <w:sz w:val="24"/>
          <w:szCs w:val="24"/>
        </w:rPr>
      </w:pPr>
      <w:bookmarkStart w:id="28" w:name="_Toc212369515"/>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28"/>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2.1技术规格偏离表（附件5-1），</w:t>
      </w:r>
      <w:r>
        <w:rPr>
          <w:rFonts w:hint="eastAsia" w:ascii="宋体" w:hAnsi="宋体" w:eastAsia="宋体" w:cs="宋体"/>
          <w:b/>
          <w:color w:val="000000"/>
          <w:sz w:val="24"/>
          <w:szCs w:val="24"/>
        </w:rPr>
        <w:t>必须先进行两列要求</w:t>
      </w:r>
      <w:r>
        <w:rPr>
          <w:rFonts w:hint="eastAsia" w:ascii="宋体" w:hAnsi="宋体" w:eastAsia="宋体" w:cs="宋体"/>
          <w:b/>
          <w:color w:val="000000"/>
          <w:sz w:val="24"/>
          <w:szCs w:val="24"/>
          <w:lang w:val="en-US" w:eastAsia="zh-CN"/>
        </w:rPr>
        <w:t>一</w:t>
      </w:r>
      <w:r>
        <w:rPr>
          <w:rFonts w:hint="eastAsia" w:ascii="宋体" w:hAnsi="宋体" w:eastAsia="宋体" w:cs="宋体"/>
          <w:b/>
          <w:color w:val="000000"/>
          <w:sz w:val="24"/>
          <w:szCs w:val="24"/>
        </w:rPr>
        <w:t>一对照，不允许直接写无偏离；</w:t>
      </w:r>
    </w:p>
    <w:p>
      <w:pPr>
        <w:spacing w:line="360" w:lineRule="auto"/>
        <w:ind w:firstLine="480" w:firstLineChars="200"/>
        <w:rPr>
          <w:rFonts w:hint="eastAsia" w:hAnsi="宋体" w:eastAsia="宋体" w:cs="宋体"/>
          <w:b/>
          <w:color w:val="000000"/>
          <w:sz w:val="24"/>
          <w:szCs w:val="24"/>
          <w:highlight w:val="yellow"/>
        </w:rPr>
      </w:pPr>
      <w:r>
        <w:rPr>
          <w:rFonts w:hint="eastAsia" w:ascii="宋体" w:hAnsi="宋体" w:eastAsia="宋体" w:cs="宋体"/>
          <w:bCs/>
          <w:color w:val="000000"/>
          <w:sz w:val="24"/>
          <w:szCs w:val="24"/>
        </w:rPr>
        <w:t>2.2</w:t>
      </w:r>
      <w:r>
        <w:rPr>
          <w:rFonts w:hint="eastAsia" w:hAnsi="宋体" w:eastAsia="宋体" w:cs="宋体"/>
          <w:color w:val="000000"/>
          <w:sz w:val="24"/>
          <w:szCs w:val="24"/>
          <w:highlight w:val="yellow"/>
        </w:rPr>
        <w:t>设备分项配置表（附件5-2），列明项目设备分项配置规格型号、品牌等信息（要求分项明细与附表9-1完全对应），但</w:t>
      </w:r>
      <w:r>
        <w:rPr>
          <w:rFonts w:hint="eastAsia" w:ascii="宋体" w:hAnsi="宋体" w:eastAsia="宋体" w:cs="宋体"/>
          <w:b/>
          <w:color w:val="000000"/>
          <w:sz w:val="24"/>
          <w:szCs w:val="24"/>
          <w:highlight w:val="yellow"/>
        </w:rPr>
        <w:t>注意：</w:t>
      </w:r>
      <w:r>
        <w:rPr>
          <w:rFonts w:hint="eastAsia" w:hAnsi="宋体" w:eastAsia="宋体" w:cs="宋体"/>
          <w:b/>
          <w:color w:val="000000"/>
          <w:sz w:val="24"/>
          <w:szCs w:val="24"/>
          <w:highlight w:val="yellow"/>
        </w:rPr>
        <w:t>此表在技术标书中，禁止出现任何分项价格及项目总价；</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2.3提供2022年1月1日以来同类产品的制造销售业绩（用户名单、联系方式），并附合同复印件。该同类项目业绩一览表必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，数据将影响现场评标专家组对投标单位的业绩考评。</w:t>
      </w:r>
      <w:r>
        <w:rPr>
          <w:rFonts w:hint="eastAsia" w:ascii="宋体" w:hAnsi="宋体" w:eastAsia="宋体" w:cs="宋体"/>
          <w:b/>
          <w:bCs/>
          <w:color w:val="000000"/>
          <w:sz w:val="24"/>
          <w:szCs w:val="24"/>
        </w:rPr>
        <w:t>若未提供相应业绩证明，根据技术标评分规则，将影响现场评标专家组对投标单位业绩判定打分</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2.6交货进度及计划；</w:t>
      </w:r>
    </w:p>
    <w:p>
      <w:pPr>
        <w:spacing w:line="360" w:lineRule="auto"/>
        <w:ind w:firstLine="480" w:firstLineChars="200"/>
        <w:rPr>
          <w:rFonts w:hint="eastAsia" w:ascii="宋体" w:hAnsi="宋体" w:eastAsia="宋体" w:cs="宋体"/>
          <w:color w:val="000000"/>
          <w:sz w:val="24"/>
          <w:szCs w:val="24"/>
        </w:rPr>
      </w:pPr>
      <w:bookmarkStart w:id="29" w:name="_Toc536542319"/>
      <w:r>
        <w:rPr>
          <w:rFonts w:hint="eastAsia" w:ascii="宋体" w:hAnsi="宋体" w:eastAsia="宋体" w:cs="宋体"/>
          <w:color w:val="000000"/>
          <w:sz w:val="24"/>
          <w:szCs w:val="24"/>
        </w:rPr>
        <w:t>2.7投标产品技术支持材料</w:t>
      </w:r>
      <w:bookmarkEnd w:id="29"/>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2.8设备质量承诺函（附件7）；</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2.9投标人需提交的其它资料。</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0" w:name="OLE_LINK19"/>
      <w:bookmarkStart w:id="31" w:name="OLE_LINK18"/>
      <w:r>
        <w:rPr>
          <w:rFonts w:hint="eastAsia" w:ascii="宋体" w:hAnsi="宋体" w:eastAsia="宋体" w:cs="宋体"/>
          <w:b/>
          <w:color w:val="000000"/>
          <w:sz w:val="24"/>
          <w:szCs w:val="24"/>
        </w:rPr>
        <w:t>；</w:t>
      </w:r>
      <w:bookmarkEnd w:id="30"/>
      <w:bookmarkEnd w:id="31"/>
      <w:r>
        <w:rPr>
          <w:rFonts w:hint="eastAsia" w:ascii="宋体" w:hAnsi="宋体" w:eastAsia="宋体" w:cs="宋体"/>
          <w:color w:val="000000"/>
          <w:sz w:val="24"/>
          <w:szCs w:val="24"/>
        </w:rPr>
        <w:t xml:space="preserve"> </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pPr>
        <w:pStyle w:val="18"/>
        <w:jc w:val="center"/>
        <w:rPr>
          <w:rFonts w:ascii="Calibri" w:hAnsi="Calibri" w:eastAsia="宋体" w:cs="Times New Roman"/>
          <w:b/>
          <w:bCs/>
          <w:kern w:val="44"/>
          <w:sz w:val="36"/>
          <w:szCs w:val="44"/>
        </w:rPr>
        <w:sectPr>
          <w:pgSz w:w="11907" w:h="16840"/>
          <w:pgMar w:top="1304" w:right="1418" w:bottom="1304" w:left="1418" w:header="724" w:footer="851" w:gutter="0"/>
          <w:cols w:space="720" w:num="1"/>
          <w:docGrid w:linePitch="290" w:charSpace="-3931"/>
        </w:sectPr>
      </w:pPr>
    </w:p>
    <w:bookmarkEnd w:id="0"/>
    <w:bookmarkEnd w:id="1"/>
    <w:p>
      <w:pPr>
        <w:keepNext/>
        <w:keepLines/>
        <w:jc w:val="center"/>
        <w:outlineLvl w:val="0"/>
        <w:rPr>
          <w:rFonts w:ascii="Calibri" w:hAnsi="Calibri" w:eastAsia="宋体" w:cs="Times New Roman"/>
          <w:b/>
          <w:bCs/>
          <w:kern w:val="44"/>
          <w:sz w:val="36"/>
          <w:szCs w:val="44"/>
        </w:rPr>
      </w:pPr>
      <w:bookmarkStart w:id="32" w:name="_Toc11980"/>
      <w:bookmarkStart w:id="33" w:name="_Toc169605877"/>
      <w:r>
        <w:rPr>
          <w:rFonts w:hint="eastAsia" w:ascii="Calibri" w:hAnsi="Calibri" w:eastAsia="宋体" w:cs="Times New Roman"/>
          <w:b/>
          <w:bCs/>
          <w:kern w:val="44"/>
          <w:sz w:val="36"/>
          <w:szCs w:val="44"/>
        </w:rPr>
        <w:t>第四部分 技术标书</w:t>
      </w:r>
      <w:bookmarkEnd w:id="32"/>
    </w:p>
    <w:p>
      <w:pPr>
        <w:pStyle w:val="18"/>
      </w:pPr>
    </w:p>
    <w:p>
      <w:pPr>
        <w:keepNext/>
        <w:keepLines/>
        <w:jc w:val="center"/>
        <w:rPr>
          <w:rFonts w:hint="eastAsia" w:ascii="Calibri" w:hAnsi="宋体" w:eastAsia="宋体" w:cs="Times New Roman"/>
          <w:b/>
          <w:bCs/>
          <w:color w:val="000000"/>
          <w:spacing w:val="-8"/>
          <w:sz w:val="48"/>
          <w:szCs w:val="44"/>
        </w:rPr>
      </w:pPr>
    </w:p>
    <w:p>
      <w:pPr>
        <w:keepNext/>
        <w:keepLines/>
        <w:jc w:val="center"/>
        <w:rPr>
          <w:rFonts w:hint="eastAsia" w:ascii="Calibri" w:hAnsi="宋体" w:eastAsia="宋体" w:cs="Times New Roman"/>
          <w:b/>
          <w:bCs/>
          <w:color w:val="000000"/>
          <w:spacing w:val="-8"/>
          <w:sz w:val="48"/>
          <w:szCs w:val="44"/>
        </w:rPr>
      </w:pPr>
    </w:p>
    <w:p>
      <w:pPr>
        <w:keepNext/>
        <w:keepLines/>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中国重汽集团济南卡车制造公司</w:t>
      </w:r>
    </w:p>
    <w:p>
      <w:pPr>
        <w:jc w:val="center"/>
        <w:rPr>
          <w:rFonts w:ascii="Calibri" w:hAnsi="Calibri" w:eastAsia="宋体" w:cs="Times New Roman"/>
          <w:b/>
          <w:bCs/>
          <w:color w:val="000000"/>
          <w:sz w:val="28"/>
          <w:szCs w:val="28"/>
        </w:rPr>
      </w:pPr>
      <w:r>
        <w:rPr>
          <w:rFonts w:hint="eastAsia" w:ascii="Calibri" w:hAnsi="Calibri" w:eastAsia="宋体" w:cs="Times New Roman"/>
          <w:b/>
          <w:bCs/>
          <w:color w:val="000000"/>
          <w:sz w:val="48"/>
          <w:szCs w:val="48"/>
          <w:lang w:val="en-US" w:eastAsia="zh-CN"/>
        </w:rPr>
        <w:t>党家庄</w:t>
      </w:r>
      <w:r>
        <w:rPr>
          <w:rFonts w:hint="eastAsia" w:ascii="Calibri" w:hAnsi="Calibri" w:eastAsia="宋体" w:cs="Times New Roman"/>
          <w:b/>
          <w:bCs/>
          <w:color w:val="000000"/>
          <w:sz w:val="48"/>
          <w:szCs w:val="48"/>
        </w:rPr>
        <w:t>厂区总三车间总装北线加固改造技改项目</w:t>
      </w:r>
    </w:p>
    <w:p>
      <w:pPr>
        <w:pStyle w:val="18"/>
      </w:pPr>
    </w:p>
    <w:p>
      <w:pPr>
        <w:pStyle w:val="18"/>
      </w:pPr>
    </w:p>
    <w:p>
      <w:pPr>
        <w:pStyle w:val="18"/>
      </w:pPr>
    </w:p>
    <w:p>
      <w:pPr>
        <w:pStyle w:val="18"/>
      </w:pP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pPr>
        <w:pStyle w:val="18"/>
      </w:pPr>
    </w:p>
    <w:p>
      <w:pPr>
        <w:pStyle w:val="18"/>
        <w:rPr>
          <w:rFonts w:hint="eastAsia" w:ascii="黑体" w:hAnsi="宋体" w:eastAsia="黑体" w:cs="Times New Roman"/>
          <w:color w:val="000000"/>
          <w:sz w:val="72"/>
          <w:szCs w:val="72"/>
        </w:rPr>
      </w:pPr>
    </w:p>
    <w:p>
      <w:pPr>
        <w:pStyle w:val="18"/>
        <w:rPr>
          <w:b/>
          <w:bCs/>
        </w:rPr>
      </w:pPr>
    </w:p>
    <w:p>
      <w:pPr>
        <w:pStyle w:val="18"/>
        <w:rPr>
          <w:b/>
          <w:bCs/>
        </w:rPr>
      </w:pPr>
    </w:p>
    <w:p>
      <w:pPr>
        <w:pStyle w:val="18"/>
        <w:rPr>
          <w:b/>
          <w:bCs/>
        </w:rPr>
      </w:pPr>
    </w:p>
    <w:p>
      <w:pPr>
        <w:pStyle w:val="18"/>
        <w:rPr>
          <w:b/>
          <w:bCs/>
        </w:rPr>
      </w:pPr>
    </w:p>
    <w:p>
      <w:pPr>
        <w:pStyle w:val="18"/>
        <w:rPr>
          <w:b/>
          <w:bCs/>
        </w:rPr>
      </w:pPr>
    </w:p>
    <w:p>
      <w:pPr>
        <w:pStyle w:val="18"/>
        <w:rPr>
          <w:b/>
          <w:bCs/>
        </w:rPr>
      </w:pPr>
    </w:p>
    <w:p>
      <w:pPr>
        <w:pStyle w:val="18"/>
        <w:rPr>
          <w:b/>
          <w:bCs/>
        </w:rPr>
      </w:pPr>
    </w:p>
    <w:p>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人：中国重汽集团济南卡车股份有限公司</w:t>
      </w:r>
    </w:p>
    <w:p>
      <w:pPr>
        <w:jc w:val="center"/>
        <w:rPr>
          <w:rFonts w:ascii="Calibri" w:hAnsi="Calibri" w:eastAsia="宋体" w:cs="Times New Roman"/>
          <w:b/>
          <w:bCs/>
          <w:kern w:val="44"/>
          <w:sz w:val="36"/>
          <w:szCs w:val="44"/>
        </w:rPr>
      </w:pPr>
      <w:r>
        <w:rPr>
          <w:rFonts w:hint="eastAsia" w:ascii="Calibri" w:hAnsi="Calibri" w:eastAsia="宋体" w:cs="Times New Roman"/>
          <w:color w:val="000000"/>
          <w:sz w:val="28"/>
          <w:szCs w:val="28"/>
        </w:rPr>
        <w:t xml:space="preserve">2026年 </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p>
      <w:pPr>
        <w:pStyle w:val="18"/>
        <w:rPr>
          <w:rFonts w:hint="eastAsia" w:ascii="华文仿宋" w:hAnsi="华文仿宋" w:eastAsia="华文仿宋"/>
          <w:b/>
          <w:bCs/>
          <w:sz w:val="32"/>
          <w:szCs w:val="28"/>
        </w:rPr>
      </w:pPr>
    </w:p>
    <w:p>
      <w:pPr>
        <w:spacing w:line="360" w:lineRule="auto"/>
        <w:rPr>
          <w:rFonts w:hint="eastAsia" w:ascii="宋体" w:hAnsi="宋体" w:eastAsia="宋体"/>
          <w:b/>
          <w:sz w:val="36"/>
          <w:szCs w:val="36"/>
        </w:rPr>
        <w:sectPr>
          <w:headerReference r:id="rId9" w:type="default"/>
          <w:footerReference r:id="rId10" w:type="default"/>
          <w:pgSz w:w="11907" w:h="16840"/>
          <w:pgMar w:top="1304" w:right="1418" w:bottom="1304" w:left="1418" w:header="724" w:footer="851" w:gutter="0"/>
          <w:pgNumType w:start="1"/>
          <w:cols w:space="720" w:num="1"/>
          <w:docGrid w:linePitch="290" w:charSpace="-3931"/>
        </w:sectPr>
      </w:pPr>
    </w:p>
    <w:p>
      <w:pPr>
        <w:keepNext/>
        <w:keepLines/>
        <w:spacing w:before="120" w:after="120" w:line="480" w:lineRule="exact"/>
        <w:jc w:val="center"/>
        <w:outlineLvl w:val="1"/>
        <w:rPr>
          <w:rFonts w:hint="eastAsia" w:ascii="宋体" w:hAnsi="宋体" w:eastAsia="宋体"/>
          <w:b/>
          <w:bCs/>
          <w:kern w:val="44"/>
          <w:sz w:val="28"/>
          <w:szCs w:val="28"/>
        </w:rPr>
      </w:pPr>
      <w:r>
        <w:rPr>
          <w:rFonts w:hint="eastAsia" w:ascii="宋体" w:hAnsi="宋体" w:eastAsia="宋体"/>
          <w:b/>
          <w:bCs/>
          <w:kern w:val="44"/>
          <w:sz w:val="28"/>
          <w:szCs w:val="28"/>
        </w:rPr>
        <w:t>第一章采购货物概况</w:t>
      </w:r>
    </w:p>
    <w:p>
      <w:pPr>
        <w:keepNext/>
        <w:keepLines/>
        <w:spacing w:before="120" w:after="120" w:line="480" w:lineRule="exact"/>
        <w:jc w:val="center"/>
        <w:outlineLvl w:val="2"/>
        <w:rPr>
          <w:rFonts w:hint="eastAsia" w:ascii="宋体" w:hAnsi="宋体" w:eastAsia="宋体"/>
          <w:b/>
          <w:bCs/>
          <w:sz w:val="24"/>
          <w:szCs w:val="24"/>
        </w:rPr>
      </w:pPr>
      <w:bookmarkStart w:id="34" w:name="_Toc169605878"/>
      <w:r>
        <w:rPr>
          <w:rFonts w:hint="eastAsia" w:ascii="宋体" w:hAnsi="宋体" w:eastAsia="宋体"/>
          <w:b/>
          <w:bCs/>
          <w:sz w:val="24"/>
          <w:szCs w:val="24"/>
        </w:rPr>
        <w:t>第一节使用环境</w:t>
      </w:r>
      <w:bookmarkEnd w:id="34"/>
    </w:p>
    <w:p>
      <w:pPr>
        <w:spacing w:line="360" w:lineRule="auto"/>
        <w:rPr>
          <w:rFonts w:hint="eastAsia" w:ascii="宋体" w:hAnsi="宋体" w:eastAsia="宋体"/>
          <w:sz w:val="24"/>
          <w:szCs w:val="24"/>
          <w:u w:val="single"/>
        </w:rPr>
      </w:pPr>
      <w:r>
        <w:rPr>
          <w:rFonts w:hint="eastAsia" w:ascii="宋体" w:hAnsi="宋体" w:eastAsia="宋体"/>
          <w:sz w:val="24"/>
          <w:szCs w:val="24"/>
        </w:rPr>
        <w:t>一、项目名称：</w:t>
      </w:r>
      <w:r>
        <w:rPr>
          <w:rFonts w:hint="eastAsia" w:ascii="宋体" w:hAnsi="宋体" w:eastAsia="宋体" w:cs="宋体"/>
          <w:sz w:val="24"/>
          <w:szCs w:val="24"/>
          <w:u w:val="single"/>
        </w:rPr>
        <w:t>济南卡车制造公司党家庄厂区总三车间总装北线加固改造技改项目</w:t>
      </w:r>
    </w:p>
    <w:p>
      <w:pPr>
        <w:spacing w:line="360" w:lineRule="auto"/>
        <w:outlineLvl w:val="3"/>
        <w:rPr>
          <w:rFonts w:hint="eastAsia" w:ascii="宋体" w:hAnsi="宋体" w:eastAsia="宋体" w:cs="宋体"/>
          <w:color w:val="000000"/>
          <w:sz w:val="24"/>
          <w:szCs w:val="24"/>
          <w:u w:val="single"/>
        </w:rPr>
      </w:pPr>
      <w:r>
        <w:rPr>
          <w:rFonts w:hint="eastAsia" w:ascii="宋体" w:hAnsi="宋体" w:eastAsia="宋体"/>
          <w:sz w:val="24"/>
          <w:szCs w:val="24"/>
        </w:rPr>
        <w:t>二、建设地点：</w:t>
      </w:r>
      <w:r>
        <w:rPr>
          <w:rFonts w:hint="eastAsia" w:ascii="宋体" w:hAnsi="宋体" w:eastAsia="宋体" w:cs="宋体"/>
          <w:color w:val="000000"/>
          <w:sz w:val="24"/>
          <w:szCs w:val="24"/>
          <w:u w:val="single"/>
        </w:rPr>
        <w:t>山东省济南市市中区党家庄镇南首中国重汽集团济南卡车股份有限公司党家庄工厂</w:t>
      </w:r>
    </w:p>
    <w:p>
      <w:pPr>
        <w:spacing w:line="360" w:lineRule="auto"/>
        <w:outlineLvl w:val="3"/>
        <w:rPr>
          <w:rFonts w:hint="eastAsia" w:ascii="宋体" w:hAnsi="宋体" w:eastAsia="宋体"/>
          <w:sz w:val="24"/>
          <w:szCs w:val="24"/>
        </w:rPr>
      </w:pPr>
      <w:r>
        <w:rPr>
          <w:rFonts w:hint="eastAsia" w:ascii="宋体" w:hAnsi="宋体" w:eastAsia="宋体"/>
          <w:sz w:val="24"/>
          <w:szCs w:val="24"/>
        </w:rPr>
        <w:t>三、使用地点：</w:t>
      </w:r>
      <w:r>
        <w:rPr>
          <w:rFonts w:hint="eastAsia" w:ascii="宋体" w:hAnsi="宋体" w:eastAsia="宋体" w:cs="宋体"/>
          <w:color w:val="000000"/>
          <w:sz w:val="24"/>
          <w:szCs w:val="24"/>
          <w:u w:val="single"/>
        </w:rPr>
        <w:t>山东省济南市市中区党家庄镇南首中国重汽集团济南卡车股份有限公司党家庄工厂</w:t>
      </w:r>
    </w:p>
    <w:p>
      <w:pPr>
        <w:pStyle w:val="129"/>
        <w:spacing w:line="360" w:lineRule="auto"/>
        <w:ind w:left="480" w:hanging="480" w:firstLineChars="0"/>
        <w:outlineLvl w:val="3"/>
        <w:rPr>
          <w:rFonts w:hint="eastAsia" w:ascii="宋体" w:hAnsi="宋体" w:eastAsia="宋体"/>
          <w:sz w:val="24"/>
          <w:szCs w:val="24"/>
        </w:rPr>
      </w:pPr>
      <w:r>
        <w:rPr>
          <w:rFonts w:ascii="宋体" w:hAnsi="宋体" w:eastAsia="宋体"/>
          <w:sz w:val="24"/>
          <w:szCs w:val="24"/>
        </w:rPr>
        <w:t>四、</w:t>
      </w:r>
      <w:r>
        <w:rPr>
          <w:rFonts w:hint="eastAsia" w:ascii="宋体" w:hAnsi="宋体" w:eastAsia="宋体"/>
          <w:sz w:val="24"/>
          <w:szCs w:val="24"/>
        </w:rPr>
        <w:t>使用环境及能源供给：</w:t>
      </w:r>
    </w:p>
    <w:p>
      <w:pPr>
        <w:pStyle w:val="8"/>
        <w:tabs>
          <w:tab w:val="left" w:pos="1134"/>
        </w:tabs>
        <w:spacing w:line="360" w:lineRule="auto"/>
        <w:rPr>
          <w:rFonts w:hint="eastAsia" w:ascii="宋体" w:hAnsi="宋体" w:eastAsia="宋体"/>
          <w:sz w:val="24"/>
          <w:szCs w:val="24"/>
        </w:rPr>
      </w:pPr>
      <w:r>
        <w:rPr>
          <w:rFonts w:hint="eastAsia" w:ascii="宋体" w:hAnsi="宋体" w:eastAsia="宋体"/>
          <w:bCs/>
          <w:sz w:val="24"/>
          <w:szCs w:val="24"/>
        </w:rPr>
        <w:t>1.海拔高度：</w:t>
      </w:r>
      <w:r>
        <w:rPr>
          <w:rFonts w:ascii="宋体" w:hAnsi="宋体" w:eastAsia="宋体"/>
          <w:sz w:val="24"/>
          <w:szCs w:val="24"/>
        </w:rPr>
        <w:t>≤</w:t>
      </w:r>
      <w:r>
        <w:rPr>
          <w:rFonts w:hint="eastAsia" w:ascii="宋体" w:hAnsi="宋体" w:eastAsia="宋体"/>
          <w:sz w:val="24"/>
          <w:szCs w:val="24"/>
        </w:rPr>
        <w:t>4000m；</w:t>
      </w:r>
    </w:p>
    <w:p>
      <w:pPr>
        <w:pStyle w:val="8"/>
        <w:tabs>
          <w:tab w:val="left" w:pos="1134"/>
        </w:tabs>
        <w:spacing w:line="360" w:lineRule="auto"/>
        <w:rPr>
          <w:rFonts w:hint="eastAsia" w:ascii="宋体" w:hAnsi="宋体" w:eastAsia="宋体"/>
          <w:sz w:val="24"/>
          <w:szCs w:val="24"/>
        </w:rPr>
      </w:pPr>
      <w:r>
        <w:rPr>
          <w:rFonts w:hint="eastAsia" w:ascii="宋体" w:hAnsi="宋体" w:eastAsia="宋体"/>
          <w:bCs/>
          <w:sz w:val="24"/>
          <w:szCs w:val="24"/>
        </w:rPr>
        <w:t>2.环境温度：</w:t>
      </w:r>
      <w:r>
        <w:rPr>
          <w:rFonts w:ascii="宋体" w:hAnsi="宋体" w:eastAsia="宋体"/>
          <w:sz w:val="24"/>
          <w:szCs w:val="24"/>
        </w:rPr>
        <w:t>-25</w:t>
      </w:r>
      <w:r>
        <w:rPr>
          <w:rFonts w:hint="eastAsia" w:ascii="宋体" w:hAnsi="宋体" w:eastAsia="宋体"/>
          <w:sz w:val="24"/>
          <w:szCs w:val="24"/>
        </w:rPr>
        <w:t>℃</w:t>
      </w:r>
      <w:r>
        <w:rPr>
          <w:rFonts w:ascii="宋体" w:hAnsi="宋体" w:eastAsia="宋体"/>
          <w:sz w:val="24"/>
          <w:szCs w:val="24"/>
        </w:rPr>
        <w:t>～45</w:t>
      </w:r>
      <w:r>
        <w:rPr>
          <w:rFonts w:hint="eastAsia" w:ascii="宋体" w:hAnsi="宋体" w:eastAsia="宋体"/>
          <w:sz w:val="24"/>
          <w:szCs w:val="24"/>
        </w:rPr>
        <w:t>℃</w:t>
      </w:r>
      <w:r>
        <w:rPr>
          <w:rFonts w:ascii="宋体" w:hAnsi="宋体" w:eastAsia="宋体"/>
          <w:sz w:val="24"/>
          <w:szCs w:val="24"/>
        </w:rPr>
        <w:t>；</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3.相对湿度：年平均59%，最大95%、最小15%</w:t>
      </w:r>
      <w:r>
        <w:rPr>
          <w:rFonts w:ascii="宋体" w:hAnsi="宋体" w:eastAsia="宋体"/>
          <w:bCs/>
          <w:sz w:val="24"/>
          <w:szCs w:val="24"/>
        </w:rPr>
        <w:t>；</w:t>
      </w:r>
    </w:p>
    <w:p>
      <w:pPr>
        <w:spacing w:line="360" w:lineRule="auto"/>
        <w:ind w:firstLine="480" w:firstLineChars="200"/>
        <w:outlineLvl w:val="3"/>
        <w:rPr>
          <w:rFonts w:hint="eastAsia" w:ascii="宋体" w:hAnsi="宋体" w:eastAsia="宋体" w:cs="宋体"/>
          <w:sz w:val="24"/>
          <w:szCs w:val="24"/>
        </w:rPr>
      </w:pPr>
      <w:r>
        <w:rPr>
          <w:rFonts w:ascii="宋体" w:hAnsi="宋体" w:eastAsia="宋体"/>
          <w:bCs/>
          <w:sz w:val="24"/>
          <w:szCs w:val="24"/>
        </w:rPr>
        <w:t>4</w:t>
      </w:r>
      <w:r>
        <w:rPr>
          <w:rFonts w:hint="eastAsia" w:ascii="宋体" w:hAnsi="宋体" w:eastAsia="宋体"/>
          <w:bCs/>
          <w:sz w:val="24"/>
          <w:szCs w:val="24"/>
        </w:rPr>
        <w:t>.</w:t>
      </w:r>
      <w:r>
        <w:rPr>
          <w:rFonts w:hint="eastAsia" w:ascii="宋体" w:hAnsi="宋体" w:eastAsia="宋体" w:cs="宋体"/>
          <w:sz w:val="24"/>
          <w:szCs w:val="24"/>
        </w:rPr>
        <w:t>大气压强：80kPa～110kPa；</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5.电力</w:t>
      </w:r>
      <w:r>
        <w:rPr>
          <w:rFonts w:ascii="宋体" w:hAnsi="宋体" w:eastAsia="宋体" w:cs="宋体"/>
          <w:sz w:val="24"/>
          <w:szCs w:val="24"/>
        </w:rPr>
        <w:t>:中国制式，三相五线制供电，供电电压 380V士10%/220V士10%，供电频率50Hz士0.5Hz</w:t>
      </w:r>
      <w:r>
        <w:rPr>
          <w:rFonts w:hint="eastAsia" w:ascii="宋体" w:hAnsi="宋体" w:eastAsia="宋体" w:cs="宋体"/>
          <w:sz w:val="24"/>
          <w:szCs w:val="24"/>
        </w:rPr>
        <w:t>；</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6.水：市政自来水0.25MPa(0.15-0.35MPa); </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7.非采暖季：动力站房供高温热水，供回水温度80℃/60℃; </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8.压缩空气：厂区空压机自产压缩空气，0.55～0.7 Mpa。</w:t>
      </w:r>
    </w:p>
    <w:p>
      <w:pPr>
        <w:spacing w:line="360" w:lineRule="auto"/>
        <w:rPr>
          <w:rFonts w:hint="eastAsia" w:ascii="宋体" w:hAnsi="宋体" w:eastAsia="宋体"/>
          <w:bCs/>
          <w:sz w:val="24"/>
          <w:szCs w:val="24"/>
        </w:rPr>
      </w:pPr>
      <w:r>
        <w:rPr>
          <w:rFonts w:hint="eastAsia" w:ascii="宋体" w:hAnsi="宋体" w:eastAsia="宋体"/>
          <w:bCs/>
          <w:sz w:val="24"/>
          <w:szCs w:val="24"/>
        </w:rPr>
        <w:t>五、工作制度：全年工作300天、双班制、设备年时基数5000小时以上。</w:t>
      </w:r>
    </w:p>
    <w:p>
      <w:pPr>
        <w:keepNext/>
        <w:keepLines/>
        <w:spacing w:before="120" w:after="120" w:line="480" w:lineRule="exact"/>
        <w:jc w:val="center"/>
        <w:outlineLvl w:val="2"/>
        <w:rPr>
          <w:rFonts w:hint="eastAsia" w:ascii="宋体" w:hAnsi="宋体" w:eastAsia="宋体"/>
          <w:b/>
          <w:bCs/>
          <w:sz w:val="24"/>
          <w:szCs w:val="24"/>
        </w:rPr>
      </w:pPr>
      <w:r>
        <w:rPr>
          <w:rFonts w:hint="eastAsia" w:ascii="宋体" w:hAnsi="宋体" w:eastAsia="宋体"/>
          <w:b/>
          <w:bCs/>
          <w:sz w:val="24"/>
          <w:szCs w:val="24"/>
        </w:rPr>
        <w:t>第二节采购货物概况</w:t>
      </w:r>
    </w:p>
    <w:p>
      <w:pPr>
        <w:pStyle w:val="129"/>
        <w:numPr>
          <w:ilvl w:val="0"/>
          <w:numId w:val="11"/>
        </w:numPr>
        <w:spacing w:line="420" w:lineRule="exact"/>
        <w:ind w:firstLineChars="0"/>
        <w:outlineLvl w:val="3"/>
        <w:rPr>
          <w:rFonts w:hint="eastAsia" w:ascii="宋体" w:hAnsi="宋体" w:eastAsia="宋体"/>
          <w:bCs/>
          <w:sz w:val="24"/>
          <w:szCs w:val="24"/>
        </w:rPr>
      </w:pPr>
      <w:r>
        <w:rPr>
          <w:rFonts w:hint="eastAsia" w:ascii="宋体" w:hAnsi="宋体" w:eastAsia="宋体"/>
          <w:b/>
          <w:sz w:val="24"/>
          <w:szCs w:val="24"/>
        </w:rPr>
        <w:t>货物名称：总三车间总装北线加固改造设备设施</w:t>
      </w:r>
    </w:p>
    <w:p>
      <w:pPr>
        <w:spacing w:line="420" w:lineRule="exact"/>
        <w:outlineLvl w:val="3"/>
        <w:rPr>
          <w:rFonts w:hint="eastAsia" w:ascii="宋体" w:hAnsi="宋体" w:eastAsia="宋体"/>
          <w:sz w:val="24"/>
          <w:szCs w:val="24"/>
        </w:rPr>
      </w:pPr>
      <w:r>
        <w:rPr>
          <w:rFonts w:hint="eastAsia" w:ascii="宋体" w:hAnsi="宋体" w:eastAsia="宋体"/>
          <w:b/>
          <w:sz w:val="24"/>
          <w:szCs w:val="24"/>
        </w:rPr>
        <w:t>二、货物数量：</w:t>
      </w:r>
      <w:r>
        <w:rPr>
          <w:rFonts w:hint="eastAsia" w:ascii="宋体" w:hAnsi="宋体" w:eastAsia="宋体"/>
          <w:sz w:val="24"/>
          <w:szCs w:val="24"/>
        </w:rPr>
        <w:t>（详见</w:t>
      </w:r>
      <w:r>
        <w:rPr>
          <w:rFonts w:hint="eastAsia" w:ascii="宋体" w:hAnsi="宋体" w:eastAsia="宋体" w:cs="宋体"/>
          <w:color w:val="000000"/>
          <w:sz w:val="24"/>
          <w:szCs w:val="24"/>
        </w:rPr>
        <w:t>采购货物主要构成一览表</w:t>
      </w:r>
      <w:r>
        <w:rPr>
          <w:rFonts w:hint="eastAsia" w:ascii="宋体" w:hAnsi="宋体" w:eastAsia="宋体"/>
          <w:sz w:val="24"/>
          <w:szCs w:val="24"/>
        </w:rPr>
        <w:t>）</w:t>
      </w:r>
    </w:p>
    <w:p>
      <w:pPr>
        <w:spacing w:line="420" w:lineRule="exact"/>
        <w:outlineLvl w:val="3"/>
        <w:rPr>
          <w:rFonts w:hint="eastAsia" w:ascii="宋体" w:hAnsi="宋体" w:eastAsia="宋体"/>
          <w:b/>
          <w:sz w:val="24"/>
          <w:szCs w:val="24"/>
        </w:rPr>
      </w:pPr>
      <w:r>
        <w:rPr>
          <w:rFonts w:hint="eastAsia" w:ascii="宋体" w:hAnsi="宋体" w:eastAsia="宋体"/>
          <w:b/>
          <w:sz w:val="24"/>
          <w:szCs w:val="24"/>
        </w:rPr>
        <w:t>三、分投分中：</w:t>
      </w:r>
      <w:r>
        <w:rPr>
          <w:rFonts w:hint="eastAsia" w:ascii="宋体" w:hAnsi="宋体" w:eastAsia="宋体"/>
          <w:b/>
          <w:color w:val="000000"/>
          <w:sz w:val="24"/>
          <w:szCs w:val="24"/>
        </w:rPr>
        <w:t>不允许</w:t>
      </w:r>
    </w:p>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采购货物主要构成一览表</w:t>
      </w:r>
    </w:p>
    <w:tbl>
      <w:tblPr>
        <w:tblStyle w:val="39"/>
        <w:tblW w:w="51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5250"/>
        <w:gridCol w:w="3022"/>
        <w:gridCol w:w="1185"/>
        <w:gridCol w:w="1167"/>
        <w:gridCol w:w="1682"/>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05" w:type="pct"/>
            <w:vAlign w:val="center"/>
          </w:tcPr>
          <w:p>
            <w:pPr>
              <w:spacing w:line="360" w:lineRule="exact"/>
              <w:jc w:val="center"/>
              <w:rPr>
                <w:rFonts w:hint="eastAsia" w:ascii="宋体" w:hAnsi="宋体" w:eastAsia="宋体"/>
                <w:b/>
                <w:sz w:val="24"/>
                <w:szCs w:val="28"/>
              </w:rPr>
            </w:pPr>
            <w:r>
              <w:rPr>
                <w:rFonts w:hint="eastAsia" w:ascii="宋体" w:hAnsi="宋体" w:eastAsia="宋体"/>
                <w:b/>
                <w:sz w:val="24"/>
                <w:szCs w:val="28"/>
              </w:rPr>
              <w:t>序号</w:t>
            </w:r>
          </w:p>
        </w:tc>
        <w:tc>
          <w:tcPr>
            <w:tcW w:w="1786" w:type="pct"/>
            <w:vAlign w:val="center"/>
          </w:tcPr>
          <w:p>
            <w:pPr>
              <w:spacing w:line="360" w:lineRule="exact"/>
              <w:jc w:val="center"/>
              <w:rPr>
                <w:rFonts w:hint="eastAsia" w:ascii="宋体" w:hAnsi="宋体" w:eastAsia="宋体"/>
                <w:b/>
                <w:sz w:val="24"/>
                <w:szCs w:val="28"/>
              </w:rPr>
            </w:pPr>
            <w:r>
              <w:rPr>
                <w:rFonts w:hint="eastAsia" w:ascii="宋体" w:hAnsi="宋体" w:eastAsia="宋体"/>
                <w:b/>
                <w:sz w:val="24"/>
                <w:szCs w:val="28"/>
              </w:rPr>
              <w:t>名称</w:t>
            </w:r>
          </w:p>
        </w:tc>
        <w:tc>
          <w:tcPr>
            <w:tcW w:w="1028" w:type="pct"/>
            <w:vAlign w:val="center"/>
          </w:tcPr>
          <w:p>
            <w:pPr>
              <w:spacing w:line="360" w:lineRule="exact"/>
              <w:jc w:val="center"/>
              <w:rPr>
                <w:rFonts w:hint="eastAsia" w:ascii="宋体" w:hAnsi="宋体" w:eastAsia="宋体"/>
                <w:b/>
                <w:sz w:val="24"/>
                <w:szCs w:val="28"/>
              </w:rPr>
            </w:pPr>
            <w:r>
              <w:rPr>
                <w:rFonts w:hint="eastAsia" w:ascii="宋体" w:hAnsi="宋体" w:eastAsia="宋体"/>
                <w:b/>
                <w:sz w:val="24"/>
                <w:szCs w:val="28"/>
              </w:rPr>
              <w:t>规格</w:t>
            </w:r>
          </w:p>
        </w:tc>
        <w:tc>
          <w:tcPr>
            <w:tcW w:w="403" w:type="pct"/>
            <w:vAlign w:val="center"/>
          </w:tcPr>
          <w:p>
            <w:pPr>
              <w:spacing w:line="360" w:lineRule="exact"/>
              <w:jc w:val="center"/>
              <w:rPr>
                <w:rFonts w:hint="eastAsia" w:ascii="宋体" w:hAnsi="宋体" w:eastAsia="宋体"/>
                <w:b/>
                <w:sz w:val="24"/>
                <w:szCs w:val="28"/>
              </w:rPr>
            </w:pPr>
            <w:r>
              <w:rPr>
                <w:rFonts w:hint="eastAsia" w:ascii="宋体" w:hAnsi="宋体" w:eastAsia="宋体"/>
                <w:b/>
                <w:sz w:val="24"/>
                <w:szCs w:val="28"/>
              </w:rPr>
              <w:t>单位</w:t>
            </w:r>
          </w:p>
        </w:tc>
        <w:tc>
          <w:tcPr>
            <w:tcW w:w="397" w:type="pct"/>
            <w:vAlign w:val="center"/>
          </w:tcPr>
          <w:p>
            <w:pPr>
              <w:spacing w:line="360" w:lineRule="exact"/>
              <w:jc w:val="center"/>
              <w:rPr>
                <w:rFonts w:hint="eastAsia" w:ascii="宋体" w:hAnsi="宋体" w:eastAsia="宋体"/>
                <w:b/>
                <w:sz w:val="24"/>
                <w:szCs w:val="28"/>
              </w:rPr>
            </w:pPr>
            <w:r>
              <w:rPr>
                <w:rFonts w:hint="eastAsia" w:ascii="宋体" w:hAnsi="宋体" w:eastAsia="宋体"/>
                <w:b/>
                <w:sz w:val="24"/>
                <w:szCs w:val="28"/>
              </w:rPr>
              <w:t>数量</w:t>
            </w:r>
          </w:p>
        </w:tc>
        <w:tc>
          <w:tcPr>
            <w:tcW w:w="572" w:type="pct"/>
            <w:vAlign w:val="center"/>
          </w:tcPr>
          <w:p>
            <w:pPr>
              <w:spacing w:line="360" w:lineRule="exact"/>
              <w:jc w:val="center"/>
              <w:rPr>
                <w:rFonts w:ascii="宋体" w:hAnsi="宋体" w:eastAsia="宋体"/>
                <w:b/>
                <w:sz w:val="24"/>
                <w:szCs w:val="28"/>
              </w:rPr>
            </w:pPr>
            <w:r>
              <w:rPr>
                <w:rFonts w:hint="eastAsia" w:ascii="宋体" w:hAnsi="宋体" w:eastAsia="宋体"/>
                <w:b/>
                <w:sz w:val="24"/>
                <w:szCs w:val="28"/>
              </w:rPr>
              <w:t>交货方式</w:t>
            </w:r>
          </w:p>
        </w:tc>
        <w:tc>
          <w:tcPr>
            <w:tcW w:w="507" w:type="pct"/>
            <w:vAlign w:val="center"/>
          </w:tcPr>
          <w:p>
            <w:pPr>
              <w:spacing w:line="360" w:lineRule="exact"/>
              <w:jc w:val="center"/>
              <w:rPr>
                <w:rFonts w:ascii="宋体" w:hAnsi="宋体" w:eastAsia="宋体"/>
                <w:b/>
                <w:sz w:val="24"/>
                <w:szCs w:val="28"/>
              </w:rPr>
            </w:pPr>
            <w:r>
              <w:rPr>
                <w:rFonts w:hint="eastAsia" w:ascii="宋体" w:hAnsi="宋体" w:eastAsia="宋体"/>
                <w:b/>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1</w:t>
            </w:r>
          </w:p>
        </w:tc>
        <w:tc>
          <w:tcPr>
            <w:tcW w:w="1786" w:type="pct"/>
            <w:vAlign w:val="center"/>
          </w:tcPr>
          <w:p>
            <w:pPr>
              <w:spacing w:line="360" w:lineRule="auto"/>
              <w:jc w:val="center"/>
              <w:rPr>
                <w:rFonts w:hint="default" w:ascii="宋体" w:hAnsi="宋体" w:eastAsia="宋体"/>
                <w:bCs/>
                <w:sz w:val="24"/>
                <w:szCs w:val="24"/>
                <w:lang w:val="en-US" w:eastAsia="zh-CN"/>
              </w:rPr>
            </w:pPr>
            <w:r>
              <w:rPr>
                <w:rFonts w:hint="eastAsia" w:ascii="宋体" w:hAnsi="宋体" w:eastAsia="宋体"/>
                <w:bCs/>
                <w:sz w:val="24"/>
                <w:szCs w:val="24"/>
                <w:lang w:val="en-US" w:eastAsia="zh-CN"/>
              </w:rPr>
              <w:t>更换15kW电机减速机</w:t>
            </w:r>
          </w:p>
        </w:tc>
        <w:tc>
          <w:tcPr>
            <w:tcW w:w="1028" w:type="pct"/>
            <w:vAlign w:val="center"/>
          </w:tcPr>
          <w:p>
            <w:pPr>
              <w:spacing w:line="360" w:lineRule="auto"/>
              <w:jc w:val="center"/>
              <w:rPr>
                <w:rFonts w:hint="default"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SEW一级能效</w:t>
            </w:r>
          </w:p>
        </w:tc>
        <w:tc>
          <w:tcPr>
            <w:tcW w:w="403" w:type="pct"/>
            <w:vAlign w:val="center"/>
          </w:tcPr>
          <w:p>
            <w:pPr>
              <w:spacing w:line="360" w:lineRule="auto"/>
              <w:jc w:val="center"/>
              <w:rPr>
                <w:rFonts w:hint="eastAsia" w:ascii="宋体" w:hAnsi="宋体" w:eastAsia="宋体"/>
                <w:bCs/>
                <w:sz w:val="24"/>
                <w:szCs w:val="24"/>
                <w:lang w:eastAsia="zh-CN"/>
              </w:rPr>
            </w:pPr>
            <w:r>
              <w:rPr>
                <w:rFonts w:hint="eastAsia" w:ascii="宋体" w:hAnsi="宋体" w:eastAsia="宋体"/>
                <w:bCs/>
                <w:sz w:val="24"/>
                <w:szCs w:val="24"/>
              </w:rPr>
              <w:t>套</w:t>
            </w:r>
          </w:p>
        </w:tc>
        <w:tc>
          <w:tcPr>
            <w:tcW w:w="397" w:type="pct"/>
            <w:vAlign w:val="center"/>
          </w:tcPr>
          <w:p>
            <w:pPr>
              <w:spacing w:line="360" w:lineRule="auto"/>
              <w:jc w:val="center"/>
              <w:rPr>
                <w:rFonts w:hint="eastAsia" w:ascii="宋体" w:hAnsi="宋体" w:eastAsia="宋体"/>
                <w:bCs/>
                <w:sz w:val="24"/>
                <w:szCs w:val="24"/>
                <w:lang w:eastAsia="zh-CN"/>
              </w:rPr>
            </w:pPr>
            <w:r>
              <w:rPr>
                <w:rFonts w:hint="eastAsia" w:ascii="宋体" w:hAnsi="宋体" w:eastAsia="宋体"/>
                <w:bCs/>
                <w:sz w:val="24"/>
                <w:szCs w:val="24"/>
              </w:rPr>
              <w:t>1</w:t>
            </w:r>
          </w:p>
        </w:tc>
        <w:tc>
          <w:tcPr>
            <w:tcW w:w="572" w:type="pct"/>
            <w:vAlign w:val="center"/>
          </w:tcPr>
          <w:p>
            <w:pPr>
              <w:spacing w:line="360" w:lineRule="auto"/>
              <w:jc w:val="center"/>
              <w:rPr>
                <w:rFonts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2</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更换5.5kW电机减速机</w:t>
            </w:r>
          </w:p>
        </w:tc>
        <w:tc>
          <w:tcPr>
            <w:tcW w:w="1028" w:type="pct"/>
            <w:vAlign w:val="center"/>
          </w:tcPr>
          <w:p>
            <w:pPr>
              <w:spacing w:line="360" w:lineRule="auto"/>
              <w:jc w:val="center"/>
              <w:rPr>
                <w:rFonts w:hint="eastAsia"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SEW一级能效</w:t>
            </w:r>
          </w:p>
        </w:tc>
        <w:tc>
          <w:tcPr>
            <w:tcW w:w="403"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rPr>
              <w:t>套</w:t>
            </w:r>
          </w:p>
        </w:tc>
        <w:tc>
          <w:tcPr>
            <w:tcW w:w="397"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3</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电气系统配套更换</w:t>
            </w:r>
          </w:p>
        </w:tc>
        <w:tc>
          <w:tcPr>
            <w:tcW w:w="1028" w:type="pct"/>
            <w:vAlign w:val="center"/>
          </w:tcPr>
          <w:p>
            <w:pPr>
              <w:spacing w:line="360" w:lineRule="auto"/>
              <w:jc w:val="center"/>
              <w:rPr>
                <w:rFonts w:hint="default"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rPr>
              <w:t>套</w:t>
            </w:r>
          </w:p>
        </w:tc>
        <w:tc>
          <w:tcPr>
            <w:tcW w:w="397"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4</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加固地拖链、双板链线体中间骨架</w:t>
            </w:r>
          </w:p>
        </w:tc>
        <w:tc>
          <w:tcPr>
            <w:tcW w:w="1028" w:type="pct"/>
            <w:vAlign w:val="center"/>
          </w:tcPr>
          <w:p>
            <w:pPr>
              <w:spacing w:line="360" w:lineRule="auto"/>
              <w:jc w:val="center"/>
              <w:rPr>
                <w:rFonts w:hint="eastAsia"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5</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地拖链增加承载横梁</w:t>
            </w:r>
          </w:p>
        </w:tc>
        <w:tc>
          <w:tcPr>
            <w:tcW w:w="1028" w:type="pct"/>
            <w:vAlign w:val="center"/>
          </w:tcPr>
          <w:p>
            <w:pPr>
              <w:spacing w:line="360" w:lineRule="auto"/>
              <w:jc w:val="center"/>
              <w:rPr>
                <w:rFonts w:hint="eastAsia"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6</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检修地拖链链条行走轨道、链条返回轨道</w:t>
            </w:r>
          </w:p>
        </w:tc>
        <w:tc>
          <w:tcPr>
            <w:tcW w:w="1028" w:type="pct"/>
            <w:vAlign w:val="center"/>
          </w:tcPr>
          <w:p>
            <w:pPr>
              <w:spacing w:line="360" w:lineRule="auto"/>
              <w:jc w:val="center"/>
              <w:rPr>
                <w:rFonts w:hint="eastAsia"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7</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加固地拖链、双板链两侧地坑盖板及支架支撑</w:t>
            </w:r>
          </w:p>
        </w:tc>
        <w:tc>
          <w:tcPr>
            <w:tcW w:w="1028" w:type="pct"/>
            <w:vAlign w:val="center"/>
          </w:tcPr>
          <w:p>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8</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加固地拖链和双板链驱动部分、涨紧部分</w:t>
            </w:r>
          </w:p>
        </w:tc>
        <w:tc>
          <w:tcPr>
            <w:tcW w:w="1028" w:type="pct"/>
            <w:vAlign w:val="center"/>
          </w:tcPr>
          <w:p>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9</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更换双板链链板</w:t>
            </w:r>
          </w:p>
        </w:tc>
        <w:tc>
          <w:tcPr>
            <w:tcW w:w="1028" w:type="pct"/>
            <w:vAlign w:val="center"/>
          </w:tcPr>
          <w:p>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10</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检修双板链承重轨道、返回轨道</w:t>
            </w:r>
          </w:p>
        </w:tc>
        <w:tc>
          <w:tcPr>
            <w:tcW w:w="1028" w:type="pct"/>
            <w:vAlign w:val="center"/>
          </w:tcPr>
          <w:p>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11</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更换地拖链420米轨道</w:t>
            </w:r>
          </w:p>
        </w:tc>
        <w:tc>
          <w:tcPr>
            <w:tcW w:w="1028" w:type="pct"/>
            <w:vAlign w:val="center"/>
          </w:tcPr>
          <w:p>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12</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更换地拖链防护胶皮</w:t>
            </w:r>
          </w:p>
        </w:tc>
        <w:tc>
          <w:tcPr>
            <w:tcW w:w="1028" w:type="pct"/>
            <w:vAlign w:val="center"/>
          </w:tcPr>
          <w:p>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05"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13</w:t>
            </w:r>
          </w:p>
        </w:tc>
        <w:tc>
          <w:tcPr>
            <w:tcW w:w="1786" w:type="pct"/>
            <w:vAlign w:val="center"/>
          </w:tcPr>
          <w:p>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更换地拖链、双板链滚轮轴承</w:t>
            </w:r>
          </w:p>
        </w:tc>
        <w:tc>
          <w:tcPr>
            <w:tcW w:w="1028" w:type="pct"/>
            <w:vAlign w:val="center"/>
          </w:tcPr>
          <w:p>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05" w:type="pct"/>
            <w:vAlign w:val="center"/>
          </w:tcPr>
          <w:p>
            <w:pPr>
              <w:spacing w:line="360" w:lineRule="auto"/>
              <w:jc w:val="center"/>
              <w:rPr>
                <w:rFonts w:hint="default" w:ascii="宋体" w:hAnsi="宋体" w:eastAsia="宋体"/>
                <w:bCs/>
                <w:sz w:val="24"/>
                <w:szCs w:val="24"/>
                <w:lang w:val="en-US" w:eastAsia="zh-CN"/>
              </w:rPr>
            </w:pPr>
            <w:r>
              <w:rPr>
                <w:rFonts w:hint="eastAsia" w:ascii="宋体" w:hAnsi="宋体" w:eastAsia="宋体"/>
                <w:bCs/>
                <w:sz w:val="24"/>
                <w:szCs w:val="24"/>
                <w:lang w:val="en-US" w:eastAsia="zh-CN"/>
              </w:rPr>
              <w:t>14</w:t>
            </w:r>
          </w:p>
        </w:tc>
        <w:tc>
          <w:tcPr>
            <w:tcW w:w="1786" w:type="pct"/>
            <w:vAlign w:val="center"/>
          </w:tcPr>
          <w:p>
            <w:pPr>
              <w:spacing w:line="360" w:lineRule="auto"/>
              <w:jc w:val="center"/>
              <w:rPr>
                <w:rFonts w:hint="default" w:ascii="宋体" w:hAnsi="宋体" w:eastAsia="宋体"/>
                <w:bCs/>
                <w:sz w:val="24"/>
                <w:szCs w:val="24"/>
                <w:lang w:val="en-US" w:eastAsia="zh-CN"/>
              </w:rPr>
            </w:pPr>
            <w:r>
              <w:rPr>
                <w:rFonts w:hint="eastAsia" w:ascii="宋体" w:hAnsi="宋体" w:eastAsia="宋体"/>
                <w:bCs/>
                <w:sz w:val="24"/>
                <w:szCs w:val="24"/>
                <w:lang w:val="en-US" w:eastAsia="zh-CN"/>
              </w:rPr>
              <w:t>线体地下地坑照明设备</w:t>
            </w:r>
          </w:p>
        </w:tc>
        <w:tc>
          <w:tcPr>
            <w:tcW w:w="1028" w:type="pct"/>
            <w:vAlign w:val="center"/>
          </w:tcPr>
          <w:p>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交钥匙方式</w:t>
            </w:r>
          </w:p>
        </w:tc>
        <w:tc>
          <w:tcPr>
            <w:tcW w:w="507" w:type="pct"/>
            <w:vAlign w:val="center"/>
          </w:tcPr>
          <w:p>
            <w:pPr>
              <w:spacing w:line="360" w:lineRule="auto"/>
              <w:jc w:val="center"/>
              <w:rPr>
                <w:rFonts w:ascii="宋体" w:hAnsi="宋体" w:eastAsia="宋体"/>
                <w:bCs/>
                <w:sz w:val="24"/>
                <w:szCs w:val="24"/>
              </w:rPr>
            </w:pPr>
          </w:p>
        </w:tc>
      </w:tr>
    </w:tbl>
    <w:p>
      <w:pPr>
        <w:spacing w:line="360" w:lineRule="auto"/>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备注：</w:t>
      </w:r>
    </w:p>
    <w:p>
      <w:pPr>
        <w:numPr>
          <w:ilvl w:val="0"/>
          <w:numId w:val="12"/>
        </w:numPr>
        <w:spacing w:line="360" w:lineRule="auto"/>
        <w:ind w:left="0" w:leftChars="0" w:firstLine="482" w:firstLineChars="200"/>
        <w:rPr>
          <w:rFonts w:hint="eastAsia" w:ascii="宋体" w:hAnsi="宋体" w:eastAsia="宋体" w:cs="宋体"/>
          <w:bCs/>
          <w:sz w:val="24"/>
          <w:szCs w:val="24"/>
          <w:highlight w:val="yellow"/>
        </w:rPr>
      </w:pPr>
      <w:r>
        <w:rPr>
          <w:rFonts w:hint="eastAsia" w:ascii="宋体" w:hAnsi="宋体" w:eastAsia="宋体" w:cs="宋体"/>
          <w:b/>
          <w:bCs w:val="0"/>
          <w:sz w:val="24"/>
          <w:szCs w:val="24"/>
          <w:highlight w:val="yellow"/>
          <w:lang w:val="en-US" w:eastAsia="zh-CN"/>
        </w:rPr>
        <w:t>投标文件中须包含三维设计图及计算校核书等核算依据，并注明所选用物料的规格、型号及材质等关键技术参数；该项目所用加固件的尺寸、选型及材质等，需根据核算依据确定，最终以现场实际情况和会签图纸为准。</w:t>
      </w:r>
    </w:p>
    <w:p>
      <w:pPr>
        <w:numPr>
          <w:ilvl w:val="0"/>
          <w:numId w:val="12"/>
        </w:numPr>
        <w:spacing w:line="360" w:lineRule="auto"/>
        <w:ind w:left="0" w:leftChars="0" w:firstLine="480" w:firstLineChars="200"/>
        <w:rPr>
          <w:rFonts w:hint="eastAsia" w:ascii="宋体" w:hAnsi="宋体" w:eastAsia="宋体" w:cs="宋体"/>
          <w:bCs/>
          <w:sz w:val="24"/>
          <w:szCs w:val="24"/>
        </w:rPr>
      </w:pPr>
      <w:r>
        <w:rPr>
          <w:rFonts w:hint="eastAsia" w:ascii="宋体" w:hAnsi="宋体" w:eastAsia="宋体" w:cs="宋体"/>
          <w:bCs/>
          <w:sz w:val="24"/>
          <w:szCs w:val="24"/>
        </w:rPr>
        <w:t>本表所列采购设备仅为主要设备明细，应配套供货以及招标人所列其它货物（或设备）和服务，请投标人认真阅读“供货范围”。若有异议，不管是多么微小，都应在投标文件“商务偏离”章节中予以详细说明。</w:t>
      </w:r>
    </w:p>
    <w:p>
      <w:pPr>
        <w:numPr>
          <w:ilvl w:val="0"/>
          <w:numId w:val="12"/>
        </w:numPr>
        <w:spacing w:line="360" w:lineRule="auto"/>
        <w:ind w:left="0" w:leftChars="0" w:firstLine="480" w:firstLineChars="200"/>
        <w:rPr>
          <w:rFonts w:hint="eastAsia" w:eastAsia="宋体"/>
          <w:b/>
          <w:bCs w:val="0"/>
          <w:highlight w:val="none"/>
          <w:lang w:val="en-US" w:eastAsia="zh-CN"/>
        </w:rPr>
      </w:pPr>
      <w:r>
        <w:rPr>
          <w:rFonts w:hint="eastAsia" w:ascii="宋体" w:hAnsi="宋体" w:eastAsia="宋体" w:cs="宋体"/>
          <w:bCs/>
          <w:sz w:val="24"/>
          <w:szCs w:val="24"/>
          <w:highlight w:val="none"/>
        </w:rPr>
        <w:t>本表“供货方式”指：交钥匙方式——包括制造、运输、定点卸货、安装、调试和协助验收以及培训等。</w:t>
      </w:r>
    </w:p>
    <w:p>
      <w:pPr>
        <w:pStyle w:val="13"/>
        <w:rPr>
          <w:rFonts w:hint="eastAsia"/>
        </w:rPr>
      </w:pPr>
    </w:p>
    <w:p>
      <w:pPr>
        <w:spacing w:line="360" w:lineRule="auto"/>
        <w:outlineLvl w:val="3"/>
        <w:rPr>
          <w:rFonts w:hint="eastAsia" w:ascii="宋体" w:hAnsi="宋体" w:eastAsia="宋体"/>
          <w:b/>
          <w:sz w:val="24"/>
          <w:szCs w:val="24"/>
        </w:rPr>
      </w:pPr>
      <w:r>
        <w:rPr>
          <w:rFonts w:hint="eastAsia" w:ascii="宋体" w:hAnsi="宋体" w:eastAsia="宋体"/>
          <w:b/>
          <w:sz w:val="24"/>
          <w:szCs w:val="24"/>
        </w:rPr>
        <w:t>四</w:t>
      </w:r>
      <w:r>
        <w:rPr>
          <w:rFonts w:hint="eastAsia" w:ascii="宋体" w:hAnsi="宋体" w:eastAsia="宋体"/>
          <w:b/>
          <w:color w:val="000000"/>
          <w:sz w:val="24"/>
          <w:szCs w:val="24"/>
        </w:rPr>
        <w:t>、采购货物特别说明</w:t>
      </w:r>
    </w:p>
    <w:p>
      <w:pPr>
        <w:spacing w:line="360" w:lineRule="auto"/>
        <w:ind w:firstLine="480" w:firstLineChars="200"/>
        <w:rPr>
          <w:rFonts w:hint="default" w:ascii="宋体" w:hAnsi="宋体" w:eastAsia="宋体" w:cs="宋体"/>
          <w:bCs/>
          <w:sz w:val="24"/>
          <w:szCs w:val="24"/>
          <w:lang w:val="en-US" w:eastAsia="zh-CN"/>
        </w:rPr>
      </w:pPr>
      <w:r>
        <w:rPr>
          <w:rFonts w:hint="eastAsia" w:ascii="宋体" w:hAnsi="宋体" w:eastAsia="宋体" w:cs="宋体"/>
          <w:bCs/>
          <w:sz w:val="24"/>
          <w:szCs w:val="24"/>
        </w:rPr>
        <w:t>主要器件品牌表：</w:t>
      </w:r>
      <w:r>
        <w:rPr>
          <w:rFonts w:hint="eastAsia" w:ascii="宋体" w:hAnsi="宋体" w:eastAsia="宋体" w:cs="宋体"/>
          <w:bCs/>
          <w:sz w:val="24"/>
          <w:szCs w:val="24"/>
          <w:lang w:val="en-US" w:eastAsia="zh-CN"/>
        </w:rPr>
        <w:t>(仅供参考)</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元器件建议按照下表清单中的标准选用，投标方投标时提供选用规格清单,最终规格待图纸会签时确定，</w:t>
      </w:r>
      <w:r>
        <w:rPr>
          <w:rFonts w:hint="eastAsia" w:ascii="宋体" w:hAnsi="宋体" w:eastAsia="宋体" w:cs="宋体"/>
          <w:bCs/>
          <w:sz w:val="24"/>
          <w:szCs w:val="24"/>
          <w:highlight w:val="yellow"/>
        </w:rPr>
        <w:t>可选同等或国内一流品牌。</w:t>
      </w:r>
    </w:p>
    <w:tbl>
      <w:tblPr>
        <w:tblStyle w:val="39"/>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0" w:type="dxa"/>
          <w:left w:w="108" w:type="dxa"/>
          <w:bottom w:w="170" w:type="dxa"/>
          <w:right w:w="108" w:type="dxa"/>
        </w:tblCellMar>
      </w:tblPr>
      <w:tblGrid>
        <w:gridCol w:w="1031"/>
        <w:gridCol w:w="3039"/>
        <w:gridCol w:w="5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vAlign w:val="center"/>
          </w:tcPr>
          <w:p>
            <w:pPr>
              <w:widowControl/>
              <w:spacing w:line="320" w:lineRule="exact"/>
              <w:jc w:val="center"/>
              <w:rPr>
                <w:rFonts w:hint="eastAsia" w:ascii="宋体" w:hAnsi="宋体" w:eastAsia="宋体" w:cs="宋体"/>
                <w:b/>
                <w:bCs/>
                <w:kern w:val="0"/>
                <w:szCs w:val="21"/>
              </w:rPr>
            </w:pPr>
            <w:r>
              <w:rPr>
                <w:rFonts w:hint="eastAsia" w:ascii="宋体" w:hAnsi="宋体" w:eastAsia="宋体" w:cs="宋体"/>
                <w:b/>
                <w:bCs/>
                <w:kern w:val="0"/>
                <w:szCs w:val="21"/>
              </w:rPr>
              <w:t>序号</w:t>
            </w:r>
          </w:p>
        </w:tc>
        <w:tc>
          <w:tcPr>
            <w:tcW w:w="3039" w:type="dxa"/>
            <w:vAlign w:val="center"/>
          </w:tcPr>
          <w:p>
            <w:pPr>
              <w:widowControl/>
              <w:spacing w:line="320" w:lineRule="exact"/>
              <w:jc w:val="center"/>
              <w:rPr>
                <w:rFonts w:hint="eastAsia" w:ascii="宋体" w:hAnsi="宋体" w:eastAsia="宋体" w:cs="宋体"/>
                <w:b/>
                <w:bCs/>
                <w:kern w:val="0"/>
                <w:szCs w:val="21"/>
              </w:rPr>
            </w:pPr>
            <w:r>
              <w:rPr>
                <w:rFonts w:hint="eastAsia" w:ascii="宋体" w:hAnsi="宋体" w:eastAsia="宋体" w:cs="宋体"/>
                <w:b/>
                <w:bCs/>
                <w:kern w:val="0"/>
                <w:szCs w:val="21"/>
              </w:rPr>
              <w:t>名     称</w:t>
            </w:r>
          </w:p>
        </w:tc>
        <w:tc>
          <w:tcPr>
            <w:tcW w:w="5370" w:type="dxa"/>
            <w:vAlign w:val="center"/>
          </w:tcPr>
          <w:p>
            <w:pPr>
              <w:widowControl/>
              <w:spacing w:line="320" w:lineRule="exact"/>
              <w:jc w:val="center"/>
              <w:rPr>
                <w:rFonts w:hint="eastAsia" w:ascii="宋体" w:hAnsi="宋体" w:eastAsia="宋体" w:cs="宋体"/>
                <w:b/>
                <w:bCs/>
                <w:kern w:val="0"/>
                <w:szCs w:val="21"/>
              </w:rPr>
            </w:pPr>
            <w:r>
              <w:rPr>
                <w:rFonts w:hint="eastAsia" w:ascii="宋体" w:hAnsi="宋体" w:eastAsia="宋体" w:cs="宋体"/>
                <w:b/>
                <w:bCs/>
                <w:kern w:val="0"/>
                <w:szCs w:val="21"/>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vAlign w:val="center"/>
          </w:tcPr>
          <w:p>
            <w:pPr>
              <w:widowControl/>
              <w:spacing w:line="320" w:lineRule="exact"/>
              <w:jc w:val="center"/>
              <w:rPr>
                <w:rFonts w:hint="eastAsia" w:ascii="宋体" w:hAnsi="宋体" w:eastAsia="宋体" w:cs="宋体"/>
                <w:kern w:val="0"/>
                <w:szCs w:val="21"/>
              </w:rPr>
            </w:pPr>
            <w:r>
              <w:rPr>
                <w:rFonts w:hint="eastAsia" w:ascii="宋体" w:hAnsi="宋体" w:eastAsia="宋体" w:cs="宋体"/>
                <w:kern w:val="0"/>
                <w:szCs w:val="21"/>
              </w:rPr>
              <w:t>1</w:t>
            </w:r>
          </w:p>
        </w:tc>
        <w:tc>
          <w:tcPr>
            <w:tcW w:w="3039" w:type="dxa"/>
            <w:vAlign w:val="center"/>
          </w:tcPr>
          <w:p>
            <w:pPr>
              <w:jc w:val="center"/>
              <w:rPr>
                <w:rFonts w:hint="eastAsia" w:ascii="宋体" w:hAnsi="宋体" w:eastAsia="宋体" w:cs="宋体"/>
                <w:color w:val="000000"/>
                <w:szCs w:val="21"/>
              </w:rPr>
            </w:pPr>
            <w:r>
              <w:rPr>
                <w:rFonts w:hint="eastAsia" w:ascii="宋体" w:hAnsi="宋体" w:eastAsia="宋体" w:cs="宋体"/>
                <w:b/>
                <w:bCs/>
                <w:color w:val="000000"/>
                <w:szCs w:val="21"/>
              </w:rPr>
              <w:t>变频器</w:t>
            </w:r>
          </w:p>
        </w:tc>
        <w:tc>
          <w:tcPr>
            <w:tcW w:w="5370" w:type="dxa"/>
            <w:vAlign w:val="center"/>
          </w:tcPr>
          <w:p>
            <w:pPr>
              <w:widowControl/>
              <w:spacing w:line="320" w:lineRule="exact"/>
              <w:jc w:val="center"/>
              <w:rPr>
                <w:rFonts w:hint="eastAsia" w:ascii="宋体" w:hAnsi="宋体" w:eastAsia="宋体" w:cs="宋体"/>
                <w:kern w:val="0"/>
                <w:szCs w:val="21"/>
              </w:rPr>
            </w:pPr>
            <w:r>
              <w:rPr>
                <w:rFonts w:hint="eastAsia" w:ascii="宋体" w:hAnsi="宋体" w:eastAsia="宋体" w:cs="宋体"/>
                <w:kern w:val="0"/>
                <w:szCs w:val="21"/>
              </w:rPr>
              <w:t>西门子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vAlign w:val="center"/>
          </w:tcPr>
          <w:p>
            <w:pPr>
              <w:widowControl/>
              <w:spacing w:line="320" w:lineRule="exact"/>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2</w:t>
            </w:r>
          </w:p>
        </w:tc>
        <w:tc>
          <w:tcPr>
            <w:tcW w:w="3039" w:type="dxa"/>
            <w:vAlign w:val="center"/>
          </w:tcPr>
          <w:p>
            <w:pPr>
              <w:jc w:val="center"/>
              <w:rPr>
                <w:rFonts w:hint="eastAsia" w:ascii="宋体" w:hAnsi="宋体" w:eastAsia="宋体" w:cs="宋体"/>
                <w:b/>
                <w:bCs/>
                <w:color w:val="000000"/>
                <w:szCs w:val="21"/>
              </w:rPr>
            </w:pPr>
            <w:r>
              <w:rPr>
                <w:rFonts w:hint="eastAsia" w:ascii="宋体" w:hAnsi="宋体" w:eastAsia="宋体" w:cs="宋体"/>
                <w:b/>
                <w:bCs/>
                <w:color w:val="000000"/>
                <w:szCs w:val="21"/>
              </w:rPr>
              <w:t>电机</w:t>
            </w:r>
          </w:p>
        </w:tc>
        <w:tc>
          <w:tcPr>
            <w:tcW w:w="5370" w:type="dxa"/>
            <w:vAlign w:val="center"/>
          </w:tcPr>
          <w:p>
            <w:pPr>
              <w:widowControl/>
              <w:spacing w:line="32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SEW</w:t>
            </w:r>
            <w:r>
              <w:rPr>
                <w:rFonts w:hint="eastAsia" w:ascii="宋体" w:hAnsi="宋体" w:eastAsia="宋体" w:cs="宋体"/>
                <w:kern w:val="0"/>
                <w:szCs w:val="21"/>
              </w:rPr>
              <w:t>一级</w:t>
            </w:r>
            <w:r>
              <w:rPr>
                <w:rFonts w:hint="eastAsia" w:ascii="宋体" w:hAnsi="宋体" w:eastAsia="宋体" w:cs="宋体"/>
                <w:kern w:val="0"/>
                <w:szCs w:val="21"/>
                <w:lang w:val="en-US" w:eastAsia="zh-CN"/>
              </w:rPr>
              <w:t>能效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vAlign w:val="center"/>
          </w:tcPr>
          <w:p>
            <w:pPr>
              <w:widowControl/>
              <w:spacing w:line="320" w:lineRule="exact"/>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3</w:t>
            </w:r>
          </w:p>
        </w:tc>
        <w:tc>
          <w:tcPr>
            <w:tcW w:w="3039" w:type="dxa"/>
            <w:vAlign w:val="center"/>
          </w:tcPr>
          <w:p>
            <w:pPr>
              <w:jc w:val="center"/>
              <w:rPr>
                <w:rFonts w:hint="eastAsia" w:ascii="宋体" w:hAnsi="宋体" w:eastAsia="宋体" w:cs="宋体"/>
                <w:b/>
                <w:bCs/>
                <w:color w:val="000000"/>
                <w:szCs w:val="21"/>
              </w:rPr>
            </w:pPr>
            <w:r>
              <w:rPr>
                <w:rFonts w:hint="eastAsia" w:ascii="宋体" w:hAnsi="宋体" w:eastAsia="宋体" w:cs="宋体"/>
                <w:b/>
                <w:bCs/>
                <w:color w:val="000000"/>
                <w:szCs w:val="21"/>
              </w:rPr>
              <w:t>数字量输入模块</w:t>
            </w:r>
          </w:p>
        </w:tc>
        <w:tc>
          <w:tcPr>
            <w:tcW w:w="5370" w:type="dxa"/>
            <w:vAlign w:val="center"/>
          </w:tcPr>
          <w:p>
            <w:pPr>
              <w:widowControl/>
              <w:spacing w:line="320" w:lineRule="exact"/>
              <w:jc w:val="center"/>
              <w:rPr>
                <w:rFonts w:hint="eastAsia" w:ascii="宋体" w:hAnsi="宋体" w:eastAsia="宋体" w:cs="宋体"/>
                <w:kern w:val="0"/>
                <w:szCs w:val="21"/>
              </w:rPr>
            </w:pPr>
            <w:r>
              <w:rPr>
                <w:rFonts w:hint="eastAsia" w:ascii="宋体" w:hAnsi="宋体" w:eastAsia="宋体" w:cs="宋体"/>
                <w:kern w:val="0"/>
                <w:szCs w:val="21"/>
              </w:rPr>
              <w:t>西门子</w:t>
            </w:r>
          </w:p>
        </w:tc>
      </w:tr>
    </w:tbl>
    <w:p>
      <w:pPr>
        <w:pStyle w:val="13"/>
        <w:rPr>
          <w:rFonts w:hint="eastAsia"/>
        </w:rPr>
      </w:pP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招标方所列货物的名称和规格型号，如为某一供应商所特有，则该名称和规格型号可作参考；但要求投标方所提供的货物必须满足本技术标书实质性要求。</w:t>
      </w:r>
    </w:p>
    <w:p>
      <w:pPr>
        <w:spacing w:line="360" w:lineRule="auto"/>
        <w:rPr>
          <w:rFonts w:hint="eastAsia" w:ascii="宋体" w:hAnsi="宋体" w:eastAsia="宋体"/>
          <w:sz w:val="24"/>
          <w:szCs w:val="24"/>
        </w:rPr>
      </w:pPr>
      <w:r>
        <w:rPr>
          <w:rFonts w:hint="eastAsia" w:ascii="宋体" w:hAnsi="宋体" w:eastAsia="宋体"/>
          <w:b/>
          <w:sz w:val="24"/>
          <w:szCs w:val="24"/>
        </w:rPr>
        <w:t>五、投标要求</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1、投标方须对济南卡车制造公司党家庄厂区总三车间总装北线加固改造技改项目施工详细内容充分分析，根据需求并提供详细的工艺方案，同时以此为报价基础。</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2、中标人对设备质量和可靠性负责。</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3、中标人应审查施工图纸，在工艺流程、布置及油壶口位置不变的情况下，如发现问题，可对加注形式、设备结构、用电量等工艺参数提出修改意见和改进措施。对设备的运转质量负最终责任。对设计修改部分提供完整技术资料。</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4、中标人对中标设备的制造、安装、调试提供系列服务，具体如下：</w:t>
      </w:r>
    </w:p>
    <w:p>
      <w:pPr>
        <w:spacing w:line="360" w:lineRule="auto"/>
        <w:ind w:firstLine="480" w:firstLineChars="200"/>
        <w:rPr>
          <w:rFonts w:hint="eastAsia" w:ascii="宋体" w:hAnsi="宋体" w:eastAsia="宋体"/>
          <w:bCs/>
          <w:sz w:val="24"/>
          <w:szCs w:val="24"/>
          <w:highlight w:val="cyan"/>
        </w:rPr>
      </w:pPr>
      <w:r>
        <w:rPr>
          <w:rFonts w:hint="eastAsia" w:ascii="宋体" w:hAnsi="宋体" w:eastAsia="宋体"/>
          <w:bCs/>
          <w:sz w:val="24"/>
          <w:szCs w:val="24"/>
          <w:highlight w:val="yellow"/>
        </w:rPr>
        <w:t>原则上，本项目中电机功率＞7.5kW,必须选用一级能效。电机功率&lt;7.5kW，优先选用一级能效；其中对于能源供应类设备及年运行时间≥2000h工艺设备的电机必须选用一级能效。杜绝选用三级及以下能效。</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设备颜色符合《Q-ZZ30070设备设施颜色标识》规定，外观无明显缺陷，重新焊接完成后，对焊接位置进行重新刷漆。</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主、辅材的采购、供应；</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非标设备的加工、制作、安装；</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除业主方提供外的机械及电气外购件、标准件的采购、供应，根据性能价格较优的原则选定供货厂商，并对外购件的质量负责；</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负责土建施工，负责检查各种预留孔洞、沟槽和预埋件的位置、尺寸；</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建立健全安全、保卫、卫生、消防制度，保证工程顺利进行；</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施工人员的食宿及费用；</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安装现场制作所需的设备、工具；</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配合业主方进行工艺调试；</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负责人员培训及售后服务；</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从生产厂到交货地点的包装、运输；</w:t>
      </w:r>
    </w:p>
    <w:p>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参与设备验收，提供竣工图与竣工报告等技术文件，及时办理移交手续；</w:t>
      </w:r>
    </w:p>
    <w:p>
      <w:pPr>
        <w:numPr>
          <w:ilvl w:val="0"/>
          <w:numId w:val="13"/>
        </w:numPr>
        <w:spacing w:line="360" w:lineRule="auto"/>
        <w:rPr>
          <w:rFonts w:hint="eastAsia" w:ascii="宋体" w:hAnsi="宋体" w:eastAsia="宋体"/>
          <w:bCs/>
          <w:sz w:val="24"/>
          <w:szCs w:val="24"/>
        </w:rPr>
      </w:pPr>
      <w:bookmarkStart w:id="35" w:name="_Hlk206399421"/>
      <w:r>
        <w:rPr>
          <w:rFonts w:hint="eastAsia" w:ascii="宋体" w:hAnsi="宋体" w:eastAsia="宋体"/>
          <w:bCs/>
          <w:sz w:val="24"/>
          <w:szCs w:val="24"/>
        </w:rPr>
        <w:t>其他招标方的施工要求。</w:t>
      </w:r>
    </w:p>
    <w:bookmarkEnd w:id="35"/>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6、在现场制作的关键部件，必须经委托方检验合格后，方可进行涂漆、组装。合格品才能运抵施工现场。</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7、中标方服从招标方对现场、安全的管理。</w:t>
      </w:r>
    </w:p>
    <w:p>
      <w:pPr>
        <w:widowControl/>
        <w:spacing w:line="360" w:lineRule="auto"/>
        <w:jc w:val="left"/>
        <w:rPr>
          <w:rFonts w:hint="eastAsia" w:ascii="宋体" w:hAnsi="宋体" w:eastAsia="宋体"/>
          <w:sz w:val="24"/>
          <w:szCs w:val="24"/>
        </w:rPr>
      </w:pPr>
    </w:p>
    <w:p>
      <w:pPr>
        <w:widowControl/>
        <w:spacing w:line="360" w:lineRule="auto"/>
        <w:jc w:val="left"/>
        <w:rPr>
          <w:rFonts w:hint="eastAsia" w:ascii="宋体" w:hAnsi="宋体" w:eastAsia="宋体"/>
          <w:sz w:val="24"/>
          <w:szCs w:val="24"/>
        </w:rPr>
      </w:pPr>
    </w:p>
    <w:p>
      <w:pPr>
        <w:keepNext/>
        <w:keepLines/>
        <w:spacing w:before="120" w:after="120" w:line="480" w:lineRule="exact"/>
        <w:jc w:val="center"/>
        <w:outlineLvl w:val="1"/>
        <w:rPr>
          <w:rFonts w:hint="eastAsia" w:ascii="宋体" w:hAnsi="宋体" w:eastAsia="宋体"/>
          <w:bCs/>
          <w:kern w:val="44"/>
          <w:sz w:val="28"/>
          <w:szCs w:val="28"/>
        </w:rPr>
      </w:pPr>
      <w:bookmarkStart w:id="36" w:name="_Toc169605880"/>
      <w:bookmarkStart w:id="37" w:name="_Toc169605881"/>
      <w:r>
        <w:rPr>
          <w:rFonts w:hint="eastAsia" w:ascii="宋体" w:hAnsi="宋体" w:eastAsia="宋体"/>
          <w:b/>
          <w:bCs/>
          <w:kern w:val="44"/>
          <w:sz w:val="28"/>
          <w:szCs w:val="28"/>
        </w:rPr>
        <w:t>第二章技术要求</w:t>
      </w:r>
      <w:bookmarkEnd w:id="36"/>
    </w:p>
    <w:p>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一、特别提示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1.本章技术要求，仅对功能、设计、结构、性能、安装和试验检验等方面，提出了最低和一般性的技术要求，并未对一切技术细节作出规定</w:t>
      </w:r>
      <w:r>
        <w:rPr>
          <w:rFonts w:hint="eastAsia" w:ascii="宋体" w:hAnsi="宋体" w:eastAsia="宋体"/>
          <w:sz w:val="24"/>
          <w:szCs w:val="24"/>
          <w:lang w:eastAsia="zh-CN"/>
        </w:rPr>
        <w:t>，也未充分引述有关标准、规程和规范的条文，投标方保证提供符合本招标技术条件和有关中国国家现行最新标准(GB系列)和有关行业最新标准要求的优质设计及设备；同时满足中国国家有关安全、环保等强制性法规、标准的要求。投标方须详细列出包括设计、制造、检验、供货、验收等所采用的标准、规程和规范名称供招标方审查确认。但不能免除投标方在保证单个设备材料的质量、性能符合本技术条件要求方面应承担的责任</w:t>
      </w:r>
      <w:r>
        <w:rPr>
          <w:rFonts w:hint="eastAsia" w:ascii="宋体" w:hAnsi="宋体" w:eastAsia="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 xml:space="preserve"> *1.2 投标方积极协助和提供招标方和招标方所委托的工程设计单位有关人员所需要的、和设备（或材料）有关的工程设计资料、技术咨询等。</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*1.3 本招标技术条件所使用的标准如与投标方所执行的标准水平不一致时，按较高标准执行。如果本招标技术条件与现行使用的有关国家标准以及有关行业最新标准有明显抵触的条文，投标方应及时书面通知招标方进行解决。</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1.4 投标方所供的设备，必须符合中国最新版的法律、法规和相关标准、规范的要求。</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1.5 投标方所供设备涉及的专利权技术以及知识产权保护其它技术等，应保证招标方不因此受到第三方侵权指控以及实际损失。</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1.6 投标方应满足招标方提出的各项技术要求，应保证所供货物的先进性、可靠性、经济性和实用性，并为全新设备，投标人应保证所供货物的完整性和成套性，能保证货物的正常运行、使用。</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1.7 投标方应对招标方采购的设备所涉及的技术、产能等信息负有保密义务。</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1.8 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不管是多么微小，都应在投标文件“技术偏离”中予以详细说明。</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1.9 本技术要求所使用的标准、规范等，如与投标方所执行的标准、规范不一致时，应按高于本技术要求所列的标准、规范执行，并在投标文件“技术偏离”中予以说明。</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1.10 投标方认为所供货物必需由招标方配备、解决或提供的其它要求，投标人应满足招标人提出的各项技术要求，必要时应当免费提供技术承诺或担保。</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1.11 投标方应根据招投标货物具体要求，提出对厂房、设备基础（或安装平台）、公用设施、消防、环保等超出招标文件、投标文件、答疑文件、技术交流文件、技术协议书和合同等规定的、有特殊需要的解释、说明和要求</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1.12 投标方可以根据自身经验以及对本技术规范书和招标文件的理解，写明买方招标设备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*1.13 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*1.14 在本标书中没有提及到的部分，所有供应商必须保证设备各部分功能齐全并便于使用，这部分价格应该包含在报价中，而不得另行加价。</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*1.15 本项目中所有改造均不可影响卡车公司总装线及分装线正常生产。</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1.16 本招标文件中所有加注“*”的条款为否决项，不允许出现偏离。</w:t>
      </w:r>
    </w:p>
    <w:p>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1.17 环境条件</w:t>
      </w:r>
    </w:p>
    <w:p>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a.环境温度：-25℃～55℃；</w:t>
      </w:r>
    </w:p>
    <w:p>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b.相对湿度：5％～95％；</w:t>
      </w:r>
    </w:p>
    <w:p>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c.海拔高度：≤2000m；</w:t>
      </w:r>
    </w:p>
    <w:p>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d.大气压强：80kPa～110kPa；</w:t>
      </w:r>
    </w:p>
    <w:p>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e.电力:中国制式，三相五线制供电，供电电压 380V士10%/220V士10%，供电频率50Hz士0.5Hz。</w:t>
      </w:r>
    </w:p>
    <w:p>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1.18 投标方应在确保改造后的产线可以安全稳定运行，并且具备生产现有及项目内要求的新增车型的能力。</w:t>
      </w:r>
    </w:p>
    <w:p>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1.19 投标方认为所供货物必需由招标方配备、解决或提供的其它要求，如设备基础隔振和减振设施、洁净气源等，均应在投标文件中予以充分说明。</w:t>
      </w:r>
    </w:p>
    <w:p>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二、基本要求</w:t>
      </w:r>
    </w:p>
    <w:p>
      <w:pPr>
        <w:spacing w:line="360" w:lineRule="auto"/>
        <w:ind w:firstLine="480" w:firstLineChars="200"/>
        <w:rPr>
          <w:rFonts w:hint="eastAsia" w:ascii="宋体" w:hAnsi="宋体" w:eastAsia="宋体"/>
          <w:sz w:val="24"/>
          <w:szCs w:val="24"/>
        </w:rPr>
      </w:pPr>
      <w:r>
        <w:rPr>
          <w:rFonts w:ascii="宋体" w:hAnsi="宋体" w:eastAsia="宋体"/>
          <w:sz w:val="24"/>
          <w:szCs w:val="24"/>
        </w:rPr>
        <w:t>1</w:t>
      </w:r>
      <w:r>
        <w:rPr>
          <w:rFonts w:hint="eastAsia" w:ascii="宋体" w:hAnsi="宋体" w:eastAsia="宋体"/>
          <w:sz w:val="24"/>
          <w:szCs w:val="24"/>
        </w:rPr>
        <w:t>.投标人所供的货物，必须符合中国最新版的法律、法规和相关标准、规范的要求，符合项目所在地政府有关特殊要求。</w:t>
      </w:r>
    </w:p>
    <w:p>
      <w:pPr>
        <w:spacing w:line="360" w:lineRule="auto"/>
        <w:ind w:firstLine="480" w:firstLineChars="200"/>
        <w:rPr>
          <w:rFonts w:hint="eastAsia" w:ascii="宋体" w:hAnsi="宋体" w:eastAsia="宋体"/>
          <w:sz w:val="24"/>
          <w:szCs w:val="24"/>
        </w:rPr>
      </w:pPr>
      <w:r>
        <w:rPr>
          <w:rFonts w:ascii="宋体" w:hAnsi="宋体" w:eastAsia="宋体"/>
          <w:sz w:val="24"/>
          <w:szCs w:val="24"/>
        </w:rPr>
        <w:t>2</w:t>
      </w:r>
      <w:r>
        <w:rPr>
          <w:rFonts w:hint="eastAsia" w:ascii="宋体" w:hAnsi="宋体" w:eastAsia="宋体"/>
          <w:sz w:val="24"/>
          <w:szCs w:val="24"/>
        </w:rPr>
        <w:t>.投标人所供货物涉及的专利权技术以及知识产权保护的其它技术等，应保证招标人不因此受到任何侵权指控以及实际损失。</w:t>
      </w:r>
    </w:p>
    <w:p>
      <w:pPr>
        <w:spacing w:line="360" w:lineRule="auto"/>
        <w:ind w:firstLine="480" w:firstLineChars="2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.投标人应保证所供货物的先进性、可靠性、经济性和实用性，并为全新货物（或设备）。</w:t>
      </w:r>
    </w:p>
    <w:p>
      <w:pPr>
        <w:spacing w:line="360" w:lineRule="auto"/>
        <w:ind w:firstLine="480" w:firstLineChars="200"/>
        <w:rPr>
          <w:rFonts w:hint="eastAsia" w:ascii="宋体" w:hAnsi="宋体" w:eastAsia="宋体"/>
          <w:sz w:val="24"/>
          <w:szCs w:val="24"/>
        </w:rPr>
      </w:pPr>
      <w:r>
        <w:rPr>
          <w:rFonts w:ascii="宋体" w:hAnsi="宋体" w:eastAsia="宋体"/>
          <w:sz w:val="24"/>
          <w:szCs w:val="24"/>
        </w:rPr>
        <w:t>4</w:t>
      </w:r>
      <w:r>
        <w:rPr>
          <w:rFonts w:hint="eastAsia" w:ascii="宋体" w:hAnsi="宋体" w:eastAsia="宋体"/>
          <w:sz w:val="24"/>
          <w:szCs w:val="24"/>
        </w:rPr>
        <w:t>.投标人应满足招标人提出的各项技术要求，必要时应当免费提供技术承诺或担保。</w:t>
      </w:r>
    </w:p>
    <w:p>
      <w:pPr>
        <w:spacing w:line="360" w:lineRule="auto"/>
        <w:ind w:firstLine="480" w:firstLineChars="200"/>
        <w:rPr>
          <w:rFonts w:hint="eastAsia" w:ascii="宋体" w:hAnsi="宋体" w:eastAsia="宋体"/>
          <w:sz w:val="24"/>
          <w:szCs w:val="24"/>
        </w:rPr>
      </w:pPr>
      <w:r>
        <w:rPr>
          <w:rFonts w:ascii="宋体" w:hAnsi="宋体" w:eastAsia="宋体"/>
          <w:sz w:val="24"/>
          <w:szCs w:val="24"/>
        </w:rPr>
        <w:t>5</w:t>
      </w:r>
      <w:r>
        <w:rPr>
          <w:rFonts w:hint="eastAsia" w:ascii="宋体" w:hAnsi="宋体" w:eastAsia="宋体"/>
          <w:sz w:val="24"/>
          <w:szCs w:val="24"/>
        </w:rPr>
        <w:t>.投标人应保证所供货物（或设备）为中国政府指定或规定的主管部门公布的非淘汰货物（或设备），并尽力提供中国政府指定或规定的主管部门认可的环保型和节能型货物（或设备）。</w:t>
      </w:r>
    </w:p>
    <w:p>
      <w:pPr>
        <w:spacing w:line="360" w:lineRule="auto"/>
        <w:ind w:firstLine="480" w:firstLineChars="200"/>
        <w:rPr>
          <w:rFonts w:hint="eastAsia" w:ascii="宋体" w:hAnsi="宋体" w:eastAsia="宋体"/>
          <w:sz w:val="24"/>
          <w:szCs w:val="24"/>
        </w:rPr>
      </w:pPr>
      <w:r>
        <w:rPr>
          <w:rFonts w:ascii="宋体" w:hAnsi="宋体" w:eastAsia="宋体"/>
          <w:sz w:val="24"/>
          <w:szCs w:val="24"/>
        </w:rPr>
        <w:t>6</w:t>
      </w:r>
      <w:r>
        <w:rPr>
          <w:rFonts w:hint="eastAsia" w:ascii="宋体" w:hAnsi="宋体" w:eastAsia="宋体"/>
          <w:sz w:val="24"/>
          <w:szCs w:val="24"/>
        </w:rPr>
        <w:t>.投标人应保证所供货物的完整性和成套性，能保证货物的正常运行、使用。</w:t>
      </w:r>
    </w:p>
    <w:p>
      <w:pPr>
        <w:spacing w:line="360" w:lineRule="auto"/>
        <w:ind w:firstLine="480" w:firstLineChars="200"/>
        <w:rPr>
          <w:rFonts w:hint="eastAsia" w:ascii="宋体" w:hAnsi="宋体" w:eastAsia="宋体"/>
          <w:sz w:val="24"/>
          <w:szCs w:val="24"/>
        </w:rPr>
      </w:pPr>
      <w:r>
        <w:rPr>
          <w:rFonts w:ascii="宋体" w:hAnsi="宋体" w:eastAsia="宋体"/>
          <w:sz w:val="24"/>
          <w:szCs w:val="24"/>
        </w:rPr>
        <w:t>7</w:t>
      </w:r>
      <w:r>
        <w:rPr>
          <w:rFonts w:hint="eastAsia" w:ascii="宋体" w:hAnsi="宋体" w:eastAsia="宋体"/>
          <w:sz w:val="24"/>
          <w:szCs w:val="24"/>
        </w:rPr>
        <w:t>.投标人应对招标人采购的货物所涉及的技术、产能等信息负有保密义务，招标人拥有追究投标人泄密责任的权利；招标人如有需要，投标人应无条件签署保密协议。</w:t>
      </w:r>
    </w:p>
    <w:p>
      <w:pPr>
        <w:spacing w:line="360" w:lineRule="auto"/>
        <w:ind w:firstLine="480" w:firstLineChars="200"/>
        <w:rPr>
          <w:rFonts w:ascii="Times New Roman" w:hAnsi="Times New Roman" w:eastAsia="宋体"/>
          <w:bCs/>
          <w:sz w:val="24"/>
          <w:szCs w:val="24"/>
        </w:rPr>
      </w:pPr>
      <w:r>
        <w:rPr>
          <w:rFonts w:ascii="Times New Roman" w:hAnsi="Times New Roman" w:eastAsia="宋体"/>
          <w:bCs/>
          <w:sz w:val="24"/>
          <w:szCs w:val="24"/>
        </w:rPr>
        <w:t>8.投标人预验收时需提供进口设备、部件的报关清关资料。</w:t>
      </w:r>
    </w:p>
    <w:p>
      <w:pPr>
        <w:spacing w:line="360" w:lineRule="auto"/>
        <w:ind w:firstLine="480" w:firstLineChars="200"/>
        <w:rPr>
          <w:rFonts w:ascii="Times New Roman" w:hAnsi="Times New Roman" w:eastAsia="宋体"/>
          <w:bCs/>
          <w:sz w:val="24"/>
          <w:szCs w:val="24"/>
        </w:rPr>
      </w:pPr>
      <w:r>
        <w:rPr>
          <w:rFonts w:ascii="Times New Roman" w:hAnsi="Times New Roman" w:eastAsia="宋体"/>
          <w:bCs/>
          <w:sz w:val="24"/>
          <w:szCs w:val="24"/>
        </w:rPr>
        <w:t>9.</w:t>
      </w:r>
      <w:r>
        <w:rPr>
          <w:rFonts w:hint="eastAsia" w:ascii="Times New Roman" w:hAnsi="Times New Roman" w:eastAsia="宋体"/>
          <w:bCs/>
          <w:sz w:val="24"/>
          <w:szCs w:val="24"/>
        </w:rPr>
        <w:t>要求投标方必须在近三年内为国内外厂家提供过同类型项目案例。投标文件中必须附有与本招标设备相同或相似技术规格、型号的设备的市场销售业绩清单。</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10.投标方应在确保改造后的产线可以安全稳定运行，并且具备生产现有及项目内要求的新增车型的能力。</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11.投标方积极协助和提供招标方和招标方所委托的工程设计单位有关人员与标的物有关的工程设计资料。</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12.投标方所供的设备，必须符合中国最新版的法律、法规和相关标准、规范的要求。</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13.投标方所供设备涉及的专利权技术以及知识产权保护其它技术等，应保证招标方不因此受到第三方侵权指控以及实际损失。</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14.投标方应满足招标方提出的各项技术要求。</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15.投标方应对招标方采购的设备所涉及的产品、技术、产能等信息负有保密义务。</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16.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应在投标文件“技术偏离”中予以详细说明。</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17.本技术要求所使用的标准、规范等，如与投标方所执行的标准、规范不一致时，应按高于本技术要求所列的标准、规范执行，并在投标文件“技术偏离”中予以说明。</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18.投标方认为所供货物必须由招标方配备、解决或提供的其他要求，如设备基础隔振和减振设施、洁净气源等，均应在投标文件中予以充分说明。</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19.投标方可以根据自身经验以及对招标文件的理解，写明买方招标设备（或材料）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20.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*21.在本标书中没有提及到的部分，所有供应商必须保证设备各部分功能齐全并便于使用，这部分价格应该包含在报价中，而不得另行加价。</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 xml:space="preserve"> *22. 本项目中所有改造均不可影响卡车制造公司正常生产。</w:t>
      </w:r>
    </w:p>
    <w:p>
      <w:pPr>
        <w:spacing w:line="360" w:lineRule="auto"/>
        <w:ind w:firstLine="600" w:firstLineChars="250"/>
        <w:rPr>
          <w:rFonts w:hint="eastAsia" w:ascii="Times New Roman" w:hAnsi="Times New Roman" w:eastAsia="宋体"/>
          <w:bCs/>
          <w:sz w:val="24"/>
          <w:szCs w:val="24"/>
        </w:rPr>
      </w:pPr>
      <w:r>
        <w:rPr>
          <w:rFonts w:hint="eastAsia" w:ascii="Times New Roman" w:hAnsi="Times New Roman" w:eastAsia="宋体"/>
          <w:bCs/>
          <w:sz w:val="24"/>
          <w:szCs w:val="24"/>
        </w:rPr>
        <w:t>23.本招标文件中所有加注“*”的条款为否决项，不允许出现偏离。</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24.工艺方案通用要求：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）电机能耗要求：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电机功率≥7.5kW，必须选用一级能效。电机功率&lt;7.5kW，优先选用一级能效:其中对于能源供应类设备及年运行时间≥2000h 工艺设备的电机必须选用一级能效。</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）程序权限要求：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供方必须提供所有设备程序的源代码，包括但不限于 PLC程序、HMI 程序、机器人程序、视觉程序、伺服等。</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供方所提供的程序不得设置任何密码、保护等限制手段，PLC不得设置修改下载权限，功能块不得设置密码保护。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H</w:t>
      </w:r>
      <w:r>
        <w:rPr>
          <w:rFonts w:hint="eastAsia" w:ascii="宋体" w:hAnsi="宋体" w:eastAsia="宋体" w:cs="宋体"/>
          <w:b w:val="0"/>
          <w:bCs w:val="0"/>
          <w:sz w:val="24"/>
          <w:szCs w:val="24"/>
          <w:lang w:val="en-US" w:eastAsia="zh-CN"/>
        </w:rPr>
        <w:t>M</w:t>
      </w:r>
      <w:r>
        <w:rPr>
          <w:rFonts w:hint="eastAsia" w:ascii="宋体" w:hAnsi="宋体" w:eastAsia="宋体" w:cs="宋体"/>
          <w:b w:val="0"/>
          <w:bCs w:val="0"/>
          <w:sz w:val="24"/>
          <w:szCs w:val="24"/>
          <w:lang w:eastAsia="zh-CN"/>
        </w:rPr>
        <w:t>I界面等需要密码保护的程序，供方必须提供所有级别的用户名、密码。</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供方需在终验收前提供最新的设备程序源码，III 界面各级用户名和密码，并保证与现场程序一致。</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lang w:eastAsia="zh-CN"/>
        </w:rPr>
      </w:pPr>
      <w:r>
        <w:rPr>
          <w:rFonts w:hint="eastAsia" w:ascii="宋体" w:hAnsi="宋体" w:eastAsia="宋体" w:cs="宋体"/>
          <w:b w:val="0"/>
          <w:bCs w:val="0"/>
          <w:sz w:val="24"/>
          <w:szCs w:val="24"/>
          <w:lang w:eastAsia="zh-CN"/>
        </w:rPr>
        <w:t>供方需在终验收前提供最新的设备电气图纸，图纸要求为可编辑原格式(EPLAN、CAD格式)且与实际接线一致。</w:t>
      </w:r>
    </w:p>
    <w:p>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三、技术要求</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1.法律、法规、技术标准要求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涉及的所有设备的设计、制造、安装和试验应遵照中国最新版本的标准与规范以及经需方认可的等于或高于本技术文件的替代标准。设备采用材质合格证明及分析报告，消防设备由招标方负责通过公安、消防部门验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●《劳动安全和劳动卫生管理》。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●《电气装置安装工程电缆线路装置施工及验收通用规范》。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●《电气装置安装工程低压电器施工及验收通用规范》。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●《电气装置安装工程接地装置施工及验收通用规范》。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●《机械设备安装工程施工及验收通用规范》。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其它国家和行业相关的技术标准规范等。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投标方企标高于上述标准时优先采用投标方企标。</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2、钢结构技术要求</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 xml:space="preserve">2.1 </w:t>
      </w:r>
      <w:r>
        <w:rPr>
          <w:rFonts w:hint="eastAsia" w:ascii="宋体" w:hAnsi="宋体" w:eastAsia="宋体" w:cs="宋体"/>
          <w:sz w:val="24"/>
          <w:szCs w:val="24"/>
          <w:lang w:val="en-US" w:eastAsia="zh-CN"/>
        </w:rPr>
        <w:t>对于</w:t>
      </w:r>
      <w:r>
        <w:rPr>
          <w:rFonts w:hint="eastAsia" w:ascii="宋体" w:hAnsi="宋体" w:eastAsia="宋体" w:cs="宋体"/>
          <w:sz w:val="24"/>
          <w:szCs w:val="24"/>
        </w:rPr>
        <w:t>采用螺栓连接</w:t>
      </w:r>
      <w:r>
        <w:rPr>
          <w:rFonts w:hint="eastAsia" w:ascii="宋体" w:hAnsi="宋体" w:eastAsia="宋体" w:cs="宋体"/>
          <w:sz w:val="24"/>
          <w:szCs w:val="24"/>
          <w:lang w:val="en-US" w:eastAsia="zh-CN"/>
        </w:rPr>
        <w:t>的</w:t>
      </w:r>
      <w:r>
        <w:rPr>
          <w:rFonts w:hint="eastAsia" w:ascii="宋体" w:hAnsi="宋体" w:eastAsia="宋体" w:cs="宋体"/>
          <w:sz w:val="24"/>
          <w:szCs w:val="24"/>
        </w:rPr>
        <w:t>钢结构，所有螺栓采用直径不小于 M12， 螺栓等级不低于 10.9 级的符合国家标准的螺栓。所有高强度螺栓必须镀锌处理</w:t>
      </w:r>
      <w:r>
        <w:rPr>
          <w:rFonts w:hint="eastAsia" w:ascii="宋体" w:hAnsi="宋体" w:eastAsia="宋体" w:cs="宋体"/>
          <w:sz w:val="24"/>
          <w:szCs w:val="24"/>
          <w:lang w:eastAsia="zh-CN"/>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 对于采用 U 型螺栓的，螺栓等级不低于 4.8 级，U 型螺栓必须镀锌处理，所有螺栓连接副采用双螺母防松，均用厚螺母，螺母等级必须与螺栓等级匹配；螺栓螺母紧固完成后，随即用红色标记笔标记，标记方式为从结构件、螺母、螺栓端头画直线；垂直方向螺栓安装时除非空间不足，否则要求螺栓冲下安装。（便于目视检测松紧）；螺栓安装时必须配备标定合格的扭矩扳手，根据设计人员提供的螺栓预紧力值拧紧；螺栓安装时必须严格按照图纸实施，不得混搭借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 下料及制孔时，须使用锯床及冲床加工，不得采用火焰割；</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2.4 构件喷漆前必须进行喷砂处理，油漆采用喷塑处理；钢结构安装摩擦面喷漆前用胶带纸粘贴，现场安装时再将胶带纸去除；钢结构厂家需预留油漆必须满足足够现场补漆使用，预留油漆随钢结构一起发运现场；</w:t>
      </w:r>
    </w:p>
    <w:p>
      <w:pPr>
        <w:spacing w:line="360" w:lineRule="auto"/>
        <w:ind w:firstLine="480" w:firstLineChars="200"/>
        <w:rPr>
          <w:rFonts w:hint="eastAsia"/>
        </w:rPr>
      </w:pPr>
      <w:r>
        <w:rPr>
          <w:rFonts w:hint="eastAsia" w:ascii="宋体" w:hAnsi="宋体" w:eastAsia="宋体" w:cs="宋体"/>
          <w:sz w:val="24"/>
          <w:szCs w:val="24"/>
        </w:rPr>
        <w:t>2.5 钢结构材料运输需保证外观质量，无磕碰划伤；</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2.6 钢结构采用全螺栓联接，扭矩采用100%全检合格。螺栓拧紧后有色标标识，招标方负责抽查，若抽查发现异常，投标方无条件对所有螺栓联接进行检查及标识。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2.7 所有钢结构必须保证足够的刚性和稳定性，要求采用8.8 级高强度螺栓联接，必要时可增加支撑构件。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2.8 投标方必须保证所购材料的质量满足其机械性能， 并在钢材进料后及时向招标方提供质量保证书，不允许钢材有明显的锈蚀现象，招标方有权进行检查，发现质量问题，招标方有权拒绝使用和勒令投标方停工，由此造成的损失由投标方负责。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2.9 装配线上方吊架根据须要设剪刀撑，吊杆长度过长时设双层剪刀撑，装配线长度方向根据 须要两侧设剪刀撑。</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2.10 钢结构选型时须考虑在该工艺段所需要的合适的最佳性能结构，满足相关生产线工艺装配生产载荷。</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2.11需遵守如下标准：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（1）安全规范和标准、防火规范和标准、环保规范和标准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（2）GB 50236-2011《现场设备、工业管道焊接工程施工规范》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（3）GB 50205-2020《钢结构工程施工质量验收标准》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（4）GB 51367-2019《钢结构加固设计标准》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（5）GB 50661-2024《钢结构焊接规范》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2.12</w:t>
      </w:r>
      <w:r>
        <w:rPr>
          <w:rFonts w:hint="eastAsia" w:ascii="宋体" w:hAnsi="宋体" w:eastAsia="宋体" w:cs="宋体"/>
          <w:sz w:val="24"/>
          <w:szCs w:val="24"/>
          <w:lang w:val="en-US" w:eastAsia="zh-CN"/>
        </w:rPr>
        <w:t>对于焊接加固的部分，</w:t>
      </w:r>
      <w:r>
        <w:rPr>
          <w:rFonts w:hint="eastAsia" w:ascii="宋体" w:hAnsi="宋体" w:eastAsia="宋体" w:cs="宋体"/>
          <w:sz w:val="24"/>
          <w:szCs w:val="24"/>
        </w:rPr>
        <w:t>全部焊缝应进行外观检查，焊缝表面应是原始状态，没有加工或补焊痕迹。焊缝表面不得有裂纹、未熔合、夹渣、弧坑和气孔等缺陷。焊缝外观质量及尺寸允许偏差应符合GB 50205的有关规定。对设计要求的一级、二级焊缝应进行内部缺陷的无损检测，一级焊缝探伤比例应为100%，二级焊缝探伤比例应不低于20%。</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3、设计标准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 设计制造标准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3.1.1 设备的设计、制造所遵循标准应遵守以下原则：</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（1）凡按引进技术设计制造的设备，须按引进技术相应的标准如ASME、ASTM、NFPA及相应的引进公司标准规范进行设计、制造、检验。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（2）以国内技术设计制造的产品，按相应的国家标准、行业标准或企业标准进行设计、制造、检验。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（3）在按以上技术标准设计制造的同时，还必须满足最新版的行业相应规范标准。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（4）在按相应技术标准设计制造的同时，还必须满足有关安全、环保及其它方面最新版的国家强制性标准和规程〔规定〕的要求。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（5）如果本技术规范书中存在某些要求高于上述标准，则以本技术规范书的要求为准。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3.1.2 卖方应提供设计制造的规范、规程和标准等清单。严格按照国家有关标准执行。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 质量保证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3.2.1 卖方在投标文件中应对本企业执行的质量保证体系进行简要的介绍，对质量的保证措施进行必要的说明。</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3.2.2 任何部件材料的检验、检查和试验均应符合国家标准所适用的要求。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3.2.3 根据本合同文件，卖方应采取措施确保设备质量，产品交货前，应对设备进行必要的检查与试验，以保证整个设计和制造符合规程要求。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3.2.4 卖方有责任将检查和试验资料按规定完整、及时提交给买方；对重要的检查与试验项目，应邀请买方派代表参加验收。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3.2.5 所有制造、加工工序、设备或材料、运行效果的试验和检查验收都应满足国家标准。</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设备基础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投标方向招标方提交的装配产线相关设备基础，设计参数须遵照满足提供的装配线基础结构要求。投标方须在图纸、文件中明确说明是否满足的要求。同时在设备基础土建施工时必须进行现场指导和复核。</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注：招标方所有发放的图纸仅为投标方方案设计时的参考，投标方在进行方案详细设计时应与招标方确认图纸是否为最新。对于装配线结构相关的资料，投标方在施工前必须到工厂进行现场测量并核实。</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5、接口规定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公用动力接口规安——车间提供动力配电箱或输电母排分电箱，而由动力配电箱或输电母排分电箱至工艺生产线的设备配线工作由设备提供方负责，具体的设备用电量、动力入口位置等参数由投标方在合同签订后15个工作日内以书面形式向招标方提供，由双方共同确认。</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6、设备安全要求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 机械防护方面要求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6.1.1 必须符合国家安全标准，符合国家安全卫生法规。投标方应通过设计消除风险或限制风险，不得遗留通过设计能够消除的危险，也不得遗留通过安全防护装置能够消除的危险，在使用设备时不需要再增加任何（包括机械、电器）防护装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6.1.2 设备具备良好和全面安全防护措施。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6.1.3 设备的操作机构其设置应操纵方便、安全省力、标专清晰、牢固可靠。</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6.1.4 设备综合噪音控制在70分贝以下。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 电气部分安全要求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6.2.1 所有电器设计必须接地良好，对地电阻小于1欧姆。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6.2.2 控制系统能保证在设备的供给能源发生异常时也不会产生危险，设备本身不会损坏，也不会对人员产生伤害。</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6.2.3 控制系统放置在操作者便于操作和观察的部位。设备根据具体情况设置了必要的急停开关。</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6.2.4 设备的电气控制系统：具备过载保护和短路保护功能。当设备的线路发生碰壳时，控制系统在0.1秒内切断该线路的供电。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6.2.5 能源偶然切断后又重新接通时，设备必须能避免危险运转。</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6.2.6 采用多级制供电系统。</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6.2.7 电机安装牢固，控制要求具备过载、短路、断路保护，防护等级IP54以上。</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6.2.8 设备具备良好和全面的安全防护措施。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6.2.9 配电柜出口周围有防止电线磨损的措施，电源线中间无接头。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6.2.10 电控柜防护等级：IP54。</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6.2.11 控制柜操作面板上有设备正常运行指示灯。</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7、设备安装要求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7.1 设备的安装工作由投标方全权负责，买方配合，安装用水、气、电按招标方规定，投标方施工时须带所需的设备、工具，投标方在设备制作完成后，进厂安装前必须通知招标方。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7.2 在施工过程中，投标方需遵循相关行业的安全标准、规范、制度，同时严格遵守招标方相关安全规章制度，如有违反上述标准、规范、制度造成的安全事故，投标方承担全部责任。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7.3 投标方应保证其所提供的工程所使用的材料、配套设备、零部件均是全新的。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7.4 投标方在施工期间所有设备、零部件、制成品，工具、材料等均自行保管、保护。施工现场与设备清理工作，均由投标方完成。因招标方因素导致工作拖延，投标方不承担责任，工期可适当顺延。</w:t>
      </w:r>
    </w:p>
    <w:p>
      <w:pPr>
        <w:spacing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 xml:space="preserve">7.5 </w:t>
      </w:r>
      <w:r>
        <w:rPr>
          <w:rFonts w:hint="eastAsia" w:ascii="宋体" w:hAnsi="宋体" w:eastAsia="宋体" w:cs="宋体"/>
          <w:b/>
          <w:bCs/>
          <w:sz w:val="24"/>
          <w:szCs w:val="24"/>
          <w:highlight w:val="yellow"/>
        </w:rPr>
        <w:t>投标方负责提供装配产线加固改造</w:t>
      </w:r>
      <w:r>
        <w:rPr>
          <w:rFonts w:hint="eastAsia" w:ascii="宋体" w:hAnsi="宋体" w:eastAsia="宋体" w:cs="宋体"/>
          <w:b/>
          <w:bCs/>
          <w:sz w:val="24"/>
          <w:szCs w:val="24"/>
          <w:highlight w:val="yellow"/>
          <w:lang w:val="en-US" w:eastAsia="zh-CN"/>
        </w:rPr>
        <w:t>三维</w:t>
      </w:r>
      <w:r>
        <w:rPr>
          <w:rFonts w:hint="eastAsia" w:ascii="宋体" w:hAnsi="宋体" w:eastAsia="宋体" w:cs="宋体"/>
          <w:b/>
          <w:bCs/>
          <w:sz w:val="24"/>
          <w:szCs w:val="24"/>
          <w:highlight w:val="yellow"/>
        </w:rPr>
        <w:t>设计</w:t>
      </w:r>
      <w:r>
        <w:rPr>
          <w:rFonts w:hint="eastAsia" w:ascii="宋体" w:hAnsi="宋体" w:eastAsia="宋体" w:cs="宋体"/>
          <w:b/>
          <w:bCs/>
          <w:sz w:val="24"/>
          <w:szCs w:val="24"/>
          <w:highlight w:val="yellow"/>
          <w:lang w:val="en-US" w:eastAsia="zh-CN"/>
        </w:rPr>
        <w:t>图</w:t>
      </w:r>
      <w:r>
        <w:rPr>
          <w:rFonts w:hint="eastAsia" w:ascii="宋体" w:hAnsi="宋体" w:eastAsia="宋体" w:cs="宋体"/>
          <w:b/>
          <w:bCs/>
          <w:sz w:val="24"/>
          <w:szCs w:val="24"/>
          <w:highlight w:val="yellow"/>
        </w:rPr>
        <w:t>及相关施工方案</w:t>
      </w:r>
      <w:r>
        <w:rPr>
          <w:rFonts w:hint="eastAsia" w:ascii="宋体" w:hAnsi="宋体" w:eastAsia="宋体" w:cs="宋体"/>
          <w:b/>
          <w:bCs/>
          <w:sz w:val="24"/>
          <w:szCs w:val="24"/>
          <w:highlight w:val="yellow"/>
          <w:lang w:val="en-US" w:eastAsia="zh-CN"/>
        </w:rPr>
        <w:t>的详细</w:t>
      </w:r>
      <w:r>
        <w:rPr>
          <w:rFonts w:hint="eastAsia" w:ascii="宋体" w:hAnsi="宋体" w:eastAsia="宋体" w:cs="宋体"/>
          <w:b/>
          <w:bCs/>
          <w:sz w:val="24"/>
          <w:szCs w:val="24"/>
          <w:highlight w:val="yellow"/>
        </w:rPr>
        <w:t>计算书依据，</w:t>
      </w:r>
      <w:r>
        <w:rPr>
          <w:rFonts w:hint="eastAsia" w:ascii="宋体" w:hAnsi="宋体" w:eastAsia="宋体" w:cs="宋体"/>
          <w:b/>
          <w:bCs/>
          <w:sz w:val="24"/>
          <w:szCs w:val="24"/>
          <w:highlight w:val="yellow"/>
          <w:lang w:val="en-US" w:eastAsia="zh-CN"/>
        </w:rPr>
        <w:t>至少涵盖“</w:t>
      </w:r>
      <w:r>
        <w:rPr>
          <w:rFonts w:hint="eastAsia" w:ascii="宋体" w:hAnsi="宋体" w:eastAsia="宋体" w:cs="宋体"/>
          <w:b/>
          <w:bCs/>
          <w:sz w:val="24"/>
          <w:szCs w:val="24"/>
          <w:highlight w:val="yellow"/>
        </w:rPr>
        <w:t>12、项目内容</w:t>
      </w:r>
      <w:r>
        <w:rPr>
          <w:rFonts w:hint="eastAsia" w:ascii="宋体" w:hAnsi="宋体" w:eastAsia="宋体" w:cs="宋体"/>
          <w:b/>
          <w:bCs/>
          <w:sz w:val="24"/>
          <w:szCs w:val="24"/>
          <w:highlight w:val="yellow"/>
          <w:lang w:eastAsia="zh-CN"/>
        </w:rPr>
        <w:t>”</w:t>
      </w:r>
      <w:r>
        <w:rPr>
          <w:rFonts w:hint="eastAsia" w:ascii="宋体" w:hAnsi="宋体" w:eastAsia="宋体" w:cs="宋体"/>
          <w:b/>
          <w:bCs/>
          <w:sz w:val="24"/>
          <w:szCs w:val="24"/>
          <w:highlight w:val="yellow"/>
          <w:lang w:val="en-US" w:eastAsia="zh-CN"/>
        </w:rPr>
        <w:t>所列内容，</w:t>
      </w:r>
      <w:r>
        <w:rPr>
          <w:rFonts w:hint="eastAsia" w:ascii="宋体" w:hAnsi="宋体" w:eastAsia="宋体" w:cs="宋体"/>
          <w:b/>
          <w:bCs/>
          <w:sz w:val="24"/>
          <w:szCs w:val="24"/>
          <w:highlight w:val="yellow"/>
        </w:rPr>
        <w:t>计算书所得理论尺寸根据现场实际可以调整，最终以满足现场安全稳定持续生产为</w:t>
      </w:r>
      <w:r>
        <w:rPr>
          <w:rFonts w:hint="eastAsia" w:ascii="宋体" w:hAnsi="宋体" w:eastAsia="宋体" w:cs="宋体"/>
          <w:b/>
          <w:bCs/>
          <w:sz w:val="24"/>
          <w:szCs w:val="24"/>
          <w:highlight w:val="yellow"/>
          <w:lang w:val="en-US" w:eastAsia="zh-CN"/>
        </w:rPr>
        <w:t>准</w:t>
      </w:r>
      <w:r>
        <w:rPr>
          <w:rFonts w:hint="eastAsia" w:ascii="宋体" w:hAnsi="宋体" w:eastAsia="宋体" w:cs="宋体"/>
          <w:b/>
          <w:bCs/>
          <w:sz w:val="24"/>
          <w:szCs w:val="24"/>
          <w:highlight w:val="yellow"/>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7.6 设备安装前投标方应现场确认设备基础是否满足安装调试要求，如不满足协助提供基础改造要求参数和建议。</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8、设计联络和施工遵守事项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8.1 合同签订后，投标方在设计过程中，应征求招标方意见进行必要的设计联络。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8.2 设计联络的目的是沟通招标方和投标方双方的思想，反映投标方的要求，通过设计联络后，投标方仍要对供货结果负最终责任。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8.3 投标方与其它品目卖方之间的技术联络，可由本品目卖方向招标方提出，也可经同意后直接与其它品目卖方进行协调。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8.4 投标方在工艺方案、设备及工艺装备设计完成后，需获得招标方认可后方可投入制造。投标方仍对设计方案、设备及工艺装备的正确性、可靠性、完整性负全部责任。在方案未经招标方认可而投入生产，如因方案修改对投标方所造成的一切损失均由投标方负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8.5 施工现场的管理要依照当地的法规、对施工现场的工作人员、其他的出入人员进行纪律、卫生、安全的教育和监督，要杜绝火灾、盗窃及其它事故的发生，如若发生意外，将视为投标方的责任予以处理。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8.6 材料必须全部使用新品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a)国内采购：采用国内一类厂家A级产品（出货前将检查厂家的出货证明及相关凭证）；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b)国外采购：采用投标方使用最多的产品。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8.7 所有线（管）路设计安装应尽量横平竖直，排列合理，维修方更。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8.8 在制造、运输、安装过程中设备应受到保护以防损坏。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8.9 保洁：所有封闭结构应先做好内部清洁和吹扫，再封闭安装。</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9、项目实施要求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项目实施：为了确保本项目的顺利实施，本项目采用“交钥匙”工程方式。</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10、保密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本次招标方所提供的资料，供投标方设计时使用，投标方必须严格保密，不得以任何理由泄露给第三方。</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11、知识产权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投标方应保证，在中华人民共和国使用该设备（包括技术资料）或合同规定的任何一部分时，免受第三方提出的侵权其专利权、商标权、著作权或其它知识结构产权的起诉。</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12、项目内容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实施地点：济南卡车制造公司党家庄工厂总三车间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实施需求及内容：本项目主要为对济南卡车制造公司总三车间现有整条总装北线Z11-Z28工位加固改造，加固装配线包含Z11-Z26工位地拖链、Z27-Z28工位双板链，为适配新能源重卡生产需求，将现总装北线承载能力由15T改造加固至20T（安全系数不小于1.5</w:t>
      </w:r>
      <w:r>
        <w:rPr>
          <w:rFonts w:hint="eastAsia" w:ascii="宋体" w:hAnsi="宋体" w:eastAsia="宋体" w:cs="宋体"/>
          <w:sz w:val="24"/>
          <w:szCs w:val="24"/>
          <w:lang w:eastAsia="zh-CN"/>
        </w:rPr>
        <w:t>，</w:t>
      </w:r>
      <w:r>
        <w:rPr>
          <w:rFonts w:hint="eastAsia" w:ascii="宋体" w:hAnsi="宋体" w:eastAsia="宋体" w:cs="宋体"/>
          <w:sz w:val="24"/>
          <w:szCs w:val="24"/>
        </w:rPr>
        <w:t>使用系数不小于1.2），确保加固改造后产线设备及结构满足单车整备质量20</w:t>
      </w:r>
      <w:r>
        <w:rPr>
          <w:rFonts w:hint="eastAsia" w:ascii="宋体" w:hAnsi="宋体" w:eastAsia="宋体" w:cs="宋体"/>
          <w:sz w:val="24"/>
          <w:szCs w:val="24"/>
          <w:lang w:val="en-US" w:eastAsia="zh-CN"/>
        </w:rPr>
        <w:t>T</w:t>
      </w:r>
      <w:r>
        <w:rPr>
          <w:rFonts w:hint="eastAsia" w:ascii="宋体" w:hAnsi="宋体" w:eastAsia="宋体" w:cs="宋体"/>
          <w:sz w:val="24"/>
          <w:szCs w:val="24"/>
        </w:rPr>
        <w:t>安全稳定可持续生产，并适用于生产现有车型及未来扩展新增车型。本项目为“交钥匙”工程，请各投标单位根据招标单位提供原设备设计图纸进行校验和复核，地拖链及双板链设备、产线结构加固改造内容不限于以下所列项：</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12.1 更换电机减速机及电气系统：</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12.1.1 为保证改造后线体运行平稳，现对地拖链、双板链电机减速机进行更换。更换要求电机减速机安全系数不小于1.5，使用系数不小于1.2。</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 地拖链电机减速机更换：地拖链现15kW电机减速机已使用近20年，磨损严重，为保证线体加固改造后安全平稳运行，综合节能要求，需更换为一级能效电机。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 双板链电机减速机由现4KW更换为5.5KW。</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③新更换地拖链、双板链电机减速机要求地埋式固定。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12.1.2 电气系统更换：配套更换大功率电线电缆及电气元件，双板链更换5.5kW变频器。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12.2 Z11-Z26工位地拖链加固改造：</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实际加固具体位置区域按工位和招标方现场指定。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12.2.1 加固地拖链轨道及支撑钢结构：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①对地拖链支撑钢构进行逐点检查并对开焊处进行修复。地拖链支撑钢构逐点检查区域需投标方明确并根据招标方需求及意见相应调整，严重变形位置要求投标方更换。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②对支撑横梁左右两端与连接的立柱进行焊接加固（红框所示），投标方需根据现场实际情况及招标方需求意见相应调整施工并提供明确的焊接加固方案，保证加固后线体结构能长期安全稳定可持续运行。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地拖链横截面如图所示：</w:t>
      </w:r>
    </w:p>
    <w:p>
      <w:pPr>
        <w:spacing w:line="360" w:lineRule="auto"/>
        <w:ind w:firstLine="420" w:firstLineChars="200"/>
        <w:jc w:val="center"/>
        <w:rPr>
          <w:rFonts w:hint="eastAsia" w:ascii="宋体" w:hAnsi="宋体" w:eastAsia="宋体" w:cs="宋体"/>
          <w:sz w:val="24"/>
          <w:szCs w:val="24"/>
        </w:rPr>
      </w:pPr>
      <w:r>
        <w:drawing>
          <wp:inline distT="0" distB="0" distL="114300" distR="114300">
            <wp:extent cx="2617470" cy="2216150"/>
            <wp:effectExtent l="0" t="0" r="11430" b="1270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6"/>
                    <a:stretch>
                      <a:fillRect/>
                    </a:stretch>
                  </pic:blipFill>
                  <pic:spPr>
                    <a:xfrm>
                      <a:off x="0" y="0"/>
                      <a:ext cx="2617470" cy="2216150"/>
                    </a:xfrm>
                    <a:prstGeom prst="rect">
                      <a:avLst/>
                    </a:prstGeom>
                  </pic:spPr>
                </pic:pic>
              </a:graphicData>
            </a:graphic>
          </wp:inline>
        </w:drawing>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12.2.2 加固机头、机尾钢结构及线体两侧地坑盖板：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①对现有地拖链地坑支撑框架钢构焊接处进行逐点检查，并对开焊处进行焊接修复。地拖链地坑支撑框架钢构逐点检查区域需投标方明确并根据招标方需求及意见相应调整，严重变形位置要求投标方更换。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②在地拖链地坑支撑立柱内、外侧增加20#槽钢支撑，增加的20#槽钢由投标方根据现场地拖链地坑支撑立柱实际情况合理设计并提供图纸。</w:t>
      </w:r>
    </w:p>
    <w:p>
      <w:pPr>
        <w:pStyle w:val="2"/>
        <w:jc w:val="center"/>
        <w:rPr>
          <w:rFonts w:hint="eastAsia" w:ascii="宋体" w:hAnsi="宋体" w:eastAsia="宋体" w:cs="宋体"/>
          <w:sz w:val="24"/>
          <w:szCs w:val="24"/>
        </w:rPr>
      </w:pPr>
      <w:r>
        <w:drawing>
          <wp:inline distT="0" distB="0" distL="114300" distR="114300">
            <wp:extent cx="2856230" cy="2151380"/>
            <wp:effectExtent l="0" t="0" r="1270" b="1270"/>
            <wp:docPr id="1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3"/>
                    <pic:cNvPicPr>
                      <a:picLocks noChangeAspect="1"/>
                    </pic:cNvPicPr>
                  </pic:nvPicPr>
                  <pic:blipFill>
                    <a:blip r:embed="rId47"/>
                    <a:stretch>
                      <a:fillRect/>
                    </a:stretch>
                  </pic:blipFill>
                  <pic:spPr>
                    <a:xfrm>
                      <a:off x="0" y="0"/>
                      <a:ext cx="2856660" cy="21519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③在地拖链地坑支撑框架横梁底部增加20厚钢板组合三角支撑，增加的组合三角支撑由投标方根据现场地拖链地坑支撑立柱实际情况合理设计并提供图纸。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④增加地拖链驱动框架与地基的压板，将驱动框架与地基的压板由单板式改为通长板，横跨整个地基，增大框架与基础板的吸附力。标书提供压板仅供投标方参考，压板实际施工尺寸需投标方根据现场情况合理设计并提供图纸，压板厚度不小于现压板，新增后具备增强框架与基础板吸附力和稳定性的功能。</w:t>
      </w:r>
    </w:p>
    <w:p>
      <w:pPr>
        <w:pStyle w:val="2"/>
        <w:jc w:val="center"/>
        <w:rPr>
          <w:rFonts w:hint="default" w:ascii="宋体" w:hAnsi="宋体" w:eastAsia="宋体" w:cs="宋体"/>
          <w:sz w:val="24"/>
          <w:szCs w:val="24"/>
          <w:lang w:val="en-US"/>
        </w:rPr>
      </w:pPr>
      <w:r>
        <w:rPr>
          <w:rFonts w:hint="eastAsia" w:ascii="宋体" w:hAnsi="宋体" w:cs="宋体"/>
          <w:sz w:val="24"/>
          <w:szCs w:val="24"/>
          <w:lang w:val="en-US" w:eastAsia="zh-CN"/>
        </w:rPr>
        <w:drawing>
          <wp:inline distT="0" distB="0" distL="114300" distR="114300">
            <wp:extent cx="1823085" cy="1376045"/>
            <wp:effectExtent l="0" t="0" r="5715" b="14605"/>
            <wp:docPr id="31" name="图片 31" descr="742dc468eb3cdf71085fcfd8a41de2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42dc468eb3cdf71085fcfd8a41de2d5"/>
                    <pic:cNvPicPr>
                      <a:picLocks noChangeAspect="1"/>
                    </pic:cNvPicPr>
                  </pic:nvPicPr>
                  <pic:blipFill>
                    <a:blip r:embed="rId48"/>
                    <a:stretch>
                      <a:fillRect/>
                    </a:stretch>
                  </pic:blipFill>
                  <pic:spPr>
                    <a:xfrm>
                      <a:off x="0" y="0"/>
                      <a:ext cx="1823085" cy="1376045"/>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2149475" cy="1396365"/>
            <wp:effectExtent l="0" t="0" r="3175" b="13335"/>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149475" cy="1396365"/>
                    </a:xfrm>
                    <a:prstGeom prst="rect">
                      <a:avLst/>
                    </a:prstGeom>
                  </pic:spPr>
                </pic:pic>
              </a:graphicData>
            </a:graphic>
          </wp:inline>
        </w:drawing>
      </w:r>
    </w:p>
    <w:p>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sz w:val="24"/>
          <w:szCs w:val="24"/>
          <w:highlight w:val="none"/>
          <w:lang w:val="en-US" w:eastAsia="zh-CN"/>
        </w:rPr>
        <w:t>⑤地拖链驱动框架内增加筋板，增大驱动框架的承载力。标书</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提供筋板仅供投标方参考，筋板实际施工尺寸需投标方根据现场情况合理设计并提供图纸，新增筋板要求具备明显的增大驱动框架承载力的实施效果。</w:t>
      </w:r>
    </w:p>
    <w:p>
      <w:pPr>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sz w:val="24"/>
          <w:szCs w:val="24"/>
          <w:lang w:val="en-US"/>
        </w:rPr>
      </w:pPr>
      <w:r>
        <w:rPr>
          <w:rFonts w:hint="eastAsia" w:ascii="宋体" w:hAnsi="宋体" w:cs="宋体"/>
          <w:sz w:val="24"/>
          <w:szCs w:val="24"/>
          <w:lang w:val="en-US" w:eastAsia="zh-CN"/>
        </w:rPr>
        <w:drawing>
          <wp:inline distT="0" distB="0" distL="114300" distR="114300">
            <wp:extent cx="2297430" cy="1544320"/>
            <wp:effectExtent l="0" t="0" r="7620" b="17780"/>
            <wp:docPr id="33" name="图片 33" descr="25de8da390162548253e607092378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5de8da390162548253e607092378c43"/>
                    <pic:cNvPicPr>
                      <a:picLocks noChangeAspect="1"/>
                    </pic:cNvPicPr>
                  </pic:nvPicPr>
                  <pic:blipFill>
                    <a:blip r:embed="rId50"/>
                    <a:stretch>
                      <a:fillRect/>
                    </a:stretch>
                  </pic:blipFill>
                  <pic:spPr>
                    <a:xfrm>
                      <a:off x="0" y="0"/>
                      <a:ext cx="2297430" cy="1544320"/>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264285" cy="1562100"/>
            <wp:effectExtent l="0" t="0" r="12065" b="0"/>
            <wp:docPr id="3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1264285" cy="1562100"/>
                    </a:xfrm>
                    <a:prstGeom prst="rect">
                      <a:avLst/>
                    </a:prstGeom>
                  </pic:spPr>
                </pic:pic>
              </a:graphicData>
            </a:graphic>
          </wp:inline>
        </w:drawing>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⑥检修校直地拖链线体两侧盖板和轨道压板，并在盖板内增加“十”字加强筋。地拖链线体两侧盖板包含小车运行轨道左、右两侧扁豆花纹盖板和平滑盖板，投标方需根据现场实际情况，设计合适的盖板内增加的“十”字加强筋，并提供现场盖板内增加“十”字加强筋的图纸，小车轨道压板校直调整后与支撑桥小车滑轮贴合紧密，支撑桥小车运行平稳，不存在震颤、脱轨等问题，链条轨道压板校直后，不会对链条安全平稳运行造成影响，不存在链条运行卡滞、干涉磨碰问题。</w:t>
      </w:r>
    </w:p>
    <w:p>
      <w:pPr>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eastAsiaTheme="minorEastAsia"/>
          <w:b w:val="0"/>
          <w:bCs w:val="0"/>
          <w:lang w:val="en-US" w:eastAsia="zh-CN"/>
        </w:rPr>
      </w:pPr>
      <w:r>
        <w:drawing>
          <wp:inline distT="0" distB="0" distL="114300" distR="114300">
            <wp:extent cx="2221865" cy="1666240"/>
            <wp:effectExtent l="0" t="0" r="6985" b="10160"/>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52"/>
                    <a:stretch>
                      <a:fillRect/>
                    </a:stretch>
                  </pic:blipFill>
                  <pic:spPr>
                    <a:xfrm>
                      <a:off x="0" y="0"/>
                      <a:ext cx="2221865" cy="1666240"/>
                    </a:xfrm>
                    <a:prstGeom prst="rect">
                      <a:avLst/>
                    </a:prstGeom>
                  </pic:spPr>
                </pic:pic>
              </a:graphicData>
            </a:graphic>
          </wp:inline>
        </w:drawing>
      </w:r>
      <w:r>
        <w:rPr>
          <w:rFonts w:hint="eastAsia"/>
          <w:lang w:val="en-US" w:eastAsia="zh-CN"/>
        </w:rPr>
        <w:t xml:space="preserve"> </w:t>
      </w:r>
      <w:r>
        <w:rPr>
          <w:rFonts w:hint="eastAsia" w:ascii="宋体" w:hAnsi="宋体" w:eastAsia="宋体" w:cs="宋体"/>
          <w:sz w:val="24"/>
          <w:szCs w:val="24"/>
          <w:lang w:val="en-US" w:eastAsia="zh-CN"/>
        </w:rPr>
        <w:drawing>
          <wp:inline distT="0" distB="0" distL="114300" distR="114300">
            <wp:extent cx="2231390" cy="1668145"/>
            <wp:effectExtent l="0" t="0" r="16510" b="8255"/>
            <wp:docPr id="49" name="图片 49" descr="314ea040be86802bea15e728108fc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314ea040be86802bea15e728108fc011"/>
                    <pic:cNvPicPr>
                      <a:picLocks noChangeAspect="1"/>
                    </pic:cNvPicPr>
                  </pic:nvPicPr>
                  <pic:blipFill>
                    <a:blip r:embed="rId53"/>
                    <a:stretch>
                      <a:fillRect/>
                    </a:stretch>
                  </pic:blipFill>
                  <pic:spPr>
                    <a:xfrm>
                      <a:off x="0" y="0"/>
                      <a:ext cx="2231390" cy="1668145"/>
                    </a:xfrm>
                    <a:prstGeom prst="rect">
                      <a:avLst/>
                    </a:prstGeom>
                  </pic:spPr>
                </pic:pic>
              </a:graphicData>
            </a:graphic>
          </wp:inline>
        </w:drawing>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12.2.3 地拖链增加承载横梁</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地拖链原中间支架为1m间距排布，在地拖链轨道下平面现有的2个横梁之间增加1个承载横梁，增加后中间支架排布变更为0.5m，增加后地拖链轨道最大承载能力预计可达35T。地拖链新加承载横梁不应破坏线体原有稳固结构，因地拖链轨道下表面空间较小，施工难度大，投标方需详细明确说明地拖链增加承载横梁施工项具体的施工步骤和过程，确保该项加固方案实施有效可行。</w:t>
      </w:r>
    </w:p>
    <w:p>
      <w:pPr>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b w:val="0"/>
          <w:bCs w:val="0"/>
          <w:sz w:val="24"/>
          <w:szCs w:val="24"/>
          <w:lang w:val="en-US"/>
        </w:rPr>
      </w:pPr>
      <w:r>
        <w:rPr>
          <w:rFonts w:hint="eastAsia" w:ascii="宋体" w:hAnsi="宋体" w:cs="宋体"/>
          <w:sz w:val="24"/>
          <w:szCs w:val="24"/>
          <w:lang w:val="en-US" w:eastAsia="zh-CN"/>
        </w:rPr>
        <w:drawing>
          <wp:inline distT="0" distB="0" distL="114300" distR="114300">
            <wp:extent cx="3421380" cy="1390650"/>
            <wp:effectExtent l="0" t="0" r="7620" b="0"/>
            <wp:docPr id="50" name="图片 50" descr="dfc02873dd1660e627f204e96f24a4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dfc02873dd1660e627f204e96f24a4ee"/>
                    <pic:cNvPicPr>
                      <a:picLocks noChangeAspect="1"/>
                    </pic:cNvPicPr>
                  </pic:nvPicPr>
                  <pic:blipFill>
                    <a:blip r:embed="rId54"/>
                    <a:stretch>
                      <a:fillRect/>
                    </a:stretch>
                  </pic:blipFill>
                  <pic:spPr>
                    <a:xfrm>
                      <a:off x="0" y="0"/>
                      <a:ext cx="3421380" cy="1390650"/>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805305" cy="1421765"/>
            <wp:effectExtent l="0" t="0" r="4445" b="6985"/>
            <wp:docPr id="5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4"/>
                    <pic:cNvPicPr>
                      <a:picLocks noChangeAspect="1"/>
                    </pic:cNvPicPr>
                  </pic:nvPicPr>
                  <pic:blipFill>
                    <a:blip r:embed="rId55"/>
                    <a:stretch>
                      <a:fillRect/>
                    </a:stretch>
                  </pic:blipFill>
                  <pic:spPr>
                    <a:xfrm>
                      <a:off x="0" y="0"/>
                      <a:ext cx="1805305" cy="1421765"/>
                    </a:xfrm>
                    <a:prstGeom prst="rect">
                      <a:avLst/>
                    </a:prstGeom>
                  </pic:spPr>
                </pic:pic>
              </a:graphicData>
            </a:graphic>
          </wp:inline>
        </w:drawing>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12.2.3 更换地拖链420米轨道和链条两侧防护胶皮</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①更换地拖链420米轨道：钢轨规格为22Kg轻轨</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材质：Q235</w:t>
      </w:r>
      <w:r>
        <w:rPr>
          <w:rFonts w:hint="eastAsia" w:ascii="宋体" w:hAnsi="宋体" w:cs="宋体"/>
          <w:b w:val="0"/>
          <w:bCs w:val="0"/>
          <w:sz w:val="24"/>
          <w:szCs w:val="24"/>
          <w:lang w:eastAsia="zh-CN"/>
        </w:rPr>
        <w:t>）</w:t>
      </w:r>
      <w:r>
        <w:rPr>
          <w:rFonts w:hint="eastAsia" w:ascii="宋体" w:hAnsi="宋体" w:eastAsia="宋体" w:cs="宋体"/>
          <w:b w:val="0"/>
          <w:bCs w:val="0"/>
          <w:sz w:val="24"/>
          <w:szCs w:val="24"/>
        </w:rPr>
        <w:t>，招标方需确定更换轨道后支撑桥小车车轮与更换新轨道贴合，线体生产运行安全平稳，运行中无支撑桥小车偏移、震颤、倾斜以及车轮脱轨等问题。</w:t>
      </w:r>
    </w:p>
    <w:p>
      <w:pPr>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b w:val="0"/>
          <w:bCs w:val="0"/>
          <w:sz w:val="24"/>
          <w:szCs w:val="24"/>
          <w:lang w:val="en-US"/>
        </w:rPr>
      </w:pPr>
      <w:r>
        <w:rPr>
          <w:rFonts w:hint="eastAsia" w:ascii="宋体" w:hAnsi="宋体" w:cs="宋体"/>
          <w:sz w:val="24"/>
          <w:szCs w:val="24"/>
          <w:lang w:val="en-US" w:eastAsia="zh-CN"/>
        </w:rPr>
        <w:drawing>
          <wp:inline distT="0" distB="0" distL="114300" distR="114300">
            <wp:extent cx="1976120" cy="1887855"/>
            <wp:effectExtent l="0" t="0" r="5080" b="17145"/>
            <wp:docPr id="52" name="图片 52" descr="ec13544fc631d299bf6c90c9cdd2d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ec13544fc631d299bf6c90c9cdd2d988"/>
                    <pic:cNvPicPr>
                      <a:picLocks noChangeAspect="1"/>
                    </pic:cNvPicPr>
                  </pic:nvPicPr>
                  <pic:blipFill>
                    <a:blip r:embed="rId56"/>
                    <a:stretch>
                      <a:fillRect/>
                    </a:stretch>
                  </pic:blipFill>
                  <pic:spPr>
                    <a:xfrm>
                      <a:off x="0" y="0"/>
                      <a:ext cx="1976120" cy="1887855"/>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2453640" cy="1841500"/>
            <wp:effectExtent l="0" t="0" r="3810" b="6350"/>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57"/>
                    <a:stretch>
                      <a:fillRect/>
                    </a:stretch>
                  </pic:blipFill>
                  <pic:spPr>
                    <a:xfrm>
                      <a:off x="0" y="0"/>
                      <a:ext cx="2453640" cy="1841500"/>
                    </a:xfrm>
                    <a:prstGeom prst="rect">
                      <a:avLst/>
                    </a:prstGeom>
                  </pic:spPr>
                </pic:pic>
              </a:graphicData>
            </a:graphic>
          </wp:inline>
        </w:drawing>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更换地拖链链条两侧防护胶皮：投标方需按照现场实际情况确定地拖链链条两侧防护胶皮具体更换尺寸，所更换防护胶皮必须具备防止杂物通过链条孔落入轨道内部功能且更换防护胶皮不影响线体支撑桥小车正常运行生产和链条运行，具备耐磨、耐腐蚀性、不易变形等特性。</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12.2.4 更换安全销</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地拖链安全销由27.5mm直径更换为53mm直径（材质：铸铁SH20）。此尺寸仅为按极限状态下计算理论尺寸，投标人需提供按单支撑桥小车承载10T（单车使用3个支撑桥小车）状态下，改造后地拖链（需一并考虑地拖链加固改造方案实施后，地拖链增加重量）适用的安全销直径计算书，计算书需完整、准确并标注安全销材质，并提供安全销图纸，安全销实际使用尺寸以现场调试实际情况为准。</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12.2.5 更换地拖链磨损严重的50套轴承滚轮，新换轴承滚轮与地拖链现用轴承滚轮规格一致，新换轴承滚轮需保证与线体及线体其余轴承滚轮衔接到位，可以满足线体长期安全稳定运行。</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12.2.6 加固地拖链驱动部分、涨紧部分</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①地拖链驱动部分包括驱动地坑钢构支架及盖板、电机减速机固定座、下坡段钢构及支撑、前靠模弯轨、下坡弯轨等。</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②地拖链涨紧部分包括涨紧地坑钢构支架及盖板、涨紧基座、后靠模弯轨、行走小车压轨、链条行走压轨等。</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③投标方需根据现场实际情况明确加固地拖链驱动部分、涨紧部分具体实施方案，并满足招标方现场需求和意见。</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12.2.7 检修地拖链链条行走轨道、返回轨道</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检修过程如有必要投标方需与招标方技术人员一起进行，投标方检修需满足招标方现场需求和意见。</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12.3 Z27-Z28工位双板链加固改造：</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12.3.1 加固双板链轨道支撑钢结构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①对双板链轨道压板及固定螺栓进行调整紧固，实施区域需投标方具体明确并根据招标方需求及意见相应调整。</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②对双板链支撑框架焊接处进行逐点检查并对开焊处进行修复（红框所示），实施区域需投标方明确，并根据现场实际情况及招标方需求意见相应调整施工，保证加固后线体结构能长期安全稳定可持续运行。</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rPr>
          <w:rFonts w:hint="eastAsia" w:ascii="宋体" w:hAnsi="宋体" w:cs="宋体"/>
          <w:sz w:val="24"/>
          <w:szCs w:val="24"/>
          <w:lang w:val="en-US" w:eastAsia="zh-CN"/>
        </w:rPr>
        <w:drawing>
          <wp:inline distT="0" distB="0" distL="114300" distR="114300">
            <wp:extent cx="3634740" cy="1453515"/>
            <wp:effectExtent l="0" t="0" r="3810" b="13335"/>
            <wp:docPr id="54" name="图片 54" descr="9bc94f678c324ccbb865368bf8ba3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9bc94f678c324ccbb865368bf8ba3224"/>
                    <pic:cNvPicPr>
                      <a:picLocks noChangeAspect="1"/>
                    </pic:cNvPicPr>
                  </pic:nvPicPr>
                  <pic:blipFill>
                    <a:blip r:embed="rId58"/>
                    <a:stretch>
                      <a:fillRect/>
                    </a:stretch>
                  </pic:blipFill>
                  <pic:spPr>
                    <a:xfrm>
                      <a:off x="0" y="0"/>
                      <a:ext cx="3634740" cy="14535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在双板链支撑立柱内、外侧增加20#槽钢支撑，标书提供槽钢仅供投标方参考，新增槽钢具体规格尺寸需由投标方根据现场双板链支撑立柱实际情况合理设计并提供图纸，投标方应保证新加槽钢具备加强立柱承载能力的功能。</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lang w:val="en-US" w:eastAsia="zh-CN"/>
        </w:rPr>
      </w:pPr>
      <w:r>
        <w:drawing>
          <wp:inline distT="0" distB="0" distL="114300" distR="114300">
            <wp:extent cx="2097405" cy="1916430"/>
            <wp:effectExtent l="0" t="0" r="17145" b="7620"/>
            <wp:docPr id="5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3"/>
                    <pic:cNvPicPr>
                      <a:picLocks noChangeAspect="1"/>
                    </pic:cNvPicPr>
                  </pic:nvPicPr>
                  <pic:blipFill>
                    <a:blip r:embed="rId59"/>
                    <a:stretch>
                      <a:fillRect/>
                    </a:stretch>
                  </pic:blipFill>
                  <pic:spPr>
                    <a:xfrm>
                      <a:off x="0" y="0"/>
                      <a:ext cx="2097405" cy="1916430"/>
                    </a:xfrm>
                    <a:prstGeom prst="rect">
                      <a:avLst/>
                    </a:prstGeom>
                  </pic:spPr>
                </pic:pic>
              </a:graphicData>
            </a:graphic>
          </wp:inline>
        </w:drawing>
      </w:r>
      <w:r>
        <w:rPr>
          <w:rFonts w:hint="eastAsia"/>
          <w:lang w:val="en-US" w:eastAsia="zh-CN"/>
        </w:rPr>
        <w:t xml:space="preserve">  </w:t>
      </w:r>
      <w:r>
        <w:drawing>
          <wp:inline distT="0" distB="0" distL="114300" distR="114300">
            <wp:extent cx="1658620" cy="1878965"/>
            <wp:effectExtent l="0" t="0" r="17780" b="6985"/>
            <wp:docPr id="5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9"/>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58620" cy="1878965"/>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④在双板链框架横梁底部增加20厚钢板组合三角支撑，增加的钢板组合三角支撑由投标方根据现场双板链框架实际情况合理设计并提供图纸，投标方应保证新加钢板组合三角支撑具备加强板链框架承载能力的功能。</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pPr>
      <w:r>
        <w:drawing>
          <wp:inline distT="0" distB="0" distL="114300" distR="114300">
            <wp:extent cx="2407920" cy="1844675"/>
            <wp:effectExtent l="0" t="0" r="11430" b="3175"/>
            <wp:docPr id="5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9"/>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2407920" cy="1844675"/>
                    </a:xfrm>
                    <a:prstGeom prst="rect">
                      <a:avLst/>
                    </a:prstGeom>
                  </pic:spPr>
                </pic:pic>
              </a:graphicData>
            </a:graphic>
          </wp:inline>
        </w:drawing>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⑤在双板链立柱基座底板增加20#槽钢支撑，增加的槽钢支撑需投标方根据现场双板链立柱实际情况合理设计并提供图纸。</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val="0"/>
          <w:bCs w:val="0"/>
          <w:sz w:val="24"/>
          <w:szCs w:val="24"/>
          <w:lang w:val="en-US" w:eastAsia="zh-CN"/>
        </w:rPr>
      </w:pPr>
      <w:r>
        <w:drawing>
          <wp:inline distT="0" distB="0" distL="114300" distR="114300">
            <wp:extent cx="2014855" cy="1576705"/>
            <wp:effectExtent l="0" t="0" r="4445" b="4445"/>
            <wp:docPr id="5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2"/>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14855" cy="1576705"/>
                    </a:xfrm>
                    <a:prstGeom prst="rect">
                      <a:avLst/>
                    </a:prstGeom>
                  </pic:spPr>
                </pic:pic>
              </a:graphicData>
            </a:graphic>
          </wp:inline>
        </w:drawing>
      </w:r>
      <w:r>
        <w:rPr>
          <w:rFonts w:hint="eastAsia"/>
          <w:lang w:val="en-US" w:eastAsia="zh-CN"/>
        </w:rPr>
        <w:t xml:space="preserve">  </w:t>
      </w:r>
      <w:r>
        <w:rPr>
          <w:rFonts w:hint="eastAsia" w:ascii="宋体" w:hAnsi="宋体" w:cs="宋体"/>
          <w:sz w:val="24"/>
          <w:szCs w:val="24"/>
          <w:lang w:val="en-US" w:eastAsia="zh-CN"/>
        </w:rPr>
        <w:drawing>
          <wp:inline distT="0" distB="0" distL="114300" distR="114300">
            <wp:extent cx="2399665" cy="1568450"/>
            <wp:effectExtent l="0" t="0" r="635" b="12700"/>
            <wp:docPr id="59" name="图片 59" descr="7d29195da0288485cde3aca8290ace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7d29195da0288485cde3aca8290acea2"/>
                    <pic:cNvPicPr>
                      <a:picLocks noChangeAspect="1"/>
                    </pic:cNvPicPr>
                  </pic:nvPicPr>
                  <pic:blipFill>
                    <a:blip r:embed="rId63"/>
                    <a:stretch>
                      <a:fillRect/>
                    </a:stretch>
                  </pic:blipFill>
                  <pic:spPr>
                    <a:xfrm>
                      <a:off x="0" y="0"/>
                      <a:ext cx="2399665" cy="15684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12.3.2 加固双板链机头、机尾钢结构及线体两侧地坑盖板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①对现有双板链地坑支撑框架钢构焊接处进行逐点检查，并对开焊处进行焊接修复，双板链地坑支撑钢构逐点检查区域需投标方明确并根据招标方需求及意见相应调整，严重变形位置要求投标方更换。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②在双板链地坑支撑立柱内、外侧增加20#槽钢支撑，新增槽钢具体规格尺寸需由投标方根据现场双板链地坑支撑立柱实际情况合理设计并提供图纸，投标方应保证新加槽钢支撑具备加强立柱承载能力的功能。</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384425" cy="1805305"/>
            <wp:effectExtent l="0" t="0" r="15875" b="4445"/>
            <wp:docPr id="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
                    <pic:cNvPicPr>
                      <a:picLocks noChangeAspect="1"/>
                    </pic:cNvPicPr>
                  </pic:nvPicPr>
                  <pic:blipFill>
                    <a:blip r:embed="rId47"/>
                    <a:stretch>
                      <a:fillRect/>
                    </a:stretch>
                  </pic:blipFill>
                  <pic:spPr>
                    <a:xfrm>
                      <a:off x="0" y="0"/>
                      <a:ext cx="2384425" cy="1805305"/>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在双板链地坑支撑框架横梁底部增加20厚钢板组合三角支撑，增加的钢板组合三角支撑具体规格尺寸需由投标方根据现场双板链地坑支撑框架实际情况合理设计并提供图纸，投标方应保证新加钢板组合三角支撑具备加强支撑框架承载能力的功能。</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383790" cy="1652270"/>
            <wp:effectExtent l="0" t="0" r="16510" b="5080"/>
            <wp:docPr id="6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3"/>
                    <pic:cNvPicPr>
                      <a:picLocks noChangeAspect="1"/>
                    </pic:cNvPicPr>
                  </pic:nvPicPr>
                  <pic:blipFill>
                    <a:blip r:embed="rId64"/>
                    <a:stretch>
                      <a:fillRect/>
                    </a:stretch>
                  </pic:blipFill>
                  <pic:spPr>
                    <a:xfrm>
                      <a:off x="0" y="0"/>
                      <a:ext cx="2383790" cy="1652270"/>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④增加双板链驱动框架与地基的压板，由单板式改为通长版，横跨整个地基，增大框架与基础板的吸附力。标书提供压板仅供投标方参考，压板实际施工尺寸需投标方根据现场情况合理设计并提供图纸，压板厚度不小于现压板，新增后具备增强框架与基础板吸附力和稳定性的功能。</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val="0"/>
          <w:bCs w:val="0"/>
          <w:sz w:val="24"/>
          <w:szCs w:val="24"/>
          <w:lang w:val="en-US"/>
        </w:rPr>
      </w:pPr>
      <w:r>
        <w:rPr>
          <w:rFonts w:hint="eastAsia" w:ascii="宋体" w:hAnsi="宋体" w:cs="宋体"/>
          <w:sz w:val="24"/>
          <w:szCs w:val="24"/>
          <w:lang w:val="en-US" w:eastAsia="zh-CN"/>
        </w:rPr>
        <w:drawing>
          <wp:inline distT="0" distB="0" distL="114300" distR="114300">
            <wp:extent cx="2398395" cy="1809115"/>
            <wp:effectExtent l="0" t="0" r="1905" b="635"/>
            <wp:docPr id="62" name="图片 62" descr="742dc468eb3cdf71085fcfd8a41de2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742dc468eb3cdf71085fcfd8a41de2d5"/>
                    <pic:cNvPicPr>
                      <a:picLocks noChangeAspect="1"/>
                    </pic:cNvPicPr>
                  </pic:nvPicPr>
                  <pic:blipFill>
                    <a:blip r:embed="rId48"/>
                    <a:stretch>
                      <a:fillRect/>
                    </a:stretch>
                  </pic:blipFill>
                  <pic:spPr>
                    <a:xfrm>
                      <a:off x="0" y="0"/>
                      <a:ext cx="2398395" cy="1809115"/>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2750185" cy="1786890"/>
            <wp:effectExtent l="0" t="0" r="12065" b="3810"/>
            <wp:docPr id="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7"/>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750185" cy="1786890"/>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⑤双板链驱动框架内增加筋板，增大驱动框架的承载力。标书提供筋板仅供投标方参考，筋板实际施工尺寸需投标方根据现场情况合理设计并提供图纸，新增筋板要求具备明显的增大驱动框架承载力的实施效果。</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val="0"/>
          <w:bCs w:val="0"/>
          <w:sz w:val="24"/>
          <w:szCs w:val="24"/>
          <w:lang w:val="en-US"/>
        </w:rPr>
      </w:pPr>
      <w:r>
        <w:rPr>
          <w:rFonts w:hint="eastAsia" w:ascii="宋体" w:hAnsi="宋体" w:cs="宋体"/>
          <w:sz w:val="24"/>
          <w:szCs w:val="24"/>
          <w:lang w:val="en-US" w:eastAsia="zh-CN"/>
        </w:rPr>
        <w:drawing>
          <wp:inline distT="0" distB="0" distL="114300" distR="114300">
            <wp:extent cx="2290445" cy="1543685"/>
            <wp:effectExtent l="0" t="0" r="14605" b="18415"/>
            <wp:docPr id="64" name="图片 64" descr="7e5f8e6f06beb9ffd20aa7a29422bf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7e5f8e6f06beb9ffd20aa7a29422bf70"/>
                    <pic:cNvPicPr>
                      <a:picLocks noChangeAspect="1"/>
                    </pic:cNvPicPr>
                  </pic:nvPicPr>
                  <pic:blipFill>
                    <a:blip r:embed="rId65"/>
                    <a:stretch>
                      <a:fillRect/>
                    </a:stretch>
                  </pic:blipFill>
                  <pic:spPr>
                    <a:xfrm>
                      <a:off x="0" y="0"/>
                      <a:ext cx="2290445" cy="1543685"/>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254760" cy="1550670"/>
            <wp:effectExtent l="0" t="0" r="2540" b="11430"/>
            <wp:docPr id="6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1254760" cy="1550670"/>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⑥检修校直双板链两侧盖板和轨道压板，并在盖板内增加“十”字加强筋。双板链线体两侧盖板包含轨道左、右两侧全部扁豆花纹盖板，投标方需根据现场实际情况，设计合适的盖板内增加的“十”字加强筋，并提供现场盖板内增加“十”字加强筋的图纸。轨道压板校直后，与轨道链板贴合但不干涉磨碰链板运行，投标方需根据招标方需求和意见，校直调整轨道压板后可以解决双板链现存轨道压板起翘剐蹭磨损车辆轮胎等问题。</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lang w:val="en-US" w:eastAsia="zh-CN"/>
        </w:rPr>
      </w:pPr>
      <w:r>
        <w:drawing>
          <wp:inline distT="0" distB="0" distL="114300" distR="114300">
            <wp:extent cx="2540635" cy="1715770"/>
            <wp:effectExtent l="0" t="0" r="12065" b="17780"/>
            <wp:docPr id="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
                    <pic:cNvPicPr>
                      <a:picLocks noChangeAspect="1"/>
                    </pic:cNvPicPr>
                  </pic:nvPicPr>
                  <pic:blipFill>
                    <a:blip r:embed="rId66"/>
                    <a:stretch>
                      <a:fillRect/>
                    </a:stretch>
                  </pic:blipFill>
                  <pic:spPr>
                    <a:xfrm>
                      <a:off x="0" y="0"/>
                      <a:ext cx="2540635" cy="1715770"/>
                    </a:xfrm>
                    <a:prstGeom prst="rect">
                      <a:avLst/>
                    </a:prstGeom>
                  </pic:spPr>
                </pic:pic>
              </a:graphicData>
            </a:graphic>
          </wp:inline>
        </w:drawing>
      </w:r>
      <w:r>
        <w:rPr>
          <w:rFonts w:hint="eastAsia"/>
          <w:lang w:val="en-US" w:eastAsia="zh-CN"/>
        </w:rPr>
        <w:t xml:space="preserve"> </w:t>
      </w:r>
      <w:r>
        <w:rPr>
          <w:rFonts w:hint="eastAsia" w:ascii="宋体" w:hAnsi="宋体" w:eastAsia="宋体" w:cs="宋体"/>
          <w:sz w:val="24"/>
          <w:szCs w:val="24"/>
          <w:lang w:val="en-US" w:eastAsia="zh-CN"/>
        </w:rPr>
        <w:drawing>
          <wp:inline distT="0" distB="0" distL="114300" distR="114300">
            <wp:extent cx="2599690" cy="1749425"/>
            <wp:effectExtent l="0" t="0" r="10160" b="3175"/>
            <wp:docPr id="67" name="图片 67" descr="18006acaf42203cf24cd33f490b346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8006acaf42203cf24cd33f490b346d3"/>
                    <pic:cNvPicPr>
                      <a:picLocks noChangeAspect="1"/>
                    </pic:cNvPicPr>
                  </pic:nvPicPr>
                  <pic:blipFill>
                    <a:blip r:embed="rId67"/>
                    <a:stretch>
                      <a:fillRect/>
                    </a:stretch>
                  </pic:blipFill>
                  <pic:spPr>
                    <a:xfrm>
                      <a:off x="0" y="0"/>
                      <a:ext cx="2599690" cy="1749425"/>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12.3.3 加固双板链下线地坑钢构盖板</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①逐点检查双板链车辆下线处钢构框架，对钢构框架开焊处进行焊接修复。双板链车辆下线处钢构框架焊接逐点检查区域需投标方明确并根据招标方需求及意见相应调整，严重变形位置要求投标方更换。</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257425" cy="1815465"/>
            <wp:effectExtent l="0" t="0" r="9525" b="13335"/>
            <wp:docPr id="68" name="图片 29"/>
            <wp:cNvGraphicFramePr/>
            <a:graphic xmlns:a="http://schemas.openxmlformats.org/drawingml/2006/main">
              <a:graphicData uri="http://schemas.openxmlformats.org/drawingml/2006/picture">
                <pic:pic xmlns:pic="http://schemas.openxmlformats.org/drawingml/2006/picture">
                  <pic:nvPicPr>
                    <pic:cNvPr id="68" name="图片 29"/>
                    <pic:cNvPicPr/>
                  </pic:nvPicPr>
                  <pic:blipFill>
                    <a:blip r:embed="rId68"/>
                    <a:stretch>
                      <a:fillRect/>
                    </a:stretch>
                  </pic:blipFill>
                  <pic:spPr>
                    <a:xfrm>
                      <a:off x="0" y="0"/>
                      <a:ext cx="2257425" cy="181546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②将双板链车辆下线处地坑盖板更换为10mm厚钢板，新钢板至少具备25T承载能力，新钢板铺设完毕后无鼓包、闪缝、起翘等问题，安装后下线处整体在同一水平面。</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203450" cy="1487805"/>
            <wp:effectExtent l="0" t="0" r="6350" b="17145"/>
            <wp:docPr id="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
                    <pic:cNvPicPr>
                      <a:picLocks noChangeAspect="1"/>
                    </pic:cNvPicPr>
                  </pic:nvPicPr>
                  <pic:blipFill>
                    <a:blip r:embed="rId69"/>
                    <a:stretch>
                      <a:fillRect/>
                    </a:stretch>
                  </pic:blipFill>
                  <pic:spPr>
                    <a:xfrm>
                      <a:off x="0" y="0"/>
                      <a:ext cx="2203450" cy="1487805"/>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③增加立柱双侧槽钢加固，下线处框架立柱由单侧加强槽钢更改为双侧加强槽钢。增加的加强槽钢实际施工规格尺寸，需投标方根据现场情况合理设计并提供图纸。</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121535" cy="1597025"/>
            <wp:effectExtent l="0" t="0" r="12065" b="3175"/>
            <wp:docPr id="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2"/>
                    <pic:cNvPicPr>
                      <a:picLocks noChangeAspect="1"/>
                    </pic:cNvPicPr>
                  </pic:nvPicPr>
                  <pic:blipFill>
                    <a:blip r:embed="rId70"/>
                    <a:srcRect/>
                    <a:stretch>
                      <a:fillRect/>
                    </a:stretch>
                  </pic:blipFill>
                  <pic:spPr>
                    <a:xfrm>
                      <a:off x="0" y="0"/>
                      <a:ext cx="2121535" cy="15970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12.3.4 更换双板链链板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双板链链板由5mm更换为8mm厚花纹钢板，在新链板上链板与轨道接触点内部增加两条方管式加强筋，提高链板强度，加强筋必须使用管式，不允许使用角铁式。投标方需根据现场实际情况设计合理的管式加强筋新链板并提供图纸，保证加厚新链板更换后，不影响双板链正常使用运行及链板返回等。</w:t>
      </w:r>
    </w:p>
    <w:p>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1179195" cy="2056765"/>
            <wp:effectExtent l="0" t="0" r="1905" b="635"/>
            <wp:docPr id="7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8"/>
                    <pic:cNvPicPr>
                      <a:picLocks noChangeAspect="1"/>
                    </pic:cNvPicPr>
                  </pic:nvPicPr>
                  <pic:blipFill>
                    <a:blip r:embed="rId71"/>
                    <a:stretch>
                      <a:fillRect/>
                    </a:stretch>
                  </pic:blipFill>
                  <pic:spPr>
                    <a:xfrm>
                      <a:off x="0" y="0"/>
                      <a:ext cx="1179195" cy="2056765"/>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12.3.5 更换安全销</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双板链安全销由15mm直径更换为22mm直径（材质：铸铁SH20）。此尺寸仅为按极限状态下计算理论尺寸，投标人需提供按单车30T状态下，改造后双板链（需一并考虑双板链加固改造方案实施后，双板链增加重量）适用的安全销直径计算书，计算书需完整、准确并标注安全销材质，并提供安全销图纸，安全销实际使用尺寸以现场调试实际情况为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12.3.6 更换双板链磨损严重的150套轴承滚轮，新换轴承滚轮与双板链现用轴承滚轮规格一致，新换轴承滚轮需保证与线体其余轴承滚轮衔接到位，可以满足线体长期安全稳定运行。</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12.3.7 加固双板链驱动部分、涨紧部分：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①双板链驱动部分包括驱动地坑钢构支架及盖板、电机减速机固定座等。</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②双板链涨紧部分包括涨紧地坑钢构支架及盖板、涨紧基座等。</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③投标方需根据现场实际情况明确加固双板链驱动部分、涨紧部分具体实施方案，并满足招标方现场需求和意见。</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12.3.8 检修双板链承重轨道、返回轨道</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检修过程如有必要需投标方与招标方技术人员一起进行，投标方检修需满足招标方现场需求和意见。</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12.4 全部安装完成后整线联调联试。</w:t>
      </w:r>
    </w:p>
    <w:p>
      <w:pPr>
        <w:pStyle w:val="2"/>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13.项目实施特殊要求</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13.1 项目实施过程中不允许使用化学螺栓。</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13.2 投标方需根据备货期及具体施工内容提供完整的项目施工计划，明确项目备货周期、施工过程连续停线时间。</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13.3地拖链、双板链地坑内存在废油液、废油渣，地坑内废油液、废油渣清理和收集由投标方负责，并由投标方提供清理和收集的工具、容器，收集的废油液、废油渣由招标方负责处理。</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13.4密闭空间</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设备地下地坑</w:t>
      </w:r>
      <w:r>
        <w:rPr>
          <w:rFonts w:hint="eastAsia" w:ascii="宋体" w:hAnsi="宋体" w:cs="宋体"/>
          <w:b w:val="0"/>
          <w:bCs w:val="0"/>
          <w:sz w:val="24"/>
          <w:szCs w:val="24"/>
          <w:lang w:eastAsia="zh-CN"/>
        </w:rPr>
        <w:t>）</w:t>
      </w:r>
      <w:r>
        <w:rPr>
          <w:rFonts w:hint="eastAsia" w:ascii="宋体" w:hAnsi="宋体" w:eastAsia="宋体" w:cs="宋体"/>
          <w:b w:val="0"/>
          <w:bCs w:val="0"/>
          <w:sz w:val="24"/>
          <w:szCs w:val="24"/>
        </w:rPr>
        <w:t>作业：密闭空间作业所需的照明、通风等安全设备设施需投标方根据现场实际施工环境自行准备。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sz w:val="24"/>
          <w:szCs w:val="24"/>
          <w:lang w:val="en-US" w:eastAsia="zh-CN"/>
        </w:rPr>
      </w:pPr>
      <w:r>
        <w:rPr>
          <w:rFonts w:hint="eastAsia" w:ascii="宋体" w:hAnsi="宋体" w:eastAsia="宋体" w:cs="宋体"/>
          <w:b w:val="0"/>
          <w:bCs w:val="0"/>
          <w:sz w:val="24"/>
          <w:szCs w:val="24"/>
          <w:lang w:val="en-US" w:eastAsia="zh-CN"/>
        </w:rPr>
        <w:t>13.5为保证项目实施安全性并方便项目日后养护维修，投标方负责在施工区域总装北线线体地下地坑内每间隔15-20m增加24V 安全LED照明灯或按具体情况以及招标方意见通线间隔铺设灯带，照明设备电源线铺设需理顺齐整且不影响线体运行和线体及照明设备日常保养维修，所加照明设备必须以安全为第一要义，并方便日后检修时开、关以及更换照明设备。</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w:t>
      </w:r>
      <w:r>
        <w:rPr>
          <w:rFonts w:hint="eastAsia" w:ascii="宋体" w:hAnsi="宋体" w:cs="宋体"/>
          <w:b w:val="0"/>
          <w:bCs w:val="0"/>
          <w:sz w:val="24"/>
          <w:szCs w:val="24"/>
          <w:lang w:val="en-US" w:eastAsia="zh-CN"/>
        </w:rPr>
        <w:t>6</w:t>
      </w:r>
      <w:r>
        <w:rPr>
          <w:rFonts w:hint="eastAsia" w:ascii="宋体" w:hAnsi="宋体" w:eastAsia="宋体" w:cs="宋体"/>
          <w:b w:val="0"/>
          <w:bCs w:val="0"/>
          <w:sz w:val="24"/>
          <w:szCs w:val="24"/>
        </w:rPr>
        <w:t>若招标文件各组成部分对同一事项的描述存在不一致，以对投标人要求较高、或对项目技术及质量标准要求更严格的条款为准。</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14.电气部分标准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符合《电气装置安装盘、柜及二次回路接线施工及验收规范》 （GB50171-92）；</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符合《电气装置安装工程母线装置施工及验收规范》 （GBJ149-90）；</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符合《电气装置安装工程爆炸和火灾危险环境电气装置施工及验收规范》 （GB50527-96）；</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符合《电气装置安装工程质量检验、评定标准》（GBJ303-88）；</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符合《工业机械电气设备 第一部分：通用技术条件》（GB/T5226.1-1996）；</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符合《电控设备 第一部分：低压电器电控设备》；</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符合机械部部颁标准《电力系统二次回路用屏（台）通用技术条件》。</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辅梁钢结构的材料表面需经过除锈处理，通过一次底漆、两次面漆使漆膜的厚度为30～50微米。油漆的颜色由招标方负责向投标方提供色板或色标号。</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15.执行标准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15.1 招标方此处所列标准仅为涉及的主要标准，而且不保证其为最新版执行标准；投标方应当在投标文件中认真予以填写、补充和修改完善。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15.2 投标方需要执行的标准，应当采用所供货物通过买方组织的最终验收之日已经开始执行的最新标准。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15.3 采购货物的产品质量、技术标准如在招投标文件中无相应说明，则按中华人民共和国有关部门颁发的最新的国标或专业（部）标准执行及相应的国际标准。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15.4 采购货物没有国家或专业（部）标准的，按企业标准执行时，卖方应在合同签署之前，将所涉及的企业标准提供给买方确认。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15.5 采购货物如果采用国际标准，其执行标准由投标方提供、招标方确认。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15.6 采购货物所涉及的标准不统一时，原则上按照最严格标准执行。</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15.7 涉及的主要标准表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4110"/>
        <w:gridCol w:w="1843"/>
        <w:gridCol w:w="2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8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序号</w:t>
            </w:r>
          </w:p>
        </w:tc>
        <w:tc>
          <w:tcPr>
            <w:tcW w:w="41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标准名称</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标准编号</w:t>
            </w:r>
          </w:p>
        </w:tc>
        <w:tc>
          <w:tcPr>
            <w:tcW w:w="206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1</w:t>
            </w:r>
          </w:p>
        </w:tc>
        <w:tc>
          <w:tcPr>
            <w:tcW w:w="41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买方提供企业标准</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480"/>
              <w:jc w:val="center"/>
              <w:textAlignment w:val="auto"/>
              <w:rPr>
                <w:rFonts w:ascii="宋体" w:hAnsi="宋体" w:eastAsia="宋体" w:cs="宋体"/>
                <w:sz w:val="24"/>
                <w:szCs w:val="24"/>
              </w:rPr>
            </w:pPr>
          </w:p>
        </w:tc>
        <w:tc>
          <w:tcPr>
            <w:tcW w:w="206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卖方确认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2</w:t>
            </w:r>
          </w:p>
        </w:tc>
        <w:tc>
          <w:tcPr>
            <w:tcW w:w="41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买方提供与设备安全和环保相关的中国、国际通用和制造国的标准</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480"/>
              <w:jc w:val="center"/>
              <w:textAlignment w:val="auto"/>
              <w:rPr>
                <w:rFonts w:ascii="宋体" w:hAnsi="宋体" w:eastAsia="宋体" w:cs="宋体"/>
                <w:sz w:val="24"/>
                <w:szCs w:val="24"/>
              </w:rPr>
            </w:pPr>
          </w:p>
        </w:tc>
        <w:tc>
          <w:tcPr>
            <w:tcW w:w="206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卖方确认</w:t>
            </w:r>
          </w:p>
        </w:tc>
      </w:tr>
    </w:tbl>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pPr>
        <w:pStyle w:val="18"/>
        <w:rPr>
          <w:rFonts w:hint="eastAsia" w:hAnsi="宋体" w:eastAsia="宋体"/>
        </w:rPr>
      </w:pPr>
    </w:p>
    <w:p>
      <w:pPr>
        <w:keepNext/>
        <w:keepLines/>
        <w:jc w:val="center"/>
        <w:outlineLvl w:val="1"/>
        <w:rPr>
          <w:rFonts w:hint="eastAsia" w:ascii="宋体" w:hAnsi="宋体" w:eastAsia="宋体"/>
          <w:b/>
          <w:bCs/>
          <w:kern w:val="44"/>
          <w:sz w:val="28"/>
          <w:szCs w:val="28"/>
        </w:rPr>
      </w:pPr>
      <w:r>
        <w:rPr>
          <w:rFonts w:hint="eastAsia" w:ascii="宋体" w:hAnsi="宋体" w:eastAsia="宋体"/>
          <w:b/>
          <w:bCs/>
          <w:kern w:val="44"/>
          <w:sz w:val="28"/>
          <w:szCs w:val="28"/>
        </w:rPr>
        <w:t>第三章供货范围及供货方式</w:t>
      </w:r>
      <w:bookmarkEnd w:id="37"/>
    </w:p>
    <w:p>
      <w:pPr>
        <w:rPr>
          <w:rFonts w:hint="eastAsia" w:ascii="宋体" w:hAnsi="宋体" w:eastAsia="宋体"/>
        </w:rPr>
      </w:pPr>
    </w:p>
    <w:p>
      <w:pPr>
        <w:keepNext/>
        <w:keepLines/>
        <w:spacing w:line="360" w:lineRule="auto"/>
        <w:jc w:val="center"/>
        <w:outlineLvl w:val="2"/>
        <w:rPr>
          <w:rFonts w:hint="eastAsia"/>
        </w:rPr>
      </w:pPr>
      <w:bookmarkStart w:id="38" w:name="_Toc169605882"/>
      <w:r>
        <w:rPr>
          <w:rFonts w:hint="eastAsia" w:ascii="宋体" w:hAnsi="宋体" w:eastAsia="宋体" w:cs="宋体"/>
          <w:b/>
          <w:bCs/>
          <w:sz w:val="24"/>
          <w:szCs w:val="32"/>
        </w:rPr>
        <w:t>第一节  供货范围</w:t>
      </w:r>
      <w:bookmarkEnd w:id="38"/>
    </w:p>
    <w:p>
      <w:pPr>
        <w:pStyle w:val="129"/>
        <w:spacing w:line="360" w:lineRule="auto"/>
        <w:ind w:firstLine="0" w:firstLineChars="0"/>
        <w:outlineLvl w:val="3"/>
        <w:rPr>
          <w:rFonts w:hint="eastAsia" w:ascii="宋体" w:hAnsi="宋体" w:eastAsia="宋体" w:cs="宋体"/>
          <w:b/>
          <w:bCs/>
          <w:sz w:val="24"/>
          <w:szCs w:val="24"/>
        </w:rPr>
      </w:pPr>
      <w:r>
        <w:rPr>
          <w:rFonts w:ascii="宋体" w:hAnsi="宋体" w:eastAsia="宋体" w:cs="宋体"/>
          <w:b/>
          <w:bCs/>
          <w:sz w:val="24"/>
          <w:szCs w:val="24"/>
        </w:rPr>
        <w:t>一、</w:t>
      </w:r>
      <w:r>
        <w:rPr>
          <w:rFonts w:hint="eastAsia" w:ascii="宋体" w:hAnsi="宋体" w:eastAsia="宋体" w:cs="宋体"/>
          <w:b/>
          <w:bCs/>
          <w:sz w:val="24"/>
          <w:szCs w:val="24"/>
        </w:rPr>
        <w:t>供货范围</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3343"/>
        <w:gridCol w:w="1639"/>
        <w:gridCol w:w="1650"/>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名称</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单位</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数量</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更换15kW电机减速机</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SEW一级</w:t>
            </w:r>
            <w:r>
              <w:rPr>
                <w:rFonts w:hint="eastAsia" w:ascii="宋体" w:hAnsi="宋体" w:eastAsia="宋体" w:cs="宋体"/>
                <w:sz w:val="21"/>
                <w:szCs w:val="21"/>
                <w:vertAlign w:val="baseline"/>
                <w:lang w:val="en-US" w:eastAsia="zh-CN"/>
              </w:rPr>
              <w:t>能效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更换5.5kW电机减速机</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SEW一级</w:t>
            </w:r>
            <w:r>
              <w:rPr>
                <w:rFonts w:hint="eastAsia" w:ascii="宋体" w:hAnsi="宋体" w:eastAsia="宋体" w:cs="宋体"/>
                <w:sz w:val="21"/>
                <w:szCs w:val="21"/>
                <w:vertAlign w:val="baseline"/>
                <w:lang w:val="en-US" w:eastAsia="zh-CN"/>
              </w:rPr>
              <w:t>能效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电气系统配套更换</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加固地拖链、双板链线体中间骨架</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地拖链增加承载横梁</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6</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rPr>
              <w:t>检修地拖链链条行走轨道、链条返回轨道</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7</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rPr>
              <w:t>加固地拖链、双板链两侧地坑盖板及支架支撑</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8</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rPr>
              <w:t>加固地拖链和双板链驱动部分、涨紧部分</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更换双板链链板</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件</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检修双板链承重轨道、返回轨道</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更换地拖链420米轨道</w:t>
            </w:r>
          </w:p>
        </w:tc>
        <w:tc>
          <w:tcPr>
            <w:tcW w:w="163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12</w:t>
            </w:r>
          </w:p>
        </w:tc>
        <w:tc>
          <w:tcPr>
            <w:tcW w:w="33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更换地拖链防护胶皮</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13</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rPr>
              <w:t>更换地拖链、双板链滚轮轴承</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14</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线体地下地坑照明设备</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15</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rPr>
              <w:t>设备竣工总图</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16</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设备使用说明书</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17</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系统软硬件清单</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18</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技术培训资料</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19</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测试报告</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kern w:val="2"/>
                <w:sz w:val="21"/>
                <w:szCs w:val="21"/>
                <w:highlight w:val="none"/>
                <w:vertAlign w:val="baseline"/>
                <w:lang w:val="en-US" w:eastAsia="zh-CN" w:bidi="ar-SA"/>
              </w:rPr>
              <w:t>20</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纸质版</w:t>
            </w:r>
            <w:r>
              <w:rPr>
                <w:rFonts w:hint="eastAsia" w:ascii="宋体" w:hAnsi="宋体" w:eastAsia="宋体" w:cs="宋体"/>
                <w:sz w:val="21"/>
                <w:szCs w:val="21"/>
                <w:highlight w:val="none"/>
              </w:rPr>
              <w:t>设备资料</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电子版WORD或PDF版</w:t>
            </w:r>
            <w:r>
              <w:rPr>
                <w:rFonts w:hint="eastAsia" w:ascii="宋体" w:hAnsi="宋体" w:eastAsia="宋体" w:cs="宋体"/>
                <w:sz w:val="21"/>
                <w:szCs w:val="21"/>
                <w:highlight w:val="none"/>
                <w:lang w:val="en-US" w:eastAsia="zh-CN"/>
              </w:rPr>
              <w:t>一套）</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kern w:val="2"/>
                <w:sz w:val="21"/>
                <w:szCs w:val="21"/>
                <w:highlight w:val="none"/>
                <w:vertAlign w:val="baseline"/>
                <w:lang w:val="en-US" w:eastAsia="zh-CN" w:bidi="ar-SA"/>
              </w:rPr>
              <w:t>21</w:t>
            </w:r>
          </w:p>
        </w:tc>
        <w:tc>
          <w:tcPr>
            <w:tcW w:w="33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非标工装设备数据模型</w:t>
            </w:r>
          </w:p>
        </w:tc>
        <w:tc>
          <w:tcPr>
            <w:tcW w:w="163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套</w:t>
            </w:r>
          </w:p>
        </w:tc>
        <w:tc>
          <w:tcPr>
            <w:tcW w:w="1650" w:type="dxa"/>
            <w:shd w:val="clear" w:color="auto" w:fill="auto"/>
            <w:vAlign w:val="center"/>
          </w:tcPr>
          <w:p>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STP</w:t>
            </w:r>
          </w:p>
        </w:tc>
      </w:tr>
    </w:tbl>
    <w:p>
      <w:pPr>
        <w:spacing w:before="156" w:beforeLines="50" w:after="156" w:afterLines="5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（一）一般界定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如果终验收完成后，投标人有需要收回的配件、附件等，应当在投标文件的技术偏离条款中，予以详细说明；否则视同包括在供货范围之内。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3.包括货物维护维修所必需的专用工具。</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（二）供货范围边界界定</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电源划分，控制柜仅指设备的主控柜，原则上每台设备设置一个主控柜（主控柜位置需根据实际生产情况具体设置），单台设备超过一个主控柜需在图纸会签时说明，否则招标方不负责提供多余电源点。招标方负责从插接箱中接电进投标方主控柜，线缆和桥架及母线插接箱均由招标方负责。投标方负责每条主线和分装线边小功率设备的线边配电柜（带电表及通讯上传功能），配电柜接线及柜内各元器件由投标方负责。</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投标方负责线边配电柜到线边两侧工位上的接电盒（具体图纸会签时确定），接电盒内各元器件由投标方负责。投标方负责提供输送设备、工艺设备、照明、风扇、插座用电。  </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2.照明划分，招标方负责车间照明、应急照明、疏散指示灯。投标方负责工位照明、设备</w:t>
      </w:r>
      <w:r>
        <w:rPr>
          <w:rFonts w:hint="eastAsia" w:ascii="宋体" w:hAnsi="宋体" w:eastAsia="宋体" w:cs="宋体"/>
          <w:sz w:val="24"/>
          <w:szCs w:val="24"/>
          <w:lang w:val="en-US" w:eastAsia="zh-CN"/>
        </w:rPr>
        <w:t>地坑</w:t>
      </w:r>
      <w:r>
        <w:rPr>
          <w:rFonts w:hint="eastAsia" w:ascii="宋体" w:hAnsi="宋体" w:eastAsia="宋体" w:cs="宋体"/>
          <w:sz w:val="24"/>
          <w:szCs w:val="24"/>
        </w:rPr>
        <w:t>照明。</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3.气源划分，气源一次侧与二次侧的范围界定：根据设备需要，招标方在车间主管网上预留气源接口并带有阀门；阀门后所有的气路设施由投标方负责，投标方需在提供资料时提出预留气源接口位置。</w:t>
      </w:r>
    </w:p>
    <w:p>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二、备品备件、易损件和专用耗材供货范围</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1.招标人招标文件所指备品备件、易损件和专用耗材，是招标人为保证设备质保期之后正常运行一年所自备自用的备品备件、易损件和专用耗材；</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质保期之内正常需要的备品备件、易损件和专用耗材全部包括在供货范围之内而不属于本条款界定的范围（应有明细）。</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2.供货范围包括易损件和专用耗材的制造图纸及其技术要求等资料，如涉及专有技术或无法提供，应在投标文件中予以澄清或说明。</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3投标方需提供必须的备品备件清单（备品备件明确规格、厂家、产地、价格，单独报价）；</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4易损件和专用耗材，其费用应分类单列，并计入投标总报价之内；</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5投标方应提供设备维修所必需的专用工具，并附详细清单（包括名称、型号、规格、单位、数量、生产厂家、单价、总价等条目，单独报价）。</w:t>
      </w:r>
    </w:p>
    <w:p>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三、技术资料供货范围</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投标方应及时提供满足施工设计的下列资料和图纸（具体清单投标方提出，招标方细化，投标方确认）：</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1.确定中标方7天内提供工艺设备平面图、工艺设备负荷图、工艺设备基础图、公用动力需求。</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2.确定中标方7天内提供设备设计图、设备安装图。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3.确定中标方7天内提供设备电器原理图、电器的备件清单。</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4.确定中标方7天内提供货物基础及相关的设计、制作所需的纸质及电子版资料；电子版文件应当能够使用常用版本软件可以阅读甚至使用，进口货物、设备应有中外文对照。</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5.设备调试完成后提交上述所有图纸、文件的竣工资料。</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6.设备调试完成后提供设备维护使用说明书以及零部件供应商的相关信息资料。</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7.在预验收前，提供货物各部分的功能描述文件、图片、影像等资料（进口、设备应有中外文对照）。</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8.在终验收前，提供为保证货物后续正常运行所需的具体技术要求等资料（如果供货范围包含该部分实物）。</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9.在终验收前，提供确定的维修所需要且买方可以自行采购的外购件、外协件、电气元件及主要原材料的供货厂家明细表。</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10.在终验收后的第一笔货款支付日之前，提供包括货物的备品备件、易损件和专用耗材的图纸及技术参数、技术要求等资料。</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11.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12.本“技术资料范围”所列的技术资料、图等，投标方应各提供4套纸质资料及3套电子版资料（光盘或u盘等），图纸要求用CAD电子版本，每份技术文件应装有目录清单。</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13.文件、资料确认投标方必须经招标方确认的文件、图纸、实施方案内容如下：</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a)平面布置图；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b)含联系电话的设备型号规格的备件清单实施计划； </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c)现场施工管理、方案；</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d)其它。</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14.本条款所列要求，如招标人认为投标人提供的资料不能满足要求时，有权要求投标人免费补充或增加。</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15.投标方必须提供设备模型（文件格式STP），模型文件应包含设备的全部信息；对设备结构及功能详细说明，包括设备工作流程描述、运行说明、工位节拍等信息。</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16.维修和使用手册</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在调试以前必须提供维修和使用手册四套和一套电子文件。这些手册应包括，但不限于下述内容：</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设备描述和主要设备的分项；</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润滑计划和润滑频次；</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供应商的文献和详细的元件部件；</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操作程序；</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设备布置图；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详细的元件和总装图，包括分解部件总成图；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故障分析和解决方法；</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维修功能——维护和维修细节，包括频次。</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17.图纸</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17.1提供机械AutoCAD（.dwg）格式，电气EPLANP8可编辑格式的文件和电子数据。</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17.2提供所有设施和设备的图纸，包括总图、原理图、制造图、分解视图。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17.3在签订合同后立即进行设计图纸，并提供图纸，在整个阶段连续地进行。这些图纸包括，但不限于：</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详细的零件图；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零件和总成图；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总的平面布置图和分图；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钢结构布置图和分图；</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17.4在制作开始前必须将所有平面图和分图交给本公司会签。提供二份图纸加一套电子文件。这种图纸的会签并不构成供货厂商可以不承担设计责任保证或者对设备顺利运用的责任。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17.5在完工时要提供四套图纸和机械AutoCAD（.dwg）格式，电气EPLANP8电子版本图纸。</w:t>
      </w:r>
      <w:bookmarkStart w:id="39" w:name="_Toc169605883"/>
    </w:p>
    <w:p>
      <w:pPr>
        <w:pStyle w:val="2"/>
        <w:keepNext/>
        <w:keepLines/>
        <w:pageBreakBefore w:val="0"/>
        <w:widowControl w:val="0"/>
        <w:kinsoku/>
        <w:wordWrap/>
        <w:overflowPunct/>
        <w:topLinePunct w:val="0"/>
        <w:autoSpaceDE/>
        <w:autoSpaceDN/>
        <w:bidi w:val="0"/>
        <w:adjustRightInd/>
        <w:snapToGrid/>
        <w:ind w:firstLine="482" w:firstLineChars="200"/>
        <w:textAlignment w:val="auto"/>
        <w:rPr>
          <w:rFonts w:hint="eastAsia"/>
        </w:rPr>
      </w:pPr>
      <w:r>
        <w:rPr>
          <w:rFonts w:hint="eastAsia"/>
        </w:rPr>
        <w:t>四、供货范围特别提示</w:t>
      </w:r>
    </w:p>
    <w:p>
      <w:pPr>
        <w:pStyle w:val="2"/>
        <w:keepNext/>
        <w:keepLines/>
        <w:pageBreakBefore w:val="0"/>
        <w:widowControl w:val="0"/>
        <w:kinsoku/>
        <w:wordWrap/>
        <w:overflowPunct/>
        <w:topLinePunct w:val="0"/>
        <w:autoSpaceDE/>
        <w:autoSpaceDN/>
        <w:bidi w:val="0"/>
        <w:adjustRightInd/>
        <w:snapToGrid/>
        <w:ind w:firstLine="480" w:firstLineChars="200"/>
        <w:textAlignment w:val="auto"/>
        <w:rPr>
          <w:rFonts w:hint="eastAsia"/>
          <w:b w:val="0"/>
          <w:bCs w:val="0"/>
        </w:rPr>
      </w:pPr>
      <w:r>
        <w:rPr>
          <w:rFonts w:hint="eastAsia"/>
          <w:b w:val="0"/>
          <w:bCs w:val="0"/>
        </w:rPr>
        <w:t>如果投标人认为本节所列的供货范围难以满足，则仍需要按照本要求提供，但该部分货物应当在投标报价中单独列明货物名称及品质、货值。</w:t>
      </w:r>
    </w:p>
    <w:p>
      <w:pPr>
        <w:rPr>
          <w:rFonts w:hint="eastAsia"/>
          <w:b w:val="0"/>
          <w:bCs w:val="0"/>
        </w:rPr>
      </w:pPr>
      <w:r>
        <w:rPr>
          <w:rFonts w:hint="eastAsia"/>
          <w:b w:val="0"/>
          <w:bCs w:val="0"/>
        </w:rPr>
        <w:br w:type="page"/>
      </w:r>
    </w:p>
    <w:p>
      <w:pPr>
        <w:rPr>
          <w:rFonts w:hint="eastAsia"/>
        </w:rPr>
      </w:pPr>
    </w:p>
    <w:p>
      <w:pPr>
        <w:pStyle w:val="18"/>
        <w:spacing w:line="360" w:lineRule="auto"/>
        <w:rPr>
          <w:rFonts w:hint="eastAsia" w:hAnsi="宋体" w:eastAsia="宋体"/>
        </w:rPr>
      </w:pPr>
    </w:p>
    <w:p>
      <w:pPr>
        <w:keepNext/>
        <w:keepLines/>
        <w:spacing w:line="360" w:lineRule="auto"/>
        <w:jc w:val="center"/>
        <w:outlineLvl w:val="2"/>
        <w:rPr>
          <w:rFonts w:hint="eastAsia" w:ascii="宋体" w:hAnsi="宋体" w:eastAsia="宋体" w:cs="宋体"/>
          <w:b/>
          <w:bCs/>
          <w:sz w:val="24"/>
          <w:szCs w:val="32"/>
        </w:rPr>
      </w:pPr>
      <w:r>
        <w:rPr>
          <w:rFonts w:hint="eastAsia" w:ascii="宋体" w:hAnsi="宋体" w:eastAsia="宋体" w:cs="宋体"/>
          <w:b/>
          <w:bCs/>
          <w:sz w:val="24"/>
          <w:szCs w:val="32"/>
        </w:rPr>
        <w:t>第二节  供货方式</w:t>
      </w:r>
      <w:bookmarkEnd w:id="39"/>
    </w:p>
    <w:p>
      <w:pPr>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sz w:val="24"/>
          <w:szCs w:val="24"/>
        </w:rPr>
        <w:t>一、供货方式</w:t>
      </w:r>
    </w:p>
    <w:p>
      <w:pPr>
        <w:spacing w:line="360" w:lineRule="auto"/>
        <w:ind w:firstLine="480" w:firstLineChars="200"/>
        <w:rPr>
          <w:rFonts w:hint="eastAsia" w:ascii="宋体" w:hAnsi="宋体" w:eastAsia="宋体" w:cs="宋体"/>
          <w:b/>
          <w:i/>
          <w:sz w:val="24"/>
          <w:szCs w:val="24"/>
        </w:rPr>
      </w:pPr>
      <w:r>
        <w:rPr>
          <w:rFonts w:hint="eastAsia" w:ascii="宋体" w:hAnsi="宋体" w:eastAsia="宋体" w:cs="宋体"/>
          <w:sz w:val="24"/>
          <w:szCs w:val="24"/>
        </w:rPr>
        <w:t>完全交钥匙方式，即本次招标货物至少包括以下货物及服务：非标或特需设计、制造、至交货地点的运输（含定点装卸）、安装、调试、买方安装地竣工验收服务、货物移交、约定培训等全流程范围。</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二、供货地点：</w:t>
      </w:r>
      <w:r>
        <w:rPr>
          <w:rFonts w:hint="eastAsia" w:ascii="Times New Roman" w:hAnsi="Times New Roman" w:eastAsia="宋体"/>
          <w:sz w:val="24"/>
          <w:szCs w:val="24"/>
          <w:u w:val="single"/>
        </w:rPr>
        <w:t>山东省济南市市中区党家庄镇南首济南卡车制造有限公司</w:t>
      </w:r>
    </w:p>
    <w:p>
      <w:pPr>
        <w:spacing w:line="360" w:lineRule="auto"/>
        <w:ind w:firstLine="482" w:firstLineChars="200"/>
        <w:jc w:val="left"/>
        <w:outlineLvl w:val="3"/>
        <w:rPr>
          <w:rFonts w:hint="eastAsia" w:ascii="宋体" w:hAnsi="宋体" w:eastAsia="宋体" w:cs="宋体"/>
          <w:b/>
          <w:bCs/>
          <w:sz w:val="24"/>
          <w:szCs w:val="24"/>
        </w:rPr>
      </w:pPr>
      <w:r>
        <w:rPr>
          <w:rFonts w:hint="eastAsia" w:ascii="宋体" w:hAnsi="宋体" w:eastAsia="宋体" w:cs="宋体"/>
          <w:b/>
          <w:bCs/>
          <w:sz w:val="24"/>
          <w:szCs w:val="24"/>
        </w:rPr>
        <w:t>三、供货时间</w:t>
      </w:r>
    </w:p>
    <w:p>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1.自合同签定生效之日起，70个日历日之内交货至供货地点。</w:t>
      </w:r>
    </w:p>
    <w:p>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2.接续30个日历日之内安装调试完毕。</w:t>
      </w:r>
    </w:p>
    <w:p>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3.接续30个日历日之内完成终验收。</w:t>
      </w:r>
    </w:p>
    <w:p>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安装调试时间或终验收时间超过规定时间的，投标人应当随标书提供详细的工期计划。</w:t>
      </w:r>
    </w:p>
    <w:p>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四、包装</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1.所提供货物（或设备）的包装，应遵照国家标准和有关包装、包皮的技术条件，或按照最好的商业惯例进行包装。</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2.包装应能满足所需要采取的运输方式（船运、汽运或铁路运输）、多次吊装卸装、卸货以及长期露天堆放要求，应能防止雨淋、受潮、生锈、腐蚀、受振、受磁以及机械和化学因素等引起的损坏。</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所提供货物（或设备）的包装，应能防止其一般性被窃或受外力破坏；一般不得采用有大缝隙的板条包装。应防止在运输过程中变形，在装运时必须按照极板宽度方向垂直于地面用专用包装箱，避免弯曲和扭曲。</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4.应对包装件做必要的加固和固定，以防止运输可能造成的损坏。</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5.凡电器电子设备须严格包装，以确保不致在运输和保管期间损坏。</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6.设备接口和凸出薄弱部分应考虑防止碰撞损伤。</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7.所有孔、管接头及法兰、螺纹和末端焊接的连接件，都应有保护装置，以防止在运输和保管期间发生损坏腐蚀和掉进其他物件的现象发生。</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8.每个包装件应有装箱单，并至少标明名称、型号规格、数量、净重和毛重、投标人（或供货商）名称和制造日期等相关内容。包装箱内应附带下列文件，但不限于此：产品使用说明书、产品检验合格证书。</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9.每个包装箱应有明显标志，并具有中文书写的合同号、装运标志、发货和到货地点名称、发货人和收货人名称、货物名称和项目号、箱号和外型尺寸等内容。</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10.应按照不同的装运要求在包装箱上标明“小心轻放”、“箭头向上”、“防潮”、“防磁”、“不准平放”等标志，以及其它适用的国标通用标志。</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11.包装箱应连续编号，不应出现重复编号。</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12.在不受到外界破坏情况下，包装应保证自交货日起一年内货物（或设备）完好无损。</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13.投标方应根据包装箱内所装物品的特性，向招标方提供安全保存方法的说明。</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14.投标方所供的备品备件及专用工具应有安全储存方法的说明</w:t>
      </w:r>
    </w:p>
    <w:p>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五、运输</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1.应负责将货物（或设备）运到目的地，并必须做到货物（或设备）在任何运输过程中不受损坏和遗失。</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2.同批货物（或设备）应统一包装、编号运输。</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3.一般情况下，经由铁路、公路运输的包装件尺寸和重量不应超过国家所规定的尺寸限制，特殊情况应予以说明。</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4.在每批货物（或设备）发出后，应立即通知买方；通知中应指明：合同号、货运单号、件数、重量和货物（或设备）发出日期等相关内容。</w:t>
      </w:r>
    </w:p>
    <w:p>
      <w:pPr>
        <w:adjustRightInd w:val="0"/>
        <w:snapToGrid w:val="0"/>
        <w:spacing w:line="360" w:lineRule="auto"/>
        <w:ind w:firstLine="480" w:firstLineChars="200"/>
        <w:rPr>
          <w:rFonts w:hint="eastAsia" w:ascii="宋体" w:hAnsi="宋体" w:eastAsia="宋体"/>
          <w:szCs w:val="20"/>
        </w:rPr>
      </w:pPr>
      <w:r>
        <w:rPr>
          <w:rFonts w:hint="eastAsia" w:ascii="宋体" w:hAnsi="宋体" w:eastAsia="宋体" w:cs="宋体"/>
          <w:sz w:val="24"/>
          <w:szCs w:val="24"/>
        </w:rPr>
        <w:t>5.货物（或设备）运抵交货地点后，应负责货物（或设备）的卸货、搬运、保管等事宜，或按照合同约定。</w:t>
      </w:r>
    </w:p>
    <w:p>
      <w:pPr>
        <w:keepNext/>
        <w:keepLines/>
        <w:spacing w:line="360" w:lineRule="auto"/>
        <w:jc w:val="center"/>
        <w:outlineLvl w:val="1"/>
        <w:rPr>
          <w:rFonts w:hint="eastAsia" w:ascii="宋体" w:hAnsi="宋体" w:eastAsia="宋体"/>
          <w:b/>
          <w:bCs/>
          <w:kern w:val="44"/>
          <w:sz w:val="28"/>
          <w:szCs w:val="28"/>
        </w:rPr>
      </w:pPr>
      <w:bookmarkStart w:id="40" w:name="_Toc169605884"/>
      <w:r>
        <w:rPr>
          <w:rFonts w:hint="eastAsia" w:ascii="宋体" w:hAnsi="宋体" w:eastAsia="宋体"/>
          <w:b/>
          <w:bCs/>
          <w:kern w:val="44"/>
          <w:sz w:val="28"/>
          <w:szCs w:val="28"/>
        </w:rPr>
        <w:t>第四章质保期及售后服务</w:t>
      </w:r>
      <w:bookmarkEnd w:id="40"/>
    </w:p>
    <w:p>
      <w:pPr>
        <w:pStyle w:val="121"/>
        <w:spacing w:line="360" w:lineRule="auto"/>
        <w:rPr>
          <w:rFonts w:hint="eastAsia" w:ascii="宋体" w:hAnsi="宋体"/>
        </w:rPr>
      </w:pPr>
      <w:r>
        <w:rPr>
          <w:rFonts w:hint="eastAsia" w:ascii="宋体" w:hAnsi="宋体"/>
        </w:rPr>
        <w:t>一、质保期及质保要求</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1.全部供货范围内的设备、材料、零配件和工器具等，除合同特别约定外，其质保期均自终验收签字生效之日起12个月。</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投标货物或涉及的关键总成和零件，如果有更长时间质保期，允许更改并说明，此将有利于投标人。</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设计使用寿命短于质保期的易损件除外，但属于易损件的，应当有明确说明。</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2.质保期之内，如果货物出现设备、总成、关键零部件或者多处一般零部件的二次以上的更换或维修行为，则质保期自更换或维修行为结束、货物重新正常运行使用之日起重新计算。</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3.质保期内免费提供零部件和及时有效的服务。质保期内因货物本身缺陷造成的各种故障，卖方应负责免费维修和服务。</w:t>
      </w:r>
    </w:p>
    <w:p>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4.质保期终止之日起一年内重复出现的质保期之内出现的故障，仍属质保范围而且应当免费。</w:t>
      </w:r>
    </w:p>
    <w:p>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rPr>
      </w:pPr>
      <w:r>
        <w:rPr>
          <w:rFonts w:hint="eastAsia" w:ascii="宋体" w:hAnsi="宋体" w:eastAsia="宋体" w:cs="宋体"/>
          <w:sz w:val="24"/>
          <w:szCs w:val="24"/>
        </w:rPr>
        <w:t>5.软件要具备升级功能，在投产后五年内中标方负责为业主方免费升级</w:t>
      </w:r>
      <w:r>
        <w:rPr>
          <w:rFonts w:hint="eastAsia" w:ascii="Times New Roman" w:hAnsi="Times New Roman" w:eastAsia="宋体"/>
          <w:sz w:val="24"/>
          <w:szCs w:val="24"/>
        </w:rPr>
        <w:t>。</w:t>
      </w:r>
    </w:p>
    <w:p>
      <w:pPr>
        <w:pStyle w:val="121"/>
        <w:pageBreakBefore w:val="0"/>
        <w:widowControl w:val="0"/>
        <w:kinsoku/>
        <w:wordWrap/>
        <w:overflowPunct/>
        <w:topLinePunct w:val="0"/>
        <w:autoSpaceDE/>
        <w:autoSpaceDN/>
        <w:bidi w:val="0"/>
        <w:spacing w:line="360" w:lineRule="auto"/>
        <w:textAlignment w:val="auto"/>
        <w:rPr>
          <w:rFonts w:hint="eastAsia" w:ascii="宋体" w:hAnsi="宋体" w:cs="宋体"/>
        </w:rPr>
      </w:pPr>
      <w:r>
        <w:rPr>
          <w:rFonts w:hint="eastAsia" w:ascii="宋体" w:hAnsi="宋体" w:cs="宋体"/>
        </w:rPr>
        <w:t>二、技术</w:t>
      </w:r>
      <w:r>
        <w:rPr>
          <w:rFonts w:hint="eastAsia" w:ascii="宋体" w:hAnsi="宋体"/>
        </w:rPr>
        <w:t>指导</w:t>
      </w:r>
      <w:r>
        <w:rPr>
          <w:rFonts w:hint="eastAsia" w:ascii="宋体" w:hAnsi="宋体" w:cs="宋体"/>
        </w:rPr>
        <w:t>及培训服务</w:t>
      </w:r>
    </w:p>
    <w:p>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000000"/>
          <w:sz w:val="24"/>
          <w:szCs w:val="24"/>
        </w:rPr>
      </w:pPr>
      <w:r>
        <w:rPr>
          <w:rFonts w:hint="eastAsia" w:ascii="宋体" w:hAnsi="宋体" w:eastAsia="宋体"/>
          <w:color w:val="000000"/>
          <w:sz w:val="24"/>
          <w:szCs w:val="24"/>
        </w:rPr>
        <w:t>1.应负责在招标方货物使用现场，对技术、维修和操作人员提供免费的理论、技术和操作、维修等方面的技术指导和培训，并接受招标方有关人员的技术咨询。投标方要有具体的培训计划和培训内容，应分别进行理论培训和实际操作培训，其目的是保证招标方有关人员在投标方交货验收后，能独立进行操作并维修。培训时间在安装调试结束后，培训工作日不少于</w:t>
      </w:r>
      <w:r>
        <w:rPr>
          <w:rFonts w:hint="eastAsia" w:ascii="宋体" w:hAnsi="宋体" w:eastAsia="宋体"/>
          <w:color w:val="000000"/>
          <w:sz w:val="24"/>
          <w:szCs w:val="24"/>
          <w:u w:val="single"/>
        </w:rPr>
        <w:t>2</w:t>
      </w:r>
      <w:r>
        <w:rPr>
          <w:rFonts w:hint="eastAsia" w:ascii="宋体" w:hAnsi="宋体" w:eastAsia="宋体"/>
          <w:color w:val="000000"/>
          <w:sz w:val="24"/>
          <w:szCs w:val="24"/>
        </w:rPr>
        <w:t>个日历日。</w:t>
      </w:r>
    </w:p>
    <w:p>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000000"/>
          <w:sz w:val="24"/>
          <w:szCs w:val="24"/>
        </w:rPr>
      </w:pPr>
      <w:r>
        <w:rPr>
          <w:rFonts w:hint="eastAsia" w:ascii="宋体" w:hAnsi="宋体" w:eastAsia="宋体"/>
          <w:color w:val="000000"/>
          <w:sz w:val="24"/>
          <w:szCs w:val="24"/>
        </w:rPr>
        <w:t>2.应免费提供一定数量的培训资料。</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3.投标方应按要求，免费积极协助和提供招标人和招标人所委托的工程设计单位有关人员所需要的、和设备（或材料）有关的工程设计资料、技术咨询等</w:t>
      </w:r>
      <w:r>
        <w:rPr>
          <w:rFonts w:hint="eastAsia" w:ascii="宋体" w:hAnsi="宋体" w:eastAsia="宋体"/>
          <w:sz w:val="24"/>
          <w:szCs w:val="24"/>
          <w:lang w:eastAsia="zh-CN"/>
        </w:rPr>
        <w:t>。</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4.若投标方提供设备（或材料）的技术质量等，与投标方外购的设备（或材料）技术质量等有较大或直接关联时，投标方应能得到其外购设备（或材料）制造厂商（或供应商）的技术支持，并免费为招标人提供技术服务（包括设计文件的审查和审定）</w:t>
      </w:r>
      <w:r>
        <w:rPr>
          <w:rFonts w:hint="eastAsia" w:ascii="宋体" w:hAnsi="宋体" w:eastAsia="宋体"/>
          <w:sz w:val="24"/>
          <w:szCs w:val="24"/>
          <w:lang w:eastAsia="zh-CN"/>
        </w:rPr>
        <w:t>。</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5.投标方负责制定对招标人人员在运行、维修和试验等方面的培训计划，并有专人负责实施培训计划，应进行相关安全环保注意事项的培训，并提供相关人员、设备安全作业资质的要求，负责指导招标人受培训人员正确理解设计和制造意图，认识设备的特点和特性，掌握在运行、维修和使用管理中应遵守的规则等方面的综合知识</w:t>
      </w:r>
      <w:r>
        <w:rPr>
          <w:rFonts w:hint="eastAsia" w:ascii="宋体" w:hAnsi="宋体" w:eastAsia="宋体"/>
          <w:sz w:val="24"/>
          <w:szCs w:val="24"/>
          <w:lang w:eastAsia="zh-CN"/>
        </w:rPr>
        <w:t>。</w:t>
      </w:r>
    </w:p>
    <w:p>
      <w:pPr>
        <w:pStyle w:val="8"/>
        <w:ind w:firstLine="480"/>
        <w:rPr>
          <w:rFonts w:hint="eastAsia" w:ascii="宋体" w:hAnsi="宋体" w:eastAsia="宋体"/>
          <w:color w:val="000000"/>
          <w:sz w:val="24"/>
          <w:szCs w:val="24"/>
        </w:rPr>
      </w:pPr>
      <w:r>
        <w:rPr>
          <w:rFonts w:hint="eastAsia" w:ascii="宋体" w:hAnsi="宋体" w:eastAsia="宋体"/>
          <w:sz w:val="24"/>
          <w:szCs w:val="24"/>
        </w:rPr>
        <w:t>6.投标方提供的改造方式、新增设备内容，建议在试用确认无误之后，再批量生产，否则因此造成的损失，由投标方承担。</w:t>
      </w:r>
    </w:p>
    <w:p>
      <w:pPr>
        <w:pStyle w:val="121"/>
        <w:spacing w:line="360" w:lineRule="auto"/>
        <w:rPr>
          <w:rFonts w:hint="eastAsia" w:ascii="宋体" w:hAnsi="宋体" w:cs="宋体"/>
        </w:rPr>
      </w:pPr>
      <w:r>
        <w:rPr>
          <w:rFonts w:hint="eastAsia" w:ascii="宋体" w:hAnsi="宋体" w:cs="宋体"/>
        </w:rPr>
        <w:t>三、安装调试及验收服务</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1.根据设备的要求，调试可分空载和负载两个阶段进行；招标人将予以积极配合，协助投标方达到设备的各项技术要求和性能；</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验收时执行的标准：执行国家最新相关标准或行业标准、规范，验收时投标人（卖方）应提供设备制造、安装、验收时所采用的标准或规范的文字样本供买方参考，验收时的实际数据应满足国家标准、本标书及验收方案中的相关规定。</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3.安装调试与验收期间，若投标方提供设备的技术质量等，与投标方外购的设备技术质量等有较大或直接关联时，投标方应能得到其外购设备制造厂商（或供应商）的技术支持，并免费为招标人提供安装使用现场的指导与协调</w:t>
      </w:r>
      <w:r>
        <w:rPr>
          <w:rFonts w:hint="eastAsia" w:ascii="宋体" w:hAnsi="宋体" w:eastAsia="宋体"/>
          <w:sz w:val="24"/>
          <w:szCs w:val="24"/>
          <w:lang w:eastAsia="zh-CN"/>
        </w:rPr>
        <w:t>。</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4.投标方免费负责设备的安装、调试，并接受用户的技术咨询</w:t>
      </w:r>
      <w:r>
        <w:rPr>
          <w:rFonts w:hint="eastAsia" w:ascii="宋体" w:hAnsi="宋体" w:eastAsia="宋体"/>
          <w:sz w:val="24"/>
          <w:szCs w:val="24"/>
          <w:lang w:eastAsia="zh-CN"/>
        </w:rPr>
        <w:t>。</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5.投标方是否提供有偿的还是免费的、指导安装调试还是负责安装调试，至少应在投标文件的服务章节中，予以明确说明</w:t>
      </w:r>
      <w:r>
        <w:rPr>
          <w:rFonts w:hint="eastAsia" w:ascii="宋体" w:hAnsi="宋体" w:eastAsia="宋体"/>
          <w:sz w:val="24"/>
          <w:szCs w:val="24"/>
          <w:lang w:eastAsia="zh-CN"/>
        </w:rPr>
        <w:t>。</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6.投标方进入招标方现场进行安装调试过程中，应进行相关安全环保注意事项的培训，并提供相关人员、设备安全作业资质的要求。</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7.设备供方配合招标方完成设备数据采集的调试工作，包括但不限于提供设备PLC程序（无密码），接口调试等工作。</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8.投标人在招标人现场进行的、指导或负责的、设备（或材料）的预验收和终验收，应当是免费的，陪同生产时间不少于45天。</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9.设备（或材料）验收时，若投标人提供设备（或材料）的技术质量等，与投标人外购的设备（或材料）技术质量等有较大或直接关联时，投标人应能得到其外购设备（或材料）制造厂商（或供应商）的技术支持，并免费提供其必要的现场指导与协调。</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10.在投标人所提供设备需要得到招标人建设项目所在地政府或行业主管部门的查验、试验、验收时，投标人应当免费协助招标人完成所需要的工作、材料和服务等。</w:t>
      </w:r>
    </w:p>
    <w:p>
      <w:pPr>
        <w:pStyle w:val="121"/>
        <w:spacing w:line="360" w:lineRule="auto"/>
        <w:rPr>
          <w:rFonts w:hint="eastAsia" w:ascii="宋体" w:hAnsi="宋体" w:cs="宋体"/>
        </w:rPr>
      </w:pPr>
      <w:r>
        <w:rPr>
          <w:rFonts w:hint="eastAsia" w:ascii="宋体" w:hAnsi="宋体" w:cs="宋体"/>
        </w:rPr>
        <w:t>四、售后服务</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lang w:val="en-US" w:eastAsia="zh-CN"/>
        </w:rPr>
        <w:t>1.</w:t>
      </w:r>
      <w:r>
        <w:rPr>
          <w:rFonts w:hint="eastAsia" w:ascii="宋体" w:hAnsi="宋体" w:eastAsia="宋体"/>
          <w:sz w:val="24"/>
          <w:szCs w:val="24"/>
        </w:rPr>
        <w:t>由投标方全权负责本品目所有设备售后服务，其中包括所有外购设备。</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只有持买方、卖方代表共同对整条线进行最终综合验收，并签署合格证后，设备才被视为交付使用。其质量保证期为整机二年。在质保期内，调备维护、保养、维修（非人为损坏的）。卖方（设备生产制造商）须负责免费维修和免费更换零配件。</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3.如设备部件属国内生产厂家制造的，卖方应在接到通知后与买方的技术人员联系并告之其处理方法。在确认买方无法解决时，必须在接到通知的36小时内免费为买方维修或更换部件。</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4.如设备部件属国外生产厂家制造的，卖方应储备一定数量的备品备件。</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5.质保期内如有零件损坏，自维修好之日起重新计算质保期</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6.保修期内提供免费跟踪服务，每半年提供一次例行检查。</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7.保修期后每年对买方进行一次回访，收集买方意见和建议，及时解决工程有关事宜。</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8.保修期满后，优惠供应卖方制造的备品备件。</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9.为保证设备正常运行，卖方长期为买方提供本标段相关的技术咨询。</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10.在质保期之内，如发现投标人所提供的设备（或材料）存在问题，需要投标人配合解决时，投标人须在接到通知后市内2小时、省内8小时、省外24小时内派有关人员到达现场，解决问题。</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11.在质保期之后，如发现投标人所提供的设备（或材料）存在问题，需要投标人配合解决时，投标人须在接到通知后市内2小时、省内8小时、省外24小时内派有关人员到达现场，协助招标人解决问题。</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12.所有的售后服务均由投标人受理。如果发生问题并且收到报告，应当在2小时内予以答复。</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13.投标方有义务在设备整个使用寿命周期内提供优质的服务。</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14.投标方派往招标方使用现场的人员，应具有较高的业务素质；现场解决问题时，不得无故拖延或推迟，应为招标方提供最佳的服务</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15※ 在工具设备使用寿命内，投标人应向招标人提供充足的备品备件、易损件和专用耗材，自招标人提出采购需求至交货，周期不得长于15天，也可提供备用工具设备，提供周期不得长于3天。</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16※ 招标人若将设备接入MES，实现智能制造，投标人需要无条件的提供帮助与服务，包括但不限于提供设备程序，以及为实现某种自动化功能而需对设备程序进行的调整等。</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17※ 在工具设备使用寿命周期内，投标人每年至少开展1次工具及软件使用、工具设备维修保养等方面的培训工作</w:t>
      </w:r>
      <w:r>
        <w:rPr>
          <w:rFonts w:ascii="宋体" w:hAnsi="宋体" w:eastAsia="宋体"/>
          <w:sz w:val="24"/>
          <w:szCs w:val="24"/>
        </w:rPr>
        <w:t>。</w:t>
      </w:r>
    </w:p>
    <w:p>
      <w:pPr>
        <w:pStyle w:val="121"/>
        <w:spacing w:line="360" w:lineRule="auto"/>
        <w:rPr>
          <w:rFonts w:hint="eastAsia" w:ascii="宋体" w:hAnsi="宋体" w:cs="宋体"/>
        </w:rPr>
      </w:pPr>
      <w:r>
        <w:rPr>
          <w:rFonts w:hint="eastAsia" w:ascii="宋体" w:hAnsi="宋体" w:cs="宋体"/>
        </w:rPr>
        <w:t>五、其它服务</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1.若投标方所提供货物有需要进口的，投标方一般应自行、自费办理；必要时，买卖双方共同办理。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2.除招标文件、投标文件、答疑文件、技术标书、合同等约定之外，投标方应免费负责必要的或强制性的货物的检验、试验、化验等直接费用。</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3.运输服务，投标方负责将设备按要求运至 中国重汽集团济南卡车有限公司党家庄工厂。</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4.本章节条款所列“免费”，并非指定不可收费，而是指招标文件、投标文件、答疑文件、技术交流文件、技术标书和合同等范围之外，投标人不可另行收取的费用。</w:t>
      </w:r>
    </w:p>
    <w:p>
      <w:pPr>
        <w:pStyle w:val="2"/>
      </w:pPr>
    </w:p>
    <w:p>
      <w:pPr>
        <w:keepNext/>
        <w:keepLines/>
        <w:numPr>
          <w:ilvl w:val="0"/>
          <w:numId w:val="14"/>
        </w:numPr>
        <w:spacing w:line="360" w:lineRule="auto"/>
        <w:jc w:val="center"/>
        <w:outlineLvl w:val="1"/>
        <w:rPr>
          <w:rFonts w:hint="eastAsia" w:ascii="宋体" w:hAnsi="宋体" w:eastAsia="宋体"/>
          <w:b/>
          <w:bCs/>
          <w:kern w:val="44"/>
          <w:sz w:val="28"/>
          <w:szCs w:val="28"/>
        </w:rPr>
      </w:pPr>
      <w:bookmarkStart w:id="41" w:name="_Toc465187646"/>
      <w:r>
        <w:rPr>
          <w:rFonts w:hint="eastAsia" w:ascii="宋体" w:hAnsi="宋体" w:eastAsia="宋体"/>
          <w:b/>
          <w:bCs/>
          <w:kern w:val="44"/>
          <w:sz w:val="28"/>
          <w:szCs w:val="28"/>
        </w:rPr>
        <w:t xml:space="preserve"> 预验收与终验收</w:t>
      </w:r>
      <w:bookmarkEnd w:id="41"/>
    </w:p>
    <w:p>
      <w:pPr>
        <w:pStyle w:val="121"/>
        <w:spacing w:line="360" w:lineRule="auto"/>
        <w:rPr>
          <w:rFonts w:hint="eastAsia" w:ascii="宋体" w:hAnsi="宋体"/>
          <w:color w:val="auto"/>
        </w:rPr>
      </w:pPr>
      <w:r>
        <w:rPr>
          <w:rFonts w:hint="eastAsia" w:ascii="宋体" w:hAnsi="宋体"/>
          <w:color w:val="auto"/>
        </w:rPr>
        <w:t>一、验收依据和验收标准</w:t>
      </w:r>
    </w:p>
    <w:p>
      <w:pPr>
        <w:pStyle w:val="121"/>
        <w:spacing w:line="360" w:lineRule="auto"/>
        <w:ind w:firstLine="480"/>
        <w:rPr>
          <w:rFonts w:hint="eastAsia" w:ascii="宋体" w:hAnsi="宋体" w:cs="宋体"/>
          <w:b w:val="0"/>
          <w:bCs w:val="0"/>
        </w:rPr>
      </w:pPr>
      <w:r>
        <w:rPr>
          <w:rFonts w:hint="eastAsia" w:ascii="宋体" w:hAnsi="宋体" w:cs="宋体"/>
          <w:b w:val="0"/>
          <w:bCs w:val="0"/>
        </w:rPr>
        <w:t>1、验收标准一般以技术协议书和合同规定验收。无论技术协议书和合同，是否全部并准确列明验收所涉及的相关标准，均作为验收标准之一。</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2、如果验收过程中，发现招标文件、投标文件、答疑文件、技术交流文件等与技术协议书、合同存在差异，原则上以涉及条款中对买方最有利条款为验收依据。</w:t>
      </w:r>
    </w:p>
    <w:p>
      <w:pPr>
        <w:pStyle w:val="121"/>
        <w:spacing w:line="360" w:lineRule="auto"/>
        <w:rPr>
          <w:rFonts w:hint="eastAsia" w:ascii="宋体" w:hAnsi="宋体"/>
          <w:color w:val="auto"/>
        </w:rPr>
      </w:pPr>
      <w:r>
        <w:rPr>
          <w:rFonts w:hint="eastAsia" w:ascii="宋体" w:hAnsi="宋体"/>
          <w:color w:val="auto"/>
        </w:rPr>
        <w:t>二、检验</w:t>
      </w:r>
    </w:p>
    <w:p>
      <w:pPr>
        <w:pStyle w:val="121"/>
        <w:spacing w:line="360" w:lineRule="auto"/>
        <w:ind w:firstLine="480"/>
        <w:rPr>
          <w:rFonts w:hint="eastAsia" w:ascii="宋体" w:hAnsi="宋体" w:cs="宋体"/>
          <w:b w:val="0"/>
          <w:bCs w:val="0"/>
        </w:rPr>
      </w:pPr>
      <w:r>
        <w:rPr>
          <w:rFonts w:hint="eastAsia" w:ascii="宋体" w:hAnsi="宋体" w:cs="宋体"/>
          <w:b w:val="0"/>
          <w:bCs w:val="0"/>
        </w:rPr>
        <w:t>如果采购货物涉及必要的或必需的检验，投标方应当在投标文件中明确可能涉及的检验费用，并将该费用包含在投标总报价之内；不作针对性澄清或说明的，视同包含在投标总价之内。基本约定如下：</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2、进口货物的检验，卖方需要按照下述要求进行：</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  进口货物发货前，应对货物的质量、型号、规格、性能和数量/重量作精密、全面的检验，并出具证明书，证明所供货物符合合同规定。</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  应依据合同规定的要求，提供买卖双方达成一致的货物的验收标准和装箱单，作为买方检验的依据。</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p>
    <w:p>
      <w:pPr>
        <w:pStyle w:val="121"/>
        <w:spacing w:line="360" w:lineRule="auto"/>
        <w:rPr>
          <w:rFonts w:hint="eastAsia" w:ascii="宋体" w:hAnsi="宋体"/>
          <w:color w:val="auto"/>
        </w:rPr>
      </w:pPr>
      <w:r>
        <w:rPr>
          <w:rFonts w:hint="eastAsia" w:ascii="宋体" w:hAnsi="宋体"/>
          <w:color w:val="auto"/>
        </w:rPr>
        <w:t>三、验收基本条件</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验收一般分预验收和终验收两部分。预验收在安装调试完成后现场进行。但是所有的项目，包括不能预验收的项目和预验收通过的项目都在终验收时重新检验，最终只以终验收为准。</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预验收时，设备应制造、组装完毕，并已进行了试运行、负荷试验和精度测试；预验收检查项目为：设备的技术规格和数量，设备制造加工质量，设备的机械、电气动作、综合精度、负荷试验，技术资料的完整情况。</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2.终验收规程：</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设备（或材料）允许情况下，一般连续运行30天，每天连续10小时，除用户方面因素外，必须达到以下要求：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a）在整个验收过程中没有维修、更换零部件或元件行为；</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b）所有出现的调整，每次调整时间均不超过30分钟；</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c）所有调整时间的总和不超过总运行时间的10%；</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d）累计负载运行实际性能（或生产率）达到合同规定；</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e）终验收原则上要求一次完成，若一次验收不成功，最多允许两次；</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f）终验收通过后买卖双方共同签署终验收报告。</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3.设备（或材料）验收的一般标准与要求：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① 预验收的一般标准与要求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a.资料齐全性、完整性和有效性。按照“配套供货范围及要求”中“技术资料范围”的规定验收；</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设备（或材料）应运行灵活、稳定、可靠、安全，无异常声音和非正常振动。设备不允许出现漏水、漏液、漏气（汽）、漏电。运动的零部件（如链条、联轴器、离合器等）应动作平稳、没有异常声音，不松动或易于调整；</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c.设备（或材料）外观应无损伤，应该涂满同种明亮清晰的油漆（特殊标志除外）。设备应该完整且所有的零部件应该安装牢固，所有的焊缝饱满、无残渣等缺陷；</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d.设备（或材料）应有完整的标牌，且清晰易见；</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e.设备（或材料）的安全要求符合中国最新的相关法律、法规、标准和规范以及合同要求；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②终验收时的一般验收标准与要求：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a.资料齐全性、完整性和有效性。</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b.设备应运行灵活、稳定、可靠、安全，无异常声音和非正常振动。设备不允许出现漏水、漏液、漏气（汽）。运动的零部件（如链条、联轴器、离合器等）应动作平稳、没有异常声音，不松动或易于调整；</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c.设备（或材料）外观应无损伤，应该涂满同种明亮清晰的油漆（特殊标志除外）。设备应该完整且所有的零部件应该安装牢固，所有的焊缝饱满、无残渣等缺陷；</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d.所有的管道和电缆线等，应排列有序（正确、牢固、整齐）无皱褶、收缩和裂缝，电缆线在整个长度范围内，所有的接头应完全正确地连接；</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e.设备应有完整的标牌，且清晰易见；</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f.设备的润滑系统工作可靠，润滑点易于到达；</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g.设备的安全要求符合中国最新的相关法律、法规、标准和规范以及合同要求；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h.地线连接和地极符合国际（ISO/IEC）标准规范；</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i.所有的压力容器应具备合格证（如果有压力容器）；</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j.设备正常运行时，噪音不超过中国国家有关规定；</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k.计量仪器、仪表配套合理，采用中国的法定计量单位，计量准确、灵敏可靠。保证设计指标和仪器说明书的参数的实现，要求竣工验收交付一次合格，返修更换校调不超过48小时，特殊情况除外；</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l.设备质量、技术性能等，按照签定的技术协议书和合同规定的终验收标准验收；</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③ 终验收条件</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依据招标文件、投标文件、答疑文件、技术交流文件等形成并达成一致的技术协议书和合同规定的终验收条件验收。</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4.性能验收试验</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 卖方负责现场安装调试。</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 卖方应按双方商定的时间进度表进行设备的安装调试等工作。</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 卖方应在到货后根据总进度要求及时完成设备的安装调试。</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 卖方对设备进行试运行，检查是否满足使用要求。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 系统终验收条件为：达到设计和满足质量、环保要求，稳定生产一个月。</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4.6 验收报告至少包括以下各点：</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a)性能测试报各； </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b)满足技术规格书要求的全部合同规定的要求；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c)准备好最终所有的技术资料；</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d)某些细小问题存在的情况建立残留问题，持续跟进。</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  性能验收试验的地点由合同确定，一般为买方现场。</w:t>
      </w:r>
    </w:p>
    <w:p>
      <w:pPr>
        <w:adjustRightInd w:val="0"/>
        <w:snapToGrid w:val="0"/>
        <w:spacing w:line="360" w:lineRule="auto"/>
        <w:ind w:firstLine="482" w:firstLineChars="200"/>
        <w:rPr>
          <w:rFonts w:hint="eastAsia" w:hAnsi="宋体" w:eastAsia="宋体" w:cs="宋体"/>
          <w:b/>
          <w:bCs/>
          <w:color w:val="000000"/>
          <w:sz w:val="24"/>
          <w:szCs w:val="24"/>
        </w:rPr>
        <w:sectPr>
          <w:footerReference r:id="rId12" w:type="first"/>
          <w:footerReference r:id="rId11" w:type="default"/>
          <w:pgSz w:w="16838" w:h="11906" w:orient="landscape"/>
          <w:pgMar w:top="1417" w:right="1588" w:bottom="1417" w:left="1134" w:header="851" w:footer="992" w:gutter="0"/>
          <w:cols w:space="720" w:num="1"/>
          <w:titlePg/>
          <w:docGrid w:type="lines" w:linePitch="312" w:charSpace="0"/>
        </w:sectPr>
      </w:pPr>
    </w:p>
    <w:bookmarkEnd w:id="33"/>
    <w:p>
      <w:pPr>
        <w:pStyle w:val="18"/>
      </w:pPr>
    </w:p>
    <w:p>
      <w:pPr>
        <w:spacing w:line="360" w:lineRule="auto"/>
        <w:jc w:val="center"/>
        <w:outlineLvl w:val="0"/>
        <w:rPr>
          <w:rFonts w:ascii="宋体" w:hAnsi="Calibri" w:eastAsia="宋体" w:cs="Times New Roman"/>
          <w:b/>
          <w:sz w:val="36"/>
          <w:szCs w:val="36"/>
        </w:rPr>
      </w:pPr>
      <w:bookmarkStart w:id="42" w:name="_Toc28859"/>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42"/>
    </w:p>
    <w:p>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pPr>
        <w:wordWrap w:val="0"/>
        <w:spacing w:line="360" w:lineRule="auto"/>
        <w:jc w:val="right"/>
        <w:rPr>
          <w:rFonts w:hint="eastAsia" w:ascii="方正小标宋简体" w:hAnsi="方正小标宋简体" w:eastAsia="方正小标宋简体" w:cs="方正小标宋简体"/>
          <w:b/>
          <w:bCs/>
          <w:w w:val="90"/>
          <w:sz w:val="24"/>
          <w:szCs w:val="24"/>
          <w:u w:val="single"/>
        </w:rPr>
      </w:pPr>
      <w:bookmarkStart w:id="43" w:name="_Toc283814116"/>
      <w:bookmarkStart w:id="44" w:name="_Toc29691"/>
      <w:r>
        <w:rPr>
          <w:rFonts w:hint="eastAsia" w:ascii="仿宋_GB2312" w:hAnsi="仿宋_GB2312" w:eastAsia="仿宋_GB2312" w:cs="仿宋_GB2312"/>
          <w:w w:val="90"/>
          <w:sz w:val="24"/>
          <w:szCs w:val="24"/>
        </w:rPr>
        <w:t xml:space="preserve"> </w:t>
      </w:r>
    </w:p>
    <w:p>
      <w:pPr>
        <w:spacing w:line="360" w:lineRule="auto"/>
        <w:jc w:val="center"/>
        <w:rPr>
          <w:rFonts w:hint="eastAsia" w:ascii="方正小标宋简体" w:hAnsi="方正小标宋简体" w:eastAsia="方正小标宋简体" w:cs="方正小标宋简体"/>
          <w:w w:val="90"/>
          <w:sz w:val="48"/>
          <w:szCs w:val="48"/>
        </w:rPr>
      </w:pPr>
    </w:p>
    <w:p>
      <w:pPr>
        <w:spacing w:line="360" w:lineRule="auto"/>
        <w:jc w:val="center"/>
        <w:rPr>
          <w:rFonts w:hint="eastAsia" w:ascii="方正小标宋简体" w:hAnsi="方正小标宋简体" w:eastAsia="方正小标宋简体" w:cs="方正小标宋简体"/>
          <w:w w:val="90"/>
          <w:sz w:val="48"/>
          <w:szCs w:val="48"/>
        </w:rPr>
      </w:pPr>
    </w:p>
    <w:p>
      <w:pPr>
        <w:spacing w:line="360" w:lineRule="auto"/>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pPr>
        <w:spacing w:line="360" w:lineRule="auto"/>
        <w:jc w:val="center"/>
        <w:rPr>
          <w:rFonts w:hint="eastAsia" w:ascii="方正小标宋简体" w:hAnsi="方正小标宋简体" w:eastAsia="方正小标宋简体" w:cs="方正小标宋简体"/>
          <w:w w:val="90"/>
          <w:sz w:val="56"/>
          <w:szCs w:val="56"/>
        </w:rPr>
      </w:pPr>
    </w:p>
    <w:p>
      <w:pPr>
        <w:spacing w:line="360" w:lineRule="auto"/>
        <w:jc w:val="center"/>
        <w:rPr>
          <w:rFonts w:hint="eastAsia" w:ascii="仿宋_GB2312" w:hAnsi="仿宋_GB2312" w:eastAsia="仿宋_GB2312" w:cs="仿宋_GB2312"/>
          <w:bCs/>
          <w:sz w:val="24"/>
          <w:szCs w:val="24"/>
        </w:rPr>
      </w:pPr>
    </w:p>
    <w:p>
      <w:pPr>
        <w:spacing w:line="360" w:lineRule="auto"/>
        <w:jc w:val="center"/>
        <w:rPr>
          <w:rFonts w:hint="eastAsia" w:ascii="仿宋_GB2312" w:hAnsi="仿宋_GB2312" w:eastAsia="仿宋_GB2312" w:cs="仿宋_GB2312"/>
          <w:bCs/>
          <w:sz w:val="24"/>
          <w:szCs w:val="24"/>
        </w:rPr>
      </w:pPr>
    </w:p>
    <w:p>
      <w:pPr>
        <w:spacing w:line="360" w:lineRule="auto"/>
        <w:ind w:firstLine="2160" w:firstLineChars="900"/>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合同项目名称： </w:t>
      </w:r>
      <w:r>
        <w:rPr>
          <w:rFonts w:hint="eastAsia" w:ascii="仿宋_GB2312" w:hAnsi="仿宋_GB2312" w:eastAsia="仿宋_GB2312" w:cs="仿宋_GB2312"/>
          <w:b/>
          <w:sz w:val="24"/>
          <w:szCs w:val="24"/>
          <w:u w:val="single"/>
        </w:rPr>
        <w:t>合同项目名称</w:t>
      </w:r>
    </w:p>
    <w:p>
      <w:pPr>
        <w:spacing w:line="360" w:lineRule="auto"/>
        <w:ind w:firstLine="2160" w:firstLineChars="900"/>
        <w:jc w:val="left"/>
        <w:rPr>
          <w:rFonts w:hint="eastAsia" w:ascii="仿宋_GB2312" w:hAnsi="仿宋_GB2312" w:eastAsia="仿宋_GB2312" w:cs="仿宋_GB2312"/>
          <w:bCs/>
          <w:sz w:val="24"/>
          <w:szCs w:val="24"/>
        </w:rPr>
      </w:pPr>
    </w:p>
    <w:p>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r>
        <w:rPr>
          <w:rFonts w:hint="eastAsia" w:ascii="仿宋_GB2312" w:hAnsi="仿宋_GB2312" w:eastAsia="仿宋_GB2312" w:cs="仿宋_GB2312"/>
          <w:b/>
          <w:sz w:val="24"/>
          <w:szCs w:val="24"/>
          <w:u w:val="single"/>
        </w:rPr>
        <w:t>甲方单位全称</w:t>
      </w:r>
    </w:p>
    <w:p>
      <w:pPr>
        <w:spacing w:line="360" w:lineRule="auto"/>
        <w:ind w:firstLine="2168" w:firstLineChars="900"/>
        <w:jc w:val="left"/>
        <w:rPr>
          <w:rFonts w:hint="eastAsia" w:ascii="仿宋_GB2312" w:hAnsi="仿宋_GB2312" w:eastAsia="仿宋_GB2312" w:cs="仿宋_GB2312"/>
          <w:b/>
          <w:sz w:val="24"/>
          <w:szCs w:val="24"/>
          <w:u w:val="single"/>
        </w:rPr>
      </w:pPr>
    </w:p>
    <w:p>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r>
        <w:rPr>
          <w:rFonts w:hint="eastAsia" w:ascii="仿宋_GB2312" w:hAnsi="仿宋_GB2312" w:eastAsia="仿宋_GB2312" w:cs="仿宋_GB2312"/>
          <w:b/>
          <w:sz w:val="24"/>
          <w:szCs w:val="24"/>
          <w:u w:val="single"/>
        </w:rPr>
        <w:t>乙方单位全称</w:t>
      </w:r>
    </w:p>
    <w:p>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合同签订地点：</w:t>
      </w:r>
      <w:r>
        <w:rPr>
          <w:rFonts w:hint="eastAsia" w:ascii="仿宋_GB2312" w:hAnsi="仿宋_GB2312" w:eastAsia="仿宋_GB2312" w:cs="仿宋_GB2312"/>
          <w:b/>
          <w:sz w:val="24"/>
          <w:szCs w:val="24"/>
          <w:u w:val="single"/>
        </w:rPr>
        <w:t>填写甲方所在县级行政区划，如“山东省济南市高新区/章丘区”等</w:t>
      </w:r>
    </w:p>
    <w:p>
      <w:pPr>
        <w:spacing w:line="360" w:lineRule="auto"/>
        <w:ind w:firstLine="2160" w:firstLineChars="900"/>
        <w:jc w:val="left"/>
        <w:rPr>
          <w:rFonts w:hint="eastAsia" w:ascii="仿宋_GB2312" w:hAnsi="仿宋_GB2312" w:eastAsia="仿宋_GB2312" w:cs="仿宋_GB2312"/>
          <w:bCs/>
          <w:sz w:val="24"/>
          <w:szCs w:val="24"/>
        </w:rPr>
      </w:pPr>
    </w:p>
    <w:p>
      <w:pPr>
        <w:spacing w:line="360" w:lineRule="auto"/>
        <w:ind w:firstLine="2160" w:firstLineChars="900"/>
        <w:jc w:val="left"/>
        <w:rPr>
          <w:rFonts w:hint="eastAsia" w:ascii="仿宋_GB2312" w:hAnsi="仿宋_GB2312" w:eastAsia="仿宋_GB2312" w:cs="仿宋_GB2312"/>
          <w:b/>
          <w:sz w:val="24"/>
          <w:szCs w:val="24"/>
          <w:u w:val="single"/>
        </w:rPr>
        <w:sectPr>
          <w:headerReference r:id="rId13" w:type="default"/>
          <w:footerReference r:id="rId14"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sz w:val="24"/>
          <w:szCs w:val="24"/>
        </w:rPr>
        <w:t>合同签订时间：</w:t>
      </w:r>
      <w:r>
        <w:rPr>
          <w:rFonts w:hint="eastAsia" w:ascii="仿宋_GB2312" w:hAnsi="仿宋_GB2312" w:eastAsia="仿宋_GB2312" w:cs="仿宋_GB2312"/>
          <w:b/>
          <w:sz w:val="24"/>
          <w:szCs w:val="24"/>
          <w:u w:val="single"/>
        </w:rPr>
        <w:t>按****年**月**日形式据实填写</w:t>
      </w:r>
    </w:p>
    <w:p>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r>
        <w:rPr>
          <w:rFonts w:hint="eastAsia" w:ascii="仿宋_GB2312" w:hAnsi="仿宋_GB2312" w:eastAsia="仿宋_GB2312" w:cs="仿宋_GB2312"/>
          <w:b/>
          <w:bCs/>
          <w:sz w:val="24"/>
          <w:szCs w:val="24"/>
          <w:u w:val="single"/>
        </w:rPr>
        <w:t>设备名称概括</w:t>
      </w:r>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1.合同设备标的</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1.1合同总价：为共同完成</w:t>
      </w:r>
      <w:r>
        <w:rPr>
          <w:rFonts w:hint="eastAsia" w:ascii="仿宋_GB2312" w:hAnsi="仿宋_GB2312" w:eastAsia="仿宋_GB2312" w:cs="仿宋_GB2312"/>
          <w:b/>
          <w:bCs/>
          <w:sz w:val="24"/>
          <w:szCs w:val="24"/>
          <w:u w:val="single"/>
        </w:rPr>
        <w:t>合同项目名称</w:t>
      </w:r>
      <w:r>
        <w:rPr>
          <w:rFonts w:hint="eastAsia" w:ascii="仿宋_GB2312" w:hAnsi="仿宋_GB2312" w:eastAsia="仿宋_GB2312" w:cs="仿宋_GB2312"/>
          <w:sz w:val="24"/>
          <w:szCs w:val="24"/>
        </w:rPr>
        <w:t>，买方向卖方购买设备一宗，详见附件《设备清单明细表》，本合同不含税总价为</w:t>
      </w:r>
      <w:r>
        <w:rPr>
          <w:rFonts w:hint="eastAsia" w:ascii="仿宋_GB2312" w:hAnsi="仿宋_GB2312" w:eastAsia="仿宋_GB2312" w:cs="仿宋_GB2312"/>
          <w:b/>
          <w:bCs/>
          <w:sz w:val="24"/>
          <w:szCs w:val="24"/>
          <w:u w:val="single"/>
        </w:rPr>
        <w:t>不含税总价小写，数值，小数点后保留两位</w:t>
      </w:r>
      <w:r>
        <w:rPr>
          <w:rFonts w:hint="eastAsia" w:ascii="仿宋_GB2312" w:hAnsi="仿宋_GB2312" w:eastAsia="仿宋_GB2312" w:cs="仿宋_GB2312"/>
          <w:sz w:val="24"/>
          <w:szCs w:val="24"/>
        </w:rPr>
        <w:t>元，税额</w:t>
      </w:r>
      <w:r>
        <w:rPr>
          <w:rFonts w:hint="eastAsia" w:ascii="仿宋_GB2312" w:hAnsi="仿宋_GB2312" w:eastAsia="仿宋_GB2312" w:cs="仿宋_GB2312"/>
          <w:b/>
          <w:bCs/>
          <w:sz w:val="24"/>
          <w:szCs w:val="24"/>
          <w:u w:val="single"/>
        </w:rPr>
        <w:t>合计税额小写，数值，小数点后保留两位</w:t>
      </w:r>
      <w:r>
        <w:rPr>
          <w:rFonts w:hint="eastAsia" w:ascii="仿宋_GB2312" w:hAnsi="仿宋_GB2312" w:eastAsia="仿宋_GB2312" w:cs="仿宋_GB2312"/>
          <w:sz w:val="24"/>
          <w:szCs w:val="24"/>
        </w:rPr>
        <w:t>元，含税总价</w:t>
      </w:r>
      <w:r>
        <w:rPr>
          <w:rFonts w:hint="eastAsia" w:ascii="仿宋_GB2312" w:hAnsi="仿宋_GB2312" w:eastAsia="仿宋_GB2312" w:cs="仿宋_GB2312"/>
          <w:b/>
          <w:bCs/>
          <w:sz w:val="24"/>
          <w:szCs w:val="24"/>
          <w:u w:val="single"/>
        </w:rPr>
        <w:t>含税总价小写，数值，小数点后保留两位</w:t>
      </w:r>
      <w:r>
        <w:rPr>
          <w:rFonts w:hint="eastAsia" w:ascii="仿宋_GB2312" w:hAnsi="仿宋_GB2312" w:eastAsia="仿宋_GB2312" w:cs="仿宋_GB2312"/>
          <w:sz w:val="24"/>
          <w:szCs w:val="24"/>
        </w:rPr>
        <w:t>元（大写：</w:t>
      </w:r>
      <w:r>
        <w:rPr>
          <w:rFonts w:hint="eastAsia" w:ascii="仿宋_GB2312" w:hAnsi="仿宋_GB2312" w:eastAsia="仿宋_GB2312" w:cs="仿宋_GB2312"/>
          <w:b/>
          <w:bCs/>
          <w:sz w:val="24"/>
          <w:szCs w:val="24"/>
          <w:u w:val="single"/>
        </w:rPr>
        <w:t>含税总价大写</w:t>
      </w:r>
      <w:r>
        <w:rPr>
          <w:rFonts w:hint="eastAsia" w:ascii="仿宋_GB2312" w:hAnsi="仿宋_GB2312" w:eastAsia="仿宋_GB2312" w:cs="仿宋_GB2312"/>
          <w:sz w:val="24"/>
          <w:szCs w:val="24"/>
        </w:rPr>
        <w:t>）。</w:t>
      </w:r>
    </w:p>
    <w:p>
      <w:pPr>
        <w:spacing w:line="360" w:lineRule="auto"/>
        <w:ind w:firstLine="480" w:firstLineChars="200"/>
        <w:rPr>
          <w:rFonts w:hint="eastAsia" w:ascii="方正小标宋简体" w:hAnsi="宋体" w:eastAsia="仿宋_GB2312"/>
          <w:sz w:val="24"/>
          <w:szCs w:val="24"/>
          <w:u w:val="thick"/>
        </w:rPr>
      </w:pPr>
      <w:r>
        <w:rPr>
          <w:rFonts w:hint="eastAsia" w:ascii="仿宋_GB2312" w:eastAsia="仿宋_GB2312" w:hAnsiTheme="minorEastAsia" w:cstheme="minorEastAsia"/>
          <w:sz w:val="24"/>
          <w:szCs w:val="24"/>
        </w:rPr>
        <w:t>1.2交货方式</w:t>
      </w:r>
      <w:r>
        <w:rPr>
          <w:rFonts w:hint="eastAsia" w:ascii="仿宋_GB2312" w:eastAsia="仿宋_GB2312" w:hAnsiTheme="minorEastAsia" w:cstheme="minorEastAsia"/>
          <w:bCs/>
          <w:sz w:val="24"/>
          <w:szCs w:val="24"/>
        </w:rPr>
        <w:t>：</w:t>
      </w:r>
      <w:r>
        <w:rPr>
          <w:rFonts w:hint="eastAsia" w:ascii="仿宋_GB2312" w:hAnsi="宋体" w:eastAsia="仿宋_GB2312"/>
          <w:b/>
          <w:bCs/>
          <w:sz w:val="24"/>
          <w:szCs w:val="24"/>
          <w:u w:val="single"/>
        </w:rPr>
        <w:t>据实选择，可填写“交钥匙方式”“指定地点交货”“自提”任一方式，其他情况请据实填写。</w:t>
      </w:r>
    </w:p>
    <w:p>
      <w:pPr>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1.3交货地点：</w:t>
      </w:r>
      <w:r>
        <w:rPr>
          <w:rFonts w:hint="eastAsia" w:ascii="仿宋_GB2312" w:eastAsia="仿宋_GB2312" w:hAnsiTheme="minorEastAsia" w:cstheme="minorEastAsia"/>
          <w:b/>
          <w:bCs/>
          <w:sz w:val="24"/>
          <w:szCs w:val="24"/>
          <w:u w:val="single"/>
        </w:rPr>
        <w:t>交货详细地址信息，除列明省市县/区外，应填写至不致产生歧义的具体位置指向。</w:t>
      </w:r>
      <w:r>
        <w:rPr>
          <w:rFonts w:hint="eastAsia" w:ascii="仿宋_GB2312" w:eastAsia="仿宋_GB2312" w:hAnsiTheme="minorEastAsia" w:cstheme="minorEastAsia"/>
          <w:sz w:val="24"/>
          <w:szCs w:val="24"/>
        </w:rPr>
        <w:t xml:space="preserve">    </w:t>
      </w:r>
    </w:p>
    <w:p>
      <w:pPr>
        <w:spacing w:line="360" w:lineRule="auto"/>
        <w:ind w:firstLine="480" w:firstLineChars="200"/>
        <w:rPr>
          <w:rFonts w:hint="eastAsia" w:ascii="方正小标宋简体" w:hAnsi="宋体" w:eastAsia="仿宋_GB2312"/>
          <w:sz w:val="24"/>
          <w:szCs w:val="24"/>
          <w:u w:val="thick"/>
        </w:rPr>
      </w:pPr>
      <w:r>
        <w:rPr>
          <w:rFonts w:hint="eastAsia" w:ascii="仿宋_GB2312" w:eastAsia="仿宋_GB2312" w:hAnsiTheme="minorEastAsia" w:cstheme="minorEastAsia"/>
          <w:sz w:val="24"/>
          <w:szCs w:val="24"/>
        </w:rPr>
        <w:t>1.4到货时间：</w:t>
      </w:r>
      <w:r>
        <w:rPr>
          <w:rFonts w:hint="eastAsia" w:ascii="仿宋_GB2312" w:eastAsia="仿宋_GB2312" w:hAnsiTheme="minorEastAsia" w:cstheme="minorEastAsia"/>
          <w:b/>
          <w:bCs/>
          <w:sz w:val="24"/>
          <w:szCs w:val="24"/>
          <w:u w:val="single"/>
        </w:rPr>
        <w:t>填写具体年月日。存在分批次到货情形的，填写“详见特殊条款约定”，须于专用条款第4条特殊约定条款特别约定。</w:t>
      </w:r>
    </w:p>
    <w:p>
      <w:pPr>
        <w:pStyle w:val="12"/>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1.5</w:t>
      </w:r>
      <w:r>
        <w:rPr>
          <w:rFonts w:ascii="仿宋_GB2312" w:eastAsia="仿宋_GB2312" w:hAnsiTheme="minorEastAsia" w:cstheme="minorEastAsia"/>
          <w:sz w:val="24"/>
          <w:szCs w:val="24"/>
        </w:rPr>
        <w:t xml:space="preserve"> </w:t>
      </w:r>
      <w:r>
        <w:rPr>
          <w:rFonts w:hint="eastAsia" w:ascii="仿宋_GB2312" w:eastAsia="仿宋_GB2312" w:hAnsiTheme="minorEastAsia" w:cstheme="minorEastAsia"/>
          <w:sz w:val="24"/>
          <w:szCs w:val="24"/>
        </w:rPr>
        <w:t>安装调试时长：</w:t>
      </w:r>
      <w:r>
        <w:rPr>
          <w:rFonts w:ascii="仿宋_GB2312" w:eastAsia="仿宋_GB2312" w:hAnsiTheme="minorEastAsia" w:cstheme="minorEastAsia"/>
          <w:sz w:val="24"/>
          <w:szCs w:val="24"/>
        </w:rPr>
        <w:t>卖方须在到货后</w:t>
      </w:r>
      <w:r>
        <w:rPr>
          <w:rFonts w:hint="eastAsia" w:ascii="仿宋_GB2312" w:eastAsia="仿宋_GB2312" w:hAnsiTheme="minorEastAsia" w:cstheme="minorEastAsia"/>
          <w:b/>
          <w:bCs/>
          <w:sz w:val="24"/>
          <w:szCs w:val="24"/>
          <w:u w:val="single"/>
        </w:rPr>
        <w:t>填写时长，单位“日历日”。存在分批次安装调试情形的，填写“详见特殊条款约定”，须于专用条款第4条特殊约定条款特别约定</w:t>
      </w:r>
      <w:r>
        <w:rPr>
          <w:rFonts w:hint="eastAsia" w:ascii="仿宋_GB2312" w:eastAsia="仿宋_GB2312" w:hAnsiTheme="minorEastAsia" w:cstheme="minorEastAsia"/>
          <w:sz w:val="24"/>
          <w:szCs w:val="24"/>
        </w:rPr>
        <w:t>个日历日内安装调试完成。</w:t>
      </w:r>
    </w:p>
    <w:p>
      <w:pPr>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r>
        <w:rPr>
          <w:rFonts w:hint="eastAsia" w:ascii="仿宋_GB2312" w:eastAsia="仿宋_GB2312" w:hAnsiTheme="minorEastAsia" w:cstheme="minorEastAsia"/>
          <w:b/>
          <w:bCs/>
          <w:sz w:val="24"/>
          <w:szCs w:val="24"/>
          <w:u w:val="single"/>
        </w:rPr>
        <w:t>甲方提供调试产品的件数，不需要的，此处填写“0”</w:t>
      </w:r>
      <w:r>
        <w:rPr>
          <w:rFonts w:ascii="仿宋_GB2312" w:eastAsia="仿宋_GB2312" w:hAnsiTheme="minorEastAsia" w:cstheme="minorEastAsia"/>
          <w:sz w:val="24"/>
          <w:szCs w:val="24"/>
        </w:rPr>
        <w:t>件，超出此数量部分由卖方提供，由此产生的相关费用由卖方承担。</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1.7设备质量保证期：自最终验收报告签署之日（存在分批次到货安装调试情形的，以验收报告签署日期最晚者为准）起</w:t>
      </w:r>
      <w:r>
        <w:rPr>
          <w:rFonts w:hint="eastAsia" w:ascii="仿宋_GB2312" w:eastAsia="仿宋_GB2312" w:hAnsiTheme="minorEastAsia" w:cstheme="minorEastAsia"/>
          <w:b/>
          <w:bCs/>
          <w:sz w:val="24"/>
          <w:szCs w:val="24"/>
          <w:u w:val="single"/>
        </w:rPr>
        <w:t>卖方承诺的质保期月数。存在分批次设备质保期约定分批次到期情形的，填写“详见特殊条款约定”，须于专用条款第4条特殊约定条款特别约定</w:t>
      </w:r>
      <w:r>
        <w:rPr>
          <w:rFonts w:hint="eastAsia" w:ascii="仿宋_GB2312" w:eastAsia="仿宋_GB2312" w:hAnsiTheme="minorEastAsia" w:cstheme="minorEastAsia"/>
          <w:sz w:val="24"/>
          <w:szCs w:val="24"/>
        </w:rPr>
        <w:t>个月</w:t>
      </w:r>
      <w:r>
        <w:rPr>
          <w:rFonts w:hint="eastAsia" w:ascii="仿宋_GB2312" w:hAnsi="黑体" w:eastAsia="仿宋_GB2312" w:cstheme="minorEastAsia"/>
          <w:sz w:val="24"/>
          <w:szCs w:val="24"/>
        </w:rPr>
        <w:t>。</w:t>
      </w:r>
    </w:p>
    <w:p>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2.结算付款约定</w:t>
      </w:r>
    </w:p>
    <w:p>
      <w:pPr>
        <w:spacing w:line="360" w:lineRule="auto"/>
        <w:ind w:firstLine="480" w:firstLineChars="200"/>
        <w:rPr>
          <w:rFonts w:hint="eastAsia" w:ascii="仿宋_GB2312" w:hAnsi="黑体" w:eastAsia="仿宋_GB2312" w:cstheme="minorEastAsia"/>
          <w:b/>
          <w:bCs/>
          <w:sz w:val="24"/>
          <w:szCs w:val="24"/>
          <w:u w:val="single"/>
        </w:rPr>
      </w:pPr>
      <w:r>
        <w:rPr>
          <w:rFonts w:hint="eastAsia" w:ascii="仿宋_GB2312" w:hAnsi="黑体" w:eastAsia="仿宋_GB2312" w:cstheme="minorEastAsia"/>
          <w:sz w:val="24"/>
          <w:szCs w:val="24"/>
        </w:rPr>
        <w:t>2.1结算方式：</w:t>
      </w:r>
      <w:r>
        <w:rPr>
          <w:rFonts w:hint="eastAsia" w:ascii="仿宋_GB2312" w:hAnsi="黑体" w:eastAsia="仿宋_GB2312" w:cstheme="minorEastAsia"/>
          <w:b/>
          <w:bCs/>
          <w:sz w:val="24"/>
          <w:szCs w:val="24"/>
          <w:u w:val="single"/>
        </w:rPr>
        <w:t>填写“</w:t>
      </w:r>
      <w:r>
        <w:rPr>
          <w:rFonts w:hint="eastAsia" w:ascii="仿宋_GB2312" w:hAnsi="宋体" w:eastAsia="仿宋_GB2312"/>
          <w:b/>
          <w:bCs/>
          <w:sz w:val="24"/>
          <w:szCs w:val="24"/>
          <w:u w:val="single"/>
        </w:rPr>
        <w:t>半年期商业汇票（包括银行承兑汇票和商业承兑汇票）</w:t>
      </w:r>
      <w:r>
        <w:rPr>
          <w:rFonts w:hint="eastAsia" w:ascii="仿宋_GB2312" w:hAnsi="黑体" w:eastAsia="仿宋_GB2312" w:cstheme="minorEastAsia"/>
          <w:b/>
          <w:bCs/>
          <w:sz w:val="24"/>
          <w:szCs w:val="24"/>
          <w:u w:val="single"/>
        </w:rPr>
        <w:t>”</w:t>
      </w:r>
      <w:r>
        <w:rPr>
          <w:rFonts w:hint="eastAsia" w:ascii="仿宋_GB2312" w:hAnsi="宋体" w:eastAsia="仿宋_GB2312"/>
          <w:b/>
          <w:bCs/>
          <w:sz w:val="24"/>
          <w:szCs w:val="24"/>
          <w:u w:val="single"/>
        </w:rPr>
        <w:t>“转账”“财司内转”三种方式</w:t>
      </w:r>
      <w:r>
        <w:rPr>
          <w:rFonts w:hint="eastAsia" w:ascii="仿宋_GB2312" w:hAnsi="黑体" w:eastAsia="仿宋_GB2312" w:cstheme="minorEastAsia"/>
          <w:b/>
          <w:bCs/>
          <w:sz w:val="24"/>
          <w:szCs w:val="24"/>
          <w:u w:val="single"/>
        </w:rPr>
        <w:t>任一种。</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2.2结算币种：本合同使用</w:t>
      </w:r>
      <w:r>
        <w:rPr>
          <w:rFonts w:hint="eastAsia" w:ascii="仿宋_GB2312" w:hAnsi="仿宋_GB2312" w:eastAsia="仿宋_GB2312" w:cs="仿宋_GB2312"/>
          <w:b/>
          <w:bCs/>
          <w:sz w:val="24"/>
          <w:szCs w:val="24"/>
          <w:u w:val="single"/>
        </w:rPr>
        <w:t>币种</w:t>
      </w:r>
      <w:r>
        <w:rPr>
          <w:rFonts w:hint="eastAsia" w:ascii="仿宋_GB2312" w:hAnsi="仿宋_GB2312" w:eastAsia="仿宋_GB2312" w:cs="仿宋_GB2312"/>
          <w:sz w:val="24"/>
          <w:szCs w:val="24"/>
        </w:rPr>
        <w:t>进行结算。</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2.3合同价款支付：</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2.3.1</w:t>
      </w:r>
      <w:r>
        <w:rPr>
          <w:rFonts w:hint="eastAsia" w:ascii="仿宋_GB2312" w:hAnsi="黑体" w:eastAsia="仿宋_GB2312" w:cstheme="minorEastAsia"/>
          <w:b/>
          <w:bCs/>
          <w:sz w:val="24"/>
          <w:szCs w:val="24"/>
          <w:u w:val="single"/>
        </w:rPr>
        <w:t>填写第一笔付款的满足要件，如“设备全部到齐无质量问题”。若存在价款支付的收据、发票及财务审核条件与本条格式条款存有变动调整的，须在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r>
        <w:rPr>
          <w:rFonts w:hint="eastAsia" w:ascii="仿宋_GB2312" w:hAnsi="黑体" w:eastAsia="仿宋_GB2312" w:cstheme="minorEastAsia"/>
          <w:sz w:val="24"/>
          <w:szCs w:val="24"/>
        </w:rPr>
        <w:t>, 卖方提交金额为合同含税总价款</w:t>
      </w:r>
      <w:r>
        <w:rPr>
          <w:rFonts w:hint="eastAsia" w:ascii="仿宋_GB2312" w:hAnsi="黑体" w:eastAsia="仿宋_GB2312" w:cstheme="minorEastAsia"/>
          <w:b/>
          <w:bCs/>
          <w:sz w:val="24"/>
          <w:szCs w:val="24"/>
          <w:u w:val="single"/>
        </w:rPr>
        <w:t>第一笔付款的比例，数值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第一笔付款金额</w:t>
      </w:r>
      <w:r>
        <w:rPr>
          <w:rFonts w:hint="eastAsia" w:ascii="仿宋_GB2312" w:hAnsi="黑体" w:eastAsia="仿宋_GB2312" w:cstheme="minorEastAsia"/>
          <w:sz w:val="24"/>
          <w:szCs w:val="24"/>
        </w:rPr>
        <w:t>元的收据及对应金额的增值税专用发票，经买方财务审核无误后按照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2.3.3</w:t>
      </w:r>
      <w:r>
        <w:rPr>
          <w:rFonts w:hint="eastAsia" w:ascii="仿宋_GB2312" w:hAnsi="黑体" w:eastAsia="仿宋_GB2312" w:cstheme="minorEastAsia"/>
          <w:b/>
          <w:bCs/>
          <w:sz w:val="24"/>
          <w:szCs w:val="24"/>
          <w:u w:val="single"/>
        </w:rPr>
        <w:t>填写第二笔付款的满足要件，如“设备全部到齐无质量问题，经安装、调试最终验收合格后”。若存在价款支付的收据、发票及财务审核条件与本条格式条款存有变动调整的，须在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r>
        <w:rPr>
          <w:rFonts w:hint="eastAsia" w:ascii="仿宋_GB2312" w:hAnsi="黑体" w:eastAsia="仿宋_GB2312" w:cstheme="minorEastAsia"/>
          <w:sz w:val="24"/>
          <w:szCs w:val="24"/>
        </w:rPr>
        <w:t>，卖方提交金额为合同含税总价款</w:t>
      </w:r>
      <w:r>
        <w:rPr>
          <w:rFonts w:hint="eastAsia" w:ascii="仿宋_GB2312" w:hAnsi="黑体" w:eastAsia="仿宋_GB2312" w:cstheme="minorEastAsia"/>
          <w:b/>
          <w:bCs/>
          <w:sz w:val="24"/>
          <w:szCs w:val="24"/>
          <w:u w:val="single"/>
        </w:rPr>
        <w:t>第二笔付款的比例，数值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第二笔付款金额</w:t>
      </w:r>
      <w:r>
        <w:rPr>
          <w:rFonts w:hint="eastAsia" w:ascii="仿宋_GB2312" w:hAnsi="黑体" w:eastAsia="仿宋_GB2312" w:cstheme="minorEastAsia"/>
          <w:sz w:val="24"/>
          <w:szCs w:val="24"/>
        </w:rPr>
        <w:t>元的收据及合同含税总价款未付金额的增值税专用发票并附带合同设备最终验收报告，经买方财务审核无误后按照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2.3.4合同含税总价款的</w:t>
      </w:r>
      <w:r>
        <w:rPr>
          <w:rFonts w:hint="eastAsia" w:ascii="仿宋_GB2312" w:hAnsi="黑体" w:eastAsia="仿宋_GB2312" w:cstheme="minorEastAsia"/>
          <w:b/>
          <w:bCs/>
          <w:sz w:val="24"/>
          <w:szCs w:val="24"/>
          <w:u w:val="single"/>
        </w:rPr>
        <w:t>第三笔付款的比例，数值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第三笔付款金额</w:t>
      </w:r>
      <w:r>
        <w:rPr>
          <w:rFonts w:hint="eastAsia" w:ascii="仿宋_GB2312" w:hAnsi="黑体" w:eastAsia="仿宋_GB2312" w:cstheme="minorEastAsia"/>
          <w:sz w:val="24"/>
          <w:szCs w:val="24"/>
        </w:rPr>
        <w:t>元作为本合同约定设备的质量保证金，质量保证金在质量保证期内不计利息。待合同设备质量保证期满后，卖方向买方提交质量保证金收据及设备使用单位的使用情况说明，经买方财务审核无误后按照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执行。如有质量问题，质量保证金予以相应扣除。</w:t>
      </w:r>
    </w:p>
    <w:p>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2.4甲乙双方基本信息</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信息名目</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甲方基本信息</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乙方基本信息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企业名称</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甲方单位全称</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注册地址</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甲方注册地址，营业执照住所地</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乙方注册地址，营业执照住所地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通讯地址</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甲方通讯地址，实际联系地址</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乙方通讯地址，实际联系地址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法定代表人</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甲方法定代表人姓名</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乙方法定代表人姓名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授权代表</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甲方授权代表姓名</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联系电话</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甲方授权代表手机号码</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联系邮箱</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甲方授权代表联系邮箱（非必填）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乙方授权代表联系邮箱（非必填）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开户银行</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甲方开户银行规范全称（非必填）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乙方开户银行规范全称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开户行联行号</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甲方开户银行联行号（非必填）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乙方开户银行联行号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开户账号</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甲方银行账号（非必填）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乙方银行账号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其他信息</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甲方其他需列明企业信息（非必填）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乙方其他需列明企业信息（非必填）</w:t>
            </w:r>
          </w:p>
        </w:tc>
      </w:tr>
    </w:tbl>
    <w:p>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合同履行过程中，如甲乙双方基本信息发生变更，应及时以书面形式告知对方并就付款账户信息变更签署相关补充协议。</w:t>
      </w:r>
    </w:p>
    <w:p>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3.生效条款</w:t>
      </w:r>
    </w:p>
    <w:p>
      <w:pPr>
        <w:spacing w:line="360" w:lineRule="auto"/>
        <w:ind w:firstLine="480" w:firstLineChars="200"/>
        <w:rPr>
          <w:rFonts w:hint="eastAsia" w:ascii="仿宋_GB2312" w:hAnsi="黑体" w:eastAsia="仿宋_GB2312" w:cstheme="minorEastAsia"/>
          <w:sz w:val="24"/>
          <w:szCs w:val="24"/>
          <w:u w:val="single"/>
        </w:rPr>
      </w:pPr>
      <w:r>
        <w:rPr>
          <w:rFonts w:hint="eastAsia" w:ascii="仿宋_GB2312" w:hAnsi="黑体" w:eastAsia="仿宋_GB2312" w:cstheme="minorEastAsia"/>
          <w:sz w:val="24"/>
          <w:szCs w:val="24"/>
        </w:rPr>
        <w:t>3.1本合同经双方签署后生效。</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3.2本合同一式四份，甲乙双方各执两份，具有同等法律效力。</w:t>
      </w:r>
    </w:p>
    <w:p>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4.特殊约定</w:t>
      </w:r>
    </w:p>
    <w:p>
      <w:pPr>
        <w:spacing w:line="360" w:lineRule="auto"/>
        <w:ind w:firstLine="434" w:firstLineChars="200"/>
        <w:rPr>
          <w:rFonts w:hint="eastAsia" w:ascii="仿宋_GB2312" w:hAnsi="黑体" w:eastAsia="仿宋_GB2312" w:cstheme="minorEastAsia"/>
          <w:sz w:val="24"/>
          <w:szCs w:val="24"/>
        </w:rPr>
      </w:pPr>
      <w:r>
        <w:rPr>
          <w:rFonts w:hint="eastAsia" w:ascii="仿宋_GB2312" w:hAnsi="仿宋_GB2312" w:eastAsia="仿宋_GB2312" w:cs="仿宋_GB2312"/>
          <w:b/>
          <w:bCs/>
          <w:w w:val="90"/>
          <w:sz w:val="24"/>
          <w:szCs w:val="24"/>
          <w:u w:val="single"/>
        </w:rPr>
        <w:t>特殊约定事项，据实填写：4.1                ;4.2               ;……。若无，</w:t>
      </w:r>
      <w:r>
        <w:rPr>
          <w:rFonts w:hint="eastAsia" w:ascii="仿宋_GB2312" w:eastAsia="仿宋_GB2312" w:hAnsiTheme="minorEastAsia" w:cstheme="minorEastAsia"/>
          <w:b/>
          <w:bCs/>
          <w:sz w:val="24"/>
          <w:szCs w:val="24"/>
          <w:u w:val="single"/>
        </w:rPr>
        <w:t>填写“无”。专用条款、通用条款中需进行修改的部分应在此处予以体现。</w:t>
      </w:r>
    </w:p>
    <w:p>
      <w:pPr>
        <w:spacing w:line="360" w:lineRule="auto"/>
        <w:rPr>
          <w:rFonts w:hint="eastAsia" w:ascii="宋体" w:hAnsi="宋体"/>
          <w:snapToGrid w:val="0"/>
          <w:kern w:val="0"/>
          <w:sz w:val="20"/>
          <w:szCs w:val="20"/>
          <w:lang w:eastAsia="zh-Hans"/>
        </w:rPr>
      </w:pPr>
    </w:p>
    <w:p>
      <w:pPr>
        <w:spacing w:line="360" w:lineRule="auto"/>
        <w:rPr>
          <w:rFonts w:hint="eastAsia" w:ascii="宋体" w:hAnsi="宋体"/>
          <w:snapToGrid w:val="0"/>
          <w:kern w:val="0"/>
          <w:sz w:val="20"/>
          <w:szCs w:val="20"/>
          <w:lang w:eastAsia="zh-Hans"/>
        </w:rPr>
      </w:pPr>
    </w:p>
    <w:p>
      <w:pPr>
        <w:spacing w:line="360" w:lineRule="auto"/>
        <w:rPr>
          <w:rFonts w:hint="eastAsia" w:ascii="宋体" w:hAnsi="宋体"/>
          <w:snapToGrid w:val="0"/>
          <w:kern w:val="0"/>
          <w:sz w:val="20"/>
          <w:szCs w:val="20"/>
          <w:lang w:eastAsia="zh-Hans"/>
        </w:rPr>
      </w:pPr>
    </w:p>
    <w:p>
      <w:pPr>
        <w:widowControl/>
        <w:adjustRightInd w:val="0"/>
        <w:snapToGrid w:val="0"/>
        <w:spacing w:line="360" w:lineRule="auto"/>
        <w:ind w:firstLine="480" w:firstLineChars="200"/>
        <w:jc w:val="left"/>
        <w:rPr>
          <w:rFonts w:hint="eastAsia"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hint="eastAsia"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rPr>
        <w:t>乙方单位全称</w:t>
      </w:r>
    </w:p>
    <w:p>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pPr>
        <w:ind w:firstLine="480" w:firstLineChars="200"/>
        <w:rPr>
          <w:rFonts w:hint="eastAsia" w:ascii="仿宋_GB2312" w:hAnsi="宋体" w:eastAsia="仿宋_GB2312"/>
          <w:snapToGrid w:val="0"/>
          <w:color w:val="000000"/>
          <w:kern w:val="0"/>
          <w:sz w:val="24"/>
          <w:szCs w:val="24"/>
          <w:lang w:eastAsia="zh-Hans"/>
        </w:rPr>
        <w:sectPr>
          <w:footerReference r:id="rId15" w:type="default"/>
          <w:pgSz w:w="11907" w:h="16840"/>
          <w:pgMar w:top="1304" w:right="1418" w:bottom="1304" w:left="1418" w:header="724" w:footer="851" w:gutter="0"/>
          <w:cols w:space="720" w:num="1"/>
          <w:docGrid w:linePitch="290" w:charSpace="-3931"/>
        </w:sect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ind w:firstLine="480" w:firstLineChars="200"/>
        <w:rPr>
          <w:rFonts w:hint="eastAsia"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pPr>
        <w:pStyle w:val="3"/>
        <w:tabs>
          <w:tab w:val="right" w:leader="dot" w:pos="9061"/>
        </w:tabs>
        <w:ind w:left="0" w:firstLine="480" w:firstLineChars="200"/>
        <w:jc w:val="both"/>
        <w:rPr>
          <w:rFonts w:hint="eastAsia" w:ascii="黑体" w:hAnsi="黑体" w:eastAsia="黑体" w:cs="黑体"/>
          <w:b w:val="0"/>
          <w:sz w:val="24"/>
          <w:szCs w:val="24"/>
        </w:rPr>
      </w:pPr>
      <w:bookmarkStart w:id="45" w:name="_Toc17619"/>
      <w:bookmarkStart w:id="46" w:name="_Toc11823"/>
      <w:bookmarkStart w:id="47" w:name="_Toc16330018"/>
      <w:bookmarkStart w:id="48" w:name="_Toc11930"/>
      <w:r>
        <w:rPr>
          <w:rFonts w:hint="eastAsia" w:ascii="黑体" w:hAnsi="黑体" w:eastAsia="黑体" w:cs="黑体"/>
          <w:b w:val="0"/>
          <w:sz w:val="24"/>
          <w:szCs w:val="24"/>
        </w:rPr>
        <w:t>1 合同设备</w:t>
      </w:r>
      <w:bookmarkEnd w:id="45"/>
      <w:bookmarkEnd w:id="46"/>
      <w:bookmarkEnd w:id="47"/>
      <w:bookmarkEnd w:id="48"/>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49" w:name="_Toc32510"/>
      <w:bookmarkStart w:id="50" w:name="_Toc22800"/>
      <w:bookmarkStart w:id="51" w:name="_Toc29026"/>
      <w:r>
        <w:rPr>
          <w:rFonts w:hint="eastAsia" w:ascii="仿宋_GB2312" w:hAnsi="仿宋_GB2312" w:eastAsia="仿宋_GB2312" w:cs="仿宋_GB2312"/>
          <w:sz w:val="24"/>
          <w:szCs w:val="24"/>
        </w:rPr>
        <w:t>本合同约定设备的技术规格详见附件二《技术协议书》。</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pPr>
        <w:pStyle w:val="3"/>
        <w:tabs>
          <w:tab w:val="right" w:leader="dot" w:pos="9061"/>
        </w:tabs>
        <w:ind w:left="0" w:firstLine="480" w:firstLineChars="200"/>
        <w:jc w:val="both"/>
        <w:rPr>
          <w:rFonts w:hint="eastAsia" w:ascii="黑体" w:hAnsi="黑体" w:eastAsia="黑体" w:cs="黑体"/>
          <w:b w:val="0"/>
          <w:sz w:val="24"/>
          <w:szCs w:val="24"/>
        </w:rPr>
      </w:pPr>
      <w:bookmarkStart w:id="52" w:name="_Toc16330019"/>
      <w:r>
        <w:rPr>
          <w:rFonts w:hint="eastAsia" w:ascii="黑体" w:hAnsi="黑体" w:eastAsia="黑体" w:cs="黑体"/>
          <w:b w:val="0"/>
          <w:sz w:val="24"/>
          <w:szCs w:val="24"/>
        </w:rPr>
        <w:t>2 包装</w:t>
      </w:r>
      <w:bookmarkEnd w:id="49"/>
      <w:bookmarkEnd w:id="50"/>
      <w:bookmarkEnd w:id="51"/>
      <w:bookmarkEnd w:id="52"/>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pPr>
        <w:pStyle w:val="3"/>
        <w:tabs>
          <w:tab w:val="right" w:leader="dot" w:pos="9061"/>
        </w:tabs>
        <w:ind w:left="0" w:firstLine="480" w:firstLineChars="200"/>
        <w:jc w:val="both"/>
        <w:rPr>
          <w:rFonts w:hint="eastAsia" w:ascii="黑体" w:hAnsi="黑体" w:eastAsia="黑体" w:cs="黑体"/>
          <w:b w:val="0"/>
          <w:sz w:val="24"/>
          <w:szCs w:val="24"/>
        </w:rPr>
      </w:pPr>
      <w:bookmarkStart w:id="53" w:name="_Toc16330020"/>
      <w:bookmarkStart w:id="54" w:name="_Toc27453"/>
      <w:bookmarkStart w:id="55" w:name="_Toc27144"/>
      <w:bookmarkStart w:id="56" w:name="_Toc2833"/>
      <w:r>
        <w:rPr>
          <w:rFonts w:hint="eastAsia" w:ascii="黑体" w:hAnsi="黑体" w:eastAsia="黑体" w:cs="黑体"/>
          <w:b w:val="0"/>
          <w:sz w:val="24"/>
          <w:szCs w:val="24"/>
        </w:rPr>
        <w:t>3 运输标记</w:t>
      </w:r>
      <w:bookmarkEnd w:id="53"/>
      <w:bookmarkEnd w:id="54"/>
      <w:bookmarkEnd w:id="55"/>
      <w:bookmarkEnd w:id="56"/>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pPr>
        <w:pStyle w:val="3"/>
        <w:tabs>
          <w:tab w:val="right" w:leader="dot" w:pos="9061"/>
        </w:tabs>
        <w:ind w:left="0" w:firstLine="480" w:firstLineChars="200"/>
        <w:jc w:val="both"/>
        <w:rPr>
          <w:rFonts w:hint="eastAsia" w:ascii="黑体" w:hAnsi="黑体" w:eastAsia="黑体" w:cs="黑体"/>
          <w:b w:val="0"/>
          <w:sz w:val="24"/>
          <w:szCs w:val="24"/>
        </w:rPr>
      </w:pPr>
      <w:bookmarkStart w:id="57" w:name="_Toc16133"/>
      <w:bookmarkStart w:id="58" w:name="_Toc10630"/>
      <w:bookmarkStart w:id="59" w:name="_Toc7431"/>
      <w:bookmarkStart w:id="60" w:name="_Toc16330021"/>
      <w:r>
        <w:rPr>
          <w:rFonts w:hint="eastAsia" w:ascii="黑体" w:hAnsi="黑体" w:eastAsia="黑体" w:cs="黑体"/>
          <w:b w:val="0"/>
          <w:sz w:val="24"/>
          <w:szCs w:val="24"/>
        </w:rPr>
        <w:t>4 检验</w:t>
      </w:r>
      <w:bookmarkEnd w:id="57"/>
      <w:bookmarkEnd w:id="58"/>
      <w:bookmarkEnd w:id="59"/>
      <w:bookmarkEnd w:id="60"/>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pPr>
        <w:pStyle w:val="3"/>
        <w:tabs>
          <w:tab w:val="right" w:leader="dot" w:pos="9061"/>
        </w:tabs>
        <w:ind w:left="0" w:firstLine="480" w:firstLineChars="200"/>
        <w:jc w:val="both"/>
        <w:rPr>
          <w:rFonts w:hint="eastAsia" w:ascii="黑体" w:hAnsi="黑体" w:eastAsia="黑体" w:cs="黑体"/>
          <w:b w:val="0"/>
          <w:sz w:val="24"/>
          <w:szCs w:val="24"/>
        </w:rPr>
      </w:pPr>
      <w:bookmarkStart w:id="61" w:name="_Toc19850"/>
      <w:bookmarkStart w:id="62" w:name="_Toc24467"/>
      <w:bookmarkStart w:id="63" w:name="_Toc11217"/>
      <w:bookmarkStart w:id="64" w:name="_Toc16330022"/>
      <w:r>
        <w:rPr>
          <w:rFonts w:hint="eastAsia" w:ascii="黑体" w:hAnsi="黑体" w:eastAsia="黑体" w:cs="黑体"/>
          <w:b w:val="0"/>
          <w:sz w:val="24"/>
          <w:szCs w:val="24"/>
        </w:rPr>
        <w:t>5 权利担保</w:t>
      </w:r>
      <w:bookmarkEnd w:id="61"/>
      <w:bookmarkEnd w:id="62"/>
      <w:bookmarkEnd w:id="63"/>
      <w:bookmarkEnd w:id="64"/>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pPr>
        <w:pStyle w:val="3"/>
        <w:tabs>
          <w:tab w:val="right" w:leader="dot" w:pos="9061"/>
        </w:tabs>
        <w:ind w:left="0" w:firstLine="480" w:firstLineChars="200"/>
        <w:jc w:val="both"/>
        <w:rPr>
          <w:rFonts w:hint="eastAsia" w:ascii="黑体" w:hAnsi="黑体" w:eastAsia="黑体" w:cs="黑体"/>
          <w:b w:val="0"/>
          <w:sz w:val="24"/>
          <w:szCs w:val="24"/>
        </w:rPr>
      </w:pPr>
      <w:bookmarkStart w:id="65" w:name="_Toc16330023"/>
      <w:bookmarkStart w:id="66" w:name="_Toc27500"/>
      <w:bookmarkStart w:id="67" w:name="_Toc14809"/>
      <w:bookmarkStart w:id="68" w:name="_Toc11759"/>
      <w:r>
        <w:rPr>
          <w:rFonts w:hint="eastAsia" w:ascii="黑体" w:hAnsi="黑体" w:eastAsia="黑体" w:cs="黑体"/>
          <w:b w:val="0"/>
          <w:sz w:val="24"/>
          <w:szCs w:val="24"/>
        </w:rPr>
        <w:t>6 交货</w:t>
      </w:r>
      <w:bookmarkEnd w:id="65"/>
      <w:bookmarkEnd w:id="66"/>
      <w:bookmarkEnd w:id="67"/>
      <w:bookmarkEnd w:id="68"/>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pPr>
        <w:pStyle w:val="3"/>
        <w:tabs>
          <w:tab w:val="right" w:leader="dot" w:pos="9061"/>
        </w:tabs>
        <w:ind w:left="0" w:firstLine="480" w:firstLineChars="200"/>
        <w:jc w:val="both"/>
        <w:rPr>
          <w:rFonts w:hint="eastAsia" w:ascii="黑体" w:hAnsi="黑体" w:eastAsia="黑体" w:cs="黑体"/>
          <w:b w:val="0"/>
          <w:sz w:val="24"/>
          <w:szCs w:val="24"/>
        </w:rPr>
      </w:pPr>
      <w:bookmarkStart w:id="69" w:name="_Toc25510"/>
      <w:bookmarkStart w:id="70" w:name="_Toc16330024"/>
      <w:bookmarkStart w:id="71" w:name="_Toc2984"/>
      <w:bookmarkStart w:id="72" w:name="_Toc8024"/>
      <w:r>
        <w:rPr>
          <w:rFonts w:hint="eastAsia" w:ascii="黑体" w:hAnsi="黑体" w:eastAsia="黑体" w:cs="黑体"/>
          <w:b w:val="0"/>
          <w:sz w:val="24"/>
          <w:szCs w:val="24"/>
        </w:rPr>
        <w:t>7 安装、调试</w:t>
      </w:r>
      <w:bookmarkEnd w:id="69"/>
      <w:bookmarkEnd w:id="70"/>
      <w:bookmarkEnd w:id="71"/>
      <w:bookmarkEnd w:id="72"/>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pPr>
        <w:pStyle w:val="3"/>
        <w:tabs>
          <w:tab w:val="right" w:leader="dot" w:pos="9061"/>
        </w:tabs>
        <w:ind w:left="0" w:firstLine="480" w:firstLineChars="200"/>
        <w:jc w:val="both"/>
        <w:rPr>
          <w:rFonts w:hint="eastAsia" w:ascii="黑体" w:hAnsi="黑体" w:eastAsia="黑体" w:cs="黑体"/>
          <w:b w:val="0"/>
          <w:sz w:val="24"/>
          <w:szCs w:val="24"/>
        </w:rPr>
      </w:pPr>
      <w:bookmarkStart w:id="73" w:name="_Toc6350"/>
      <w:bookmarkStart w:id="74" w:name="_Toc16330025"/>
      <w:bookmarkStart w:id="75" w:name="_Toc14260"/>
      <w:bookmarkStart w:id="76" w:name="_Toc14098"/>
      <w:r>
        <w:rPr>
          <w:rFonts w:hint="eastAsia" w:ascii="黑体" w:hAnsi="黑体" w:eastAsia="黑体" w:cs="黑体"/>
          <w:b w:val="0"/>
          <w:sz w:val="24"/>
          <w:szCs w:val="24"/>
        </w:rPr>
        <w:t>8 价款与支付</w:t>
      </w:r>
      <w:bookmarkEnd w:id="73"/>
      <w:bookmarkEnd w:id="74"/>
      <w:bookmarkEnd w:id="75"/>
      <w:bookmarkEnd w:id="76"/>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pPr>
        <w:pStyle w:val="3"/>
        <w:tabs>
          <w:tab w:val="right" w:leader="dot" w:pos="9061"/>
        </w:tabs>
        <w:ind w:left="0" w:firstLine="480" w:firstLineChars="200"/>
        <w:jc w:val="both"/>
        <w:rPr>
          <w:rFonts w:hint="eastAsia" w:ascii="黑体" w:hAnsi="黑体" w:eastAsia="黑体" w:cs="黑体"/>
          <w:b w:val="0"/>
          <w:sz w:val="24"/>
          <w:szCs w:val="24"/>
        </w:rPr>
      </w:pPr>
      <w:bookmarkStart w:id="77" w:name="_Toc16330026"/>
      <w:bookmarkStart w:id="78" w:name="_Toc24085"/>
      <w:bookmarkStart w:id="79" w:name="_Toc25708"/>
      <w:bookmarkStart w:id="80" w:name="_Toc6726"/>
      <w:r>
        <w:rPr>
          <w:rFonts w:hint="eastAsia" w:ascii="黑体" w:hAnsi="黑体" w:eastAsia="黑体" w:cs="黑体"/>
          <w:b w:val="0"/>
          <w:sz w:val="24"/>
          <w:szCs w:val="24"/>
        </w:rPr>
        <w:t>9 质量保证及售后服务</w:t>
      </w:r>
      <w:bookmarkEnd w:id="77"/>
      <w:bookmarkEnd w:id="78"/>
      <w:bookmarkEnd w:id="79"/>
      <w:bookmarkEnd w:id="80"/>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pPr>
        <w:pStyle w:val="3"/>
        <w:tabs>
          <w:tab w:val="right" w:leader="dot" w:pos="9061"/>
        </w:tabs>
        <w:ind w:left="0" w:firstLine="480" w:firstLineChars="200"/>
        <w:jc w:val="both"/>
        <w:rPr>
          <w:rFonts w:hint="eastAsia" w:ascii="黑体" w:hAnsi="黑体" w:eastAsia="黑体" w:cs="黑体"/>
          <w:b w:val="0"/>
          <w:sz w:val="24"/>
          <w:szCs w:val="24"/>
        </w:rPr>
      </w:pPr>
      <w:bookmarkStart w:id="81" w:name="_Toc10359"/>
      <w:bookmarkStart w:id="82" w:name="_Toc15570"/>
      <w:bookmarkStart w:id="83" w:name="_Toc16330027"/>
      <w:bookmarkStart w:id="84" w:name="_Toc12927"/>
      <w:r>
        <w:rPr>
          <w:rFonts w:hint="eastAsia" w:ascii="黑体" w:hAnsi="黑体" w:eastAsia="黑体" w:cs="黑体"/>
          <w:b w:val="0"/>
          <w:sz w:val="24"/>
          <w:szCs w:val="24"/>
        </w:rPr>
        <w:t>10法定责任</w:t>
      </w:r>
      <w:bookmarkEnd w:id="81"/>
      <w:bookmarkEnd w:id="82"/>
      <w:bookmarkEnd w:id="83"/>
      <w:bookmarkEnd w:id="84"/>
      <w:r>
        <w:rPr>
          <w:rFonts w:hint="eastAsia" w:ascii="黑体" w:hAnsi="黑体" w:eastAsia="黑体" w:cs="黑体"/>
          <w:b w:val="0"/>
          <w:sz w:val="24"/>
          <w:szCs w:val="24"/>
        </w:rPr>
        <w:t>及合规责任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1）卖方</w:t>
      </w:r>
      <w:r>
        <w:rPr>
          <w:rFonts w:ascii="仿宋_GB2312" w:hAnsi="仿宋_GB2312" w:eastAsia="仿宋_GB2312" w:cs="仿宋_GB2312"/>
          <w:sz w:val="24"/>
          <w:szCs w:val="24"/>
        </w:rPr>
        <w:t>仅能将</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提供的保密信息用于本协议所约定的项目并承担保密义务。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2）卖方</w:t>
      </w:r>
      <w:r>
        <w:rPr>
          <w:rFonts w:ascii="仿宋_GB2312" w:hAnsi="仿宋_GB2312" w:eastAsia="仿宋_GB2312" w:cs="仿宋_GB2312"/>
          <w:sz w:val="24"/>
          <w:szCs w:val="24"/>
        </w:rPr>
        <w:t>将采取有效措施使用</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提供的保密信息，只将该等保密信息提供给本方负责决策或实施合作事项的具体参与人员，</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及其相关人员不得以任何方式或形式散布、披露或传播给该范围以外的人（包括</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关联机构），也不得允许任何保密信息被泄漏、被披露、被交流。</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为项目需要，而不得不向该第三方披露保密信息，则</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应事先从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得到书面同意。</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应与该第三方承担连带责任。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ascii="仿宋_GB2312" w:hAnsi="仿宋_GB2312" w:eastAsia="仿宋_GB2312" w:cs="仿宋_GB2312"/>
          <w:sz w:val="24"/>
          <w:szCs w:val="24"/>
        </w:rPr>
        <w:t>如</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得悉</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的任何保密信息遭侵犯或疑似侵权，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应立即通知</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决定就侵权行为进行起诉，或以其他方式停止或阻止该实际或可能发生的侵权行为，</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 xml:space="preserve">尽最大限度予以协助。 </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5）卖方</w:t>
      </w:r>
      <w:r>
        <w:rPr>
          <w:rFonts w:ascii="仿宋_GB2312" w:hAnsi="仿宋_GB2312" w:eastAsia="仿宋_GB2312" w:cs="仿宋_GB2312"/>
          <w:sz w:val="24"/>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6）卖方</w:t>
      </w:r>
      <w:r>
        <w:rPr>
          <w:rFonts w:ascii="仿宋_GB2312" w:hAnsi="仿宋_GB2312" w:eastAsia="仿宋_GB2312" w:cs="仿宋_GB2312"/>
          <w:sz w:val="24"/>
          <w:szCs w:val="24"/>
        </w:rPr>
        <w:t>应遵从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不时发出的有关使用、处理和保管保密信息的任何指令或政策，并按照</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的要求将本协议项下保密信息的使用情况向</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 xml:space="preserve">汇报。 </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7）卖方</w:t>
      </w:r>
      <w:r>
        <w:rPr>
          <w:rFonts w:ascii="仿宋_GB2312" w:hAnsi="仿宋_GB2312" w:eastAsia="仿宋_GB2312" w:cs="仿宋_GB2312"/>
          <w:sz w:val="24"/>
          <w:szCs w:val="24"/>
        </w:rPr>
        <w:t>不得为第三方利益使用保密信息，不得非为实现双方合作目的使用保密信息，不得对保密信息采取任何反向工程、反向编译或反向分解等行为。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双方合作期间形成的与本协议有关的任何信息和数据受本协议约束。</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数据收集必须基于合法授权，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需向数据主体明确告知数据用途，并获得明确同意</w:t>
      </w:r>
      <w:r>
        <w:rPr>
          <w:rFonts w:hint="eastAsia" w:ascii="仿宋_GB2312" w:hAnsi="仿宋_GB2312" w:eastAsia="仿宋_GB2312" w:cs="仿宋_GB2312"/>
          <w:sz w:val="24"/>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pPr>
        <w:spacing w:line="360" w:lineRule="auto"/>
        <w:ind w:firstLine="480" w:firstLineChars="200"/>
        <w:rPr>
          <w:rFonts w:hint="eastAsia"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在存储数据时需采取严格的安全措施，</w:t>
      </w:r>
      <w:r>
        <w:rPr>
          <w:rFonts w:hint="eastAsia" w:ascii="仿宋_GB2312" w:hAnsi="仿宋_GB2312" w:eastAsia="仿宋_GB2312" w:cs="仿宋_GB2312"/>
          <w:sz w:val="24"/>
          <w:szCs w:val="24"/>
        </w:rPr>
        <w:t>通过</w:t>
      </w:r>
      <w:r>
        <w:rPr>
          <w:rFonts w:ascii="仿宋_GB2312" w:hAnsi="仿宋_GB2312" w:eastAsia="仿宋_GB2312" w:cs="仿宋_GB2312"/>
          <w:sz w:val="24"/>
          <w:szCs w:val="24"/>
        </w:rPr>
        <w:t>加密、访问控制等措施确保数据的完整性和机密性</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在使用和传输数据时，</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需确保数据使用符合收集时的声明，不得超出必要范围</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跨境数据传输时，需符合法律规定的合规要求。</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如需要</w:t>
      </w:r>
      <w:r>
        <w:rPr>
          <w:rFonts w:ascii="仿宋_GB2312" w:hAnsi="仿宋_GB2312" w:eastAsia="仿宋_GB2312" w:cs="仿宋_GB2312"/>
          <w:sz w:val="24"/>
          <w:szCs w:val="24"/>
        </w:rPr>
        <w:t>数据共享</w:t>
      </w:r>
      <w:r>
        <w:rPr>
          <w:rFonts w:hint="eastAsia" w:ascii="仿宋_GB2312" w:hAnsi="仿宋_GB2312" w:eastAsia="仿宋_GB2312" w:cs="仿宋_GB2312"/>
          <w:sz w:val="24"/>
          <w:szCs w:val="24"/>
        </w:rPr>
        <w:t>时</w:t>
      </w:r>
      <w:r>
        <w:rPr>
          <w:rFonts w:ascii="仿宋_GB2312" w:hAnsi="仿宋_GB2312" w:eastAsia="仿宋_GB2312" w:cs="仿宋_GB2312"/>
          <w:sz w:val="24"/>
          <w:szCs w:val="24"/>
        </w:rPr>
        <w:t>需</w:t>
      </w:r>
      <w:r>
        <w:rPr>
          <w:rFonts w:hint="eastAsia" w:ascii="仿宋_GB2312" w:hAnsi="仿宋_GB2312" w:eastAsia="仿宋_GB2312" w:cs="仿宋_GB2312"/>
          <w:sz w:val="24"/>
          <w:szCs w:val="24"/>
        </w:rPr>
        <w:t>取得买方的书面同意并</w:t>
      </w:r>
      <w:r>
        <w:rPr>
          <w:rFonts w:ascii="仿宋_GB2312" w:hAnsi="仿宋_GB2312" w:eastAsia="仿宋_GB2312" w:cs="仿宋_GB2312"/>
          <w:sz w:val="24"/>
          <w:szCs w:val="24"/>
        </w:rPr>
        <w:t>确保各方在使用数据时符合合规要求</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当数据不再需要时，</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采取适当的措施彻底销毁数据，防止其被恢复和滥用。</w:t>
      </w:r>
    </w:p>
    <w:p>
      <w:pPr>
        <w:pStyle w:val="3"/>
        <w:tabs>
          <w:tab w:val="right" w:leader="dot" w:pos="9061"/>
        </w:tabs>
        <w:ind w:left="0" w:firstLine="480" w:firstLineChars="200"/>
        <w:jc w:val="both"/>
        <w:rPr>
          <w:rFonts w:hint="eastAsia" w:ascii="黑体" w:hAnsi="黑体" w:eastAsia="黑体" w:cs="黑体"/>
          <w:b w:val="0"/>
          <w:sz w:val="24"/>
          <w:szCs w:val="24"/>
        </w:rPr>
      </w:pPr>
      <w:bookmarkStart w:id="85" w:name="_Toc16330028"/>
      <w:bookmarkStart w:id="86" w:name="_Toc27314"/>
      <w:bookmarkStart w:id="87" w:name="_Toc9708"/>
      <w:bookmarkStart w:id="88" w:name="_Toc30381"/>
      <w:r>
        <w:rPr>
          <w:rFonts w:hint="eastAsia" w:ascii="黑体" w:hAnsi="黑体" w:eastAsia="黑体" w:cs="黑体"/>
          <w:b w:val="0"/>
          <w:sz w:val="24"/>
          <w:szCs w:val="24"/>
        </w:rPr>
        <w:t>11 违约责任</w:t>
      </w:r>
      <w:bookmarkEnd w:id="85"/>
      <w:bookmarkEnd w:id="86"/>
      <w:bookmarkEnd w:id="87"/>
      <w:bookmarkEnd w:id="88"/>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11.4如卖方未按合同专用条款2.3、2.4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11.8如果卖方违反本合同其他约定（包括本合同及所有附件）应赔偿因此给买方造成的一切损失。</w:t>
      </w:r>
    </w:p>
    <w:p>
      <w:pPr>
        <w:pStyle w:val="3"/>
        <w:tabs>
          <w:tab w:val="right" w:leader="dot" w:pos="9061"/>
        </w:tabs>
        <w:ind w:left="0" w:firstLine="480" w:firstLineChars="200"/>
        <w:jc w:val="both"/>
        <w:rPr>
          <w:rFonts w:hint="eastAsia" w:ascii="黑体" w:hAnsi="黑体" w:eastAsia="黑体" w:cs="黑体"/>
          <w:b w:val="0"/>
          <w:sz w:val="24"/>
          <w:szCs w:val="24"/>
        </w:rPr>
      </w:pPr>
      <w:bookmarkStart w:id="89" w:name="_Toc31554"/>
      <w:bookmarkStart w:id="90" w:name="_Toc1827"/>
      <w:bookmarkStart w:id="91" w:name="_Toc16330029"/>
      <w:bookmarkStart w:id="92" w:name="_Toc9172"/>
      <w:r>
        <w:rPr>
          <w:rFonts w:hint="eastAsia" w:ascii="黑体" w:hAnsi="黑体" w:eastAsia="黑体" w:cs="黑体"/>
          <w:b w:val="0"/>
          <w:sz w:val="24"/>
          <w:szCs w:val="24"/>
        </w:rPr>
        <w:t>12 合同的终止与解除</w:t>
      </w:r>
      <w:bookmarkEnd w:id="89"/>
      <w:bookmarkEnd w:id="90"/>
      <w:bookmarkEnd w:id="91"/>
      <w:bookmarkEnd w:id="92"/>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12.3.1卖方明确表示或者以自己的行为表明不履行主要义务的；</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12.3.2卖方所提交的设备不符合本合同的规定；</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pPr>
        <w:pStyle w:val="3"/>
        <w:tabs>
          <w:tab w:val="right" w:leader="dot" w:pos="9061"/>
        </w:tabs>
        <w:ind w:left="0" w:firstLine="480" w:firstLineChars="200"/>
        <w:jc w:val="both"/>
        <w:rPr>
          <w:rFonts w:hint="eastAsia" w:ascii="黑体" w:hAnsi="黑体" w:eastAsia="黑体" w:cs="黑体"/>
          <w:b w:val="0"/>
          <w:sz w:val="24"/>
          <w:szCs w:val="24"/>
        </w:rPr>
      </w:pPr>
      <w:bookmarkStart w:id="93" w:name="_Toc16330030"/>
      <w:bookmarkStart w:id="94" w:name="_Toc8620"/>
      <w:bookmarkStart w:id="95" w:name="_Toc13671"/>
      <w:bookmarkStart w:id="96" w:name="_Toc31945"/>
      <w:r>
        <w:rPr>
          <w:rFonts w:hint="eastAsia" w:ascii="黑体" w:hAnsi="黑体" w:eastAsia="黑体" w:cs="黑体"/>
          <w:b w:val="0"/>
          <w:sz w:val="24"/>
          <w:szCs w:val="24"/>
        </w:rPr>
        <w:t>13 不可抗力</w:t>
      </w:r>
      <w:bookmarkEnd w:id="93"/>
      <w:bookmarkEnd w:id="94"/>
      <w:bookmarkEnd w:id="95"/>
      <w:bookmarkEnd w:id="96"/>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pPr>
        <w:pStyle w:val="3"/>
        <w:tabs>
          <w:tab w:val="right" w:leader="dot" w:pos="9061"/>
        </w:tabs>
        <w:ind w:left="0" w:firstLine="480" w:firstLineChars="200"/>
        <w:jc w:val="both"/>
        <w:rPr>
          <w:rFonts w:hint="eastAsia" w:ascii="黑体" w:hAnsi="黑体" w:eastAsia="黑体" w:cs="黑体"/>
          <w:b w:val="0"/>
          <w:sz w:val="24"/>
          <w:szCs w:val="24"/>
        </w:rPr>
      </w:pPr>
      <w:bookmarkStart w:id="97" w:name="_Toc16330031"/>
      <w:bookmarkStart w:id="98" w:name="_Toc31243"/>
      <w:bookmarkStart w:id="99" w:name="_Toc637"/>
      <w:bookmarkStart w:id="100" w:name="_Toc30389"/>
      <w:r>
        <w:rPr>
          <w:rFonts w:hint="eastAsia" w:ascii="黑体" w:hAnsi="黑体" w:eastAsia="黑体" w:cs="黑体"/>
          <w:b w:val="0"/>
          <w:sz w:val="24"/>
          <w:szCs w:val="24"/>
        </w:rPr>
        <w:t>14 通讯</w:t>
      </w:r>
      <w:bookmarkEnd w:id="97"/>
      <w:bookmarkEnd w:id="98"/>
      <w:bookmarkEnd w:id="99"/>
      <w:bookmarkEnd w:id="100"/>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14.2生效</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pPr>
        <w:pStyle w:val="3"/>
        <w:tabs>
          <w:tab w:val="right" w:leader="dot" w:pos="9061"/>
        </w:tabs>
        <w:ind w:left="0" w:firstLine="480" w:firstLineChars="200"/>
        <w:jc w:val="both"/>
        <w:rPr>
          <w:rFonts w:hint="eastAsia" w:ascii="黑体" w:hAnsi="黑体" w:eastAsia="黑体" w:cs="黑体"/>
          <w:b w:val="0"/>
          <w:sz w:val="24"/>
          <w:szCs w:val="24"/>
        </w:rPr>
      </w:pPr>
      <w:bookmarkStart w:id="101" w:name="_Toc11290"/>
      <w:bookmarkStart w:id="102" w:name="_Toc12984"/>
      <w:bookmarkStart w:id="103" w:name="_Toc9915"/>
      <w:bookmarkStart w:id="104" w:name="_Toc16330032"/>
      <w:r>
        <w:rPr>
          <w:rFonts w:hint="eastAsia" w:ascii="黑体" w:hAnsi="黑体" w:eastAsia="黑体" w:cs="黑体"/>
          <w:b w:val="0"/>
          <w:sz w:val="24"/>
          <w:szCs w:val="24"/>
        </w:rPr>
        <w:t>15 适用法律及争议解决</w:t>
      </w:r>
      <w:bookmarkEnd w:id="101"/>
      <w:bookmarkEnd w:id="102"/>
      <w:bookmarkEnd w:id="103"/>
      <w:bookmarkEnd w:id="104"/>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pPr>
        <w:pStyle w:val="3"/>
        <w:tabs>
          <w:tab w:val="right" w:leader="dot" w:pos="9061"/>
        </w:tabs>
        <w:ind w:left="0" w:firstLine="480" w:firstLineChars="200"/>
        <w:jc w:val="both"/>
        <w:rPr>
          <w:rFonts w:hint="eastAsia" w:ascii="黑体" w:hAnsi="黑体" w:eastAsia="黑体" w:cs="黑体"/>
          <w:b w:val="0"/>
          <w:sz w:val="24"/>
          <w:szCs w:val="24"/>
        </w:rPr>
      </w:pPr>
      <w:bookmarkStart w:id="105" w:name="_Toc16330033"/>
      <w:bookmarkStart w:id="106" w:name="_Toc18207"/>
      <w:bookmarkStart w:id="107" w:name="_Toc23765"/>
      <w:bookmarkStart w:id="108" w:name="_Toc23906"/>
      <w:r>
        <w:rPr>
          <w:rFonts w:hint="eastAsia" w:ascii="黑体" w:hAnsi="黑体" w:eastAsia="黑体" w:cs="黑体"/>
          <w:b w:val="0"/>
          <w:sz w:val="24"/>
          <w:szCs w:val="24"/>
        </w:rPr>
        <w:t>16 附件</w:t>
      </w:r>
      <w:bookmarkEnd w:id="105"/>
      <w:bookmarkEnd w:id="106"/>
      <w:bookmarkEnd w:id="107"/>
      <w:bookmarkEnd w:id="108"/>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pPr>
        <w:pStyle w:val="3"/>
        <w:tabs>
          <w:tab w:val="right" w:leader="dot" w:pos="9061"/>
        </w:tabs>
        <w:ind w:left="0" w:firstLine="480" w:firstLineChars="200"/>
        <w:jc w:val="both"/>
        <w:rPr>
          <w:rFonts w:hint="eastAsia" w:ascii="黑体" w:hAnsi="黑体" w:eastAsia="黑体" w:cs="黑体"/>
          <w:b w:val="0"/>
          <w:sz w:val="24"/>
          <w:szCs w:val="24"/>
        </w:rPr>
      </w:pPr>
      <w:bookmarkStart w:id="109" w:name="_Toc27202"/>
      <w:bookmarkStart w:id="110" w:name="_Toc16330034"/>
      <w:bookmarkStart w:id="111" w:name="_Toc17656"/>
      <w:bookmarkStart w:id="112" w:name="_Toc31331"/>
      <w:r>
        <w:rPr>
          <w:rFonts w:hint="eastAsia" w:ascii="黑体" w:hAnsi="黑体" w:eastAsia="黑体" w:cs="黑体"/>
          <w:b w:val="0"/>
          <w:sz w:val="24"/>
          <w:szCs w:val="24"/>
        </w:rPr>
        <w:t>17 其他规定</w:t>
      </w:r>
      <w:bookmarkEnd w:id="109"/>
      <w:bookmarkEnd w:id="110"/>
      <w:bookmarkEnd w:id="111"/>
      <w:bookmarkEnd w:id="112"/>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pPr>
        <w:spacing w:line="360" w:lineRule="auto"/>
        <w:ind w:firstLine="480" w:firstLineChars="200"/>
        <w:rPr>
          <w:rFonts w:hint="eastAsia" w:ascii="仿宋_GB2312" w:hAnsi="仿宋_GB2312" w:eastAsia="仿宋_GB2312" w:cs="仿宋_GB2312"/>
          <w:sz w:val="24"/>
          <w:szCs w:val="24"/>
        </w:rPr>
      </w:pPr>
      <w:bookmarkStart w:id="113" w:name="_Toc29136"/>
      <w:bookmarkStart w:id="114" w:name="_Toc19077"/>
      <w:bookmarkStart w:id="115" w:name="_Toc16330035"/>
      <w:bookmarkStart w:id="116" w:name="_Toc17952"/>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18 签署事项</w:t>
      </w:r>
      <w:bookmarkEnd w:id="113"/>
      <w:bookmarkEnd w:id="114"/>
      <w:bookmarkEnd w:id="115"/>
      <w:bookmarkEnd w:id="116"/>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hint="eastAsia" w:ascii="仿宋_GB2312" w:hAnsi="仿宋_GB2312" w:eastAsia="仿宋_GB2312" w:cs="仿宋_GB2312"/>
          <w:sz w:val="24"/>
        </w:rPr>
        <w:t>所有的手写涂改、一方擅自增加、删改、篡改部分无效（电子签名除外）</w:t>
      </w:r>
      <w:r>
        <w:rPr>
          <w:rFonts w:hint="eastAsia" w:ascii="仿宋_GB2312" w:hAnsi="仿宋_GB2312" w:eastAsia="仿宋_GB2312" w:cs="仿宋_GB2312"/>
          <w:sz w:val="24"/>
          <w:szCs w:val="24"/>
        </w:rPr>
        <w:t>。</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hint="eastAsia"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rPr>
      </w:pP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rPr>
        <w:t>乙方单位全称</w:t>
      </w:r>
    </w:p>
    <w:p>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pPr>
        <w:rPr>
          <w:rFonts w:hint="eastAsia" w:ascii="黑体" w:hAnsi="黑体" w:eastAsia="黑体" w:cstheme="minorEastAsia"/>
          <w:sz w:val="28"/>
          <w:szCs w:val="28"/>
        </w:rPr>
        <w:sectPr>
          <w:pgSz w:w="11907" w:h="16840"/>
          <w:pgMar w:top="1304" w:right="1418" w:bottom="1304" w:left="1418" w:header="724" w:footer="851" w:gutter="0"/>
          <w:cols w:space="720" w:num="1"/>
          <w:docGrid w:linePitch="290" w:charSpace="-3931"/>
        </w:sectPr>
      </w:pPr>
    </w:p>
    <w:p>
      <w:pPr>
        <w:rPr>
          <w:rFonts w:hint="eastAsia"/>
          <w:highlight w:val="yellow"/>
        </w:rPr>
      </w:pPr>
      <w:r>
        <w:rPr>
          <w:rFonts w:hint="eastAsia" w:ascii="黑体" w:hAnsi="黑体" w:eastAsia="黑体" w:cstheme="minorEastAsia"/>
          <w:sz w:val="28"/>
          <w:szCs w:val="28"/>
        </w:rPr>
        <w:t>附件一：设备清单明细表【作为附件另附】</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56"/>
        <w:gridCol w:w="790"/>
        <w:gridCol w:w="702"/>
        <w:gridCol w:w="1064"/>
        <w:gridCol w:w="1043"/>
        <w:gridCol w:w="976"/>
        <w:gridCol w:w="880"/>
        <w:gridCol w:w="995"/>
        <w:gridCol w:w="679"/>
        <w:gridCol w:w="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不含税</w:t>
            </w:r>
          </w:p>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含税</w:t>
            </w:r>
          </w:p>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8"/>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790"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701"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106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104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97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881"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99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8"/>
              <w:spacing w:line="360" w:lineRule="auto"/>
              <w:ind w:left="0" w:firstLine="0"/>
              <w:jc w:val="center"/>
              <w:rPr>
                <w:rFonts w:hint="eastAsia"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8"/>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790"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701"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106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104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97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881"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99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8"/>
              <w:spacing w:line="360" w:lineRule="auto"/>
              <w:ind w:left="0" w:firstLine="0"/>
              <w:jc w:val="center"/>
              <w:rPr>
                <w:rFonts w:hint="eastAsia"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8"/>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790"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701"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106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104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97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881"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99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8"/>
              <w:spacing w:line="360" w:lineRule="auto"/>
              <w:ind w:left="0" w:firstLine="0"/>
              <w:jc w:val="center"/>
              <w:rPr>
                <w:rFonts w:hint="eastAsia"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8"/>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790"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701"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1066" w:type="dxa"/>
            <w:vAlign w:val="center"/>
          </w:tcPr>
          <w:p>
            <w:pPr>
              <w:pStyle w:val="28"/>
              <w:spacing w:line="360" w:lineRule="auto"/>
              <w:ind w:left="0" w:firstLine="0"/>
              <w:jc w:val="center"/>
              <w:rPr>
                <w:rFonts w:hint="eastAsia" w:ascii="仿宋_GB2312" w:eastAsia="仿宋_GB2312" w:hAnsiTheme="minorEastAsia" w:cstheme="minorEastAsia"/>
              </w:rPr>
            </w:pPr>
          </w:p>
        </w:tc>
        <w:tc>
          <w:tcPr>
            <w:tcW w:w="1046" w:type="dxa"/>
            <w:vAlign w:val="center"/>
          </w:tcPr>
          <w:p>
            <w:pPr>
              <w:spacing w:line="360" w:lineRule="auto"/>
              <w:jc w:val="center"/>
              <w:rPr>
                <w:rFonts w:hint="eastAsia" w:ascii="仿宋_GB2312" w:eastAsia="仿宋_GB2312" w:hAnsiTheme="minorEastAsia" w:cstheme="minorEastAsia"/>
              </w:rPr>
            </w:pPr>
          </w:p>
        </w:tc>
        <w:tc>
          <w:tcPr>
            <w:tcW w:w="977" w:type="dxa"/>
            <w:vAlign w:val="center"/>
          </w:tcPr>
          <w:p>
            <w:pPr>
              <w:spacing w:line="360" w:lineRule="auto"/>
              <w:jc w:val="center"/>
              <w:rPr>
                <w:rFonts w:hint="eastAsia" w:ascii="仿宋_GB2312" w:eastAsia="仿宋_GB2312" w:hAnsiTheme="minorEastAsia" w:cstheme="minorEastAsia"/>
              </w:rPr>
            </w:pPr>
          </w:p>
        </w:tc>
        <w:tc>
          <w:tcPr>
            <w:tcW w:w="881" w:type="dxa"/>
            <w:vAlign w:val="center"/>
          </w:tcPr>
          <w:p>
            <w:pPr>
              <w:spacing w:line="360" w:lineRule="auto"/>
              <w:jc w:val="center"/>
              <w:rPr>
                <w:rFonts w:hint="eastAsia" w:ascii="仿宋_GB2312" w:eastAsia="仿宋_GB2312" w:hAnsiTheme="minorEastAsia" w:cstheme="minorEastAsia"/>
              </w:rPr>
            </w:pPr>
          </w:p>
        </w:tc>
        <w:tc>
          <w:tcPr>
            <w:tcW w:w="997" w:type="dxa"/>
            <w:vAlign w:val="center"/>
          </w:tcPr>
          <w:p>
            <w:pPr>
              <w:spacing w:line="360" w:lineRule="auto"/>
              <w:jc w:val="center"/>
              <w:rPr>
                <w:rFonts w:hint="eastAsia" w:ascii="仿宋_GB2312" w:eastAsia="仿宋_GB2312" w:hAnsiTheme="minorEastAsia" w:cstheme="minorEastAsia"/>
              </w:rPr>
            </w:pPr>
          </w:p>
        </w:tc>
        <w:tc>
          <w:tcPr>
            <w:tcW w:w="677" w:type="dxa"/>
            <w:vAlign w:val="center"/>
          </w:tcPr>
          <w:p>
            <w:pPr>
              <w:spacing w:line="360" w:lineRule="auto"/>
              <w:jc w:val="center"/>
              <w:rPr>
                <w:rFonts w:hint="eastAsia" w:ascii="仿宋_GB2312" w:eastAsia="仿宋_GB2312" w:hAnsiTheme="minorEastAsia" w:cstheme="minorEastAsia"/>
              </w:rPr>
            </w:pPr>
          </w:p>
        </w:tc>
        <w:tc>
          <w:tcPr>
            <w:tcW w:w="677" w:type="dxa"/>
            <w:vAlign w:val="center"/>
          </w:tcPr>
          <w:p>
            <w:pPr>
              <w:spacing w:line="360" w:lineRule="auto"/>
              <w:jc w:val="center"/>
              <w:rPr>
                <w:rFonts w:hint="eastAsia" w:ascii="仿宋_GB2312" w:eastAsia="仿宋_GB2312" w:hAnsiTheme="minorEastAsia" w:cstheme="minorEastAsia"/>
              </w:rPr>
            </w:pPr>
          </w:p>
        </w:tc>
      </w:tr>
      <w:bookmarkEnd w:id="43"/>
    </w:tbl>
    <w:p>
      <w:pPr>
        <w:pStyle w:val="3"/>
        <w:tabs>
          <w:tab w:val="right" w:leader="dot" w:pos="9061"/>
        </w:tabs>
        <w:ind w:left="0"/>
        <w:jc w:val="both"/>
        <w:rPr>
          <w:rFonts w:hint="eastAsia" w:asciiTheme="minorEastAsia" w:hAnsiTheme="minorEastAsia" w:eastAsiaTheme="minorEastAsia" w:cstheme="minorEastAsia"/>
          <w:sz w:val="20"/>
        </w:rPr>
      </w:pPr>
    </w:p>
    <w:p>
      <w:pPr>
        <w:rPr>
          <w:rFonts w:hint="eastAsia" w:asciiTheme="minorEastAsia" w:hAnsiTheme="minorEastAsia" w:cstheme="minorEastAsia"/>
          <w:sz w:val="20"/>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pPr>
        <w:widowControl/>
        <w:adjustRightInd w:val="0"/>
        <w:snapToGrid w:val="0"/>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jc w:val="left"/>
        <w:rPr>
          <w:rFonts w:hint="eastAsia" w:ascii="仿宋_GB2312" w:hAnsi="仿宋_GB2312" w:eastAsia="仿宋_GB2312" w:cs="仿宋_GB2312"/>
          <w:snapToGrid w:val="0"/>
          <w:color w:val="000000"/>
          <w:kern w:val="0"/>
          <w:sz w:val="24"/>
          <w:szCs w:val="24"/>
          <w:lang w:eastAsia="zh-Hans"/>
        </w:rPr>
      </w:pPr>
    </w:p>
    <w:p>
      <w:pPr>
        <w:rPr>
          <w:rFonts w:hint="eastAsia" w:ascii="黑体" w:hAnsi="黑体" w:eastAsia="黑体" w:cstheme="minorEastAsia"/>
          <w:sz w:val="28"/>
          <w:szCs w:val="28"/>
        </w:rPr>
      </w:pPr>
      <w:r>
        <w:rPr>
          <w:rFonts w:hint="eastAsia" w:ascii="黑体" w:hAnsi="黑体" w:eastAsia="黑体" w:cstheme="minorEastAsia"/>
          <w:sz w:val="28"/>
          <w:szCs w:val="28"/>
        </w:rPr>
        <w:t>附件二 技术协议书</w:t>
      </w:r>
    </w:p>
    <w:p>
      <w:pPr>
        <w:widowControl/>
        <w:adjustRightInd w:val="0"/>
        <w:snapToGrid w:val="0"/>
        <w:spacing w:line="360" w:lineRule="auto"/>
        <w:jc w:val="left"/>
        <w:rPr>
          <w:rFonts w:hint="eastAsia" w:ascii="黑体" w:hAnsi="黑体" w:eastAsia="黑体" w:cstheme="minorEastAsia"/>
          <w:sz w:val="28"/>
          <w:szCs w:val="28"/>
          <w:lang w:eastAsia="zh-Hans"/>
        </w:rPr>
      </w:pPr>
      <w:r>
        <w:rPr>
          <w:rFonts w:hint="eastAsia" w:ascii="黑体" w:hAnsi="黑体" w:eastAsia="黑体" w:cstheme="minorEastAsia"/>
          <w:sz w:val="28"/>
          <w:szCs w:val="28"/>
        </w:rPr>
        <w:t>作为附件另附</w:t>
      </w:r>
    </w:p>
    <w:p>
      <w:pPr>
        <w:wordWrap w:val="0"/>
        <w:ind w:right="480"/>
        <w:rPr>
          <w:rFonts w:hint="eastAsia" w:asciiTheme="minorEastAsia" w:hAnsiTheme="minorEastAsia" w:cstheme="minorEastAsia"/>
          <w:sz w:val="20"/>
          <w:szCs w:val="20"/>
        </w:rPr>
      </w:pPr>
    </w:p>
    <w:p>
      <w:pPr>
        <w:jc w:val="right"/>
        <w:rPr>
          <w:rFonts w:hint="eastAsia" w:ascii="楷体_GB2312" w:hAnsi="宋体" w:eastAsia="楷体_GB2312"/>
          <w:sz w:val="24"/>
        </w:rPr>
      </w:pPr>
      <w:bookmarkStart w:id="117" w:name="_Toc14341849"/>
    </w:p>
    <w:p>
      <w:pPr>
        <w:ind w:right="480"/>
        <w:jc w:val="center"/>
        <w:rPr>
          <w:rFonts w:hint="eastAsia"/>
          <w:sz w:val="24"/>
          <w:szCs w:val="24"/>
        </w:rPr>
      </w:pPr>
      <w:r>
        <w:rPr>
          <w:rFonts w:hint="eastAsia" w:ascii="楷体_GB2312" w:hAnsi="宋体" w:eastAsia="楷体_GB2312"/>
          <w:sz w:val="24"/>
        </w:rPr>
        <w:t xml:space="preserve">                                    </w:t>
      </w:r>
    </w:p>
    <w:bookmarkEnd w:id="117"/>
    <w:p>
      <w:pPr>
        <w:rPr>
          <w:rFonts w:hint="eastAsia" w:ascii="方正小标宋简体" w:hAnsi="方正小标宋简体" w:eastAsia="方正小标宋简体" w:cs="方正小标宋简体"/>
          <w:sz w:val="40"/>
          <w:szCs w:val="21"/>
        </w:rPr>
        <w:sectPr>
          <w:footerReference r:id="rId18" w:type="first"/>
          <w:headerReference r:id="rId16" w:type="default"/>
          <w:footerReference r:id="rId17" w:type="default"/>
          <w:pgSz w:w="11906" w:h="16838"/>
          <w:pgMar w:top="1588" w:right="1418" w:bottom="1134" w:left="1418" w:header="851" w:footer="992" w:gutter="0"/>
          <w:cols w:space="720" w:num="1"/>
          <w:titlePg/>
          <w:docGrid w:type="lines" w:linePitch="312" w:charSpace="0"/>
        </w:sectPr>
      </w:pPr>
    </w:p>
    <w:p>
      <w:pPr>
        <w:spacing w:before="118"/>
        <w:ind w:right="2435"/>
        <w:jc w:val="center"/>
        <w:rPr>
          <w:rFonts w:hint="eastAsia" w:ascii="楷体" w:hAnsi="楷体" w:eastAsia="楷体" w:cs="楷体"/>
          <w:sz w:val="40"/>
          <w:szCs w:val="21"/>
        </w:rPr>
      </w:pPr>
      <w:r>
        <w:rPr>
          <w:rFonts w:hint="eastAsia" w:ascii="方正小标宋简体" w:hAnsi="方正小标宋简体" w:eastAsia="方正小标宋简体" w:cs="方正小标宋简体"/>
          <w:sz w:val="40"/>
          <w:szCs w:val="21"/>
        </w:rPr>
        <w:t xml:space="preserve">          廉洁诚信协议</w:t>
      </w:r>
    </w:p>
    <w:p>
      <w:pPr>
        <w:pStyle w:val="14"/>
        <w:spacing w:before="8" w:after="156"/>
        <w:rPr>
          <w:rFonts w:hint="eastAsia" w:ascii="楷体" w:hAnsi="楷体" w:eastAsia="楷体" w:cs="楷体"/>
          <w:sz w:val="44"/>
          <w:szCs w:val="28"/>
        </w:rPr>
      </w:pPr>
    </w:p>
    <w:p>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甲方：</w:t>
      </w:r>
    </w:p>
    <w:p>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乙方：</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rPr>
        <w:t>,共同加强廉洁自律建设，甲乙双方在平等、自愿、协商一致的原则下，签订本协议。</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1.甲乙双方应当共同遵守国家、地方法律法规以及本协议的约定，在合同的订立、履行过程中廉洁自律，绝不弄虚作假、以次充好，虚结虚算。</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2.乙方声明并承诺甲方人员或其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和其他特定关系人（甲方人员为领导干部的，其他特定关系人包含身边工作人员）</w:t>
      </w:r>
      <w:r>
        <w:rPr>
          <w:rFonts w:ascii="楷体" w:hAnsi="楷体" w:eastAsia="楷体" w:cs="楷体"/>
          <w:spacing w:val="-2"/>
          <w:sz w:val="28"/>
          <w:szCs w:val="28"/>
        </w:rPr>
        <w:t>没有直接或间接投资乙方或持有乙方股权，没有直接或间接投资乙方关联企业或持有乙方关联企业股权。</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3.乙方承诺乙方或乙方关联企业股东、实际出资人或持股人、高管、主要业务人员不得与甲方人员或其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共同成立公司，不得聘请甲方人员或其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在乙方或乙方关联企业股东或实际出资人或高管或主要业务人员成立的企业中担任高管或为其</w:t>
      </w:r>
      <w:r>
        <w:rPr>
          <w:rFonts w:hint="eastAsia" w:ascii="楷体" w:hAnsi="楷体" w:eastAsia="楷体" w:cs="楷体"/>
          <w:spacing w:val="-2"/>
          <w:sz w:val="28"/>
          <w:szCs w:val="28"/>
        </w:rPr>
        <w:t>违规</w:t>
      </w:r>
      <w:r>
        <w:rPr>
          <w:rFonts w:ascii="楷体" w:hAnsi="楷体" w:eastAsia="楷体" w:cs="楷体"/>
          <w:spacing w:val="-2"/>
          <w:sz w:val="28"/>
          <w:szCs w:val="28"/>
        </w:rPr>
        <w:t>发放薪酬。</w:t>
      </w:r>
      <w:r>
        <w:rPr>
          <w:rFonts w:hint="eastAsia" w:ascii="楷体" w:hAnsi="楷体" w:eastAsia="楷体" w:cs="楷体"/>
          <w:spacing w:val="-2"/>
          <w:sz w:val="28"/>
          <w:szCs w:val="28"/>
        </w:rPr>
        <w:t>违规发放薪酬包括不实际工作而获取薪酬或者虽实际工作但领取明显超出同职级标准薪酬。</w:t>
      </w:r>
      <w:r>
        <w:rPr>
          <w:rFonts w:ascii="楷体" w:hAnsi="楷体" w:eastAsia="楷体" w:cs="楷体"/>
          <w:spacing w:val="-2"/>
          <w:sz w:val="28"/>
          <w:szCs w:val="28"/>
        </w:rPr>
        <w:t>（</w:t>
      </w:r>
      <w:r>
        <w:rPr>
          <w:rFonts w:hint="eastAsia" w:ascii="楷体" w:hAnsi="楷体" w:eastAsia="楷体" w:cs="楷体"/>
          <w:spacing w:val="-2"/>
          <w:sz w:val="28"/>
          <w:szCs w:val="28"/>
        </w:rPr>
        <w:t>若乙方为甲方</w:t>
      </w:r>
      <w:r>
        <w:rPr>
          <w:rFonts w:ascii="楷体" w:hAnsi="楷体" w:eastAsia="楷体" w:cs="楷体"/>
          <w:spacing w:val="-2"/>
          <w:sz w:val="28"/>
          <w:szCs w:val="28"/>
        </w:rPr>
        <w:t>新</w:t>
      </w:r>
      <w:r>
        <w:rPr>
          <w:rFonts w:hint="eastAsia" w:ascii="楷体" w:hAnsi="楷体" w:eastAsia="楷体" w:cs="楷体"/>
          <w:spacing w:val="-2"/>
          <w:sz w:val="28"/>
          <w:szCs w:val="28"/>
        </w:rPr>
        <w:t>合作伙伴</w:t>
      </w:r>
      <w:r>
        <w:rPr>
          <w:rFonts w:ascii="楷体" w:hAnsi="楷体" w:eastAsia="楷体" w:cs="楷体"/>
          <w:spacing w:val="-2"/>
          <w:sz w:val="28"/>
          <w:szCs w:val="28"/>
        </w:rPr>
        <w:t>，如在本协议签订前乙方存在本条规定情形的，需在本协议签订后30日内，将相关情况报</w:t>
      </w:r>
      <w:r>
        <w:rPr>
          <w:rFonts w:hint="eastAsia" w:ascii="楷体" w:hAnsi="楷体" w:eastAsia="楷体" w:cs="楷体"/>
          <w:spacing w:val="-2"/>
          <w:sz w:val="28"/>
          <w:szCs w:val="28"/>
        </w:rPr>
        <w:t>甲方所属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w:t>
      </w:r>
      <w:r>
        <w:rPr>
          <w:rFonts w:hint="eastAsia" w:ascii="楷体" w:hAnsi="楷体" w:eastAsia="楷体" w:cs="楷体"/>
          <w:spacing w:val="-2"/>
          <w:sz w:val="28"/>
          <w:szCs w:val="28"/>
        </w:rPr>
        <w:t>门</w:t>
      </w:r>
      <w:r>
        <w:rPr>
          <w:rFonts w:ascii="楷体" w:hAnsi="楷体" w:eastAsia="楷体" w:cs="楷体"/>
          <w:spacing w:val="-2"/>
          <w:sz w:val="28"/>
          <w:szCs w:val="28"/>
        </w:rPr>
        <w:t>备案）。</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4.乙方承诺依法开展经营活动，不得有任何形式的商业贿赂行为。乙方一经发现其员工或其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rPr>
        <w:t>已</w:t>
      </w:r>
      <w:r>
        <w:rPr>
          <w:rFonts w:ascii="楷体" w:hAnsi="楷体" w:eastAsia="楷体" w:cs="楷体"/>
          <w:spacing w:val="-2"/>
          <w:sz w:val="28"/>
          <w:szCs w:val="28"/>
        </w:rPr>
        <w:t>签订的</w:t>
      </w:r>
      <w:r>
        <w:rPr>
          <w:rFonts w:hint="eastAsia" w:ascii="楷体" w:hAnsi="楷体" w:eastAsia="楷体" w:cs="楷体"/>
          <w:spacing w:val="-2"/>
          <w:sz w:val="28"/>
          <w:szCs w:val="28"/>
        </w:rPr>
        <w:t>所有合同</w:t>
      </w:r>
      <w:r>
        <w:rPr>
          <w:rFonts w:ascii="楷体" w:hAnsi="楷体" w:eastAsia="楷体" w:cs="楷体"/>
          <w:spacing w:val="-2"/>
          <w:sz w:val="28"/>
          <w:szCs w:val="28"/>
        </w:rPr>
        <w:t>协议，并要求乙方赔偿。</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5.乙方承诺不以任何理由为甲方人员及其</w:t>
      </w:r>
      <w:r>
        <w:rPr>
          <w:rFonts w:hint="eastAsia" w:ascii="楷体" w:hAnsi="楷体" w:eastAsia="楷体" w:cs="楷体"/>
          <w:spacing w:val="-2"/>
          <w:sz w:val="28"/>
          <w:szCs w:val="28"/>
        </w:rPr>
        <w:t>配偶、子女及其配偶等亲属和其他特定关系人提供如下：</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a)</w:t>
      </w:r>
      <w:r>
        <w:rPr>
          <w:rFonts w:ascii="楷体" w:hAnsi="楷体" w:eastAsia="楷体" w:cs="楷体"/>
          <w:spacing w:val="-2"/>
          <w:sz w:val="28"/>
          <w:szCs w:val="28"/>
        </w:rPr>
        <w:t>赠送</w:t>
      </w:r>
      <w:r>
        <w:rPr>
          <w:rFonts w:hint="eastAsia" w:ascii="楷体" w:hAnsi="楷体" w:eastAsia="楷体" w:cs="楷体"/>
          <w:spacing w:val="-2"/>
          <w:sz w:val="28"/>
          <w:szCs w:val="28"/>
        </w:rPr>
        <w:t>礼品、</w:t>
      </w:r>
      <w:r>
        <w:rPr>
          <w:rFonts w:ascii="楷体" w:hAnsi="楷体" w:eastAsia="楷体" w:cs="楷体"/>
          <w:spacing w:val="-2"/>
          <w:sz w:val="28"/>
          <w:szCs w:val="28"/>
        </w:rPr>
        <w:t>礼金、</w:t>
      </w:r>
      <w:r>
        <w:rPr>
          <w:rFonts w:hint="eastAsia" w:ascii="楷体" w:hAnsi="楷体" w:eastAsia="楷体" w:cs="楷体"/>
          <w:spacing w:val="-2"/>
          <w:sz w:val="28"/>
          <w:szCs w:val="28"/>
        </w:rPr>
        <w:t>消费卡（券）、</w:t>
      </w:r>
      <w:r>
        <w:rPr>
          <w:rFonts w:ascii="楷体" w:hAnsi="楷体" w:eastAsia="楷体" w:cs="楷体"/>
          <w:spacing w:val="-2"/>
          <w:sz w:val="28"/>
          <w:szCs w:val="28"/>
        </w:rPr>
        <w:t>购物卡、充值卡、信用卡</w:t>
      </w:r>
      <w:r>
        <w:rPr>
          <w:rFonts w:hint="eastAsia" w:ascii="楷体" w:hAnsi="楷体" w:eastAsia="楷体" w:cs="楷体"/>
          <w:spacing w:val="-2"/>
          <w:sz w:val="28"/>
          <w:szCs w:val="28"/>
        </w:rPr>
        <w:t>和</w:t>
      </w:r>
      <w:r>
        <w:rPr>
          <w:rFonts w:ascii="楷体" w:hAnsi="楷体" w:eastAsia="楷体" w:cs="楷体"/>
          <w:spacing w:val="-2"/>
          <w:sz w:val="28"/>
          <w:szCs w:val="28"/>
        </w:rPr>
        <w:t>有价证券</w:t>
      </w:r>
      <w:r>
        <w:rPr>
          <w:rFonts w:hint="eastAsia" w:ascii="楷体" w:hAnsi="楷体" w:eastAsia="楷体" w:cs="楷体"/>
          <w:spacing w:val="-2"/>
          <w:sz w:val="28"/>
          <w:szCs w:val="28"/>
        </w:rPr>
        <w:t>、股权、其他金融产品等财物</w:t>
      </w:r>
      <w:r>
        <w:rPr>
          <w:rFonts w:ascii="楷体" w:hAnsi="楷体" w:eastAsia="楷体" w:cs="楷体"/>
          <w:spacing w:val="-2"/>
          <w:sz w:val="28"/>
          <w:szCs w:val="28"/>
        </w:rPr>
        <w:t>和其他贵重物品；</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b)</w:t>
      </w:r>
      <w:r>
        <w:rPr>
          <w:rFonts w:ascii="楷体" w:hAnsi="楷体" w:eastAsia="楷体" w:cs="楷体"/>
          <w:spacing w:val="-2"/>
          <w:sz w:val="28"/>
          <w:szCs w:val="28"/>
        </w:rPr>
        <w:t>报销个人费用</w:t>
      </w:r>
      <w:r>
        <w:rPr>
          <w:rFonts w:hint="eastAsia" w:ascii="楷体" w:hAnsi="楷体" w:eastAsia="楷体" w:cs="楷体"/>
          <w:spacing w:val="-2"/>
          <w:sz w:val="28"/>
          <w:szCs w:val="28"/>
        </w:rPr>
        <w:t>或以讲课费、课题费、咨询费等名义支付费用</w:t>
      </w:r>
      <w:r>
        <w:rPr>
          <w:rFonts w:ascii="楷体" w:hAnsi="楷体" w:eastAsia="楷体" w:cs="楷体"/>
          <w:spacing w:val="-2"/>
          <w:sz w:val="28"/>
          <w:szCs w:val="28"/>
        </w:rPr>
        <w:t>；</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c)</w:t>
      </w:r>
      <w:r>
        <w:rPr>
          <w:rFonts w:ascii="楷体" w:hAnsi="楷体" w:eastAsia="楷体" w:cs="楷体"/>
          <w:spacing w:val="-2"/>
          <w:sz w:val="28"/>
          <w:szCs w:val="28"/>
        </w:rPr>
        <w:t>以洽谈业务、签订合同等为借口宴请或邀请外出旅游</w:t>
      </w:r>
      <w:r>
        <w:rPr>
          <w:rFonts w:hint="eastAsia" w:ascii="楷体" w:hAnsi="楷体" w:eastAsia="楷体" w:cs="楷体"/>
          <w:spacing w:val="-2"/>
          <w:sz w:val="28"/>
          <w:szCs w:val="28"/>
        </w:rPr>
        <w:t>、健身、娱乐</w:t>
      </w:r>
      <w:r>
        <w:rPr>
          <w:rFonts w:ascii="楷体" w:hAnsi="楷体" w:eastAsia="楷体" w:cs="楷体"/>
          <w:spacing w:val="-2"/>
          <w:sz w:val="28"/>
          <w:szCs w:val="28"/>
        </w:rPr>
        <w:t>和进入营业性娱乐场所；</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d)</w:t>
      </w:r>
      <w:r>
        <w:rPr>
          <w:rFonts w:ascii="楷体" w:hAnsi="楷体" w:eastAsia="楷体" w:cs="楷体"/>
          <w:spacing w:val="-2"/>
          <w:sz w:val="28"/>
          <w:szCs w:val="28"/>
        </w:rPr>
        <w:t>购置或提供通讯、交通工具</w:t>
      </w:r>
      <w:r>
        <w:rPr>
          <w:rFonts w:hint="eastAsia" w:ascii="楷体" w:hAnsi="楷体" w:eastAsia="楷体" w:cs="楷体"/>
          <w:spacing w:val="-2"/>
          <w:sz w:val="28"/>
          <w:szCs w:val="28"/>
        </w:rPr>
        <w:t>、钱款、住房、车辆等或提供通过民间借贷等金融助其获得大额回报</w:t>
      </w:r>
      <w:r>
        <w:rPr>
          <w:rFonts w:ascii="楷体" w:hAnsi="楷体" w:eastAsia="楷体" w:cs="楷体"/>
          <w:spacing w:val="-2"/>
          <w:sz w:val="28"/>
          <w:szCs w:val="28"/>
        </w:rPr>
        <w:t>；</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e)</w:t>
      </w:r>
      <w:r>
        <w:rPr>
          <w:rFonts w:ascii="楷体" w:hAnsi="楷体" w:eastAsia="楷体" w:cs="楷体"/>
          <w:spacing w:val="-2"/>
          <w:sz w:val="28"/>
          <w:szCs w:val="28"/>
        </w:rPr>
        <w:t>住房装修、婚丧嫁娶、家属和子女的工作安排以及出国等提供任何金钱或非金钱方式的资助或帮助</w:t>
      </w:r>
      <w:r>
        <w:rPr>
          <w:rFonts w:hint="eastAsia" w:ascii="楷体" w:hAnsi="楷体" w:eastAsia="楷体" w:cs="楷体"/>
          <w:spacing w:val="-2"/>
          <w:sz w:val="28"/>
          <w:szCs w:val="28"/>
        </w:rPr>
        <w:t>；</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f)吸收存款、推销金融产品、经营名贵特产类资源等提供帮助谋取利益；</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g)其他可能影响甲方人员公平、公正的履行职权或者履行职责的情形</w:t>
      </w:r>
      <w:r>
        <w:rPr>
          <w:rFonts w:ascii="楷体" w:hAnsi="楷体" w:eastAsia="楷体" w:cs="楷体"/>
          <w:spacing w:val="-2"/>
          <w:sz w:val="28"/>
          <w:szCs w:val="28"/>
        </w:rPr>
        <w:t>。</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6.乙方应当通过正常途径开展相关业务，决不为谋取不正当利益诱使甲方人员就</w:t>
      </w:r>
      <w:r>
        <w:rPr>
          <w:rFonts w:hint="eastAsia" w:ascii="楷体" w:hAnsi="楷体" w:eastAsia="楷体" w:cs="楷体"/>
          <w:spacing w:val="-2"/>
          <w:sz w:val="28"/>
          <w:szCs w:val="28"/>
        </w:rPr>
        <w:t>采购、服务或销售、经销的物项种类</w:t>
      </w:r>
      <w:r>
        <w:rPr>
          <w:rFonts w:ascii="楷体" w:hAnsi="楷体" w:eastAsia="楷体" w:cs="楷体"/>
          <w:spacing w:val="-2"/>
          <w:sz w:val="28"/>
          <w:szCs w:val="28"/>
        </w:rPr>
        <w:t>、</w:t>
      </w:r>
      <w:r>
        <w:rPr>
          <w:rFonts w:hint="eastAsia" w:ascii="楷体" w:hAnsi="楷体" w:eastAsia="楷体" w:cs="楷体"/>
          <w:spacing w:val="-2"/>
          <w:sz w:val="28"/>
          <w:szCs w:val="28"/>
        </w:rPr>
        <w:t>物项</w:t>
      </w:r>
      <w:r>
        <w:rPr>
          <w:rFonts w:ascii="楷体" w:hAnsi="楷体" w:eastAsia="楷体" w:cs="楷体"/>
          <w:spacing w:val="-2"/>
          <w:sz w:val="28"/>
          <w:szCs w:val="28"/>
        </w:rPr>
        <w:t>数量、价格</w:t>
      </w:r>
      <w:r>
        <w:rPr>
          <w:rFonts w:hint="eastAsia" w:ascii="楷体" w:hAnsi="楷体" w:eastAsia="楷体" w:cs="楷体"/>
          <w:spacing w:val="-2"/>
          <w:sz w:val="28"/>
          <w:szCs w:val="28"/>
        </w:rPr>
        <w:t>条件</w:t>
      </w:r>
      <w:r>
        <w:rPr>
          <w:rFonts w:ascii="楷体" w:hAnsi="楷体" w:eastAsia="楷体" w:cs="楷体"/>
          <w:spacing w:val="-2"/>
          <w:sz w:val="28"/>
          <w:szCs w:val="28"/>
        </w:rPr>
        <w:t>、</w:t>
      </w:r>
      <w:r>
        <w:rPr>
          <w:rFonts w:hint="eastAsia" w:ascii="楷体" w:hAnsi="楷体" w:eastAsia="楷体" w:cs="楷体"/>
          <w:spacing w:val="-2"/>
          <w:sz w:val="28"/>
          <w:szCs w:val="28"/>
        </w:rPr>
        <w:t>付款条件、</w:t>
      </w:r>
      <w:r>
        <w:rPr>
          <w:rFonts w:ascii="楷体" w:hAnsi="楷体" w:eastAsia="楷体" w:cs="楷体"/>
          <w:spacing w:val="-2"/>
          <w:sz w:val="28"/>
          <w:szCs w:val="28"/>
        </w:rPr>
        <w:t>质量问题处理等方面私下商谈或达成默契</w:t>
      </w:r>
      <w:r>
        <w:rPr>
          <w:rFonts w:hint="eastAsia" w:ascii="楷体" w:hAnsi="楷体" w:eastAsia="楷体" w:cs="楷体"/>
          <w:spacing w:val="-2"/>
          <w:sz w:val="28"/>
          <w:szCs w:val="28"/>
        </w:rPr>
        <w:t>；</w:t>
      </w:r>
      <w:r>
        <w:rPr>
          <w:rFonts w:ascii="楷体" w:hAnsi="楷体" w:eastAsia="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7.若乙方发现甲方人员或其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有任何形式的索贿受贿行为，乙方有责任向甲方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监察部门举报（举报电话：0531-58062233，举报邮箱：zgzqjw@sinotruk.com）。甲方不得</w:t>
      </w:r>
      <w:r>
        <w:rPr>
          <w:rFonts w:hint="eastAsia" w:ascii="楷体" w:hAnsi="楷体" w:eastAsia="楷体" w:cs="楷体"/>
          <w:spacing w:val="-2"/>
          <w:sz w:val="28"/>
          <w:szCs w:val="28"/>
        </w:rPr>
        <w:t>以</w:t>
      </w:r>
      <w:r>
        <w:rPr>
          <w:rFonts w:ascii="楷体" w:hAnsi="楷体" w:eastAsia="楷体" w:cs="楷体"/>
          <w:spacing w:val="-2"/>
          <w:sz w:val="28"/>
          <w:szCs w:val="28"/>
        </w:rPr>
        <w:t>任何借口对乙方进行报复。对举报属实和严格遵守廉洁协议的乙方，在同等条件下甲方优先考虑与乙方继续合作并给予更优惠的商务合作条件。</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8.若乙方知悉其它与甲方合作的供应商</w:t>
      </w:r>
      <w:r>
        <w:rPr>
          <w:rFonts w:hint="eastAsia" w:ascii="楷体" w:hAnsi="楷体" w:eastAsia="楷体" w:cs="楷体"/>
          <w:spacing w:val="-2"/>
          <w:sz w:val="28"/>
          <w:szCs w:val="28"/>
        </w:rPr>
        <w:t>、服务商或采购商、经销商等合作伙伴</w:t>
      </w:r>
      <w:r>
        <w:rPr>
          <w:rFonts w:ascii="楷体" w:hAnsi="楷体" w:eastAsia="楷体" w:cs="楷体"/>
          <w:spacing w:val="-2"/>
          <w:sz w:val="28"/>
          <w:szCs w:val="28"/>
        </w:rPr>
        <w:t>存在违反本协议规定之行为，乙方应向甲方</w:t>
      </w:r>
      <w:r>
        <w:rPr>
          <w:rFonts w:hint="eastAsia" w:ascii="楷体" w:hAnsi="楷体" w:eastAsia="楷体" w:cs="楷体"/>
          <w:spacing w:val="-2"/>
          <w:sz w:val="28"/>
          <w:szCs w:val="28"/>
        </w:rPr>
        <w:t>或</w:t>
      </w:r>
      <w:r>
        <w:rPr>
          <w:rFonts w:ascii="楷体" w:hAnsi="楷体" w:eastAsia="楷体" w:cs="楷体"/>
          <w:spacing w:val="-2"/>
          <w:sz w:val="28"/>
          <w:szCs w:val="28"/>
        </w:rPr>
        <w:t>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监察部门检举并提供证据。</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9.乙方承诺在双方业务往来期间，不得对甲方人员采取任何手段使其离开甲方到乙方或乙方关联企业任职，若出现上述情况，则属于乙方违约，应承担给甲方造成的一切损失。</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10.乙方承诺不聘任甲方内退领导干部或其他人员在乙方或乙方关联企业工作；乙方承诺不聘任甲方离职或退休三年内的领导干部或其他人员在乙方或乙方关联企业工作。</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rPr>
        <w:t>等</w:t>
      </w:r>
      <w:r>
        <w:rPr>
          <w:rFonts w:ascii="楷体" w:hAnsi="楷体" w:eastAsia="楷体" w:cs="楷体"/>
          <w:spacing w:val="-2"/>
          <w:sz w:val="28"/>
          <w:szCs w:val="28"/>
        </w:rPr>
        <w:t>能够对其实际支配的企业或单位。</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13.</w:t>
      </w:r>
      <w:r>
        <w:rPr>
          <w:rFonts w:hint="eastAsia" w:ascii="楷体" w:hAnsi="楷体" w:eastAsia="楷体" w:cs="楷体"/>
          <w:spacing w:val="-2"/>
          <w:sz w:val="28"/>
          <w:szCs w:val="28"/>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14.本协议作为执行</w:t>
      </w:r>
      <w:r>
        <w:rPr>
          <w:rFonts w:hint="eastAsia" w:ascii="楷体" w:hAnsi="楷体" w:eastAsia="楷体" w:cs="楷体"/>
          <w:spacing w:val="-2"/>
          <w:sz w:val="28"/>
          <w:szCs w:val="28"/>
        </w:rPr>
        <w:t>甲乙双方</w:t>
      </w:r>
      <w:r>
        <w:rPr>
          <w:rFonts w:ascii="楷体" w:hAnsi="楷体" w:eastAsia="楷体" w:cs="楷体"/>
          <w:spacing w:val="-2"/>
          <w:sz w:val="28"/>
          <w:szCs w:val="28"/>
        </w:rPr>
        <w:t>采购协议</w:t>
      </w:r>
      <w:r>
        <w:rPr>
          <w:rFonts w:hint="eastAsia" w:ascii="楷体" w:hAnsi="楷体" w:eastAsia="楷体" w:cs="楷体"/>
          <w:spacing w:val="-2"/>
          <w:sz w:val="28"/>
          <w:szCs w:val="28"/>
        </w:rPr>
        <w:t>或其他合作合同、协议</w:t>
      </w:r>
      <w:r>
        <w:rPr>
          <w:rFonts w:ascii="楷体" w:hAnsi="楷体" w:eastAsia="楷体" w:cs="楷体"/>
          <w:spacing w:val="-2"/>
          <w:sz w:val="28"/>
          <w:szCs w:val="28"/>
        </w:rPr>
        <w:t>的附件，自双方签署之日起生效，此协议在</w:t>
      </w:r>
      <w:r>
        <w:rPr>
          <w:rFonts w:hint="eastAsia" w:ascii="楷体" w:hAnsi="楷体" w:eastAsia="楷体" w:cs="楷体"/>
          <w:spacing w:val="-2"/>
          <w:sz w:val="28"/>
          <w:szCs w:val="28"/>
        </w:rPr>
        <w:t>甲乙</w:t>
      </w:r>
      <w:r>
        <w:rPr>
          <w:rFonts w:ascii="楷体" w:hAnsi="楷体" w:eastAsia="楷体" w:cs="楷体"/>
          <w:spacing w:val="-2"/>
          <w:sz w:val="28"/>
          <w:szCs w:val="28"/>
        </w:rPr>
        <w:t>双方</w:t>
      </w:r>
      <w:r>
        <w:rPr>
          <w:rFonts w:hint="eastAsia" w:ascii="楷体" w:hAnsi="楷体" w:eastAsia="楷体" w:cs="楷体"/>
          <w:spacing w:val="-2"/>
          <w:sz w:val="28"/>
          <w:szCs w:val="28"/>
        </w:rPr>
        <w:t>业务</w:t>
      </w:r>
      <w:r>
        <w:rPr>
          <w:rFonts w:ascii="楷体" w:hAnsi="楷体" w:eastAsia="楷体" w:cs="楷体"/>
          <w:spacing w:val="-2"/>
          <w:sz w:val="28"/>
          <w:szCs w:val="28"/>
        </w:rPr>
        <w:t>合作期间有效</w:t>
      </w:r>
      <w:r>
        <w:rPr>
          <w:rFonts w:hint="eastAsia" w:ascii="楷体" w:hAnsi="楷体" w:eastAsia="楷体" w:cs="楷体"/>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w:t>
      </w:r>
      <w:r>
        <w:rPr>
          <w:rFonts w:hint="eastAsia" w:ascii="楷体" w:hAnsi="楷体" w:eastAsia="楷体" w:cs="楷体"/>
          <w:spacing w:val="-2"/>
          <w:sz w:val="28"/>
          <w:szCs w:val="28"/>
        </w:rPr>
        <w:t>5</w:t>
      </w:r>
      <w:r>
        <w:rPr>
          <w:rFonts w:ascii="楷体" w:hAnsi="楷体" w:eastAsia="楷体" w:cs="楷体"/>
          <w:spacing w:val="-2"/>
          <w:sz w:val="28"/>
          <w:szCs w:val="28"/>
        </w:rPr>
        <w:t>.本协议一式二份，双方各执一份，具有同等法律效力。若产生争议，双方协商解决，协商不成的在甲方所在地有管辖权的法院诉讼解决。</w:t>
      </w:r>
    </w:p>
    <w:p>
      <w:pPr>
        <w:pStyle w:val="14"/>
        <w:spacing w:before="9" w:after="156"/>
        <w:rPr>
          <w:rFonts w:hint="eastAsia" w:ascii="楷体" w:hAnsi="楷体" w:eastAsia="楷体" w:cs="楷体"/>
          <w:sz w:val="40"/>
          <w:szCs w:val="28"/>
        </w:rPr>
      </w:pPr>
    </w:p>
    <w:p>
      <w:pPr>
        <w:pStyle w:val="14"/>
        <w:spacing w:before="9" w:after="156"/>
        <w:rPr>
          <w:rFonts w:hint="eastAsia" w:ascii="楷体" w:hAnsi="楷体" w:eastAsia="楷体" w:cs="楷体"/>
          <w:sz w:val="40"/>
          <w:szCs w:val="28"/>
        </w:rPr>
      </w:pPr>
    </w:p>
    <w:p>
      <w:pPr>
        <w:tabs>
          <w:tab w:val="left" w:pos="5457"/>
        </w:tabs>
        <w:spacing w:before="1"/>
        <w:ind w:left="117"/>
        <w:rPr>
          <w:rFonts w:hint="eastAsia" w:ascii="楷体" w:hAnsi="楷体" w:eastAsia="楷体" w:cs="楷体"/>
          <w:b/>
          <w:sz w:val="24"/>
          <w:szCs w:val="21"/>
        </w:rPr>
      </w:pPr>
      <w:r>
        <w:rPr>
          <w:rFonts w:hint="eastAsia" w:ascii="楷体" w:hAnsi="楷体" w:eastAsia="楷体" w:cs="楷体"/>
          <w:b/>
          <w:spacing w:val="-1"/>
          <w:w w:val="99"/>
          <w:sz w:val="24"/>
          <w:szCs w:val="21"/>
        </w:rPr>
        <w:t>甲方（盖章</w:t>
      </w:r>
      <w:r>
        <w:rPr>
          <w:rFonts w:hint="eastAsia" w:ascii="楷体" w:hAnsi="楷体" w:eastAsia="楷体" w:cs="楷体"/>
          <w:b/>
          <w:spacing w:val="-140"/>
          <w:w w:val="99"/>
          <w:sz w:val="24"/>
          <w:szCs w:val="21"/>
        </w:rPr>
        <w:t>）</w:t>
      </w:r>
      <w:r>
        <w:rPr>
          <w:rFonts w:hint="eastAsia" w:ascii="楷体" w:hAnsi="楷体" w:eastAsia="楷体" w:cs="楷体"/>
          <w:b/>
          <w:w w:val="99"/>
          <w:sz w:val="24"/>
          <w:szCs w:val="21"/>
        </w:rPr>
        <w:t>：</w:t>
      </w:r>
      <w:r>
        <w:rPr>
          <w:rFonts w:hint="eastAsia" w:ascii="楷体" w:hAnsi="楷体" w:eastAsia="楷体" w:cs="楷体"/>
          <w:b/>
          <w:sz w:val="24"/>
          <w:szCs w:val="21"/>
        </w:rPr>
        <w:tab/>
      </w:r>
      <w:r>
        <w:rPr>
          <w:rFonts w:hint="eastAsia" w:ascii="楷体" w:hAnsi="楷体" w:eastAsia="楷体" w:cs="楷体"/>
          <w:b/>
          <w:spacing w:val="-1"/>
          <w:w w:val="99"/>
          <w:sz w:val="24"/>
          <w:szCs w:val="21"/>
        </w:rPr>
        <w:t>乙方（盖</w:t>
      </w:r>
      <w:r>
        <w:rPr>
          <w:rFonts w:hint="eastAsia" w:ascii="楷体" w:hAnsi="楷体" w:eastAsia="楷体" w:cs="楷体"/>
          <w:b/>
          <w:spacing w:val="2"/>
          <w:w w:val="99"/>
          <w:sz w:val="24"/>
          <w:szCs w:val="21"/>
        </w:rPr>
        <w:t>章</w:t>
      </w:r>
      <w:r>
        <w:rPr>
          <w:rFonts w:hint="eastAsia" w:ascii="楷体" w:hAnsi="楷体" w:eastAsia="楷体" w:cs="楷体"/>
          <w:b/>
          <w:spacing w:val="-142"/>
          <w:w w:val="99"/>
          <w:sz w:val="24"/>
          <w:szCs w:val="21"/>
        </w:rPr>
        <w:t>）</w:t>
      </w:r>
      <w:r>
        <w:rPr>
          <w:rFonts w:hint="eastAsia" w:ascii="楷体" w:hAnsi="楷体" w:eastAsia="楷体" w:cs="楷体"/>
          <w:b/>
          <w:w w:val="99"/>
          <w:sz w:val="24"/>
          <w:szCs w:val="21"/>
        </w:rPr>
        <w:t>：</w:t>
      </w:r>
    </w:p>
    <w:p>
      <w:pPr>
        <w:pStyle w:val="14"/>
        <w:spacing w:after="156"/>
        <w:rPr>
          <w:rFonts w:hint="eastAsia" w:ascii="楷体" w:hAnsi="楷体" w:eastAsia="楷体" w:cs="楷体"/>
          <w:b/>
          <w:sz w:val="24"/>
          <w:szCs w:val="28"/>
        </w:rPr>
      </w:pPr>
    </w:p>
    <w:p>
      <w:pPr>
        <w:pStyle w:val="14"/>
        <w:spacing w:after="156"/>
        <w:rPr>
          <w:rFonts w:hint="eastAsia" w:ascii="楷体" w:hAnsi="楷体" w:eastAsia="楷体" w:cs="楷体"/>
          <w:b/>
          <w:sz w:val="24"/>
          <w:szCs w:val="28"/>
        </w:rPr>
      </w:pPr>
    </w:p>
    <w:p>
      <w:pPr>
        <w:pStyle w:val="14"/>
        <w:spacing w:after="156"/>
        <w:rPr>
          <w:rFonts w:hint="eastAsia" w:ascii="楷体" w:hAnsi="楷体" w:eastAsia="楷体" w:cs="楷体"/>
          <w:b/>
          <w:sz w:val="24"/>
          <w:szCs w:val="28"/>
        </w:rPr>
      </w:pPr>
    </w:p>
    <w:p>
      <w:pPr>
        <w:pStyle w:val="14"/>
        <w:spacing w:before="1" w:after="156"/>
        <w:rPr>
          <w:rFonts w:hint="eastAsia" w:ascii="楷体" w:hAnsi="楷体" w:eastAsia="楷体" w:cs="楷体"/>
          <w:b/>
          <w:sz w:val="24"/>
          <w:szCs w:val="28"/>
        </w:rPr>
      </w:pPr>
    </w:p>
    <w:p>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法定代表/授权代表</w:t>
      </w:r>
      <w:r>
        <w:rPr>
          <w:rFonts w:hint="eastAsia" w:ascii="楷体" w:hAnsi="楷体" w:eastAsia="楷体" w:cs="楷体"/>
          <w:b/>
          <w:sz w:val="24"/>
          <w:szCs w:val="21"/>
        </w:rPr>
        <w:tab/>
      </w:r>
      <w:r>
        <w:rPr>
          <w:rFonts w:hint="eastAsia" w:ascii="楷体" w:hAnsi="楷体" w:eastAsia="楷体" w:cs="楷体"/>
          <w:b/>
          <w:sz w:val="24"/>
          <w:szCs w:val="21"/>
        </w:rPr>
        <w:t>法定代表/授权代表</w:t>
      </w:r>
    </w:p>
    <w:p>
      <w:pPr>
        <w:tabs>
          <w:tab w:val="left" w:pos="5457"/>
        </w:tabs>
        <w:ind w:left="117"/>
        <w:rPr>
          <w:rFonts w:hint="eastAsia" w:ascii="楷体" w:hAnsi="楷体" w:eastAsia="楷体" w:cs="楷体"/>
          <w:b/>
          <w:sz w:val="24"/>
          <w:szCs w:val="21"/>
        </w:rPr>
      </w:pPr>
    </w:p>
    <w:p>
      <w:pPr>
        <w:tabs>
          <w:tab w:val="left" w:pos="5457"/>
        </w:tabs>
        <w:ind w:left="117"/>
        <w:rPr>
          <w:rFonts w:hint="eastAsia" w:ascii="楷体" w:hAnsi="楷体" w:eastAsia="楷体" w:cs="楷体"/>
          <w:b/>
          <w:sz w:val="24"/>
          <w:szCs w:val="21"/>
        </w:rPr>
      </w:pPr>
    </w:p>
    <w:p>
      <w:pPr>
        <w:tabs>
          <w:tab w:val="left" w:pos="5457"/>
        </w:tabs>
        <w:ind w:left="117"/>
        <w:rPr>
          <w:rFonts w:hint="eastAsia" w:ascii="楷体" w:hAnsi="楷体" w:eastAsia="楷体" w:cs="楷体"/>
          <w:b/>
          <w:sz w:val="24"/>
          <w:szCs w:val="21"/>
        </w:rPr>
      </w:pPr>
    </w:p>
    <w:p>
      <w:pPr>
        <w:tabs>
          <w:tab w:val="left" w:pos="5457"/>
        </w:tabs>
        <w:ind w:left="117"/>
        <w:rPr>
          <w:rFonts w:hint="eastAsia" w:ascii="楷体" w:hAnsi="楷体" w:eastAsia="楷体" w:cs="楷体"/>
          <w:b/>
          <w:sz w:val="24"/>
          <w:szCs w:val="21"/>
        </w:rPr>
      </w:pPr>
    </w:p>
    <w:p>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日</w:t>
      </w:r>
      <w:r>
        <w:rPr>
          <w:rFonts w:hint="eastAsia" w:ascii="楷体" w:hAnsi="楷体" w:eastAsia="楷体" w:cs="楷体"/>
          <w:b/>
          <w:spacing w:val="-4"/>
          <w:sz w:val="24"/>
          <w:szCs w:val="21"/>
        </w:rPr>
        <w:t xml:space="preserve"> </w:t>
      </w:r>
      <w:r>
        <w:rPr>
          <w:rFonts w:hint="eastAsia" w:ascii="楷体" w:hAnsi="楷体" w:eastAsia="楷体" w:cs="楷体"/>
          <w:b/>
          <w:sz w:val="24"/>
          <w:szCs w:val="21"/>
        </w:rPr>
        <w:t>期:</w:t>
      </w:r>
      <w:r>
        <w:rPr>
          <w:rFonts w:hint="eastAsia" w:ascii="楷体" w:hAnsi="楷体" w:eastAsia="楷体" w:cs="楷体"/>
          <w:b/>
          <w:sz w:val="24"/>
          <w:szCs w:val="21"/>
        </w:rPr>
        <w:tab/>
      </w:r>
      <w:r>
        <w:rPr>
          <w:rFonts w:hint="eastAsia" w:ascii="楷体" w:hAnsi="楷体" w:eastAsia="楷体" w:cs="楷体"/>
          <w:b/>
          <w:sz w:val="24"/>
          <w:szCs w:val="21"/>
        </w:rPr>
        <w:t>日 期:</w:t>
      </w:r>
    </w:p>
    <w:p>
      <w:pPr>
        <w:rPr>
          <w:rFonts w:ascii="Calibri" w:hAnsi="Calibri" w:eastAsia="宋体" w:cs="Times New Roman"/>
          <w:b/>
          <w:bCs/>
          <w:kern w:val="44"/>
          <w:sz w:val="36"/>
          <w:szCs w:val="44"/>
        </w:rPr>
      </w:pPr>
      <w:r>
        <w:rPr>
          <w:rFonts w:hint="eastAsia" w:ascii="Calibri" w:hAnsi="Calibri" w:eastAsia="宋体" w:cs="Times New Roman"/>
          <w:b/>
          <w:bCs/>
          <w:kern w:val="44"/>
          <w:sz w:val="36"/>
          <w:szCs w:val="44"/>
        </w:rPr>
        <w:br w:type="page"/>
      </w:r>
    </w:p>
    <w:p>
      <w:pPr>
        <w:keepNext/>
        <w:keepLines/>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44"/>
    </w:p>
    <w:p>
      <w:pPr>
        <w:keepNext/>
        <w:keepLines/>
        <w:rPr>
          <w:rFonts w:ascii="Times New Roman" w:hAnsi="Times New Roman" w:eastAsia="宋体" w:cs="Times New Roman"/>
          <w:b/>
          <w:bCs/>
          <w:color w:val="000000"/>
          <w:sz w:val="24"/>
          <w:szCs w:val="24"/>
        </w:rPr>
      </w:pPr>
    </w:p>
    <w:p>
      <w:pPr>
        <w:pStyle w:val="18"/>
        <w:rPr>
          <w:rFonts w:ascii="Times New Roman" w:hAnsi="Times New Roman" w:eastAsia="宋体" w:cs="Times New Roman"/>
          <w:b/>
          <w:bCs/>
          <w:color w:val="000000"/>
          <w:sz w:val="24"/>
          <w:szCs w:val="24"/>
        </w:rPr>
      </w:pP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pPr>
        <w:pStyle w:val="18"/>
        <w:rPr>
          <w:rFonts w:ascii="Times New Roman" w:hAnsi="Times New Roman" w:eastAsia="宋体" w:cs="Times New Roman"/>
          <w:b/>
          <w:bCs/>
          <w:color w:val="000000"/>
          <w:sz w:val="24"/>
          <w:szCs w:val="24"/>
        </w:rPr>
        <w:sectPr>
          <w:footerReference r:id="rId21" w:type="first"/>
          <w:headerReference r:id="rId19" w:type="default"/>
          <w:footerReference r:id="rId20"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18" w:name="_Toc353881012"/>
      <w:bookmarkStart w:id="119" w:name="_Toc212369550"/>
      <w:bookmarkStart w:id="120" w:name="_Toc639004"/>
      <w:bookmarkStart w:id="121" w:name="_Toc25811"/>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18"/>
      <w:bookmarkEnd w:id="119"/>
      <w:bookmarkEnd w:id="120"/>
      <w:bookmarkEnd w:id="121"/>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致：中国重汽集团济南卡车股份有限公司：</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u w:val="single"/>
        </w:rPr>
        <w:t>济南卡车制造公司</w:t>
      </w:r>
      <w:r>
        <w:rPr>
          <w:rFonts w:hint="eastAsia" w:ascii="宋体" w:hAnsi="宋体" w:eastAsia="宋体" w:cs="宋体"/>
          <w:sz w:val="24"/>
          <w:szCs w:val="24"/>
          <w:u w:val="single"/>
          <w:lang w:val="en-US" w:eastAsia="zh-CN"/>
        </w:rPr>
        <w:t>党家庄</w:t>
      </w:r>
      <w:r>
        <w:rPr>
          <w:rFonts w:hint="eastAsia" w:ascii="宋体" w:hAnsi="宋体" w:eastAsia="宋体" w:cs="宋体"/>
          <w:sz w:val="24"/>
          <w:szCs w:val="24"/>
          <w:u w:val="single"/>
        </w:rPr>
        <w:t>厂区</w:t>
      </w:r>
      <w:r>
        <w:rPr>
          <w:rFonts w:hint="eastAsia" w:ascii="宋体" w:hAnsi="宋体" w:eastAsia="宋体" w:cs="宋体"/>
          <w:sz w:val="24"/>
          <w:szCs w:val="24"/>
          <w:u w:val="single"/>
          <w:lang w:val="en-US" w:eastAsia="zh-CN"/>
        </w:rPr>
        <w:t>总三车间总装北线加固改造技改</w:t>
      </w:r>
      <w:r>
        <w:rPr>
          <w:rFonts w:hint="eastAsia" w:ascii="宋体" w:hAnsi="宋体" w:eastAsia="宋体" w:cs="宋体"/>
          <w:sz w:val="24"/>
          <w:szCs w:val="24"/>
          <w:u w:val="single"/>
        </w:rPr>
        <w:t>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份；电子版投标文件一份。</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w:t>
      </w:r>
      <w:r>
        <w:rPr>
          <w:rFonts w:hint="eastAsia" w:ascii="宋体" w:hAnsi="宋体" w:eastAsia="宋体" w:cs="Times New Roman"/>
          <w:color w:val="000000"/>
          <w:sz w:val="24"/>
          <w:szCs w:val="24"/>
          <w:lang w:val="en-US" w:eastAsia="zh-CN"/>
        </w:rPr>
        <w:t>账</w:t>
      </w:r>
      <w:r>
        <w:rPr>
          <w:rFonts w:hint="eastAsia" w:ascii="宋体" w:hAnsi="宋体" w:eastAsia="宋体" w:cs="Times New Roman"/>
          <w:color w:val="000000"/>
          <w:sz w:val="24"/>
          <w:szCs w:val="24"/>
        </w:rPr>
        <w:t>号：</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黑体" w:hAnsi="Calibri" w:eastAsia="黑体" w:cs="Times New Roman"/>
          <w:color w:val="000000"/>
          <w:sz w:val="24"/>
          <w:szCs w:val="24"/>
        </w:rPr>
      </w:pPr>
    </w:p>
    <w:p>
      <w:pPr>
        <w:rPr>
          <w:rFonts w:ascii="黑体" w:hAnsi="Calibri" w:eastAsia="黑体" w:cs="Times New Roman"/>
          <w:color w:val="000000"/>
          <w:sz w:val="24"/>
          <w:szCs w:val="24"/>
        </w:rPr>
      </w:pPr>
    </w:p>
    <w:p>
      <w:pPr>
        <w:pStyle w:val="18"/>
        <w:rPr>
          <w:rFonts w:ascii="黑体" w:hAnsi="Calibri" w:eastAsia="黑体" w:cs="Times New Roman"/>
          <w:color w:val="000000"/>
          <w:sz w:val="24"/>
          <w:szCs w:val="24"/>
        </w:rPr>
      </w:pPr>
    </w:p>
    <w:p>
      <w:pPr>
        <w:pStyle w:val="18"/>
        <w:rPr>
          <w:rFonts w:ascii="黑体" w:hAnsi="Calibri" w:eastAsia="黑体" w:cs="Times New Roman"/>
          <w:color w:val="000000"/>
          <w:sz w:val="24"/>
          <w:szCs w:val="24"/>
        </w:rPr>
      </w:pPr>
    </w:p>
    <w:p>
      <w:pPr>
        <w:pStyle w:val="18"/>
        <w:rPr>
          <w:rFonts w:ascii="黑体" w:hAnsi="Calibri" w:eastAsia="黑体" w:cs="Times New Roman"/>
          <w:color w:val="000000"/>
          <w:sz w:val="24"/>
          <w:szCs w:val="24"/>
        </w:rPr>
      </w:pPr>
    </w:p>
    <w:p>
      <w:pPr>
        <w:pStyle w:val="18"/>
        <w:rPr>
          <w:rFonts w:ascii="黑体" w:hAnsi="Calibri" w:eastAsia="黑体" w:cs="Times New Roman"/>
          <w:color w:val="000000"/>
          <w:sz w:val="24"/>
          <w:szCs w:val="24"/>
        </w:rPr>
      </w:pPr>
    </w:p>
    <w:p>
      <w:pPr>
        <w:rPr>
          <w:rFonts w:ascii="黑体" w:hAnsi="Calibri" w:eastAsia="黑体" w:cs="Times New Roman"/>
          <w:color w:val="000000"/>
          <w:sz w:val="24"/>
          <w:szCs w:val="24"/>
        </w:r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pPr>
        <w:adjustRightInd w:val="0"/>
        <w:snapToGrid w:val="0"/>
        <w:spacing w:before="93" w:beforeLines="30" w:line="240" w:lineRule="exact"/>
        <w:jc w:val="center"/>
        <w:rPr>
          <w:rFonts w:ascii="宋体" w:hAnsi="Calibri" w:eastAsia="宋体" w:cs="Times New Roman"/>
          <w:sz w:val="24"/>
          <w:szCs w:val="20"/>
        </w:rPr>
      </w:pP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u w:val="single"/>
        </w:rPr>
        <w:t>济南卡车制造公司党家庄厂区总三车间总装北线加固改造技改项目</w:t>
      </w:r>
      <w:r>
        <w:rPr>
          <w:rFonts w:hint="eastAsia" w:ascii="宋体" w:hAnsi="宋体" w:eastAsia="宋体" w:cs="Times New Roman"/>
          <w:color w:val="000000"/>
          <w:sz w:val="24"/>
          <w:szCs w:val="24"/>
        </w:rPr>
        <w:t>（</w:t>
      </w:r>
      <w:r>
        <w:rPr>
          <w:rFonts w:hint="eastAsia" w:ascii="宋体" w:hAnsi="宋体" w:eastAsia="宋体" w:cs="Times New Roman"/>
          <w:sz w:val="24"/>
          <w:szCs w:val="24"/>
          <w:highlight w:val="yellow"/>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9"/>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Calibri" w:hAnsi="Calibri" w:eastAsia="黑体" w:cs="Times New Roman"/>
          <w:b/>
          <w:bCs/>
          <w:color w:val="000000"/>
          <w:sz w:val="28"/>
          <w:szCs w:val="20"/>
        </w:rPr>
      </w:pPr>
    </w:p>
    <w:p>
      <w:pPr>
        <w:pStyle w:val="18"/>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131"/>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pPr>
              <w:pStyle w:val="133"/>
              <w:spacing w:before="114"/>
              <w:ind w:left="720"/>
              <w:rPr>
                <w:rFonts w:hint="eastAsia"/>
              </w:rPr>
            </w:pPr>
            <w:r>
              <w:t xml:space="preserve">企业名称 </w:t>
            </w:r>
          </w:p>
        </w:tc>
        <w:tc>
          <w:tcPr>
            <w:tcW w:w="4680" w:type="dxa"/>
            <w:gridSpan w:val="4"/>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pPr>
              <w:pStyle w:val="133"/>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pPr>
              <w:pStyle w:val="133"/>
              <w:spacing w:before="114"/>
              <w:ind w:left="720"/>
              <w:rPr>
                <w:rFonts w:hint="eastAsia"/>
              </w:rPr>
            </w:pPr>
            <w:r>
              <w:t xml:space="preserve">企业地址 </w:t>
            </w:r>
          </w:p>
        </w:tc>
        <w:tc>
          <w:tcPr>
            <w:tcW w:w="4680" w:type="dxa"/>
            <w:gridSpan w:val="4"/>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pPr>
              <w:pStyle w:val="133"/>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pPr>
              <w:pStyle w:val="133"/>
              <w:spacing w:before="111"/>
              <w:ind w:left="720"/>
              <w:rPr>
                <w:rFonts w:hint="eastAsia"/>
              </w:rPr>
            </w:pPr>
            <w:r>
              <w:t xml:space="preserve">企业性质 </w:t>
            </w:r>
          </w:p>
        </w:tc>
        <w:tc>
          <w:tcPr>
            <w:tcW w:w="4680" w:type="dxa"/>
            <w:gridSpan w:val="4"/>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pPr>
              <w:pStyle w:val="133"/>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pPr>
              <w:pStyle w:val="133"/>
              <w:spacing w:before="111"/>
              <w:ind w:left="509"/>
              <w:rPr>
                <w:rFonts w:hint="eastAsia"/>
                <w:highlight w:val="yellow"/>
              </w:rPr>
            </w:pPr>
            <w:r>
              <w:t xml:space="preserve">企业法人代表  </w:t>
            </w:r>
          </w:p>
        </w:tc>
        <w:tc>
          <w:tcPr>
            <w:tcW w:w="4680" w:type="dxa"/>
            <w:gridSpan w:val="4"/>
          </w:tcPr>
          <w:p>
            <w:pPr>
              <w:pStyle w:val="5"/>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pPr>
              <w:pStyle w:val="133"/>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3"/>
              <w:spacing w:before="114"/>
              <w:ind w:left="720"/>
              <w:rPr>
                <w:rFonts w:hint="eastAsia"/>
              </w:rPr>
            </w:pPr>
            <w:r>
              <w:t xml:space="preserve">品牌区分 </w:t>
            </w:r>
          </w:p>
        </w:tc>
        <w:tc>
          <w:tcPr>
            <w:tcW w:w="7500" w:type="dxa"/>
            <w:gridSpan w:val="6"/>
          </w:tcPr>
          <w:p>
            <w:pPr>
              <w:pStyle w:val="133"/>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3"/>
              <w:spacing w:before="178"/>
              <w:ind w:left="720"/>
              <w:rPr>
                <w:rFonts w:hint="eastAsia"/>
              </w:rPr>
            </w:pPr>
            <w:r>
              <w:t xml:space="preserve">品牌名称 </w:t>
            </w:r>
          </w:p>
        </w:tc>
        <w:tc>
          <w:tcPr>
            <w:tcW w:w="3583" w:type="dxa"/>
            <w:gridSpan w:val="3"/>
            <w:vAlign w:val="center"/>
          </w:tcPr>
          <w:p>
            <w:pPr>
              <w:widowControl/>
              <w:rPr>
                <w:rFonts w:hint="eastAsia" w:ascii="宋体" w:hAnsi="宋体" w:eastAsia="仿宋_GB2312"/>
                <w:kern w:val="0"/>
                <w:szCs w:val="21"/>
                <w:lang w:bidi="ar"/>
              </w:rPr>
            </w:pPr>
          </w:p>
        </w:tc>
        <w:tc>
          <w:tcPr>
            <w:tcW w:w="1097" w:type="dxa"/>
          </w:tcPr>
          <w:p>
            <w:pPr>
              <w:pStyle w:val="133"/>
              <w:spacing w:before="15"/>
              <w:ind w:left="279"/>
              <w:rPr>
                <w:rFonts w:hint="eastAsia"/>
              </w:rPr>
            </w:pPr>
            <w:r>
              <w:rPr>
                <w:spacing w:val="-2"/>
              </w:rPr>
              <w:t>质量</w:t>
            </w:r>
            <w:r>
              <w:t xml:space="preserve"> </w:t>
            </w:r>
          </w:p>
          <w:p>
            <w:pPr>
              <w:pStyle w:val="133"/>
              <w:spacing w:before="30" w:line="277" w:lineRule="exact"/>
              <w:ind w:left="279"/>
              <w:rPr>
                <w:rFonts w:hint="eastAsia"/>
              </w:rPr>
            </w:pPr>
            <w:r>
              <w:rPr>
                <w:rFonts w:hint="eastAsia"/>
              </w:rPr>
              <w:t>体系</w:t>
            </w:r>
          </w:p>
        </w:tc>
        <w:tc>
          <w:tcPr>
            <w:tcW w:w="2820" w:type="dxa"/>
            <w:gridSpan w:val="2"/>
          </w:tcPr>
          <w:p>
            <w:pPr>
              <w:pStyle w:val="133"/>
              <w:spacing w:before="158"/>
              <w:jc w:val="center"/>
              <w:rPr>
                <w:rFonts w:hint="eastAsia"/>
                <w:sz w:val="24"/>
              </w:rPr>
            </w:pPr>
            <w:r>
              <w:rPr>
                <w:rFonts w:hint="eastAsia"/>
                <w:kern w:val="0"/>
                <w:szCs w:val="21"/>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pPr>
              <w:pStyle w:val="133"/>
              <w:spacing w:before="149"/>
              <w:ind w:left="3345" w:right="3223"/>
              <w:jc w:val="center"/>
              <w:rPr>
                <w:rFonts w:hint="eastAsia"/>
              </w:rPr>
            </w:pPr>
            <w:r>
              <w:rPr>
                <w:rFonts w:hint="eastAsia"/>
                <w:szCs w:val="21"/>
              </w:rPr>
              <w:t>单位概况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pPr>
              <w:widowControl/>
              <w:textAlignment w:val="center"/>
              <w:rPr>
                <w:rFonts w:hint="eastAsia" w:ascii="宋体" w:hAnsi="宋体" w:eastAsia="宋体" w:cs="宋体"/>
                <w:szCs w:val="21"/>
              </w:rPr>
            </w:pPr>
          </w:p>
        </w:tc>
        <w:tc>
          <w:tcPr>
            <w:tcW w:w="1530" w:type="dxa"/>
            <w:vAlign w:val="center"/>
          </w:tcPr>
          <w:p>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pPr>
              <w:widowControl/>
              <w:jc w:val="center"/>
              <w:textAlignment w:val="center"/>
              <w:rPr>
                <w:rFonts w:hint="eastAsia" w:ascii="宋体" w:hAnsi="宋体" w:eastAsia="宋体" w:cs="宋体"/>
                <w:szCs w:val="21"/>
              </w:rPr>
            </w:pPr>
          </w:p>
        </w:tc>
        <w:tc>
          <w:tcPr>
            <w:tcW w:w="1097" w:type="dxa"/>
            <w:vAlign w:val="center"/>
          </w:tcPr>
          <w:p>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pPr>
              <w:widowControl/>
              <w:jc w:val="center"/>
              <w:textAlignment w:val="center"/>
              <w:rPr>
                <w:rFonts w:hint="eastAsia" w:ascii="宋体" w:hAnsi="宋体" w:eastAsia="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pPr>
              <w:widowControl/>
              <w:jc w:val="left"/>
              <w:rPr>
                <w:rFonts w:hint="eastAsia" w:ascii="宋体" w:hAnsi="宋体" w:eastAsia="宋体" w:cs="宋体"/>
                <w:kern w:val="0"/>
                <w:szCs w:val="21"/>
                <w:lang w:bidi="ar"/>
              </w:rPr>
            </w:pPr>
          </w:p>
        </w:tc>
      </w:tr>
    </w:tbl>
    <w:p>
      <w:pPr>
        <w:pStyle w:val="18"/>
        <w:rPr>
          <w:rFonts w:ascii="Times New Roman" w:hAnsi="Times New Roman" w:eastAsia="宋体" w:cs="Times New Roman"/>
          <w:b/>
          <w:bCs/>
          <w:color w:val="000000"/>
          <w:sz w:val="24"/>
          <w:szCs w:val="24"/>
        </w:rPr>
      </w:pPr>
    </w:p>
    <w:p>
      <w:pPr>
        <w:pStyle w:val="18"/>
        <w:rPr>
          <w:rFonts w:ascii="Times New Roman" w:hAnsi="Times New Roman" w:eastAsia="宋体" w:cs="Times New Roman"/>
          <w:b/>
          <w:bCs/>
          <w:color w:val="000000"/>
          <w:sz w:val="24"/>
          <w:szCs w:val="24"/>
        </w:rPr>
      </w:pPr>
    </w:p>
    <w:p>
      <w:pPr>
        <w:pStyle w:val="18"/>
        <w:rPr>
          <w:rFonts w:ascii="Times New Roman" w:hAnsi="Times New Roman" w:eastAsia="宋体" w:cs="Times New Roman"/>
          <w:b/>
          <w:bCs/>
          <w:color w:val="000000"/>
          <w:sz w:val="24"/>
          <w:szCs w:val="24"/>
        </w:rPr>
      </w:pPr>
    </w:p>
    <w:p>
      <w:pPr>
        <w:pStyle w:val="18"/>
        <w:rPr>
          <w:rFonts w:ascii="Times New Roman" w:hAnsi="Times New Roman" w:eastAsia="宋体" w:cs="Times New Roman"/>
          <w:b/>
          <w:bCs/>
          <w:color w:val="000000"/>
          <w:sz w:val="24"/>
          <w:szCs w:val="24"/>
        </w:rPr>
      </w:pPr>
    </w:p>
    <w:p>
      <w:pPr>
        <w:pStyle w:val="18"/>
        <w:rPr>
          <w:rFonts w:ascii="Times New Roman" w:hAnsi="Times New Roman" w:eastAsia="宋体" w:cs="Times New Roman"/>
          <w:b/>
          <w:bCs/>
          <w:color w:val="000000"/>
          <w:sz w:val="24"/>
          <w:szCs w:val="24"/>
        </w:rPr>
      </w:pPr>
    </w:p>
    <w:p>
      <w:pPr>
        <w:pStyle w:val="18"/>
        <w:rPr>
          <w:rFonts w:ascii="Times New Roman" w:hAnsi="Times New Roman" w:eastAsia="宋体" w:cs="Times New Roman"/>
          <w:b/>
          <w:bCs/>
          <w:color w:val="000000"/>
          <w:sz w:val="24"/>
          <w:szCs w:val="24"/>
        </w:rPr>
      </w:pPr>
    </w:p>
    <w:p>
      <w:pPr>
        <w:pStyle w:val="18"/>
        <w:rPr>
          <w:rFonts w:ascii="Times New Roman" w:hAnsi="Times New Roman" w:eastAsia="宋体" w:cs="Times New Roman"/>
          <w:b/>
          <w:bCs/>
          <w:color w:val="000000"/>
          <w:sz w:val="24"/>
          <w:szCs w:val="24"/>
        </w:rPr>
      </w:pPr>
    </w:p>
    <w:p>
      <w:pPr>
        <w:pStyle w:val="18"/>
        <w:rPr>
          <w:rFonts w:ascii="Times New Roman" w:hAnsi="Times New Roman" w:eastAsia="宋体" w:cs="Times New Roman"/>
          <w:b/>
          <w:bCs/>
          <w:color w:val="000000"/>
          <w:sz w:val="24"/>
          <w:szCs w:val="24"/>
        </w:rPr>
      </w:pPr>
    </w:p>
    <w:p>
      <w:pPr>
        <w:pStyle w:val="18"/>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pPr>
        <w:pStyle w:val="18"/>
        <w:rPr>
          <w:rFonts w:ascii="Times New Roman" w:hAnsi="Times New Roman" w:eastAsia="宋体" w:cs="Times New Roman"/>
          <w:b/>
          <w:bCs/>
          <w:color w:val="000000"/>
          <w:sz w:val="24"/>
          <w:szCs w:val="24"/>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pPr>
              <w:spacing w:line="440" w:lineRule="exact"/>
              <w:jc w:val="center"/>
              <w:rPr>
                <w:rFonts w:hint="eastAsia"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注册资金（万元）</w:t>
            </w:r>
          </w:p>
        </w:tc>
        <w:tc>
          <w:tcPr>
            <w:tcW w:w="3865" w:type="dxa"/>
            <w:gridSpan w:val="3"/>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3865" w:type="dxa"/>
            <w:gridSpan w:val="3"/>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2022年</w:t>
            </w:r>
          </w:p>
        </w:tc>
        <w:tc>
          <w:tcPr>
            <w:tcW w:w="1288"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2023年</w:t>
            </w:r>
          </w:p>
        </w:tc>
        <w:tc>
          <w:tcPr>
            <w:tcW w:w="1288"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流动资产（万元）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非流动资产（万元）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营业收入（万元）</w:t>
            </w:r>
          </w:p>
        </w:tc>
        <w:tc>
          <w:tcPr>
            <w:tcW w:w="1287"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年底资产总值（万元）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年底负债总值（万元）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净利润（万元）</w:t>
            </w:r>
          </w:p>
        </w:tc>
        <w:tc>
          <w:tcPr>
            <w:tcW w:w="1287"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未分配利润（万元）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bl>
    <w:p>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pPr>
        <w:spacing w:line="240" w:lineRule="exact"/>
        <w:jc w:val="center"/>
        <w:rPr>
          <w:rFonts w:ascii="宋体" w:hAnsi="Calibri" w:eastAsia="宋体" w:cs="Times New Roman"/>
          <w:b/>
          <w:bCs/>
          <w:sz w:val="36"/>
          <w:szCs w:val="20"/>
        </w:rPr>
      </w:pPr>
    </w:p>
    <w:p>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济南卡车制造公司党家庄厂区总三车间总装北线加固改造技改项目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宋体" w:hAnsi="Calibri" w:eastAsia="宋体" w:cs="宋体"/>
          <w:b/>
          <w:bCs/>
          <w:color w:val="000000"/>
          <w:sz w:val="28"/>
          <w:szCs w:val="20"/>
        </w:rPr>
        <w:sectPr>
          <w:footerReference r:id="rId25" w:type="first"/>
          <w:footerReference r:id="rId24"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附件5-1</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济南卡车制造公司党家庄厂区总三车间总装北线加固改造技改项目</w:t>
      </w:r>
      <w:r>
        <w:rPr>
          <w:rFonts w:ascii="宋体" w:hAnsi="宋体" w:eastAsia="宋体" w:cs="Times New Roman"/>
          <w:color w:val="000000"/>
          <w:sz w:val="24"/>
          <w:szCs w:val="24"/>
        </w:rPr>
        <w:t xml:space="preserve">                                                           </w:t>
      </w:r>
    </w:p>
    <w:tbl>
      <w:tblPr>
        <w:tblStyle w:val="3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bl>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rPr>
          <w:rFonts w:ascii="宋体" w:hAnsi="Calibri" w:eastAsia="宋体" w:cs="宋体"/>
          <w:b/>
          <w:bCs/>
          <w:color w:val="000000"/>
          <w:sz w:val="28"/>
          <w:szCs w:val="20"/>
        </w:rPr>
      </w:pPr>
    </w:p>
    <w:p>
      <w:pPr>
        <w:rPr>
          <w:rFonts w:ascii="宋体" w:hAnsi="Calibri" w:eastAsia="宋体" w:cs="宋体"/>
          <w:b/>
          <w:bCs/>
          <w:color w:val="000000"/>
          <w:sz w:val="28"/>
          <w:szCs w:val="20"/>
        </w:rPr>
        <w:sectPr>
          <w:footerReference r:id="rId27" w:type="first"/>
          <w:footerReference r:id="rId26" w:type="default"/>
          <w:pgSz w:w="11906" w:h="16838"/>
          <w:pgMar w:top="1588" w:right="1418" w:bottom="1134" w:left="1418" w:header="851" w:footer="992" w:gutter="0"/>
          <w:cols w:space="720" w:num="1"/>
          <w:titlePg/>
          <w:docGrid w:type="lines" w:linePitch="312" w:charSpace="0"/>
        </w:sectPr>
      </w:pPr>
    </w:p>
    <w:p>
      <w:pPr>
        <w:keepNext/>
        <w:keepLines/>
        <w:outlineLvl w:val="2"/>
        <w:rPr>
          <w:rFonts w:hint="eastAsia" w:ascii="Times New Roman" w:hAnsi="Times New Roman" w:eastAsia="宋体" w:cs="宋体"/>
          <w:b/>
          <w:bCs/>
          <w:color w:val="000000"/>
          <w:sz w:val="24"/>
          <w:szCs w:val="24"/>
        </w:rPr>
      </w:pPr>
    </w:p>
    <w:p>
      <w:pPr>
        <w:keepNext/>
        <w:keepLines/>
        <w:outlineLvl w:val="2"/>
        <w:rPr>
          <w:rFonts w:hint="eastAsia" w:ascii="Times New Roman" w:hAnsi="Times New Roman" w:eastAsia="宋体" w:cs="宋体"/>
          <w:b/>
          <w:bCs/>
          <w:color w:val="000000"/>
          <w:sz w:val="24"/>
          <w:szCs w:val="24"/>
        </w:rPr>
      </w:pPr>
    </w:p>
    <w:p>
      <w:pPr>
        <w:keepNext/>
        <w:keepLines/>
        <w:outlineLvl w:val="2"/>
        <w:rPr>
          <w:rFonts w:hint="eastAsia" w:ascii="Times New Roman" w:hAnsi="Times New Roman" w:eastAsia="宋体" w:cs="宋体"/>
          <w:b/>
          <w:bCs/>
          <w:color w:val="000000"/>
          <w:sz w:val="24"/>
          <w:szCs w:val="24"/>
        </w:rPr>
      </w:pPr>
    </w:p>
    <w:p>
      <w:pPr>
        <w:keepNext/>
        <w:keepLines/>
        <w:outlineLvl w:val="2"/>
        <w:rPr>
          <w:rFonts w:hint="eastAsia" w:ascii="Times New Roman" w:hAnsi="Times New Roman" w:eastAsia="宋体" w:cs="宋体"/>
          <w:b/>
          <w:bCs/>
          <w:color w:val="000000"/>
          <w:sz w:val="24"/>
          <w:szCs w:val="24"/>
        </w:r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附件5-2</w:t>
      </w:r>
      <w:r>
        <w:rPr>
          <w:rFonts w:ascii="Times New Roman" w:hAnsi="Times New Roman" w:eastAsia="宋体" w:cs="宋体"/>
          <w:b/>
          <w:bCs/>
          <w:color w:val="000000"/>
          <w:sz w:val="24"/>
          <w:szCs w:val="24"/>
        </w:rPr>
        <w:t xml:space="preserve"> </w:t>
      </w: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配置</w:t>
      </w:r>
    </w:p>
    <w:p>
      <w:pPr>
        <w:keepNext/>
        <w:keepLines/>
        <w:spacing w:line="400" w:lineRule="exact"/>
        <w:jc w:val="center"/>
        <w:rPr>
          <w:rFonts w:hint="eastAsia"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表</w:t>
      </w:r>
    </w:p>
    <w:p>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1"/>
        <w:tblW w:w="120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2238"/>
        <w:gridCol w:w="2239"/>
        <w:gridCol w:w="1335"/>
        <w:gridCol w:w="1824"/>
        <w:gridCol w:w="2362"/>
        <w:gridCol w:w="13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2" w:type="dxa"/>
          </w:tcPr>
          <w:p>
            <w:pPr>
              <w:spacing w:before="97" w:line="186" w:lineRule="auto"/>
              <w:ind w:left="304"/>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238" w:type="dxa"/>
          </w:tcPr>
          <w:p>
            <w:pPr>
              <w:spacing w:before="98" w:line="185" w:lineRule="auto"/>
              <w:ind w:left="10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239" w:type="dxa"/>
          </w:tcPr>
          <w:p>
            <w:pPr>
              <w:spacing w:before="99" w:line="183"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335" w:type="dxa"/>
          </w:tcPr>
          <w:p>
            <w:pPr>
              <w:spacing w:before="98" w:line="185" w:lineRule="auto"/>
              <w:ind w:left="51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824" w:type="dxa"/>
          </w:tcPr>
          <w:p>
            <w:pPr>
              <w:spacing w:before="100" w:line="182" w:lineRule="auto"/>
              <w:ind w:left="798"/>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2362" w:type="dxa"/>
            <w:tcBorders>
              <w:left w:val="single" w:color="000000" w:sz="4" w:space="0"/>
            </w:tcBorders>
          </w:tcPr>
          <w:p>
            <w:pPr>
              <w:spacing w:before="100" w:line="182" w:lineRule="auto"/>
              <w:ind w:left="1007"/>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355" w:type="dxa"/>
          </w:tcPr>
          <w:p>
            <w:pPr>
              <w:spacing w:before="99" w:line="183" w:lineRule="auto"/>
              <w:ind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23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239"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1335"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824"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2362" w:type="dxa"/>
            <w:tcBorders>
              <w:left w:val="single" w:color="000000" w:sz="4" w:space="0"/>
            </w:tcBorders>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1355"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pPr>
              <w:widowControl/>
              <w:jc w:val="center"/>
              <w:textAlignment w:val="center"/>
              <w:rPr>
                <w:rFonts w:hint="eastAsia" w:ascii="宋体" w:hAnsi="宋体" w:eastAsia="宋体" w:cs="宋体"/>
                <w:sz w:val="24"/>
                <w:szCs w:val="24"/>
              </w:rPr>
            </w:pPr>
          </w:p>
        </w:tc>
        <w:tc>
          <w:tcPr>
            <w:tcW w:w="2238" w:type="dxa"/>
            <w:vAlign w:val="center"/>
          </w:tcPr>
          <w:p>
            <w:pPr>
              <w:spacing w:line="360" w:lineRule="auto"/>
              <w:jc w:val="center"/>
              <w:rPr>
                <w:rFonts w:hint="eastAsia" w:ascii="宋体" w:hAnsi="宋体" w:eastAsia="宋体"/>
                <w:bCs/>
                <w:sz w:val="24"/>
                <w:szCs w:val="24"/>
              </w:rPr>
            </w:pPr>
          </w:p>
        </w:tc>
        <w:tc>
          <w:tcPr>
            <w:tcW w:w="2239" w:type="dxa"/>
            <w:vAlign w:val="center"/>
          </w:tcPr>
          <w:p>
            <w:pPr>
              <w:spacing w:line="360" w:lineRule="auto"/>
              <w:jc w:val="center"/>
              <w:rPr>
                <w:rFonts w:hint="eastAsia" w:ascii="Arial"/>
                <w:sz w:val="24"/>
                <w:szCs w:val="24"/>
              </w:rPr>
            </w:pPr>
          </w:p>
        </w:tc>
        <w:tc>
          <w:tcPr>
            <w:tcW w:w="1335" w:type="dxa"/>
            <w:vAlign w:val="center"/>
          </w:tcPr>
          <w:p>
            <w:pPr>
              <w:jc w:val="center"/>
              <w:textAlignment w:val="center"/>
              <w:rPr>
                <w:rFonts w:hint="eastAsia" w:ascii="Arial"/>
                <w:sz w:val="24"/>
                <w:szCs w:val="24"/>
              </w:rPr>
            </w:pPr>
          </w:p>
        </w:tc>
        <w:tc>
          <w:tcPr>
            <w:tcW w:w="1824" w:type="dxa"/>
            <w:vAlign w:val="center"/>
          </w:tcPr>
          <w:p>
            <w:pPr>
              <w:jc w:val="center"/>
              <w:rPr>
                <w:rFonts w:hint="eastAsia" w:ascii="Arial"/>
                <w:sz w:val="24"/>
                <w:szCs w:val="24"/>
              </w:rPr>
            </w:pPr>
          </w:p>
        </w:tc>
        <w:tc>
          <w:tcPr>
            <w:tcW w:w="2362" w:type="dxa"/>
            <w:tcBorders>
              <w:left w:val="single" w:color="000000" w:sz="4" w:space="0"/>
            </w:tcBorders>
            <w:vAlign w:val="center"/>
          </w:tcPr>
          <w:p>
            <w:pPr>
              <w:jc w:val="center"/>
              <w:rPr>
                <w:rFonts w:hint="eastAsia" w:ascii="Arial"/>
                <w:sz w:val="24"/>
                <w:szCs w:val="24"/>
              </w:rPr>
            </w:pPr>
          </w:p>
        </w:tc>
        <w:tc>
          <w:tcPr>
            <w:tcW w:w="1355" w:type="dxa"/>
          </w:tcPr>
          <w:p>
            <w:pPr>
              <w:rPr>
                <w:rFonts w:hint="eastAsia"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72" w:type="dxa"/>
            <w:vAlign w:val="center"/>
          </w:tcPr>
          <w:p>
            <w:pPr>
              <w:widowControl/>
              <w:jc w:val="center"/>
              <w:textAlignment w:val="center"/>
              <w:rPr>
                <w:rFonts w:hint="eastAsia" w:ascii="宋体" w:hAnsi="宋体" w:eastAsia="宋体" w:cs="宋体"/>
                <w:sz w:val="24"/>
                <w:szCs w:val="24"/>
              </w:rPr>
            </w:pPr>
          </w:p>
        </w:tc>
        <w:tc>
          <w:tcPr>
            <w:tcW w:w="2238" w:type="dxa"/>
            <w:vAlign w:val="center"/>
          </w:tcPr>
          <w:p>
            <w:pPr>
              <w:spacing w:line="360" w:lineRule="auto"/>
              <w:rPr>
                <w:rFonts w:hint="eastAsia" w:ascii="宋体" w:hAnsi="宋体" w:eastAsia="宋体"/>
                <w:bCs/>
                <w:sz w:val="24"/>
                <w:szCs w:val="24"/>
              </w:rPr>
            </w:pPr>
          </w:p>
        </w:tc>
        <w:tc>
          <w:tcPr>
            <w:tcW w:w="2239" w:type="dxa"/>
            <w:vAlign w:val="center"/>
          </w:tcPr>
          <w:p>
            <w:pPr>
              <w:spacing w:line="360" w:lineRule="auto"/>
              <w:jc w:val="center"/>
              <w:rPr>
                <w:rFonts w:hint="eastAsia" w:ascii="Arial"/>
                <w:sz w:val="24"/>
                <w:szCs w:val="24"/>
              </w:rPr>
            </w:pPr>
          </w:p>
        </w:tc>
        <w:tc>
          <w:tcPr>
            <w:tcW w:w="1335" w:type="dxa"/>
            <w:vAlign w:val="center"/>
          </w:tcPr>
          <w:p>
            <w:pPr>
              <w:jc w:val="center"/>
              <w:textAlignment w:val="center"/>
              <w:rPr>
                <w:rFonts w:hint="eastAsia" w:ascii="Arial"/>
                <w:sz w:val="24"/>
                <w:szCs w:val="24"/>
              </w:rPr>
            </w:pPr>
          </w:p>
        </w:tc>
        <w:tc>
          <w:tcPr>
            <w:tcW w:w="1824" w:type="dxa"/>
            <w:vAlign w:val="center"/>
          </w:tcPr>
          <w:p>
            <w:pPr>
              <w:jc w:val="center"/>
              <w:rPr>
                <w:rFonts w:hint="eastAsia" w:ascii="Arial"/>
                <w:sz w:val="24"/>
                <w:szCs w:val="24"/>
              </w:rPr>
            </w:pPr>
          </w:p>
        </w:tc>
        <w:tc>
          <w:tcPr>
            <w:tcW w:w="2362" w:type="dxa"/>
            <w:tcBorders>
              <w:left w:val="single" w:color="000000" w:sz="4" w:space="0"/>
            </w:tcBorders>
            <w:vAlign w:val="center"/>
          </w:tcPr>
          <w:p>
            <w:pPr>
              <w:jc w:val="center"/>
              <w:rPr>
                <w:rFonts w:hint="eastAsia" w:ascii="Arial"/>
                <w:sz w:val="24"/>
                <w:szCs w:val="24"/>
              </w:rPr>
            </w:pPr>
          </w:p>
        </w:tc>
        <w:tc>
          <w:tcPr>
            <w:tcW w:w="1355" w:type="dxa"/>
          </w:tcPr>
          <w:p>
            <w:pPr>
              <w:rPr>
                <w:rFonts w:hint="eastAsia"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79" w:line="284" w:lineRule="exact"/>
              <w:ind w:left="249"/>
              <w:rPr>
                <w:rFonts w:hint="eastAsia" w:ascii="宋体" w:hAnsi="宋体" w:eastAsia="宋体" w:cs="宋体"/>
                <w:szCs w:val="21"/>
              </w:rPr>
            </w:pPr>
            <w:r>
              <w:rPr>
                <w:rFonts w:ascii="宋体" w:hAnsi="宋体" w:eastAsia="宋体" w:cs="宋体"/>
                <w:position w:val="1"/>
                <w:szCs w:val="21"/>
              </w:rPr>
              <w:t>…</w:t>
            </w:r>
          </w:p>
        </w:tc>
        <w:tc>
          <w:tcPr>
            <w:tcW w:w="2238" w:type="dxa"/>
          </w:tcPr>
          <w:p>
            <w:pPr>
              <w:rPr>
                <w:rFonts w:hint="eastAsia" w:ascii="Arial"/>
              </w:rPr>
            </w:pPr>
            <w:r>
              <w:rPr>
                <w:rFonts w:hint="eastAsia" w:ascii="宋体" w:hAnsi="宋体" w:eastAsia="宋体" w:cs="宋体"/>
              </w:rPr>
              <w:t>以上投标设备不足之处请往下添加序号自行补充</w:t>
            </w:r>
          </w:p>
        </w:tc>
        <w:tc>
          <w:tcPr>
            <w:tcW w:w="2239" w:type="dxa"/>
          </w:tcPr>
          <w:p>
            <w:pPr>
              <w:rPr>
                <w:rFonts w:hint="eastAsia" w:ascii="Arial"/>
              </w:rPr>
            </w:pPr>
          </w:p>
        </w:tc>
        <w:tc>
          <w:tcPr>
            <w:tcW w:w="1335" w:type="dxa"/>
          </w:tcPr>
          <w:p>
            <w:pPr>
              <w:rPr>
                <w:rFonts w:hint="eastAsia" w:ascii="Arial"/>
              </w:rPr>
            </w:pPr>
          </w:p>
        </w:tc>
        <w:tc>
          <w:tcPr>
            <w:tcW w:w="1824" w:type="dxa"/>
          </w:tcPr>
          <w:p>
            <w:pPr>
              <w:rPr>
                <w:rFonts w:hint="eastAsia" w:ascii="Arial"/>
              </w:rPr>
            </w:pPr>
          </w:p>
        </w:tc>
        <w:tc>
          <w:tcPr>
            <w:tcW w:w="2362" w:type="dxa"/>
            <w:tcBorders>
              <w:left w:val="single" w:color="000000" w:sz="4" w:space="0"/>
            </w:tcBorders>
          </w:tcPr>
          <w:p>
            <w:pPr>
              <w:rPr>
                <w:rFonts w:hint="eastAsia" w:ascii="Arial"/>
              </w:rPr>
            </w:pPr>
          </w:p>
        </w:tc>
        <w:tc>
          <w:tcPr>
            <w:tcW w:w="1355" w:type="dxa"/>
          </w:tcPr>
          <w:p>
            <w:pPr>
              <w:rPr>
                <w:rFonts w:hint="eastAsia" w:ascii="Arial"/>
              </w:rPr>
            </w:pPr>
          </w:p>
        </w:tc>
      </w:tr>
    </w:tbl>
    <w:p>
      <w:pPr>
        <w:spacing w:before="78" w:line="219" w:lineRule="auto"/>
        <w:ind w:left="431"/>
        <w:rPr>
          <w:rFonts w:hint="eastAsia" w:ascii="宋体" w:hAnsi="宋体" w:eastAsia="宋体" w:cs="宋体"/>
          <w:spacing w:val="-6"/>
          <w:szCs w:val="21"/>
        </w:rPr>
      </w:pPr>
      <w:r>
        <w:rPr>
          <w:rFonts w:ascii="宋体" w:hAnsi="宋体" w:eastAsia="宋体" w:cs="宋体"/>
          <w:spacing w:val="-8"/>
          <w:szCs w:val="21"/>
        </w:rPr>
        <w:t>注：</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1.该明细表所有信息均为必填项，不得删减，可细化可增加。</w:t>
      </w:r>
    </w:p>
    <w:p>
      <w:pPr>
        <w:spacing w:before="78" w:line="219" w:lineRule="auto"/>
        <w:ind w:left="431"/>
        <w:rPr>
          <w:rFonts w:hint="eastAsia" w:ascii="宋体" w:hAnsi="宋体" w:eastAsia="宋体" w:cs="宋体"/>
          <w:b/>
          <w:bCs/>
          <w:spacing w:val="-6"/>
          <w:szCs w:val="21"/>
          <w:highlight w:val="yellow"/>
        </w:rPr>
      </w:pPr>
      <w:r>
        <w:rPr>
          <w:rFonts w:hint="eastAsia" w:ascii="宋体" w:hAnsi="宋体" w:eastAsia="宋体" w:cs="宋体"/>
          <w:b/>
          <w:bCs/>
          <w:spacing w:val="-6"/>
          <w:szCs w:val="21"/>
          <w:highlight w:val="yellow"/>
        </w:rPr>
        <w:t>2.此表格需在技术标中体现，并明确规格型号、品牌等信息。</w:t>
      </w:r>
    </w:p>
    <w:p>
      <w:pPr>
        <w:spacing w:before="78" w:line="219" w:lineRule="auto"/>
        <w:ind w:left="431"/>
        <w:rPr>
          <w:rFonts w:hint="eastAsia" w:ascii="宋体" w:hAnsi="宋体" w:eastAsia="宋体" w:cs="宋体"/>
          <w:spacing w:val="-6"/>
          <w:szCs w:val="21"/>
          <w:highlight w:val="yellow"/>
        </w:rPr>
      </w:pPr>
      <w:r>
        <w:rPr>
          <w:rFonts w:hint="eastAsia" w:ascii="宋体" w:hAnsi="宋体" w:eastAsia="宋体" w:cs="宋体"/>
          <w:spacing w:val="-6"/>
          <w:szCs w:val="21"/>
          <w:highlight w:val="yellow"/>
        </w:rPr>
        <w:t>3.此表分项明细需要和附表9-1完全对应。</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4.因填写不规范造成废标及终止招标的，责任由投标人自负。</w:t>
      </w:r>
    </w:p>
    <w:p>
      <w:pPr>
        <w:rPr>
          <w:rFonts w:hint="eastAsia"/>
        </w:rPr>
        <w:sectPr>
          <w:footerReference r:id="rId28" w:type="default"/>
          <w:pgSz w:w="16841" w:h="11907" w:orient="landscape"/>
          <w:pgMar w:top="400" w:right="1387" w:bottom="1168" w:left="1473" w:header="0" w:footer="990" w:gutter="0"/>
          <w:cols w:equalWidth="0" w:num="1">
            <w:col w:w="13980"/>
          </w:cols>
        </w:sectPr>
      </w:pPr>
    </w:p>
    <w:p>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pPr>
        <w:rPr>
          <w:rFonts w:hint="eastAsia"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 xml:space="preserve"> 2022年1月1日至今同类项目业绩一览表</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济南卡车制造公司党家庄厂区总三车间总装北线加固改造技改项目</w:t>
      </w:r>
      <w:r>
        <w:rPr>
          <w:rFonts w:ascii="宋体" w:hAnsi="宋体" w:eastAsia="宋体" w:cs="Times New Roman"/>
          <w:color w:val="000000"/>
          <w:sz w:val="24"/>
          <w:szCs w:val="24"/>
        </w:rPr>
        <w:t xml:space="preserve">                                                             </w:t>
      </w:r>
    </w:p>
    <w:tbl>
      <w:tblPr>
        <w:tblStyle w:val="3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pPr>
              <w:ind w:left="420" w:hanging="420"/>
              <w:rPr>
                <w:rFonts w:ascii="宋体" w:hAnsi="Times New Roman" w:eastAsia="宋体" w:cs="Times New Roman"/>
                <w:b/>
                <w:szCs w:val="20"/>
              </w:rPr>
            </w:pPr>
            <w:r>
              <w:rPr>
                <w:rFonts w:ascii="宋体" w:hAnsi="宋体" w:eastAsia="宋体" w:cs="宋体"/>
                <w:sz w:val="24"/>
                <w:szCs w:val="24"/>
                <w:highlight w:val="yellow"/>
              </w:rPr>
              <w:t>20</w:t>
            </w:r>
            <w:r>
              <w:rPr>
                <w:rFonts w:hint="eastAsia" w:ascii="宋体" w:hAnsi="宋体" w:eastAsia="宋体" w:cs="宋体"/>
                <w:sz w:val="24"/>
                <w:szCs w:val="24"/>
                <w:highlight w:val="yellow"/>
              </w:rPr>
              <w:t>22</w:t>
            </w:r>
            <w:r>
              <w:rPr>
                <w:rFonts w:ascii="宋体" w:hAnsi="宋体" w:eastAsia="宋体" w:cs="宋体"/>
                <w:sz w:val="24"/>
                <w:szCs w:val="24"/>
                <w:highlight w:val="yellow"/>
              </w:rPr>
              <w:t>年1月1日至今所有业绩合同总额汇总（必填）</w:t>
            </w: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bl>
    <w:p>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提供2022年1月1日以来同类产品的制造销售业绩（用户名单、联系方式）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宋体" w:hAnsi="Calibri" w:eastAsia="宋体" w:cs="宋体"/>
          <w:b/>
          <w:bCs/>
          <w:color w:val="000000"/>
          <w:sz w:val="28"/>
        </w:rPr>
        <w:sectPr>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pPr>
        <w:spacing w:line="240" w:lineRule="exact"/>
        <w:rPr>
          <w:rFonts w:hint="eastAsia" w:ascii="宋体" w:hAnsi="宋体" w:eastAsia="宋体" w:cs="Times New Roman"/>
          <w:szCs w:val="20"/>
        </w:rPr>
      </w:pPr>
      <w:r>
        <w:rPr>
          <w:rFonts w:ascii="宋体" w:hAnsi="宋体" w:eastAsia="宋体" w:cs="Times New Roman"/>
          <w:szCs w:val="20"/>
        </w:rPr>
        <w:t xml:space="preserve">                                               </w:t>
      </w:r>
    </w:p>
    <w:p>
      <w:pPr>
        <w:spacing w:line="360" w:lineRule="auto"/>
        <w:rPr>
          <w:rFonts w:hint="eastAsia"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宋体" w:eastAsia="宋体" w:cs="宋体"/>
          <w:sz w:val="24"/>
          <w:szCs w:val="24"/>
          <w:u w:val="single"/>
        </w:rPr>
        <w:t>济南卡车制造公司党家庄厂区总三车间总装北线加固改造技改项目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宋体" w:hAnsi="Calibri" w:eastAsia="宋体" w:cs="宋体"/>
          <w:b/>
          <w:bCs/>
          <w:color w:val="000000"/>
          <w:sz w:val="28"/>
          <w:szCs w:val="20"/>
        </w:rPr>
        <w:sectPr>
          <w:footerReference r:id="rId30" w:type="first"/>
          <w:footerReference r:id="rId29"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济南卡车制造公司党家庄厂区总三车间总装北线加固改造技改项目</w:t>
      </w:r>
      <w:r>
        <w:rPr>
          <w:rFonts w:ascii="宋体" w:hAnsi="宋体" w:eastAsia="宋体" w:cs="Times New Roman"/>
          <w:color w:val="000000"/>
          <w:sz w:val="24"/>
          <w:szCs w:val="24"/>
        </w:rPr>
        <w:t xml:space="preserve">                                                        </w:t>
      </w:r>
    </w:p>
    <w:tbl>
      <w:tblPr>
        <w:tblStyle w:val="39"/>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81"/>
        <w:gridCol w:w="883"/>
        <w:gridCol w:w="2000"/>
        <w:gridCol w:w="1082"/>
        <w:gridCol w:w="1261"/>
        <w:gridCol w:w="974"/>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9" w:hRule="atLeast"/>
          <w:jc w:val="center"/>
        </w:trPr>
        <w:tc>
          <w:tcPr>
            <w:tcW w:w="705"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81"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83"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000"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082"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61"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974" w:type="dxa"/>
            <w:vAlign w:val="center"/>
          </w:tcPr>
          <w:p>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950" w:type="dxa"/>
            <w:vAlign w:val="center"/>
          </w:tcPr>
          <w:p>
            <w:pPr>
              <w:jc w:val="center"/>
              <w:rPr>
                <w:rFonts w:hint="eastAsia" w:ascii="等线" w:hAnsi="等线" w:eastAsia="等线" w:cs="Times New Roman"/>
                <w:b/>
                <w:szCs w:val="20"/>
              </w:rPr>
            </w:pPr>
            <w:r>
              <w:rPr>
                <w:rFonts w:hint="eastAsia" w:ascii="等线" w:hAnsi="等线" w:eastAsia="等线" w:cs="Times New Roman"/>
                <w:b/>
                <w:szCs w:val="20"/>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jc w:val="center"/>
        </w:trPr>
        <w:tc>
          <w:tcPr>
            <w:tcW w:w="705" w:type="dxa"/>
            <w:vAlign w:val="center"/>
          </w:tcPr>
          <w:p>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81" w:type="dxa"/>
            <w:vAlign w:val="center"/>
          </w:tcPr>
          <w:p>
            <w:pPr>
              <w:jc w:val="center"/>
              <w:rPr>
                <w:rFonts w:ascii="Times New Roman" w:hAnsi="Times New Roman" w:eastAsia="宋体" w:cs="Times New Roman"/>
                <w:b/>
                <w:szCs w:val="20"/>
              </w:rPr>
            </w:pPr>
            <w:r>
              <w:rPr>
                <w:rFonts w:hint="eastAsia" w:ascii="宋体" w:hAnsi="宋体" w:eastAsia="宋体" w:cs="宋体"/>
                <w:sz w:val="24"/>
                <w:szCs w:val="24"/>
                <w:u w:val="single"/>
              </w:rPr>
              <w:t>济南卡车制造公司党家庄厂区总三车间总装北线加固改造技改项目</w:t>
            </w:r>
          </w:p>
        </w:tc>
        <w:tc>
          <w:tcPr>
            <w:tcW w:w="883" w:type="dxa"/>
            <w:vAlign w:val="center"/>
          </w:tcPr>
          <w:p>
            <w:pPr>
              <w:jc w:val="center"/>
              <w:rPr>
                <w:rFonts w:ascii="Times New Roman" w:hAnsi="Times New Roman" w:eastAsia="宋体" w:cs="Times New Roman"/>
                <w:b/>
                <w:szCs w:val="20"/>
              </w:rPr>
            </w:pPr>
            <w:r>
              <w:rPr>
                <w:rFonts w:ascii="Times New Roman" w:hAnsi="Times New Roman" w:eastAsia="宋体" w:cs="Times New Roman"/>
                <w:b/>
                <w:szCs w:val="20"/>
              </w:rPr>
              <w:t>1</w:t>
            </w:r>
            <w:r>
              <w:rPr>
                <w:rFonts w:hint="eastAsia" w:ascii="Times New Roman" w:hAnsi="Times New Roman" w:eastAsia="宋体" w:cs="Times New Roman"/>
                <w:b/>
                <w:szCs w:val="20"/>
              </w:rPr>
              <w:t>套</w:t>
            </w:r>
          </w:p>
        </w:tc>
        <w:tc>
          <w:tcPr>
            <w:tcW w:w="2000" w:type="dxa"/>
            <w:vAlign w:val="center"/>
          </w:tcPr>
          <w:p>
            <w:pPr>
              <w:jc w:val="center"/>
              <w:rPr>
                <w:rFonts w:hint="eastAsia" w:ascii="等线" w:hAnsi="等线" w:eastAsia="等线" w:cs="Times New Roman"/>
                <w:b/>
                <w:szCs w:val="20"/>
              </w:rPr>
            </w:pPr>
            <w:r>
              <w:rPr>
                <w:rFonts w:hint="eastAsia" w:ascii="等线" w:hAnsi="等线" w:eastAsia="等线" w:cs="Times New Roman"/>
                <w:b/>
                <w:szCs w:val="20"/>
              </w:rPr>
              <w:t>不含税价：</w:t>
            </w:r>
          </w:p>
          <w:p>
            <w:pPr>
              <w:jc w:val="center"/>
              <w:rPr>
                <w:rFonts w:hint="eastAsia"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082" w:type="dxa"/>
            <w:vAlign w:val="center"/>
          </w:tcPr>
          <w:p>
            <w:pPr>
              <w:jc w:val="center"/>
              <w:rPr>
                <w:rFonts w:ascii="Times New Roman" w:hAnsi="Times New Roman" w:eastAsia="宋体" w:cs="Times New Roman"/>
                <w:b/>
                <w:szCs w:val="20"/>
              </w:rPr>
            </w:pPr>
          </w:p>
        </w:tc>
        <w:tc>
          <w:tcPr>
            <w:tcW w:w="1261" w:type="dxa"/>
            <w:vAlign w:val="center"/>
          </w:tcPr>
          <w:p>
            <w:pPr>
              <w:jc w:val="center"/>
              <w:rPr>
                <w:rFonts w:ascii="Times New Roman" w:hAnsi="Times New Roman" w:eastAsia="宋体" w:cs="Times New Roman"/>
                <w:b/>
                <w:szCs w:val="20"/>
              </w:rPr>
            </w:pPr>
          </w:p>
        </w:tc>
        <w:tc>
          <w:tcPr>
            <w:tcW w:w="974" w:type="dxa"/>
            <w:vAlign w:val="center"/>
          </w:tcPr>
          <w:p>
            <w:pPr>
              <w:jc w:val="center"/>
              <w:rPr>
                <w:rFonts w:ascii="Times New Roman" w:hAnsi="Times New Roman" w:eastAsia="宋体" w:cs="Times New Roman"/>
                <w:b/>
                <w:szCs w:val="20"/>
              </w:rPr>
            </w:pPr>
          </w:p>
        </w:tc>
        <w:tc>
          <w:tcPr>
            <w:tcW w:w="950" w:type="dxa"/>
            <w:vAlign w:val="center"/>
          </w:tcPr>
          <w:p>
            <w:pPr>
              <w:jc w:val="center"/>
              <w:rPr>
                <w:rFonts w:ascii="Times New Roman" w:hAnsi="Times New Roman" w:eastAsia="宋体" w:cs="Times New Roman"/>
                <w:b/>
                <w:szCs w:val="20"/>
              </w:rPr>
            </w:pPr>
          </w:p>
        </w:tc>
      </w:tr>
    </w:tbl>
    <w:p>
      <w:pPr>
        <w:rPr>
          <w:rFonts w:ascii="宋体" w:hAnsi="Arial" w:eastAsia="宋体" w:cs="Times New Roman"/>
          <w:sz w:val="24"/>
          <w:szCs w:val="24"/>
        </w:rPr>
      </w:pPr>
    </w:p>
    <w:p>
      <w:pPr>
        <w:spacing w:line="400" w:lineRule="exact"/>
        <w:rPr>
          <w:rFonts w:ascii="宋体" w:hAnsi="Calibri" w:eastAsia="宋体" w:cs="Times New Roman"/>
          <w:szCs w:val="21"/>
        </w:rPr>
      </w:pPr>
      <w:r>
        <w:rPr>
          <w:rFonts w:hint="eastAsia" w:ascii="宋体" w:hAnsi="宋体" w:eastAsia="宋体" w:cs="Times New Roman"/>
          <w:b/>
          <w:bCs/>
          <w:szCs w:val="21"/>
        </w:rPr>
        <w:t>注：</w:t>
      </w:r>
    </w:p>
    <w:p>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pPr>
        <w:spacing w:line="300" w:lineRule="auto"/>
        <w:rPr>
          <w:rFonts w:hint="eastAsia" w:ascii="宋体" w:hAnsi="宋体" w:eastAsia="宋体" w:cs="宋体"/>
          <w:b/>
          <w:szCs w:val="20"/>
        </w:rPr>
      </w:pPr>
      <w:r>
        <w:rPr>
          <w:rFonts w:hint="eastAsia" w:ascii="宋体" w:hAnsi="宋体" w:eastAsia="宋体" w:cs="宋体"/>
          <w:b/>
          <w:szCs w:val="20"/>
        </w:rPr>
        <w:t>3.需写明含税价、不含税价格、税率。</w:t>
      </w:r>
    </w:p>
    <w:p>
      <w:pPr>
        <w:pStyle w:val="18"/>
        <w:rPr>
          <w:rFonts w:hint="eastAsia" w:hAnsi="宋体" w:eastAsia="宋体" w:cs="Times New Roman"/>
          <w:b/>
          <w:bCs/>
          <w:szCs w:val="21"/>
          <w:highlight w:val="yellow"/>
        </w:rPr>
      </w:pPr>
      <w:r>
        <w:rPr>
          <w:rFonts w:hint="eastAsia" w:hAnsi="宋体" w:eastAsia="宋体" w:cs="宋体"/>
          <w:b/>
          <w:szCs w:val="20"/>
          <w:highlight w:val="yellow"/>
        </w:rPr>
        <w:t>4.</w:t>
      </w:r>
      <w:r>
        <w:rPr>
          <w:rFonts w:hint="eastAsia" w:hAnsi="宋体" w:eastAsia="宋体" w:cs="Times New Roman"/>
          <w:b/>
          <w:bCs/>
          <w:szCs w:val="21"/>
          <w:highlight w:val="yellow"/>
        </w:rPr>
        <w:t>投标总价包括设备费、调试费、备品备件、特殊工具、运杂费、装卸费、技术服务费、保险费及增值税和其它税费。</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ind w:firstLine="480"/>
        <w:rPr>
          <w:rFonts w:ascii="宋体" w:hAnsi="Calibri" w:eastAsia="宋体" w:cs="Times New Roman"/>
          <w:color w:val="000000"/>
          <w:sz w:val="24"/>
          <w:szCs w:val="24"/>
        </w:rPr>
      </w:pPr>
    </w:p>
    <w:p>
      <w:pPr>
        <w:pStyle w:val="18"/>
        <w:sectPr>
          <w:pgSz w:w="11906" w:h="16838"/>
          <w:pgMar w:top="1588" w:right="1418" w:bottom="1134" w:left="1418" w:header="851" w:footer="992" w:gutter="0"/>
          <w:cols w:space="720" w:num="1"/>
          <w:titlePg/>
          <w:docGrid w:type="lines" w:linePitch="312" w:charSpace="0"/>
        </w:sectPr>
      </w:pPr>
    </w:p>
    <w:p>
      <w:pPr>
        <w:rPr>
          <w:rFonts w:hint="eastAsia" w:ascii="宋体" w:hAnsi="宋体" w:cs="宋体"/>
          <w:color w:val="000000"/>
          <w:sz w:val="24"/>
          <w:szCs w:val="24"/>
        </w:rPr>
      </w:pPr>
    </w:p>
    <w:p>
      <w:pPr>
        <w:pStyle w:val="5"/>
        <w:jc w:val="left"/>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pPr>
        <w:pStyle w:val="5"/>
        <w:jc w:val="center"/>
        <w:rPr>
          <w:rFonts w:hint="eastAsia" w:ascii="宋体" w:hAnsi="宋体"/>
          <w:sz w:val="24"/>
          <w:szCs w:val="24"/>
        </w:rPr>
      </w:pPr>
      <w:r>
        <w:rPr>
          <w:rFonts w:ascii="宋体" w:hAnsi="宋体" w:cs="宋体"/>
          <w:spacing w:val="-9"/>
          <w:sz w:val="24"/>
          <w:szCs w:val="24"/>
          <w14:textOutline w14:w="4356" w14:cap="flat" w14:cmpd="sng" w14:algn="ctr">
            <w14:solidFill>
              <w14:srgbClr w14:val="000000"/>
            </w14:solidFill>
            <w14:prstDash w14:val="solid"/>
            <w14:miter w14:val="0"/>
          </w14:textOutline>
        </w:rPr>
        <w:t>表</w:t>
      </w:r>
      <w:r>
        <w:rPr>
          <w:rFonts w:ascii="宋体" w:hAnsi="宋体" w:cs="宋体"/>
          <w:spacing w:val="-7"/>
          <w:sz w:val="24"/>
          <w:szCs w:val="24"/>
        </w:rPr>
        <w:t xml:space="preserve"> </w:t>
      </w:r>
      <w:r>
        <w:rPr>
          <w:rFonts w:hint="eastAsia" w:ascii="宋体" w:hAnsi="宋体" w:cs="宋体"/>
          <w:spacing w:val="-7"/>
          <w:sz w:val="24"/>
          <w:szCs w:val="24"/>
          <w14:textOutline w14:w="4356" w14:cap="flat" w14:cmpd="sng" w14:algn="ctr">
            <w14:solidFill>
              <w14:srgbClr w14:val="000000"/>
            </w14:solidFill>
            <w14:prstDash w14:val="solid"/>
            <w14:miter w14:val="0"/>
          </w14:textOutline>
        </w:rPr>
        <w:t>9</w:t>
      </w:r>
      <w:r>
        <w:rPr>
          <w:rFonts w:ascii="宋体" w:hAnsi="宋体" w:cs="宋体"/>
          <w:spacing w:val="-7"/>
          <w:sz w:val="24"/>
          <w:szCs w:val="24"/>
          <w14:textOutline w14:w="4356" w14:cap="flat" w14:cmpd="sng" w14:algn="ctr">
            <w14:solidFill>
              <w14:srgbClr w14:val="000000"/>
            </w14:solidFill>
            <w14:prstDash w14:val="solid"/>
            <w14:miter w14:val="0"/>
          </w14:textOutline>
        </w:rPr>
        <w:t>-1</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1"/>
        <w:tblW w:w="15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448"/>
        <w:gridCol w:w="1790"/>
        <w:gridCol w:w="2239"/>
        <w:gridCol w:w="1120"/>
        <w:gridCol w:w="1120"/>
        <w:gridCol w:w="1682"/>
        <w:gridCol w:w="1921"/>
        <w:gridCol w:w="2385"/>
        <w:gridCol w:w="17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2" w:type="dxa"/>
          </w:tcPr>
          <w:p>
            <w:pPr>
              <w:spacing w:before="97" w:line="186" w:lineRule="auto"/>
              <w:ind w:left="304"/>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238" w:type="dxa"/>
            <w:gridSpan w:val="2"/>
          </w:tcPr>
          <w:p>
            <w:pPr>
              <w:spacing w:before="98" w:line="185" w:lineRule="auto"/>
              <w:ind w:left="10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239" w:type="dxa"/>
          </w:tcPr>
          <w:p>
            <w:pPr>
              <w:spacing w:before="99" w:line="183"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120" w:type="dxa"/>
          </w:tcPr>
          <w:p>
            <w:pPr>
              <w:spacing w:before="98" w:line="185" w:lineRule="auto"/>
              <w:ind w:left="511"/>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120" w:type="dxa"/>
          </w:tcPr>
          <w:p>
            <w:pPr>
              <w:spacing w:before="100" w:line="182" w:lineRule="auto"/>
              <w:jc w:val="center"/>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682" w:type="dxa"/>
          </w:tcPr>
          <w:p>
            <w:pPr>
              <w:spacing w:before="98" w:line="185" w:lineRule="auto"/>
              <w:jc w:val="center"/>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921" w:type="dxa"/>
            <w:tcBorders>
              <w:right w:val="single" w:color="000000" w:sz="4" w:space="0"/>
            </w:tcBorders>
          </w:tcPr>
          <w:p>
            <w:pPr>
              <w:spacing w:before="98" w:line="185" w:lineRule="auto"/>
              <w:jc w:val="center"/>
              <w:rPr>
                <w:rFonts w:hint="eastAsia"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7</w:t>
            </w:r>
          </w:p>
        </w:tc>
        <w:tc>
          <w:tcPr>
            <w:tcW w:w="2385" w:type="dxa"/>
            <w:tcBorders>
              <w:left w:val="single" w:color="000000" w:sz="4" w:space="0"/>
            </w:tcBorders>
          </w:tcPr>
          <w:p>
            <w:pPr>
              <w:spacing w:before="100" w:line="182" w:lineRule="auto"/>
              <w:jc w:val="center"/>
              <w:rPr>
                <w:rFonts w:hint="eastAsia"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8</w:t>
            </w:r>
          </w:p>
        </w:tc>
        <w:tc>
          <w:tcPr>
            <w:tcW w:w="1717" w:type="dxa"/>
          </w:tcPr>
          <w:p>
            <w:pPr>
              <w:spacing w:before="99" w:line="183" w:lineRule="auto"/>
              <w:ind w:firstLine="422" w:firstLineChars="200"/>
              <w:rPr>
                <w:rFonts w:hint="eastAsia" w:ascii="宋体" w:hAnsi="宋体" w:eastAsia="宋体" w:cs="宋体"/>
                <w:szCs w:val="21"/>
              </w:rPr>
            </w:pPr>
            <w:r>
              <w:rPr>
                <w:rFonts w:hint="eastAsia" w:ascii="宋体" w:hAnsi="宋体" w:eastAsia="宋体" w:cs="宋体"/>
                <w:b/>
                <w:bCs/>
                <w:szCs w:val="2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238" w:type="dxa"/>
            <w:gridSpan w:val="2"/>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239"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112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zCs w:val="21"/>
                <w14:textOutline w14:w="3835" w14:cap="flat" w14:cmpd="sng" w14:algn="ctr">
                  <w14:solidFill>
                    <w14:srgbClr w14:val="000000"/>
                  </w14:solidFill>
                  <w14:prstDash w14:val="solid"/>
                  <w14:miter w14:val="0"/>
                </w14:textOutline>
              </w:rPr>
              <w:t>单位</w:t>
            </w:r>
          </w:p>
        </w:tc>
        <w:tc>
          <w:tcPr>
            <w:tcW w:w="112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682"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1921" w:type="dxa"/>
            <w:tcBorders>
              <w:right w:val="single" w:color="000000" w:sz="4" w:space="0"/>
            </w:tcBorders>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385" w:type="dxa"/>
            <w:tcBorders>
              <w:left w:val="single" w:color="000000" w:sz="4" w:space="0"/>
            </w:tcBorders>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总价[5×7]（不含税）</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717"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更换15kW电机减速机</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更换5.5kW电机减速机</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电气系统配套更换</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加固地拖链、双板链线体中间骨架</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地拖链增加承载横梁</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检修地拖链链条行走轨道、链条返回轨道</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加固地拖链、双板链两侧地坑盖板及支架支撑</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加固地拖链和双板链驱动部分、涨紧部分</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更换双板链链板</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10</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检修双板链承重轨道、返回轨道</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11</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更换地拖链420米轨道</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12</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更换地拖链防护胶皮</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13</w:t>
            </w:r>
          </w:p>
        </w:tc>
        <w:tc>
          <w:tcPr>
            <w:tcW w:w="2238" w:type="dxa"/>
            <w:gridSpan w:val="2"/>
            <w:shd w:val="clear" w:color="auto" w:fill="auto"/>
            <w:vAlign w:val="center"/>
          </w:tcPr>
          <w:p>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更换地拖链、双板链滚轮轴承</w:t>
            </w:r>
          </w:p>
        </w:tc>
        <w:tc>
          <w:tcPr>
            <w:tcW w:w="2239" w:type="dxa"/>
            <w:vAlign w:val="center"/>
          </w:tcPr>
          <w:p>
            <w:pPr>
              <w:spacing w:line="360" w:lineRule="auto"/>
              <w:jc w:val="center"/>
              <w:rPr>
                <w:rFonts w:hint="eastAsia" w:ascii="仿宋" w:hAnsi="仿宋" w:eastAsia="仿宋"/>
                <w:sz w:val="22"/>
                <w:highlight w:val="none"/>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top"/>
          </w:tcPr>
          <w:p>
            <w:pPr>
              <w:spacing w:before="109" w:line="186" w:lineRule="auto"/>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14</w:t>
            </w:r>
          </w:p>
        </w:tc>
        <w:tc>
          <w:tcPr>
            <w:tcW w:w="2238" w:type="dxa"/>
            <w:gridSpan w:val="2"/>
            <w:shd w:val="clear" w:color="auto" w:fill="auto"/>
            <w:vAlign w:val="center"/>
          </w:tcPr>
          <w:p>
            <w:pPr>
              <w:spacing w:line="240" w:lineRule="auto"/>
              <w:jc w:val="left"/>
              <w:rPr>
                <w:rFonts w:hint="default" w:ascii="宋体" w:hAnsi="宋体" w:eastAsia="宋体" w:cstheme="minorBidi"/>
                <w:bCs/>
                <w:kern w:val="2"/>
                <w:sz w:val="21"/>
                <w:szCs w:val="21"/>
                <w:highlight w:val="none"/>
                <w:lang w:val="en-US" w:eastAsia="zh-CN" w:bidi="ar-SA"/>
              </w:rPr>
            </w:pPr>
            <w:r>
              <w:rPr>
                <w:rFonts w:hint="eastAsia" w:ascii="宋体" w:hAnsi="宋体" w:eastAsia="宋体" w:cstheme="minorBidi"/>
                <w:bCs/>
                <w:kern w:val="2"/>
                <w:sz w:val="21"/>
                <w:szCs w:val="21"/>
                <w:highlight w:val="none"/>
                <w:lang w:val="en-US" w:eastAsia="zh-CN" w:bidi="ar-SA"/>
              </w:rPr>
              <w:t>线体地下地坑照明设备</w:t>
            </w:r>
            <w:bookmarkStart w:id="122" w:name="_GoBack"/>
            <w:bookmarkEnd w:id="122"/>
          </w:p>
        </w:tc>
        <w:tc>
          <w:tcPr>
            <w:tcW w:w="2239" w:type="dxa"/>
            <w:vAlign w:val="center"/>
          </w:tcPr>
          <w:p>
            <w:pPr>
              <w:spacing w:line="360" w:lineRule="auto"/>
              <w:jc w:val="center"/>
              <w:rPr>
                <w:rFonts w:hint="eastAsia" w:ascii="仿宋" w:hAnsi="仿宋" w:eastAsia="仿宋"/>
                <w:sz w:val="22"/>
              </w:rPr>
            </w:pPr>
          </w:p>
        </w:tc>
        <w:tc>
          <w:tcPr>
            <w:tcW w:w="1120" w:type="dxa"/>
            <w:vAlign w:val="center"/>
          </w:tcPr>
          <w:p>
            <w:pPr>
              <w:jc w:val="center"/>
              <w:textAlignment w:val="center"/>
              <w:rPr>
                <w:rFonts w:hint="eastAsia" w:ascii="宋体" w:hAnsi="宋体" w:eastAsia="宋体" w:cs="宋体"/>
                <w:sz w:val="24"/>
                <w:szCs w:val="24"/>
                <w:highlight w:val="yellow"/>
              </w:rPr>
            </w:pPr>
          </w:p>
        </w:tc>
        <w:tc>
          <w:tcPr>
            <w:tcW w:w="1120" w:type="dxa"/>
            <w:vAlign w:val="center"/>
          </w:tcPr>
          <w:p>
            <w:pPr>
              <w:jc w:val="center"/>
              <w:rPr>
                <w:rFonts w:hint="eastAsia" w:ascii="宋体" w:hAnsi="宋体" w:eastAsia="宋体" w:cs="宋体"/>
                <w:sz w:val="24"/>
                <w:szCs w:val="24"/>
                <w:highlight w:val="yellow"/>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79" w:line="284" w:lineRule="exact"/>
              <w:ind w:left="249"/>
              <w:rPr>
                <w:rFonts w:hint="eastAsia" w:ascii="宋体" w:hAnsi="宋体" w:eastAsia="宋体" w:cs="宋体"/>
                <w:szCs w:val="21"/>
              </w:rPr>
            </w:pPr>
            <w:r>
              <w:rPr>
                <w:rFonts w:ascii="宋体" w:hAnsi="宋体" w:eastAsia="宋体" w:cs="宋体"/>
                <w:position w:val="1"/>
                <w:szCs w:val="21"/>
              </w:rPr>
              <w:t>…</w:t>
            </w:r>
          </w:p>
        </w:tc>
        <w:tc>
          <w:tcPr>
            <w:tcW w:w="2238" w:type="dxa"/>
            <w:gridSpan w:val="2"/>
          </w:tcPr>
          <w:p>
            <w:pPr>
              <w:rPr>
                <w:rFonts w:hint="eastAsia" w:ascii="Arial"/>
              </w:rPr>
            </w:pPr>
            <w:r>
              <w:rPr>
                <w:rFonts w:hint="eastAsia" w:ascii="宋体" w:hAnsi="宋体" w:eastAsia="宋体" w:cs="宋体"/>
              </w:rPr>
              <w:t>以上投标设备不足之处请往下添加序号自行补充</w:t>
            </w:r>
          </w:p>
        </w:tc>
        <w:tc>
          <w:tcPr>
            <w:tcW w:w="2239" w:type="dxa"/>
          </w:tcPr>
          <w:p>
            <w:pPr>
              <w:rPr>
                <w:rFonts w:hint="eastAsia" w:ascii="Arial"/>
              </w:rPr>
            </w:pPr>
          </w:p>
        </w:tc>
        <w:tc>
          <w:tcPr>
            <w:tcW w:w="1120" w:type="dxa"/>
          </w:tcPr>
          <w:p>
            <w:pPr>
              <w:rPr>
                <w:rFonts w:hint="eastAsia" w:ascii="Arial"/>
              </w:rPr>
            </w:pPr>
          </w:p>
        </w:tc>
        <w:tc>
          <w:tcPr>
            <w:tcW w:w="1120" w:type="dxa"/>
          </w:tcPr>
          <w:p>
            <w:pPr>
              <w:rPr>
                <w:rFonts w:hint="eastAsia" w:ascii="Arial"/>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20" w:type="dxa"/>
            <w:gridSpan w:val="2"/>
            <w:tcBorders>
              <w:right w:val="single" w:color="000000" w:sz="4" w:space="0"/>
            </w:tcBorders>
          </w:tcPr>
          <w:p>
            <w:pPr>
              <w:jc w:val="center"/>
              <w:rPr>
                <w:rFonts w:hint="eastAsia" w:ascii="宋体" w:hAnsi="宋体" w:eastAsia="宋体" w:cs="宋体"/>
                <w:spacing w:val="-6"/>
                <w:szCs w:val="21"/>
              </w:rPr>
            </w:pPr>
          </w:p>
        </w:tc>
        <w:tc>
          <w:tcPr>
            <w:tcW w:w="9872" w:type="dxa"/>
            <w:gridSpan w:val="6"/>
            <w:tcBorders>
              <w:right w:val="single" w:color="000000" w:sz="4" w:space="0"/>
            </w:tcBorders>
          </w:tcPr>
          <w:p>
            <w:pPr>
              <w:jc w:val="center"/>
              <w:rPr>
                <w:rFonts w:hint="eastAsia" w:ascii="Arial"/>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2385" w:type="dxa"/>
            <w:tcBorders>
              <w:left w:val="single" w:color="000000" w:sz="4" w:space="0"/>
            </w:tcBorders>
          </w:tcPr>
          <w:p>
            <w:pPr>
              <w:rPr>
                <w:rFonts w:hint="eastAsia" w:ascii="Arial"/>
              </w:rPr>
            </w:pPr>
          </w:p>
        </w:tc>
        <w:tc>
          <w:tcPr>
            <w:tcW w:w="1717" w:type="dxa"/>
          </w:tcPr>
          <w:p>
            <w:pPr>
              <w:rPr>
                <w:rFonts w:hint="eastAsia" w:ascii="Arial"/>
              </w:rPr>
            </w:pPr>
          </w:p>
        </w:tc>
      </w:tr>
    </w:tbl>
    <w:p>
      <w:pPr>
        <w:spacing w:before="58" w:line="219" w:lineRule="auto"/>
        <w:ind w:left="8"/>
        <w:rPr>
          <w:rFonts w:hint="eastAsia"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pPr>
        <w:spacing w:line="105" w:lineRule="exact"/>
        <w:rPr>
          <w:rFonts w:hint="eastAsia"/>
        </w:rPr>
      </w:pPr>
    </w:p>
    <w:p>
      <w:pPr>
        <w:rPr>
          <w:rFonts w:hint="eastAsia"/>
        </w:rPr>
        <w:sectPr>
          <w:footerReference r:id="rId31" w:type="default"/>
          <w:pgSz w:w="16841" w:h="11907" w:orient="landscape"/>
          <w:pgMar w:top="400" w:right="1387" w:bottom="1168" w:left="1473" w:header="0" w:footer="990" w:gutter="0"/>
          <w:cols w:equalWidth="0" w:num="1">
            <w:col w:w="13980"/>
          </w:cols>
        </w:sectPr>
      </w:pPr>
    </w:p>
    <w:p>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pPr>
        <w:rPr>
          <w:rFonts w:hint="eastAsia"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pPr>
        <w:spacing w:before="132" w:line="221" w:lineRule="auto"/>
        <w:ind w:left="310"/>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pPr>
        <w:spacing w:line="172" w:lineRule="exact"/>
        <w:rPr>
          <w:rFonts w:hint="eastAsia"/>
        </w:rPr>
      </w:pPr>
    </w:p>
    <w:tbl>
      <w:tblPr>
        <w:tblStyle w:val="131"/>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pPr>
              <w:spacing w:line="296" w:lineRule="auto"/>
              <w:rPr>
                <w:rFonts w:hint="eastAsia" w:ascii="Arial"/>
              </w:rPr>
            </w:pPr>
          </w:p>
          <w:p>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pPr>
              <w:spacing w:line="295" w:lineRule="auto"/>
              <w:rPr>
                <w:rFonts w:hint="eastAsia" w:ascii="Arial"/>
              </w:rPr>
            </w:pPr>
          </w:p>
          <w:p>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pPr>
              <w:rPr>
                <w:rFonts w:hint="eastAsia" w:ascii="Arial"/>
              </w:rPr>
            </w:pPr>
          </w:p>
        </w:tc>
        <w:tc>
          <w:tcPr>
            <w:tcW w:w="3530" w:type="dxa"/>
            <w:vMerge w:val="continue"/>
            <w:tcBorders>
              <w:top w:val="nil"/>
            </w:tcBorders>
          </w:tcPr>
          <w:p>
            <w:pPr>
              <w:rPr>
                <w:rFonts w:hint="eastAsia" w:ascii="Arial"/>
              </w:rPr>
            </w:pPr>
          </w:p>
        </w:tc>
        <w:tc>
          <w:tcPr>
            <w:tcW w:w="2159" w:type="dxa"/>
          </w:tcPr>
          <w:p>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pPr>
              <w:spacing w:before="161" w:line="185" w:lineRule="auto"/>
              <w:ind w:left="1031"/>
              <w:rPr>
                <w:rFonts w:hint="eastAsia" w:ascii="宋体" w:hAnsi="宋体" w:eastAsia="宋体" w:cs="宋体"/>
                <w:szCs w:val="21"/>
              </w:rPr>
            </w:pPr>
            <w:r>
              <w:rPr>
                <w:rFonts w:ascii="宋体" w:hAnsi="宋体" w:eastAsia="宋体" w:cs="宋体"/>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vMerge w:val="restart"/>
            <w:tcBorders>
              <w:bottom w:val="nil"/>
            </w:tcBorders>
          </w:tcPr>
          <w:p>
            <w:pPr>
              <w:spacing w:line="295" w:lineRule="auto"/>
              <w:rPr>
                <w:rFonts w:hint="eastAsia" w:ascii="Arial"/>
              </w:rPr>
            </w:pPr>
          </w:p>
          <w:p>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vMerge w:val="continue"/>
            <w:tcBorders>
              <w:top w:val="nil"/>
            </w:tcBorders>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tcPr>
          <w:p>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tcPr>
          <w:p>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pPr>
              <w:spacing w:before="211"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pPr>
        <w:rPr>
          <w:rFonts w:hint="eastAsia"/>
          <w:sz w:val="24"/>
          <w:szCs w:val="24"/>
        </w:rPr>
        <w:sectPr>
          <w:footerReference r:id="rId32" w:type="default"/>
          <w:pgSz w:w="16841" w:h="11907"/>
          <w:pgMar w:top="400" w:right="1699" w:bottom="1184" w:left="1481" w:header="0" w:footer="1022" w:gutter="0"/>
          <w:cols w:space="720" w:num="1"/>
        </w:sectPr>
      </w:pPr>
    </w:p>
    <w:p>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pPr>
        <w:rPr>
          <w:rFonts w:hint="eastAsia"/>
        </w:rPr>
      </w:pPr>
    </w:p>
    <w:p>
      <w:pPr>
        <w:spacing w:line="20" w:lineRule="exact"/>
        <w:rPr>
          <w:rFonts w:hint="eastAsia"/>
        </w:rPr>
      </w:pPr>
    </w:p>
    <w:tbl>
      <w:tblPr>
        <w:tblStyle w:val="131"/>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0" w:line="186" w:lineRule="auto"/>
              <w:jc w:val="center"/>
              <w:rPr>
                <w:rFonts w:hint="eastAsia" w:ascii="宋体" w:hAnsi="宋体" w:eastAsia="宋体" w:cs="宋体"/>
                <w:szCs w:val="21"/>
              </w:rPr>
            </w:pPr>
            <w:r>
              <w:rPr>
                <w:rFonts w:ascii="宋体" w:hAnsi="宋体" w:eastAsia="宋体" w:cs="宋体"/>
                <w:szCs w:val="21"/>
              </w:rPr>
              <w:t>1</w:t>
            </w:r>
          </w:p>
        </w:tc>
        <w:tc>
          <w:tcPr>
            <w:tcW w:w="3625" w:type="dxa"/>
          </w:tcPr>
          <w:p>
            <w:pPr>
              <w:spacing w:before="266" w:line="221" w:lineRule="auto"/>
              <w:jc w:val="center"/>
              <w:rPr>
                <w:rFonts w:hint="eastAsia" w:ascii="宋体" w:hAnsi="宋体" w:eastAsia="宋体" w:cs="宋体"/>
                <w:szCs w:val="21"/>
              </w:rPr>
            </w:pPr>
            <w:r>
              <w:rPr>
                <w:rFonts w:hint="eastAsia" w:ascii="宋体" w:hAnsi="宋体" w:eastAsia="宋体" w:cs="宋体"/>
                <w:spacing w:val="-1"/>
                <w:szCs w:val="21"/>
                <w:highlight w:val="yellow"/>
              </w:rPr>
              <w:t>现场安装调试费</w:t>
            </w:r>
          </w:p>
        </w:tc>
        <w:tc>
          <w:tcPr>
            <w:tcW w:w="1126" w:type="dxa"/>
          </w:tcPr>
          <w:p>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pPr>
              <w:spacing w:before="266" w:line="221" w:lineRule="auto"/>
              <w:jc w:val="center"/>
              <w:rPr>
                <w:rFonts w:hint="eastAsia" w:ascii="宋体" w:hAnsi="宋体" w:eastAsia="宋体" w:cs="宋体"/>
                <w:spacing w:val="-2"/>
                <w:szCs w:val="21"/>
              </w:rPr>
            </w:pPr>
          </w:p>
        </w:tc>
        <w:tc>
          <w:tcPr>
            <w:tcW w:w="1138" w:type="dxa"/>
          </w:tcPr>
          <w:p>
            <w:pPr>
              <w:spacing w:before="266" w:line="221" w:lineRule="auto"/>
              <w:jc w:val="center"/>
              <w:rPr>
                <w:rFonts w:hint="eastAsia" w:ascii="宋体" w:hAnsi="宋体" w:eastAsia="宋体" w:cs="宋体"/>
                <w:spacing w:val="-2"/>
                <w:szCs w:val="21"/>
              </w:rPr>
            </w:pPr>
          </w:p>
        </w:tc>
        <w:tc>
          <w:tcPr>
            <w:tcW w:w="2449" w:type="dxa"/>
          </w:tcPr>
          <w:p>
            <w:pPr>
              <w:rPr>
                <w:rFonts w:hint="eastAsia" w:ascii="Arial"/>
              </w:rPr>
            </w:pPr>
          </w:p>
        </w:tc>
        <w:tc>
          <w:tcPr>
            <w:tcW w:w="3328" w:type="dxa"/>
          </w:tcPr>
          <w:p>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2" w:line="185" w:lineRule="auto"/>
              <w:jc w:val="center"/>
              <w:rPr>
                <w:rFonts w:hint="eastAsia" w:ascii="宋体" w:hAnsi="宋体" w:eastAsia="宋体" w:cs="宋体"/>
                <w:szCs w:val="21"/>
              </w:rPr>
            </w:pPr>
            <w:r>
              <w:rPr>
                <w:rFonts w:ascii="宋体" w:hAnsi="宋体" w:eastAsia="宋体" w:cs="宋体"/>
                <w:szCs w:val="21"/>
              </w:rPr>
              <w:t>2</w:t>
            </w:r>
          </w:p>
        </w:tc>
        <w:tc>
          <w:tcPr>
            <w:tcW w:w="3625" w:type="dxa"/>
          </w:tcPr>
          <w:p>
            <w:pPr>
              <w:spacing w:before="266" w:line="221" w:lineRule="auto"/>
              <w:jc w:val="center"/>
              <w:rPr>
                <w:rFonts w:hint="eastAsia" w:ascii="宋体" w:hAnsi="宋体" w:eastAsia="宋体" w:cs="宋体"/>
                <w:szCs w:val="21"/>
              </w:rPr>
            </w:pPr>
            <w:r>
              <w:rPr>
                <w:rFonts w:hint="eastAsia" w:ascii="宋体" w:hAnsi="宋体" w:eastAsia="宋体" w:cs="宋体"/>
                <w:szCs w:val="21"/>
                <w:highlight w:val="yellow"/>
              </w:rPr>
              <w:t>技术培训费</w:t>
            </w:r>
          </w:p>
        </w:tc>
        <w:tc>
          <w:tcPr>
            <w:tcW w:w="1126" w:type="dxa"/>
          </w:tcPr>
          <w:p>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pPr>
              <w:spacing w:before="266" w:line="221" w:lineRule="auto"/>
              <w:jc w:val="center"/>
              <w:rPr>
                <w:rFonts w:hint="eastAsia" w:ascii="宋体" w:hAnsi="宋体" w:eastAsia="宋体" w:cs="宋体"/>
                <w:spacing w:val="-2"/>
                <w:szCs w:val="21"/>
              </w:rPr>
            </w:pPr>
          </w:p>
        </w:tc>
        <w:tc>
          <w:tcPr>
            <w:tcW w:w="1138" w:type="dxa"/>
          </w:tcPr>
          <w:p>
            <w:pPr>
              <w:spacing w:before="266" w:line="221" w:lineRule="auto"/>
              <w:jc w:val="center"/>
              <w:rPr>
                <w:rFonts w:hint="eastAsia" w:ascii="宋体" w:hAnsi="宋体" w:eastAsia="宋体" w:cs="宋体"/>
                <w:spacing w:val="-2"/>
                <w:szCs w:val="21"/>
              </w:rPr>
            </w:pPr>
          </w:p>
        </w:tc>
        <w:tc>
          <w:tcPr>
            <w:tcW w:w="2449" w:type="dxa"/>
          </w:tcPr>
          <w:p>
            <w:pPr>
              <w:rPr>
                <w:rFonts w:hint="eastAsia" w:ascii="Arial"/>
              </w:rPr>
            </w:pPr>
          </w:p>
        </w:tc>
        <w:tc>
          <w:tcPr>
            <w:tcW w:w="3328" w:type="dxa"/>
          </w:tcPr>
          <w:p>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6" w:line="182" w:lineRule="auto"/>
              <w:jc w:val="center"/>
              <w:rPr>
                <w:rFonts w:hint="eastAsia" w:ascii="宋体" w:hAnsi="宋体" w:eastAsia="宋体" w:cs="宋体"/>
                <w:szCs w:val="21"/>
              </w:rPr>
            </w:pPr>
            <w:r>
              <w:rPr>
                <w:rFonts w:hint="eastAsia" w:ascii="宋体" w:hAnsi="宋体" w:eastAsia="宋体" w:cs="宋体"/>
                <w:szCs w:val="21"/>
              </w:rPr>
              <w:t>3</w:t>
            </w:r>
          </w:p>
        </w:tc>
        <w:tc>
          <w:tcPr>
            <w:tcW w:w="3625" w:type="dxa"/>
            <w:vAlign w:val="center"/>
          </w:tcPr>
          <w:p>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tcPr>
          <w:p>
            <w:pPr>
              <w:spacing w:before="266" w:line="221" w:lineRule="auto"/>
              <w:jc w:val="center"/>
              <w:rPr>
                <w:rFonts w:hint="eastAsia" w:ascii="宋体" w:hAnsi="宋体" w:eastAsia="宋体" w:cs="宋体"/>
                <w:spacing w:val="-2"/>
                <w:szCs w:val="21"/>
              </w:rPr>
            </w:pPr>
          </w:p>
        </w:tc>
        <w:tc>
          <w:tcPr>
            <w:tcW w:w="1138" w:type="dxa"/>
          </w:tcPr>
          <w:p>
            <w:pPr>
              <w:spacing w:before="266" w:line="221" w:lineRule="auto"/>
              <w:jc w:val="center"/>
              <w:rPr>
                <w:rFonts w:hint="eastAsia" w:ascii="宋体" w:hAnsi="宋体" w:eastAsia="宋体" w:cs="宋体"/>
                <w:spacing w:val="-2"/>
                <w:szCs w:val="21"/>
              </w:rPr>
            </w:pPr>
          </w:p>
        </w:tc>
        <w:tc>
          <w:tcPr>
            <w:tcW w:w="1138" w:type="dxa"/>
          </w:tcPr>
          <w:p>
            <w:pPr>
              <w:spacing w:before="266" w:line="221" w:lineRule="auto"/>
              <w:jc w:val="center"/>
              <w:rPr>
                <w:rFonts w:hint="eastAsia" w:ascii="宋体" w:hAnsi="宋体" w:eastAsia="宋体" w:cs="宋体"/>
                <w:spacing w:val="-2"/>
                <w:szCs w:val="21"/>
              </w:rPr>
            </w:pPr>
          </w:p>
        </w:tc>
        <w:tc>
          <w:tcPr>
            <w:tcW w:w="2449" w:type="dxa"/>
          </w:tcPr>
          <w:p>
            <w:pPr>
              <w:rPr>
                <w:rFonts w:hint="eastAsia" w:ascii="Arial"/>
              </w:rPr>
            </w:pPr>
          </w:p>
        </w:tc>
        <w:tc>
          <w:tcPr>
            <w:tcW w:w="3328" w:type="dxa"/>
          </w:tcPr>
          <w:p>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pPr>
        <w:rPr>
          <w:rFonts w:hint="eastAsia"/>
        </w:rPr>
      </w:pPr>
    </w:p>
    <w:p>
      <w:pPr>
        <w:pStyle w:val="18"/>
      </w:pPr>
    </w:p>
    <w:p>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pPr>
        <w:spacing w:before="35" w:line="239" w:lineRule="auto"/>
        <w:ind w:left="724"/>
        <w:rPr>
          <w:rFonts w:hint="eastAsia" w:ascii="宋体" w:hAnsi="宋体" w:eastAsia="宋体" w:cs="宋体"/>
          <w:spacing w:val="-1"/>
          <w:sz w:val="24"/>
          <w:szCs w:val="24"/>
        </w:rPr>
        <w:sectPr>
          <w:footerReference r:id="rId33" w:type="default"/>
          <w:pgSz w:w="16841" w:h="11907"/>
          <w:pgMar w:top="400" w:right="1699" w:bottom="1184" w:left="1481" w:header="0" w:footer="1022" w:gutter="0"/>
          <w:cols w:space="720" w:num="1"/>
        </w:sectPr>
      </w:pPr>
    </w:p>
    <w:p>
      <w:pPr>
        <w:pStyle w:val="6"/>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pPr>
        <w:spacing w:line="220" w:lineRule="auto"/>
        <w:ind w:left="1"/>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pPr>
        <w:spacing w:line="172" w:lineRule="exact"/>
        <w:rPr>
          <w:rFonts w:hint="eastAsia"/>
        </w:rPr>
      </w:pPr>
    </w:p>
    <w:tbl>
      <w:tblPr>
        <w:tblStyle w:val="131"/>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pPr>
              <w:spacing w:before="100" w:line="186" w:lineRule="auto"/>
              <w:ind w:left="223"/>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543" w:type="dxa"/>
          </w:tcPr>
          <w:p>
            <w:pPr>
              <w:spacing w:before="101" w:line="185" w:lineRule="auto"/>
              <w:ind w:left="122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100" w:type="dxa"/>
          </w:tcPr>
          <w:p>
            <w:pPr>
              <w:spacing w:before="102" w:line="183" w:lineRule="auto"/>
              <w:ind w:left="100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840" w:type="dxa"/>
          </w:tcPr>
          <w:p>
            <w:pPr>
              <w:spacing w:before="101" w:line="185" w:lineRule="auto"/>
              <w:ind w:left="3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239" w:type="dxa"/>
          </w:tcPr>
          <w:p>
            <w:pPr>
              <w:spacing w:before="103" w:line="182"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498" w:type="dxa"/>
          </w:tcPr>
          <w:p>
            <w:pPr>
              <w:spacing w:before="102" w:line="183" w:lineRule="auto"/>
              <w:ind w:left="58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861" w:type="dxa"/>
          </w:tcPr>
          <w:p>
            <w:pPr>
              <w:spacing w:before="103" w:line="182" w:lineRule="auto"/>
              <w:ind w:left="101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120" w:type="dxa"/>
          </w:tcPr>
          <w:p>
            <w:pPr>
              <w:spacing w:before="102" w:line="183" w:lineRule="auto"/>
              <w:ind w:left="516"/>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25" w:type="dxa"/>
          </w:tcPr>
          <w:p>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spacing w:before="237" w:line="186" w:lineRule="auto"/>
              <w:ind w:left="223"/>
              <w:rPr>
                <w:rFonts w:hint="eastAsia" w:ascii="宋体" w:hAnsi="宋体" w:eastAsia="宋体" w:cs="宋体"/>
                <w:szCs w:val="21"/>
              </w:rPr>
            </w:pPr>
            <w:r>
              <w:rPr>
                <w:rFonts w:ascii="宋体" w:hAnsi="宋体" w:eastAsia="宋体" w:cs="宋体"/>
                <w:szCs w:val="21"/>
              </w:rPr>
              <w:t>1</w:t>
            </w: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spacing w:before="239" w:line="185" w:lineRule="auto"/>
              <w:ind w:left="210"/>
              <w:rPr>
                <w:rFonts w:hint="eastAsia" w:ascii="宋体" w:hAnsi="宋体" w:eastAsia="宋体" w:cs="宋体"/>
                <w:szCs w:val="21"/>
              </w:rPr>
            </w:pPr>
            <w:r>
              <w:rPr>
                <w:rFonts w:ascii="宋体" w:hAnsi="宋体" w:eastAsia="宋体" w:cs="宋体"/>
                <w:szCs w:val="21"/>
              </w:rPr>
              <w:t>2</w:t>
            </w: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rPr>
                <w:rFonts w:hint="eastAsia" w:ascii="Arial"/>
              </w:rPr>
            </w:pP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hint="eastAsia" w:ascii="Arial"/>
              </w:rPr>
            </w:pP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hint="eastAsia" w:ascii="Arial"/>
              </w:rPr>
            </w:pP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106" w:type="dxa"/>
            <w:gridSpan w:val="3"/>
          </w:tcPr>
          <w:p>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pPr>
        <w:spacing w:before="87" w:line="198" w:lineRule="auto"/>
        <w:ind w:left="411"/>
        <w:rPr>
          <w:rFonts w:hint="eastAsia" w:ascii="宋体" w:hAnsi="宋体" w:eastAsia="宋体" w:cs="宋体"/>
          <w:spacing w:val="-2"/>
          <w:sz w:val="24"/>
          <w:szCs w:val="24"/>
        </w:rPr>
        <w:sectPr>
          <w:footerReference r:id="rId34" w:type="default"/>
          <w:pgSz w:w="16841" w:h="11907"/>
          <w:pgMar w:top="400" w:right="1500" w:bottom="1184" w:left="1480" w:header="0" w:footer="1022" w:gutter="0"/>
          <w:cols w:space="720" w:num="1"/>
        </w:sectPr>
      </w:pPr>
    </w:p>
    <w:p>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pPr>
        <w:spacing w:before="24" w:line="221" w:lineRule="auto"/>
        <w:ind w:left="211" w:firstLine="2310" w:firstLineChars="1100"/>
        <w:jc w:val="right"/>
        <w:rPr>
          <w:rFonts w:hint="eastAsia" w:ascii="宋体" w:hAnsi="宋体" w:eastAsia="宋体" w:cs="宋体"/>
          <w:szCs w:val="21"/>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pPr>
        <w:spacing w:line="127" w:lineRule="exact"/>
        <w:rPr>
          <w:rFonts w:hint="eastAsia"/>
        </w:rPr>
      </w:pPr>
    </w:p>
    <w:tbl>
      <w:tblPr>
        <w:tblStyle w:val="131"/>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pPr>
              <w:rPr>
                <w:rFonts w:hint="eastAsia" w:ascii="Arial"/>
              </w:rPr>
            </w:pPr>
          </w:p>
        </w:tc>
        <w:tc>
          <w:tcPr>
            <w:tcW w:w="3362"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pPr>
              <w:rPr>
                <w:rFonts w:hint="eastAsia" w:ascii="Arial"/>
              </w:rPr>
            </w:pPr>
          </w:p>
        </w:tc>
        <w:tc>
          <w:tcPr>
            <w:tcW w:w="3362"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pPr>
              <w:rPr>
                <w:rFonts w:hint="eastAsia" w:ascii="Arial"/>
              </w:rPr>
            </w:pPr>
          </w:p>
          <w:p>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pPr>
              <w:rPr>
                <w:rFonts w:hint="eastAsia" w:ascii="Arial"/>
              </w:rPr>
            </w:pPr>
          </w:p>
        </w:tc>
        <w:tc>
          <w:tcPr>
            <w:tcW w:w="3362"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pPr>
              <w:rPr>
                <w:rFonts w:hint="eastAsia" w:ascii="Arial"/>
              </w:rPr>
            </w:pPr>
          </w:p>
        </w:tc>
        <w:tc>
          <w:tcPr>
            <w:tcW w:w="3362"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pPr>
        <w:spacing w:line="291" w:lineRule="auto"/>
        <w:rPr>
          <w:rFonts w:hint="eastAsia" w:ascii="Arial"/>
        </w:rPr>
      </w:pPr>
    </w:p>
    <w:p>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pPr>
        <w:pStyle w:val="18"/>
      </w:pPr>
    </w:p>
    <w:p>
      <w:pPr>
        <w:pStyle w:val="18"/>
      </w:pPr>
    </w:p>
    <w:p>
      <w:pPr>
        <w:spacing w:before="140" w:line="220" w:lineRule="auto"/>
        <w:ind w:left="2" w:firstLine="464" w:firstLineChars="200"/>
        <w:rPr>
          <w:rFonts w:hint="eastAsia" w:ascii="宋体" w:hAnsi="宋体" w:eastAsia="宋体" w:cs="宋体"/>
          <w:spacing w:val="-2"/>
          <w:szCs w:val="21"/>
        </w:rPr>
        <w:sectPr>
          <w:footerReference r:id="rId35" w:type="default"/>
          <w:pgSz w:w="16841" w:h="11907"/>
          <w:pgMar w:top="400" w:right="1699" w:bottom="1168" w:left="1481" w:header="0" w:footer="990" w:gutter="0"/>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pPr>
        <w:rPr>
          <w:rFonts w:ascii="Calibri" w:hAnsi="Calibri" w:eastAsia="宋体" w:cs="Times New Roman"/>
          <w:szCs w:val="20"/>
        </w:rPr>
      </w:pPr>
    </w:p>
    <w:tbl>
      <w:tblPr>
        <w:tblStyle w:val="39"/>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sz w:val="24"/>
                <w:szCs w:val="24"/>
                <w:u w:val="single"/>
              </w:rPr>
              <w:t>济南卡车制造公司党家庄厂区总三车间总装北线加固改造技改项目</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是否偏离</w:t>
            </w:r>
          </w:p>
          <w:p>
            <w:pPr>
              <w:jc w:val="center"/>
              <w:rPr>
                <w:rFonts w:ascii="Times New Roman" w:hAnsi="Times New Roman" w:eastAsia="宋体" w:cs="Times New Roman"/>
                <w:b/>
                <w:szCs w:val="20"/>
              </w:rPr>
            </w:pPr>
            <w:r>
              <w:rPr>
                <w:rFonts w:hint="eastAsia" w:ascii="宋体" w:hAnsi="宋体" w:eastAsia="宋体" w:cs="宋体"/>
                <w:b/>
                <w:szCs w:val="20"/>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bl>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pPr>
        <w:rPr>
          <w:rFonts w:ascii="宋体" w:hAnsi="Calibri" w:eastAsia="宋体" w:cs="Times New Roman"/>
          <w:szCs w:val="20"/>
        </w:rPr>
      </w:pPr>
    </w:p>
    <w:p>
      <w:pPr>
        <w:rPr>
          <w:rFonts w:ascii="宋体" w:hAnsi="Calibri" w:eastAsia="宋体" w:cs="宋体"/>
          <w:b/>
          <w:bCs/>
          <w:color w:val="000000"/>
          <w:sz w:val="28"/>
          <w:szCs w:val="20"/>
        </w:rPr>
        <w:sectPr>
          <w:pgSz w:w="11906" w:h="16838"/>
          <w:pgMar w:top="1588" w:right="1418" w:bottom="1134" w:left="1418" w:header="851" w:footer="992" w:gutter="0"/>
          <w:cols w:space="720" w:num="1"/>
          <w:titlePg/>
          <w:docGrid w:type="lines" w:linePitch="312" w:charSpace="0"/>
        </w:sectPr>
      </w:pPr>
    </w:p>
    <w:p>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pPr>
        <w:spacing w:line="272" w:lineRule="auto"/>
        <w:rPr>
          <w:rFonts w:hint="eastAsia" w:ascii="Arial"/>
        </w:rPr>
      </w:pPr>
    </w:p>
    <w:p>
      <w:pPr>
        <w:spacing w:before="75" w:line="228" w:lineRule="auto"/>
        <w:ind w:left="134"/>
        <w:rPr>
          <w:rFonts w:hint="eastAsia"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宋体"/>
          <w:sz w:val="24"/>
          <w:szCs w:val="24"/>
          <w:u w:val="single"/>
        </w:rPr>
        <w:t>济南卡车制造公司党家庄厂区总三车间总装北线加固改造技改项目</w:t>
      </w:r>
    </w:p>
    <w:p>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pPr>
        <w:rPr>
          <w:rFonts w:hint="eastAsia"/>
        </w:rPr>
      </w:pPr>
    </w:p>
    <w:p>
      <w:pPr>
        <w:spacing w:line="109" w:lineRule="exact"/>
        <w:rPr>
          <w:rFonts w:hint="eastAsia"/>
        </w:rPr>
      </w:pPr>
    </w:p>
    <w:tbl>
      <w:tblPr>
        <w:tblStyle w:val="131"/>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pPr>
        <w:keepNext/>
        <w:keepLines/>
        <w:rPr>
          <w:rFonts w:ascii="Times New Roman" w:hAnsi="Times New Roman" w:eastAsia="宋体" w:cs="Times New Roman"/>
          <w:b/>
          <w:bCs/>
          <w:color w:val="000000"/>
          <w:sz w:val="24"/>
          <w:szCs w:val="24"/>
        </w:rPr>
      </w:pPr>
    </w:p>
    <w:p>
      <w:pPr>
        <w:spacing w:before="75" w:line="227" w:lineRule="auto"/>
        <w:ind w:left="135"/>
        <w:rPr>
          <w:rFonts w:hint="eastAsia" w:ascii="宋体" w:hAnsi="宋体" w:eastAsia="宋体" w:cs="宋体"/>
          <w:spacing w:val="-2"/>
          <w:sz w:val="24"/>
          <w:szCs w:val="24"/>
        </w:rPr>
      </w:pPr>
    </w:p>
    <w:p>
      <w:pPr>
        <w:spacing w:before="75" w:line="227" w:lineRule="auto"/>
        <w:ind w:left="135"/>
        <w:rPr>
          <w:rFonts w:hint="eastAsia" w:ascii="宋体" w:hAnsi="宋体" w:eastAsia="宋体" w:cs="宋体"/>
          <w:spacing w:val="-2"/>
          <w:sz w:val="24"/>
          <w:szCs w:val="24"/>
        </w:rPr>
      </w:pPr>
    </w:p>
    <w:p>
      <w:pPr>
        <w:spacing w:before="75" w:line="227" w:lineRule="auto"/>
        <w:ind w:left="135"/>
        <w:rPr>
          <w:rFonts w:hint="eastAsia" w:eastAsia="宋体"/>
          <w:sz w:val="24"/>
          <w:szCs w:val="24"/>
        </w:rPr>
        <w:sectPr>
          <w:footerReference r:id="rId36"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pPr>
        <w:spacing w:line="240" w:lineRule="exact"/>
        <w:jc w:val="center"/>
        <w:rPr>
          <w:rFonts w:ascii="宋体" w:hAnsi="Calibri" w:eastAsia="宋体" w:cs="Times New Roman"/>
          <w:b/>
          <w:bCs/>
          <w:sz w:val="36"/>
          <w:szCs w:val="20"/>
        </w:rPr>
      </w:pPr>
    </w:p>
    <w:p>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济南卡车制造公司党家庄厂区总三车间总装北线加固改造技改项目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宋体" w:hAnsi="Calibri" w:eastAsia="宋体" w:cs="宋体"/>
          <w:b/>
          <w:bCs/>
          <w:color w:val="000000"/>
          <w:sz w:val="28"/>
          <w:szCs w:val="20"/>
        </w:rPr>
      </w:pPr>
    </w:p>
    <w:p>
      <w:pPr>
        <w:pStyle w:val="18"/>
        <w:rPr>
          <w:rFonts w:hAnsi="Calibri" w:eastAsia="宋体" w:cs="宋体"/>
          <w:b/>
          <w:bCs/>
          <w:color w:val="000000"/>
          <w:sz w:val="28"/>
          <w:szCs w:val="20"/>
        </w:rPr>
      </w:pPr>
    </w:p>
    <w:p>
      <w:pPr>
        <w:rPr>
          <w:rFonts w:ascii="宋体" w:hAnsi="Calibri" w:eastAsia="宋体" w:cs="宋体"/>
          <w:b/>
          <w:bCs/>
          <w:color w:val="000000"/>
          <w:sz w:val="28"/>
          <w:szCs w:val="20"/>
        </w:rPr>
      </w:pPr>
    </w:p>
    <w:p>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jc w:val="center"/>
              <w:rPr>
                <w:rFonts w:ascii="Times New Roman" w:hAnsi="Times New Roman" w:eastAsia="宋体" w:cs="Times New Roman"/>
                <w:b/>
                <w:szCs w:val="20"/>
              </w:rPr>
            </w:pPr>
          </w:p>
          <w:p>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pPr>
              <w:rPr>
                <w:rFonts w:ascii="Times New Roman" w:hAnsi="Times New Roman" w:eastAsia="等线" w:cs="Times New Roman"/>
                <w:b/>
                <w:sz w:val="30"/>
                <w:szCs w:val="30"/>
              </w:rPr>
            </w:pPr>
          </w:p>
          <w:p>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ascii="Times New Roman" w:hAnsi="Times New Roman" w:eastAsia="宋体" w:cs="Times New Roman"/>
                <w:b/>
                <w:sz w:val="30"/>
                <w:szCs w:val="30"/>
              </w:rPr>
              <w:t>/</w:t>
            </w:r>
            <w:r>
              <w:rPr>
                <w:rFonts w:ascii="等线" w:hAnsi="等线" w:eastAsia="等线" w:cs="Times New Roman"/>
                <w:b/>
                <w:sz w:val="30"/>
                <w:szCs w:val="30"/>
                <w:u w:val="single"/>
              </w:rPr>
              <w:t xml:space="preserve"> </w:t>
            </w:r>
            <w:r>
              <w:rPr>
                <w:rFonts w:hint="eastAsia" w:ascii="等线" w:hAnsi="等线" w:eastAsia="等线" w:cs="Times New Roman"/>
                <w:b/>
                <w:sz w:val="30"/>
                <w:szCs w:val="30"/>
                <w:u w:val="single"/>
              </w:rPr>
              <w:t>0</w:t>
            </w:r>
            <w:r>
              <w:rPr>
                <w:rFonts w:ascii="等线" w:hAnsi="等线" w:eastAsia="等线" w:cs="Times New Roman"/>
                <w:b/>
                <w:sz w:val="30"/>
                <w:szCs w:val="30"/>
                <w:u w:val="single"/>
              </w:rPr>
              <w:t xml:space="preserve"> </w:t>
            </w:r>
            <w:r>
              <w:rPr>
                <w:rFonts w:hint="eastAsia" w:ascii="宋体" w:hAnsi="宋体" w:eastAsia="宋体" w:cs="宋体"/>
                <w:b/>
                <w:sz w:val="30"/>
                <w:szCs w:val="30"/>
              </w:rPr>
              <w:t>副本）</w:t>
            </w: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r>
              <w:rPr>
                <w:rFonts w:hint="eastAsia" w:ascii="宋体" w:hAnsi="宋体" w:eastAsia="宋体" w:cs="宋体"/>
                <w:b/>
                <w:szCs w:val="20"/>
              </w:rPr>
              <w:t>项目名称：</w:t>
            </w:r>
            <w:r>
              <w:rPr>
                <w:rFonts w:hint="eastAsia" w:ascii="宋体" w:hAnsi="宋体" w:eastAsia="宋体" w:cs="宋体"/>
                <w:sz w:val="24"/>
                <w:szCs w:val="24"/>
                <w:u w:val="single"/>
              </w:rPr>
              <w:t>济南卡车制造公司</w:t>
            </w:r>
            <w:r>
              <w:rPr>
                <w:rFonts w:hint="eastAsia" w:ascii="宋体" w:hAnsi="宋体" w:eastAsia="宋体" w:cs="宋体"/>
                <w:sz w:val="24"/>
                <w:szCs w:val="24"/>
                <w:u w:val="single"/>
                <w:lang w:val="en-US" w:eastAsia="zh-CN"/>
              </w:rPr>
              <w:t>党家庄</w:t>
            </w:r>
            <w:r>
              <w:rPr>
                <w:rFonts w:hint="eastAsia" w:ascii="宋体" w:hAnsi="宋体" w:eastAsia="宋体" w:cs="宋体"/>
                <w:sz w:val="24"/>
                <w:szCs w:val="24"/>
                <w:u w:val="single"/>
              </w:rPr>
              <w:t>厂区</w:t>
            </w:r>
            <w:r>
              <w:rPr>
                <w:rFonts w:hint="eastAsia" w:ascii="宋体" w:hAnsi="宋体" w:eastAsia="宋体" w:cs="宋体"/>
                <w:sz w:val="24"/>
                <w:szCs w:val="24"/>
                <w:u w:val="single"/>
                <w:lang w:val="en-US" w:eastAsia="zh-CN"/>
              </w:rPr>
              <w:t>总三车间总装北线加固改造技改</w:t>
            </w:r>
            <w:r>
              <w:rPr>
                <w:rFonts w:hint="eastAsia" w:ascii="宋体" w:hAnsi="宋体" w:eastAsia="宋体" w:cs="宋体"/>
                <w:sz w:val="24"/>
                <w:szCs w:val="24"/>
                <w:u w:val="single"/>
              </w:rPr>
              <w:t>项目</w:t>
            </w:r>
          </w:p>
          <w:p>
            <w:pPr>
              <w:jc w:val="center"/>
              <w:rPr>
                <w:rFonts w:ascii="Times New Roman" w:hAnsi="Times New Roman" w:eastAsia="宋体" w:cs="Times New Roman"/>
                <w:b/>
                <w:szCs w:val="20"/>
              </w:rPr>
            </w:pPr>
            <w:r>
              <w:rPr>
                <w:rFonts w:hint="eastAsia" w:ascii="宋体" w:hAnsi="宋体" w:eastAsia="宋体" w:cs="宋体"/>
                <w:b/>
                <w:szCs w:val="20"/>
              </w:rPr>
              <w:t>投标人名称（公章）：</w:t>
            </w:r>
          </w:p>
          <w:p>
            <w:pPr>
              <w:jc w:val="center"/>
              <w:rPr>
                <w:rFonts w:ascii="Times New Roman" w:hAnsi="Times New Roman" w:eastAsia="宋体" w:cs="Times New Roman"/>
                <w:b/>
                <w:szCs w:val="20"/>
              </w:rPr>
            </w:pPr>
            <w:r>
              <w:rPr>
                <w:rFonts w:hint="eastAsia" w:ascii="宋体" w:hAnsi="宋体" w:eastAsia="宋体" w:cs="宋体"/>
                <w:b/>
                <w:szCs w:val="20"/>
              </w:rPr>
              <w:t>地址：</w:t>
            </w:r>
          </w:p>
          <w:p>
            <w:pPr>
              <w:jc w:val="center"/>
              <w:rPr>
                <w:rFonts w:ascii="Times New Roman" w:hAnsi="Times New Roman" w:eastAsia="宋体" w:cs="Times New Roman"/>
                <w:b/>
                <w:szCs w:val="20"/>
              </w:rPr>
            </w:pPr>
            <w:r>
              <w:rPr>
                <w:rFonts w:hint="eastAsia" w:ascii="宋体" w:hAnsi="宋体" w:eastAsia="宋体" w:cs="宋体"/>
                <w:b/>
                <w:szCs w:val="20"/>
              </w:rPr>
              <w:t>授权代表电话：</w:t>
            </w:r>
          </w:p>
          <w:p>
            <w:pPr>
              <w:jc w:val="center"/>
              <w:rPr>
                <w:rFonts w:ascii="Times New Roman" w:hAnsi="Times New Roman" w:eastAsia="宋体" w:cs="Times New Roman"/>
                <w:b/>
                <w:szCs w:val="20"/>
              </w:rPr>
            </w:pPr>
            <w:r>
              <w:rPr>
                <w:rFonts w:hint="eastAsia" w:ascii="宋体" w:hAnsi="宋体" w:eastAsia="宋体" w:cs="宋体"/>
                <w:b/>
                <w:szCs w:val="20"/>
              </w:rPr>
              <w:t>传真：</w:t>
            </w: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p>
        </w:tc>
      </w:tr>
    </w:tbl>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pPr>
        <w:pStyle w:val="18"/>
      </w:pPr>
    </w:p>
    <w:p>
      <w:pPr>
        <w:jc w:val="right"/>
        <w:rPr>
          <w:rFonts w:hint="eastAsia" w:asciiTheme="minorEastAsia" w:hAnsiTheme="minorEastAsia" w:cstheme="minorEastAsia"/>
          <w:sz w:val="20"/>
          <w:szCs w:val="20"/>
        </w:rPr>
      </w:pPr>
    </w:p>
    <w:p>
      <w:pPr>
        <w:jc w:val="right"/>
        <w:rPr>
          <w:rFonts w:hint="eastAsia" w:asciiTheme="minorEastAsia" w:hAnsiTheme="minorEastAsia" w:cstheme="minorEastAsia"/>
          <w:sz w:val="20"/>
          <w:szCs w:val="20"/>
        </w:rPr>
      </w:pPr>
    </w:p>
    <w:p>
      <w:pPr>
        <w:rPr>
          <w:rFonts w:hint="eastAsia"/>
        </w:rPr>
        <w:sectPr>
          <w:headerReference r:id="rId38" w:type="first"/>
          <w:footerReference r:id="rId40" w:type="first"/>
          <w:headerReference r:id="rId37" w:type="default"/>
          <w:footerReference r:id="rId39" w:type="default"/>
          <w:pgSz w:w="11906" w:h="16838"/>
          <w:pgMar w:top="1588" w:right="1418" w:bottom="1134" w:left="1418" w:header="851" w:footer="992" w:gutter="0"/>
          <w:cols w:space="720" w:num="1"/>
          <w:titlePg/>
          <w:docGrid w:type="lines" w:linePitch="312" w:charSpace="0"/>
        </w:sectPr>
      </w:pPr>
    </w:p>
    <w:p>
      <w:pPr>
        <w:outlineLvl w:val="2"/>
        <w:rPr>
          <w:rFonts w:hint="eastAsia"/>
        </w:rPr>
      </w:pPr>
      <w:r>
        <w:rPr>
          <w:rFonts w:hint="eastAsia" w:ascii="Times New Roman" w:hAnsi="Times New Roman" w:eastAsia="宋体" w:cs="Times New Roman"/>
          <w:b/>
          <w:bCs/>
          <w:color w:val="000000"/>
          <w:sz w:val="24"/>
          <w:szCs w:val="24"/>
        </w:rPr>
        <w:t>附件14评分标准</w:t>
      </w:r>
    </w:p>
    <w:p>
      <w:pPr>
        <w:keepNext/>
        <w:keepLines/>
        <w:spacing w:before="156" w:beforeLines="50" w:after="156" w:afterLines="50" w:line="360" w:lineRule="auto"/>
        <w:jc w:val="center"/>
        <w:rPr>
          <w:rFonts w:hint="eastAsia" w:ascii="宋体" w:hAnsi="宋体" w:eastAsia="宋体" w:cs="Times New Roman"/>
          <w:b/>
          <w:bCs/>
          <w:sz w:val="24"/>
          <w:szCs w:val="24"/>
        </w:rPr>
      </w:pPr>
      <w:r>
        <w:rPr>
          <w:rFonts w:hint="eastAsia" w:ascii="宋体" w:hAnsi="宋体" w:eastAsia="宋体" w:cs="Times New Roman"/>
          <w:b/>
          <w:bCs/>
          <w:sz w:val="24"/>
          <w:szCs w:val="24"/>
        </w:rPr>
        <w:t>评审表（100分）</w:t>
      </w:r>
    </w:p>
    <w:tbl>
      <w:tblPr>
        <w:tblStyle w:val="39"/>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851"/>
        <w:gridCol w:w="639"/>
        <w:gridCol w:w="650"/>
        <w:gridCol w:w="61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b/>
                <w:szCs w:val="21"/>
              </w:rPr>
            </w:pPr>
            <w:r>
              <w:rPr>
                <w:rFonts w:hint="eastAsia"/>
                <w:b/>
              </w:rPr>
              <w:t>评标因素</w:t>
            </w:r>
          </w:p>
        </w:tc>
        <w:tc>
          <w:tcPr>
            <w:tcW w:w="851"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b/>
                <w:szCs w:val="21"/>
              </w:rPr>
            </w:pPr>
            <w:r>
              <w:rPr>
                <w:rFonts w:hint="eastAsia"/>
                <w:b/>
              </w:rPr>
              <w:t>总分</w:t>
            </w:r>
          </w:p>
        </w:tc>
        <w:tc>
          <w:tcPr>
            <w:tcW w:w="639"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eastAsia="宋体"/>
                <w:b/>
                <w:szCs w:val="21"/>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b/>
                <w:szCs w:val="21"/>
              </w:rPr>
            </w:pPr>
            <w:r>
              <w:rPr>
                <w:rFonts w:hint="eastAsia"/>
                <w:b/>
              </w:rPr>
              <w:t>最高</w:t>
            </w:r>
          </w:p>
          <w:p>
            <w:pPr>
              <w:spacing w:line="320" w:lineRule="exact"/>
              <w:ind w:right="34" w:rightChars="16"/>
              <w:jc w:val="center"/>
              <w:rPr>
                <w:rFonts w:hint="eastAsia"/>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b/>
                <w:szCs w:val="21"/>
              </w:rPr>
            </w:pPr>
            <w:r>
              <w:rPr>
                <w:rFonts w:hint="eastAsia"/>
                <w:b/>
              </w:rPr>
              <w:t>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pPr>
              <w:jc w:val="center"/>
              <w:rPr>
                <w:rFonts w:hint="eastAsia" w:ascii="宋体" w:eastAsia="宋体"/>
              </w:rPr>
            </w:pPr>
            <w:r>
              <w:rPr>
                <w:rFonts w:hint="eastAsia" w:ascii="宋体"/>
              </w:rPr>
              <w:t>技术标</w:t>
            </w:r>
          </w:p>
        </w:tc>
        <w:tc>
          <w:tcPr>
            <w:tcW w:w="851" w:type="dxa"/>
            <w:vMerge w:val="restart"/>
            <w:tcBorders>
              <w:top w:val="single" w:color="auto" w:sz="4" w:space="0"/>
              <w:left w:val="single" w:color="auto" w:sz="4" w:space="0"/>
              <w:right w:val="single" w:color="auto" w:sz="4" w:space="0"/>
            </w:tcBorders>
            <w:vAlign w:val="center"/>
          </w:tcPr>
          <w:p>
            <w:pPr>
              <w:spacing w:line="440" w:lineRule="exact"/>
              <w:jc w:val="center"/>
              <w:rPr>
                <w:rFonts w:hint="eastAsia" w:ascii="宋体" w:eastAsia="宋体"/>
              </w:rPr>
            </w:pPr>
            <w:r>
              <w:rPr>
                <w:rFonts w:hint="eastAsia" w:ascii="宋体"/>
                <w:b/>
                <w:bCs/>
              </w:rPr>
              <w:t>100分（40%）</w:t>
            </w:r>
          </w:p>
        </w:tc>
        <w:tc>
          <w:tcPr>
            <w:tcW w:w="639" w:type="dxa"/>
            <w:tcBorders>
              <w:top w:val="single" w:color="auto" w:sz="4" w:space="0"/>
              <w:left w:val="single" w:color="auto" w:sz="4" w:space="0"/>
              <w:right w:val="single" w:color="auto" w:sz="4" w:space="0"/>
            </w:tcBorders>
            <w:vAlign w:val="center"/>
          </w:tcPr>
          <w:p>
            <w:pPr>
              <w:jc w:val="center"/>
              <w:rPr>
                <w:rFonts w:hint="eastAsia" w:ascii="宋体"/>
              </w:rPr>
            </w:pPr>
            <w:r>
              <w:rPr>
                <w:rFonts w:hint="eastAsia" w:ascii="宋体" w:hAnsi="宋体"/>
              </w:rPr>
              <w:t>技术方案</w:t>
            </w:r>
          </w:p>
        </w:tc>
        <w:tc>
          <w:tcPr>
            <w:tcW w:w="6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rPr>
            </w:pPr>
            <w:r>
              <w:rPr>
                <w:rFonts w:hint="eastAsia" w:ascii="宋体"/>
              </w:rPr>
              <w:t>60</w:t>
            </w:r>
          </w:p>
        </w:tc>
        <w:tc>
          <w:tcPr>
            <w:tcW w:w="6153" w:type="dxa"/>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（1）定制系统方案达到招标要求，设备主要部件或核心部件，具备自身技术优势，打分1-15分。</w:t>
            </w:r>
          </w:p>
          <w:p>
            <w:pPr>
              <w:widowControl/>
              <w:jc w:val="left"/>
              <w:rPr>
                <w:rFonts w:ascii="Arial" w:hAnsi="Arial" w:cs="Arial"/>
                <w:kern w:val="0"/>
                <w:szCs w:val="21"/>
              </w:rPr>
            </w:pPr>
            <w:r>
              <w:rPr>
                <w:rFonts w:hint="eastAsia" w:ascii="Arial" w:hAnsi="Arial" w:cs="Arial"/>
                <w:kern w:val="0"/>
                <w:szCs w:val="21"/>
              </w:rPr>
              <w:t>（2）达到招标要求的前提下，系统配置更加周全，其精度、参数、技术水平、可靠性等优势明显，打分1-15分。</w:t>
            </w:r>
          </w:p>
          <w:p>
            <w:pPr>
              <w:widowControl/>
              <w:jc w:val="left"/>
              <w:rPr>
                <w:rFonts w:ascii="Arial" w:hAnsi="Arial" w:cs="Arial"/>
                <w:kern w:val="0"/>
                <w:szCs w:val="21"/>
              </w:rPr>
            </w:pPr>
            <w:r>
              <w:rPr>
                <w:rFonts w:hint="eastAsia" w:ascii="Arial" w:hAnsi="Arial" w:cs="Arial"/>
                <w:kern w:val="0"/>
                <w:szCs w:val="21"/>
              </w:rPr>
              <w:t>（3）应具有专业化试验软件，数据处理有独到之处，系统开放程度高，打分1-15分。</w:t>
            </w:r>
          </w:p>
          <w:p>
            <w:pPr>
              <w:widowControl/>
              <w:jc w:val="left"/>
              <w:rPr>
                <w:rFonts w:ascii="Arial" w:hAnsi="Arial" w:cs="Arial"/>
                <w:kern w:val="0"/>
                <w:szCs w:val="21"/>
              </w:rPr>
            </w:pPr>
            <w:r>
              <w:rPr>
                <w:rFonts w:hint="eastAsia" w:ascii="Arial" w:hAnsi="Arial" w:cs="Arial"/>
                <w:kern w:val="0"/>
                <w:szCs w:val="21"/>
              </w:rPr>
              <w:t>（4）关键系统技术支持资料、数据处理说明、操作说明详细完整，打分1-15分。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pPr>
              <w:widowControl/>
              <w:jc w:val="center"/>
              <w:rPr>
                <w:rFonts w:hint="eastAsia" w:ascii="宋体"/>
              </w:rPr>
            </w:pPr>
          </w:p>
        </w:tc>
        <w:tc>
          <w:tcPr>
            <w:tcW w:w="851" w:type="dxa"/>
            <w:vMerge w:val="continue"/>
            <w:tcBorders>
              <w:left w:val="single" w:color="auto" w:sz="4" w:space="0"/>
              <w:right w:val="single" w:color="auto" w:sz="4" w:space="0"/>
            </w:tcBorders>
            <w:vAlign w:val="center"/>
          </w:tcPr>
          <w:p>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rPr>
            </w:pPr>
            <w:r>
              <w:rPr>
                <w:rFonts w:hint="eastAsia" w:ascii="宋体" w:hAnsi="宋体"/>
              </w:rPr>
              <w:t>质量保障</w:t>
            </w:r>
          </w:p>
        </w:tc>
        <w:tc>
          <w:tcPr>
            <w:tcW w:w="650" w:type="dxa"/>
            <w:tcBorders>
              <w:top w:val="single" w:color="auto" w:sz="4" w:space="0"/>
              <w:left w:val="single" w:color="auto" w:sz="4" w:space="0"/>
              <w:bottom w:val="nil"/>
              <w:right w:val="single" w:color="auto" w:sz="4" w:space="0"/>
            </w:tcBorders>
            <w:vAlign w:val="center"/>
          </w:tcPr>
          <w:p>
            <w:pPr>
              <w:spacing w:line="440" w:lineRule="exact"/>
              <w:jc w:val="center"/>
              <w:rPr>
                <w:rFonts w:hint="eastAsia" w:ascii="宋体"/>
                <w:szCs w:val="21"/>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由评标委员会成员独立进行客观、公正的评价，按照优、良、一般进行赋分，优得8-10分，良得5-8分，一般得1-5分。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pPr>
              <w:widowControl/>
              <w:jc w:val="center"/>
              <w:rPr>
                <w:rFonts w:hint="eastAsia" w:ascii="宋体"/>
              </w:rPr>
            </w:pPr>
          </w:p>
        </w:tc>
        <w:tc>
          <w:tcPr>
            <w:tcW w:w="851" w:type="dxa"/>
            <w:vMerge w:val="continue"/>
            <w:tcBorders>
              <w:left w:val="single" w:color="auto" w:sz="4" w:space="0"/>
              <w:right w:val="single" w:color="auto" w:sz="4" w:space="0"/>
            </w:tcBorders>
            <w:vAlign w:val="center"/>
          </w:tcPr>
          <w:p>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rPr>
            </w:pPr>
            <w:r>
              <w:rPr>
                <w:rFonts w:hint="eastAsia" w:ascii="宋体" w:hAnsi="宋体"/>
              </w:rPr>
              <w:t>业绩</w:t>
            </w:r>
          </w:p>
        </w:tc>
        <w:tc>
          <w:tcPr>
            <w:tcW w:w="650" w:type="dxa"/>
            <w:tcBorders>
              <w:top w:val="single" w:color="auto" w:sz="4" w:space="0"/>
              <w:left w:val="single" w:color="auto" w:sz="4" w:space="0"/>
              <w:bottom w:val="nil"/>
              <w:right w:val="single" w:color="auto" w:sz="4" w:space="0"/>
            </w:tcBorders>
            <w:vAlign w:val="center"/>
          </w:tcPr>
          <w:p>
            <w:pPr>
              <w:jc w:val="center"/>
              <w:rPr>
                <w:rFonts w:hint="eastAsia" w:ascii="宋体" w:eastAsia="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由评标委员会成员独立进行客观、公正的评价，按照业绩数量进行赋分，相同业绩每一个得1分，类似业绩,每一个得1分。本条款得分最高10分。同类型业绩:投标人在2022年1月1日（时间以签订日期为准）以来在中国与本标同类型且参数规格相符的产品,以合同复印件加盖公章为准（须有客户联系方式及联系人以供招标人核实确认）。与本标同类型但参数规格明显不同的产品,属于类似业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pPr>
              <w:widowControl/>
              <w:jc w:val="center"/>
              <w:rPr>
                <w:rFonts w:hint="eastAsia" w:ascii="宋体"/>
              </w:rPr>
            </w:pPr>
          </w:p>
        </w:tc>
        <w:tc>
          <w:tcPr>
            <w:tcW w:w="851" w:type="dxa"/>
            <w:vMerge w:val="continue"/>
            <w:tcBorders>
              <w:left w:val="single" w:color="auto" w:sz="4" w:space="0"/>
              <w:right w:val="single" w:color="auto" w:sz="4" w:space="0"/>
            </w:tcBorders>
            <w:vAlign w:val="center"/>
          </w:tcPr>
          <w:p>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rPr>
            </w:pPr>
            <w:r>
              <w:rPr>
                <w:rFonts w:hint="eastAsia" w:ascii="宋体" w:hAnsi="宋体"/>
              </w:rPr>
              <w:t>交货期</w:t>
            </w:r>
          </w:p>
        </w:tc>
        <w:tc>
          <w:tcPr>
            <w:tcW w:w="650" w:type="dxa"/>
            <w:tcBorders>
              <w:top w:val="single" w:color="auto" w:sz="4" w:space="0"/>
              <w:left w:val="single" w:color="auto" w:sz="4" w:space="0"/>
              <w:bottom w:val="nil"/>
              <w:right w:val="single" w:color="auto" w:sz="4" w:space="0"/>
            </w:tcBorders>
            <w:vAlign w:val="center"/>
          </w:tcPr>
          <w:p>
            <w:pPr>
              <w:jc w:val="center"/>
              <w:rPr>
                <w:rFonts w:hint="eastAsia"/>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由评标委员会成员独立进行客观、公正的评价，按照到货周期进行赋分，到货期≤2个月得10分，2＜到货期≤3个月得5-9分，3＜到货期≤4个月得1-5分。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rPr>
            </w:pPr>
          </w:p>
        </w:tc>
        <w:tc>
          <w:tcPr>
            <w:tcW w:w="851"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rPr>
            </w:pPr>
            <w:r>
              <w:rPr>
                <w:rFonts w:hint="eastAsia" w:ascii="宋体" w:hAnsi="宋体"/>
              </w:rPr>
              <w:t>现场答疑</w:t>
            </w:r>
          </w:p>
        </w:tc>
        <w:tc>
          <w:tcPr>
            <w:tcW w:w="650" w:type="dxa"/>
            <w:tcBorders>
              <w:top w:val="single" w:color="auto" w:sz="4" w:space="0"/>
              <w:left w:val="single" w:color="auto" w:sz="4" w:space="0"/>
              <w:bottom w:val="nil"/>
              <w:right w:val="single" w:color="auto" w:sz="4" w:space="0"/>
            </w:tcBorders>
            <w:vAlign w:val="center"/>
          </w:tcPr>
          <w:p>
            <w:pPr>
              <w:jc w:val="center"/>
              <w:rPr>
                <w:rFonts w:hint="eastAsia" w:ascii="宋体"/>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由评标委员会成员独立进行客观、公正的评价，针对投标人代表对方案、技术优势的讲解，以及就该项目难点对于评标专家现场提问的回答，打分1-10分。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rPr>
            </w:pPr>
            <w:r>
              <w:rPr>
                <w:rFonts w:hint="eastAsia" w:ascii="宋体"/>
                <w:szCs w:val="21"/>
              </w:rPr>
              <w:t>商务标</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b/>
                <w:szCs w:val="21"/>
              </w:rPr>
            </w:pPr>
            <w:r>
              <w:rPr>
                <w:rFonts w:hint="eastAsia" w:ascii="宋体"/>
                <w:b/>
                <w:szCs w:val="21"/>
              </w:rPr>
              <w:t>100分（60%）</w:t>
            </w: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b/>
                <w:szCs w:val="21"/>
              </w:rPr>
            </w:pPr>
            <w:r>
              <w:rPr>
                <w:rFonts w:hint="eastAsia" w:ascii="宋体" w:hAnsi="宋体"/>
              </w:rPr>
              <w:t>投标报价</w:t>
            </w:r>
          </w:p>
        </w:tc>
        <w:tc>
          <w:tcPr>
            <w:tcW w:w="650" w:type="dxa"/>
            <w:tcBorders>
              <w:top w:val="single" w:color="auto" w:sz="4" w:space="0"/>
              <w:left w:val="single" w:color="auto" w:sz="4" w:space="0"/>
              <w:bottom w:val="nil"/>
              <w:right w:val="single" w:color="auto" w:sz="4" w:space="0"/>
            </w:tcBorders>
            <w:vAlign w:val="center"/>
          </w:tcPr>
          <w:p>
            <w:pPr>
              <w:spacing w:line="440" w:lineRule="exact"/>
              <w:jc w:val="center"/>
              <w:rPr>
                <w:rFonts w:hint="eastAsia" w:ascii="宋体" w:hAnsi="宋体" w:eastAsia="宋体"/>
              </w:rPr>
            </w:pPr>
            <w:r>
              <w:rPr>
                <w:rFonts w:hint="eastAsia" w:ascii="宋体" w:hAnsi="宋体"/>
              </w:rPr>
              <w:t>100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ascii="Arial" w:hAnsi="Arial" w:cs="Arial"/>
                <w:kern w:val="0"/>
                <w:szCs w:val="21"/>
              </w:rPr>
              <w:t>1.</w:t>
            </w:r>
            <w:r>
              <w:rPr>
                <w:rFonts w:hint="eastAsia" w:ascii="Arial" w:hAnsi="Arial" w:cs="Arial"/>
                <w:kern w:val="0"/>
                <w:szCs w:val="21"/>
              </w:rPr>
              <w:t>商务标得分=当前轮次最低价/供方投标价X商务标总分。</w:t>
            </w:r>
          </w:p>
          <w:p>
            <w:pPr>
              <w:tabs>
                <w:tab w:val="left" w:pos="7854"/>
              </w:tabs>
              <w:spacing w:line="280" w:lineRule="exact"/>
              <w:rPr>
                <w:rFonts w:hint="eastAsia"/>
                <w:highlight w:val="yellow"/>
              </w:rPr>
            </w:pPr>
            <w:r>
              <w:rPr>
                <w:rFonts w:ascii="Arial" w:hAnsi="Arial" w:cs="Arial"/>
                <w:kern w:val="0"/>
                <w:szCs w:val="21"/>
              </w:rPr>
              <w:t>2.评标价格均以元（RMB）为单位计算，百分率、得分值小数点后保留二位，第三位四舍五入。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szCs w:val="21"/>
              </w:rPr>
            </w:pPr>
            <w:r>
              <w:rPr>
                <w:rFonts w:hint="eastAsia" w:ascii="宋体" w:hAnsi="宋体"/>
              </w:rPr>
              <w:t>备注：</w:t>
            </w:r>
          </w:p>
          <w:p>
            <w:pPr>
              <w:rPr>
                <w:rFonts w:hint="eastAsia" w:ascii="宋体"/>
              </w:rPr>
            </w:pPr>
            <w:r>
              <w:rPr>
                <w:rFonts w:hint="eastAsia" w:ascii="宋体" w:hAnsi="宋体"/>
              </w:rPr>
              <w:t>1、通过初审者为有效投标。</w:t>
            </w:r>
          </w:p>
          <w:p>
            <w:pPr>
              <w:rPr>
                <w:rFonts w:hint="eastAsia" w:ascii="宋体" w:eastAsia="宋体"/>
                <w:b/>
                <w:bCs/>
                <w:color w:val="FF0000"/>
                <w:sz w:val="18"/>
                <w:szCs w:val="18"/>
              </w:rPr>
            </w:pPr>
            <w:r>
              <w:rPr>
                <w:rFonts w:hint="eastAsia" w:ascii="宋体" w:hAnsi="宋体"/>
              </w:rPr>
              <w:t>2、</w:t>
            </w:r>
            <w:r>
              <w:rPr>
                <w:rFonts w:hint="eastAsia" w:ascii="??" w:hAnsi="??"/>
              </w:rPr>
              <w:t>综合评价值相同的，依照价格、技术、商务、服务及其他评价内容的优先次序，根据分项评价值进行排名。</w:t>
            </w:r>
            <w:r>
              <w:rPr>
                <w:rFonts w:hint="eastAsia" w:ascii="宋体" w:hAnsi="宋体"/>
              </w:rPr>
              <w:t>若上述排名皆相同的，则由全体评委成员无记名投票，得票高者排序在前。</w:t>
            </w:r>
          </w:p>
          <w:p>
            <w:pPr>
              <w:rPr>
                <w:rFonts w:hint="eastAsia" w:ascii="宋体" w:hAnsi="宋体"/>
              </w:rPr>
            </w:pPr>
            <w:r>
              <w:rPr>
                <w:rFonts w:hint="eastAsia" w:ascii="宋体" w:hAnsi="宋体"/>
              </w:rPr>
              <w:t>3、评委打分超过得分界限或未按本方法赋分时，该评委的打分按废票处理。</w:t>
            </w:r>
          </w:p>
          <w:p>
            <w:pPr>
              <w:rPr>
                <w:rFonts w:hint="eastAsia" w:ascii="宋体"/>
                <w:szCs w:val="21"/>
              </w:rPr>
            </w:pPr>
            <w:r>
              <w:rPr>
                <w:rFonts w:hint="eastAsia" w:ascii="宋体" w:hAnsi="宋体"/>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pPr>
        <w:pStyle w:val="18"/>
        <w:outlineLvl w:val="2"/>
        <w:rPr>
          <w:rFonts w:hint="eastAsia" w:hAnsi="宋体" w:eastAsia="宋体" w:cs="宋体"/>
          <w:b/>
          <w:bCs/>
          <w:color w:val="000000"/>
          <w:sz w:val="24"/>
          <w:szCs w:val="24"/>
        </w:rPr>
      </w:pPr>
    </w:p>
    <w:p>
      <w:pPr>
        <w:pStyle w:val="18"/>
        <w:outlineLvl w:val="2"/>
        <w:rPr>
          <w:rFonts w:hint="eastAsia" w:hAnsi="宋体" w:eastAsia="宋体" w:cs="宋体"/>
          <w:b/>
          <w:bCs/>
          <w:color w:val="000000"/>
          <w:sz w:val="24"/>
          <w:szCs w:val="24"/>
        </w:rPr>
      </w:pPr>
    </w:p>
    <w:p>
      <w:pPr>
        <w:pStyle w:val="18"/>
        <w:outlineLvl w:val="2"/>
        <w:rPr>
          <w:rFonts w:hint="eastAsia" w:hAnsi="宋体" w:eastAsia="宋体" w:cs="宋体"/>
          <w:b/>
          <w:bCs/>
          <w:color w:val="000000"/>
          <w:sz w:val="24"/>
          <w:szCs w:val="24"/>
        </w:rPr>
      </w:pPr>
    </w:p>
    <w:p>
      <w:pPr>
        <w:pStyle w:val="18"/>
        <w:outlineLvl w:val="2"/>
        <w:rPr>
          <w:rFonts w:hint="eastAsia" w:hAnsi="宋体" w:eastAsia="宋体" w:cs="宋体"/>
          <w:b/>
          <w:bCs/>
          <w:color w:val="000000"/>
          <w:sz w:val="24"/>
          <w:szCs w:val="24"/>
        </w:rPr>
      </w:pPr>
    </w:p>
    <w:p>
      <w:pPr>
        <w:pStyle w:val="18"/>
        <w:outlineLvl w:val="2"/>
        <w:rPr>
          <w:rFonts w:hint="eastAsia" w:hAnsi="宋体" w:eastAsia="宋体" w:cs="宋体"/>
          <w:b/>
          <w:bCs/>
          <w:color w:val="000000"/>
          <w:sz w:val="24"/>
          <w:szCs w:val="24"/>
        </w:rPr>
      </w:pPr>
    </w:p>
    <w:p>
      <w:pPr>
        <w:pStyle w:val="18"/>
        <w:outlineLvl w:val="2"/>
        <w:rPr>
          <w:rFonts w:hint="eastAsia" w:hAnsi="宋体" w:eastAsia="宋体" w:cs="宋体"/>
          <w:b/>
          <w:bCs/>
          <w:color w:val="000000"/>
          <w:sz w:val="24"/>
          <w:szCs w:val="24"/>
        </w:rPr>
      </w:pPr>
      <w:r>
        <w:rPr>
          <w:rFonts w:hint="eastAsia" w:hAnsi="宋体" w:eastAsia="宋体" w:cs="宋体"/>
          <w:b/>
          <w:bCs/>
          <w:color w:val="000000"/>
          <w:sz w:val="24"/>
          <w:szCs w:val="24"/>
        </w:rPr>
        <w:t>附件15 SRM非生产供应商注册操作手册</w:t>
      </w:r>
    </w:p>
    <w:p>
      <w:pPr>
        <w:pStyle w:val="18"/>
        <w:rPr>
          <w:rFonts w:eastAsia="宋体"/>
        </w:rPr>
      </w:pPr>
    </w:p>
    <w:p>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72"/>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pPr>
        <w:snapToGrid w:val="0"/>
        <w:spacing w:line="312" w:lineRule="auto"/>
        <w:rPr>
          <w:rFonts w:hint="eastAsia"/>
        </w:rPr>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73"/>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pPr>
        <w:snapToGrid w:val="0"/>
        <w:spacing w:line="312" w:lineRule="auto"/>
        <w:rPr>
          <w:rFonts w:hint="eastAsia"/>
        </w:rPr>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74"/>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pPr>
        <w:snapToGrid w:val="0"/>
        <w:spacing w:line="312" w:lineRule="auto"/>
        <w:rPr>
          <w:rFonts w:hint="eastAsia"/>
        </w:rPr>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75"/>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pPr>
        <w:pStyle w:val="18"/>
      </w:pPr>
    </w:p>
    <w:p>
      <w:pPr>
        <w:rPr>
          <w:rFonts w:hint="eastAsia"/>
        </w:rPr>
      </w:pPr>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76"/>
                    <a:stretch>
                      <a:fillRect/>
                    </a:stretch>
                  </pic:blipFill>
                  <pic:spPr>
                    <a:xfrm>
                      <a:off x="0" y="0"/>
                      <a:ext cx="5760085" cy="2810122"/>
                    </a:xfrm>
                    <a:prstGeom prst="rect">
                      <a:avLst/>
                    </a:prstGeom>
                  </pic:spPr>
                </pic:pic>
              </a:graphicData>
            </a:graphic>
          </wp:inline>
        </w:drawing>
      </w:r>
    </w:p>
    <w:p>
      <w:pPr>
        <w:pStyle w:val="18"/>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77"/>
                    <a:stretch>
                      <a:fillRect/>
                    </a:stretch>
                  </pic:blipFill>
                  <pic:spPr>
                    <a:xfrm>
                      <a:off x="0" y="0"/>
                      <a:ext cx="5760085" cy="2820042"/>
                    </a:xfrm>
                    <a:prstGeom prst="rect">
                      <a:avLst/>
                    </a:prstGeom>
                  </pic:spPr>
                </pic:pic>
              </a:graphicData>
            </a:graphic>
          </wp:inline>
        </w:drawing>
      </w:r>
    </w:p>
    <w:p>
      <w:pPr>
        <w:pStyle w:val="18"/>
      </w:pPr>
    </w:p>
    <w:p>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pPr>
        <w:pStyle w:val="18"/>
      </w:pPr>
      <w:r>
        <w:rPr>
          <w:rFonts w:hint="eastAsia" w:hAnsi="宋体" w:eastAsia="宋体" w:cs="宋体"/>
          <w:b/>
          <w:bCs/>
          <w:color w:val="000000"/>
          <w:sz w:val="24"/>
          <w:szCs w:val="28"/>
          <w:highlight w:val="yellow"/>
        </w:rPr>
        <w:t>2.配套能力“供货类别”填“工艺设备”，业务主管部门选择“工艺工匠研究院”。</w:t>
      </w:r>
    </w:p>
    <w:p>
      <w:pPr>
        <w:pStyle w:val="18"/>
        <w:sectPr>
          <w:headerReference r:id="rId42" w:type="first"/>
          <w:footerReference r:id="rId44" w:type="first"/>
          <w:headerReference r:id="rId41" w:type="default"/>
          <w:footerReference r:id="rId43" w:type="default"/>
          <w:pgSz w:w="11906" w:h="16838"/>
          <w:pgMar w:top="1588" w:right="1418" w:bottom="1134" w:left="1418" w:header="851" w:footer="992" w:gutter="0"/>
          <w:cols w:space="720" w:num="1"/>
          <w:titlePg/>
          <w:docGrid w:type="lines" w:linePitch="312" w:charSpace="0"/>
        </w:sectPr>
      </w:pPr>
    </w:p>
    <w:p>
      <w:pPr>
        <w:pStyle w:val="18"/>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7"/>
          <w:rFonts w:hint="eastAsia" w:ascii="宋体" w:hAnsi="宋体" w:eastAsia="宋体" w:cs="宋体"/>
          <w:sz w:val="24"/>
          <w:szCs w:val="24"/>
        </w:rPr>
        <w:t>https://ecaitong.sinotruk.com:8012/</w:t>
      </w:r>
      <w:r>
        <w:rPr>
          <w:rStyle w:val="47"/>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78"/>
                    <a:stretch>
                      <a:fillRect/>
                    </a:stretch>
                  </pic:blipFill>
                  <pic:spPr>
                    <a:xfrm>
                      <a:off x="0" y="0"/>
                      <a:ext cx="5760085" cy="2269864"/>
                    </a:xfrm>
                    <a:prstGeom prst="rect">
                      <a:avLst/>
                    </a:prstGeom>
                  </pic:spPr>
                </pic:pic>
              </a:graphicData>
            </a:graphic>
          </wp:inline>
        </w:drawing>
      </w:r>
    </w:p>
    <w:p>
      <w:pPr>
        <w:rPr>
          <w:rFonts w:hint="eastAsia"/>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79"/>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pPr>
        <w:pStyle w:val="18"/>
      </w:pPr>
      <w:r>
        <w:rPr>
          <w:rFonts w:hint="eastAsia" w:hAnsi="宋体" w:eastAsia="宋体" w:cs="宋体"/>
          <w:color w:val="000000"/>
          <w:sz w:val="24"/>
          <w:szCs w:val="28"/>
          <w:highlight w:val="yellow"/>
        </w:rPr>
        <w:t>注意：系统内的投标报价单位为“万元”，如开标现场发现填错报价，即直接淘汰。</w:t>
      </w:r>
    </w:p>
    <w:p>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80"/>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81"/>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82"/>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83"/>
                    <a:stretch>
                      <a:fillRect/>
                    </a:stretch>
                  </pic:blipFill>
                  <pic:spPr>
                    <a:xfrm>
                      <a:off x="0" y="0"/>
                      <a:ext cx="5760085" cy="1956600"/>
                    </a:xfrm>
                    <a:prstGeom prst="rect">
                      <a:avLst/>
                    </a:prstGeom>
                  </pic:spPr>
                </pic:pic>
              </a:graphicData>
            </a:graphic>
          </wp:inline>
        </w:drawing>
      </w:r>
    </w:p>
    <w:p>
      <w:pPr>
        <w:pStyle w:val="18"/>
        <w:rPr>
          <w:rFonts w:hint="eastAsia" w:hAnsi="宋体" w:eastAsia="宋体" w:cs="Times New Roman"/>
          <w:b/>
          <w:color w:val="000000"/>
          <w:sz w:val="24"/>
          <w:szCs w:val="24"/>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46A9D8D-5FE5-4A46-8FC6-3DCD377A8316}"/>
  </w:font>
  <w:font w:name="黑体">
    <w:panose1 w:val="02010609060101010101"/>
    <w:charset w:val="86"/>
    <w:family w:val="auto"/>
    <w:pitch w:val="default"/>
    <w:sig w:usb0="800002BF" w:usb1="38CF7CFA" w:usb2="00000016" w:usb3="00000000" w:csb0="00040001" w:csb1="00000000"/>
    <w:embedRegular r:id="rId2" w:fontKey="{3B30244C-0C90-4CD6-98FA-7BF582610C9E}"/>
  </w:font>
  <w:font w:name="Courier New">
    <w:panose1 w:val="02070309020205020404"/>
    <w:charset w:val="01"/>
    <w:family w:val="modern"/>
    <w:pitch w:val="default"/>
    <w:sig w:usb0="E0002EFF" w:usb1="C0007843" w:usb2="00000009" w:usb3="00000000" w:csb0="400001FF" w:csb1="FFFF0000"/>
    <w:embedRegular r:id="rId3" w:fontKey="{D27EF301-2CBF-4952-B5FC-3E12ABC8B47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73CD4E06-DDF3-4B45-8F01-3728FB232E57}"/>
  </w:font>
  <w:font w:name="等线">
    <w:panose1 w:val="02010600030101010101"/>
    <w:charset w:val="86"/>
    <w:family w:val="auto"/>
    <w:pitch w:val="default"/>
    <w:sig w:usb0="A00002BF" w:usb1="38CF7CFA" w:usb2="00000016" w:usb3="00000000" w:csb0="0004000F" w:csb1="00000000"/>
    <w:embedRegular r:id="rId5" w:fontKey="{64D5C703-DDC8-4BA5-AFE1-C6A23AD247E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embedRegular r:id="rId6" w:fontKey="{A1D54D44-B50D-4ADD-A788-A0E9DCD544FB}"/>
  </w:font>
  <w:font w:name="仿宋_GB2312">
    <w:altName w:val="仿宋"/>
    <w:panose1 w:val="00000000000000000000"/>
    <w:charset w:val="86"/>
    <w:family w:val="modern"/>
    <w:pitch w:val="default"/>
    <w:sig w:usb0="00000000" w:usb1="00000000" w:usb2="00000000" w:usb3="00000000" w:csb0="00040000" w:csb1="00000000"/>
    <w:embedRegular r:id="rId7" w:fontKey="{A0767526-BA97-4216-94EB-46671B16C865}"/>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embedRegular r:id="rId8" w:fontKey="{EF726E5B-493F-4A79-9C2C-3B9BCA554CBA}"/>
  </w:font>
  <w:font w:name="华文仿宋">
    <w:panose1 w:val="02010600040101010101"/>
    <w:charset w:val="86"/>
    <w:family w:val="auto"/>
    <w:pitch w:val="default"/>
    <w:sig w:usb0="00000287" w:usb1="080F0000" w:usb2="00000000" w:usb3="00000000" w:csb0="0004009F" w:csb1="DFD70000"/>
    <w:embedRegular r:id="rId9" w:fontKey="{94866799-348B-4369-B107-0CA6215440B6}"/>
  </w:font>
  <w:font w:name="方正小标宋简体">
    <w:panose1 w:val="02000000000000000000"/>
    <w:charset w:val="86"/>
    <w:family w:val="script"/>
    <w:pitch w:val="default"/>
    <w:sig w:usb0="A00002BF" w:usb1="184F6CFA" w:usb2="00000012" w:usb3="00000000" w:csb0="00040001" w:csb1="00000000"/>
    <w:embedRegular r:id="rId10" w:fontKey="{38D353A6-E684-48AF-B43A-840E02DB9A87}"/>
  </w:font>
  <w:font w:name="楷体">
    <w:panose1 w:val="02010609060101010101"/>
    <w:charset w:val="86"/>
    <w:family w:val="modern"/>
    <w:pitch w:val="default"/>
    <w:sig w:usb0="800002BF" w:usb1="38CF7CFA" w:usb2="00000016" w:usb3="00000000" w:csb0="00040001" w:csb1="00000000"/>
    <w:embedRegular r:id="rId11" w:fontKey="{227C94A3-C36C-46EC-9497-7B1EBA17CA6C}"/>
  </w:font>
  <w:font w:name="Wingdings 2">
    <w:panose1 w:val="05020102010507070707"/>
    <w:charset w:val="02"/>
    <w:family w:val="roman"/>
    <w:pitch w:val="default"/>
    <w:sig w:usb0="00000000" w:usb1="00000000" w:usb2="00000000" w:usb3="00000000" w:csb0="80000000" w:csb1="00000000"/>
    <w:embedRegular r:id="rId12" w:fontKey="{F6E9E934-7377-4DA3-BDE8-2421EF2000DC}"/>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pPr>
                      <w:pStyle w:val="23"/>
                      <w:rPr>
                        <w:rFonts w:hint="eastAsia"/>
                      </w:rPr>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pPr>
                      <w:pStyle w:val="23"/>
                      <w:rPr>
                        <w:rFonts w:hint="eastAsia"/>
                      </w:rPr>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hint="eastAsia" w:ascii="宋体" w:hAnsi="宋体" w:eastAsia="宋体" w:cs="宋体"/>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hint="eastAsia" w:ascii="宋体" w:hAnsi="宋体" w:eastAsia="宋体" w:cs="宋体"/>
        <w:sz w:val="18"/>
        <w:szCs w:val="18"/>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57"/>
      <w:rPr>
        <w:rFonts w:hint="eastAsia"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23"/>
                      <w:rPr>
                        <w:rFonts w:hint="eastAsia"/>
                      </w:rPr>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23"/>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clear" w:pos="4153"/>
      </w:tabs>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3"/>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B9vIzAgAAZ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lB9vIzAgAAZQ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89</w:t>
                    </w:r>
                    <w:r>
                      <w:rPr>
                        <w:rFonts w:hint="eastAsia"/>
                        <w:sz w:val="18"/>
                      </w:rP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1VaEzAgAAZA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yTTq01g/R9ijRWBo35oWUzPce1xG2m3pVPwFIQI/1D1d1BVtIDw+mk1nszFcHL7hAPzs&#10;6bl1PrwTRpFo5NShfUlVdtz60IUOITGbNptaytRCqUmT05ur63F6cPEAXOoYK9Iw9DCRUld6tEK7&#10;a3ueO1OcQNOZblC85ZsapWyZDw/MYTJQPnYn3ONTSoOUprcoqYz78q/7GI+GwUtJg0nLqcZiUSLf&#10;azQSgGEw3GDsBkMf1J3B6E6wk5YnEw9ckINZOqM+Y6FWMQdcTHNkymkYzLvQTTsWkovVKgVh9CwL&#10;W/1oeYSO8ni7OgTImVSOonRKoDvxgOFLfeoXJU73n+cU9fTn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1VaEzAgAAZA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7b30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B3zVT6Pjpx/fT&#10;z4fTr28EdxCotX6GuHuLyNC9Mx3GZrj3uIy8u8qp+AtGBH7Ie7zIK7pAeHw0nUynOVwcvuEA/Ozx&#10;uXU+vBdGkWgU1KF/SVZ22PjQhw4hMZs260bK1EOpSVvQq9dv8/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V7b30zAgAAZQ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3"/>
                            <w:rPr>
                              <w:rFonts w:hint="eastAsia"/>
                            </w:rPr>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Z10szAgAAZ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we5aF&#10;jd5aHqGjPN4uDwFyJpWjKJ0S6E48YPpSny6bEsf7z3OKevp3WD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1Z10szAgAAZQQAAA4AAAAAAAAAAQAgAAAAHwEAAGRycy9lMm9Eb2MueG1sUEsF&#10;BgAAAAAGAAYAWQEAAMQFAAAAAA==&#10;">
              <v:fill on="f" focussize="0,0"/>
              <v:stroke on="f" weight="0.5pt"/>
              <v:imagedata o:title=""/>
              <o:lock v:ext="edit" aspectratio="f"/>
              <v:textbox inset="0mm,0mm,0mm,0mm" style="mso-fit-shape-to-text:t;">
                <w:txbxContent>
                  <w:p>
                    <w:pPr>
                      <w:pStyle w:val="23"/>
                      <w:rPr>
                        <w:rFonts w:hint="eastAsia"/>
                      </w:rPr>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2140uAgAAVw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pUQzhYqff3w/&#10;//x1fvhGxq+jQLX1M8RtLSJD8840aJvh3OMw8m4Kp+IXjAj8kPd0kVc0gfB4aTqZTlO4OHzDBvjJ&#10;43XrfHgvjCLRyKhD/VpZ2XHjQxc6hMRs2qwrKdsaSk3qjF5fvUnbCxcPwKVGjkiie2y0QrNremY7&#10;k59AzJmuN7zl6wrJN8yHe+bQDHgwxiXcYSmkQRLTW5SUxn3913mMR43gpaRGc2VUY5YokR80agfA&#10;MBhuMHaDoQ/q1qBbxxhDy1sTF1yQg1k4o75ghpYxB1xMc2TKaBjM29A1OGaQi+WyDUK3WRY2emt5&#10;hI7iebs8BAjY6hpF6ZTotUK/tZXpZyM29J/7Nurxf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p9teNLgIAAFcEAAAOAAAAAAAAAAEAIAAAAB8BAABkcnMvZTJvRG9jLnhtbFBLBQYAAAAA&#10;BgAGAFkBAAC/BQAAAAA=&#10;">
              <v:fill on="f" focussize="0,0"/>
              <v:stroke on="f" weight="0.5pt"/>
              <v:imagedata o:title=""/>
              <o:lock v:ext="edit" aspectratio="f"/>
              <v:textbox inset="0mm,0mm,0mm,0mm" style="mso-fit-shape-to-text:t;">
                <w:txbxContent>
                  <w:p>
                    <w:pPr>
                      <w:pStyle w:val="23"/>
                      <w:rPr>
                        <w:rFonts w:hint="eastAsia"/>
                      </w:rPr>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1c48UtAgAAVg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pUQzhYqff3w/&#10;//x1fvhGXkd9autnCNtaBIbmnWnQNcO5x2Gk3RROxS8IEfih7umirmgC4fHSdDKdpnBx+IYN8JPH&#10;69b58F4YRaKRUYfytaqy48aHLnQIidm0WVdStiWUmtQZvb56k7YXLh6AS40ckUT32GiFZtf0zHYm&#10;P4GYM11reMvXFZJvmA/3zKEX8GBMS7jDUkiDJKa3KCmN+/qv8xiPEsFLSY3eyqjGKFEiP2iUDoBh&#10;MNxg7AZDH9StQbOOMYWWtyYuuCAHs3BGfcEILWMOuJjmyJTRMJi3oetvjCAXy2UbhGazLGz01vII&#10;HcXzdnkIELDVNYrSKdFrhXZrK9OPRuznP/dt1OPvYP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1c48UtAgAAVgQAAA4AAAAAAAAAAQAgAAAAHwEAAGRycy9lMm9Eb2MueG1sUEsFBgAAAAAG&#10;AAYAWQEAAL4FAAAAAA==&#10;">
              <v:fill on="f" focussize="0,0"/>
              <v:stroke on="f" weight="0.5pt"/>
              <v:imagedata o:title=""/>
              <o:lock v:ext="edit" aspectratio="f"/>
              <v:textbox inset="0mm,0mm,0mm,0mm" style="mso-fit-shape-to-text:t;">
                <w:txbxContent>
                  <w:p>
                    <w:pPr>
                      <w:pStyle w:val="23"/>
                      <w:rPr>
                        <w:rFonts w:hint="eastAsia"/>
                      </w:rPr>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32v0sAgAAVg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BJJopVPz0/dvp&#10;x6/Tz6/kKurTWj9D2INFYOjemg5dM5x7HEbaXeVU/IIQgR9Qx4u6oguEx0vTyXSaw8XhGzbAzx6v&#10;W+fDO2EUiUZBHcqXVGWHjQ996BASs2mzbqRMJZSatAW9fn2VpwsXD8ClRo5Ion9stEK37c7MtqY8&#10;gpgzfWt4y9cNkm+YD/fMoRfwYExLuMNSSYMk5mxRUhv35V/nMR4lgpeSFr1VUI1RokS+1ygdAMNg&#10;uMHYDobeq1uDZh1jCi1PJi64IAezckZ9xggtYw64mObIVNAwmLeh72+MIBfLZQpCs1kWNvrB8ggd&#10;xfN2uQ8QMOkaRemVOGuFdkuVOY9G7Oc/9ynq8Xe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Xfa/SwCAABWBAAADgAAAAAAAAABACAAAAAfAQAAZHJzL2Uyb0RvYy54bWxQSwUGAAAAAAYA&#10;BgBZAQAAvQUAAAAA&#10;">
              <v:fill on="f" focussize="0,0"/>
              <v:stroke on="f" weight="0.5pt"/>
              <v:imagedata o:title=""/>
              <o:lock v:ext="edit" aspectratio="f"/>
              <v:textbox inset="0mm,0mm,0mm,0mm" style="mso-fit-shape-to-text:t;">
                <w:txbxContent>
                  <w:p>
                    <w:pPr>
                      <w:pStyle w:val="23"/>
                      <w:rPr>
                        <w:rFonts w:hint="eastAsia"/>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1"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0288;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AyD538zAgAAVgQAAA4AAABkcnMvZTJvRG9jLnhtbK1UzW4T&#10;MRC+I/EOlu9kk7RJqyibKjQKQqpopYA4O147a8n2GNvJbngAeANOvXDnufIcjPcnRYVDD1yc2Znx&#10;N/N9M878pjaaHIQPCmxOR4MhJcJyKJTd5fTTx/Wba0pCZLZgGqzI6VEEerN4/WpeuZkYQwm6EJ4g&#10;iA2zyuW0jNHNsizwUhgWBuCExaAEb1jET7/LCs8qRDc6Gw+H06wCXzgPXISA3lUbpB2ifwkgSKm4&#10;WAHfG2Fji+qFZhEphVK5QBdNt1IKHu+lDCISnVNkGpsTi6C9TWe2mLPZzjNXKt61wF7SwjNOhimL&#10;Rc9QKxYZ2Xv1F5RR3EMAGQccTNYSaRRBFqPhM202JXOi4YJSB3cWPfw/WP7h8OCJKnJ6OaLEMoMT&#10;P/34fnr8dfr5jUyTPpULM0zbOEyM9VuocWt6f0Bnol1Lb9IvEiIYR3WPZ3VFHQlH59VkfHk1oYRj&#10;aHxxPRpPEkr2dNn5EN8JMCQZOfU4vEZTdrgLsU3tU1ItC2uldTNAbUmV0+nFZNhcOEcQXFuskSi0&#10;rSYr1tu647WF4oi0PLSLERxfKyx+x0J8YB43AZngW4n3eEgNWAQ6i5IS/Nd/+VM+DgijlFS4WTkN&#10;X/bMC0r0e4ujS2vYG743tr1h9+YWcFlxGthNY+IFH3VvSg/mMz6hZaqCIWY51spp7M3b2O43PkEu&#10;lssmCZfNsXhnN44n6Fa+5T6CVI2ySZZWi04tXLdmNt3TSPv853eT9fR3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AyD538zAgAAVgQAAA4AAAAAAAAAAQAgAAAAJQEAAGRycy9lMm9Eb2Mu&#10;eG1sUEsFBgAAAAAGAAYAWQEAAMoFAAAAAA==&#10;">
              <v:fill on="f" focussize="0,0"/>
              <v:stroke on="f" weight="0.5pt"/>
              <v:imagedata o:title=""/>
              <o:lock v:ext="edit" aspectratio="f"/>
              <v:textbox inset="0mm,0mm,0mm,0mm">
                <w:txbxContent>
                  <w:p>
                    <w:pPr>
                      <w:pStyle w:val="23"/>
                      <w:rPr>
                        <w:rFonts w:hint="eastAsia"/>
                      </w:rPr>
                    </w:pPr>
                  </w:p>
                </w:txbxContent>
              </v:textbox>
            </v:shape>
          </w:pict>
        </mc:Fallback>
      </mc:AlternateContent>
    </w:r>
  </w:p>
  <w:p>
    <w:pPr>
      <w:pStyle w:val="23"/>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DbvM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4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yDbvMtAgAAVgQAAA4AAAAAAAAAAQAgAAAAHwEAAGRycy9lMm9Eb2MueG1sUEsFBgAAAAAG&#10;AAYAWQEAAL4FAAAAAA==&#10;">
              <v:fill on="f" focussize="0,0"/>
              <v:stroke on="f" weight="0.5pt"/>
              <v:imagedata o:title=""/>
              <o:lock v:ext="edit" aspectratio="f"/>
              <v:textbox inset="0mm,0mm,0mm,0mm" style="mso-fit-shape-to-text:t;">
                <w:txbxContent>
                  <w:p>
                    <w:pPr>
                      <w:pStyle w:val="23"/>
                      <w:rPr>
                        <w:rFonts w:hint="eastAsia"/>
                      </w:rP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IHTgtAgAAVg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TKI+rfUzhD1YBIburenQNcO5x2Gk3VVOxS8IEfih7vGirugC4fHSdDKd5nBx+IYN8LPH&#10;69b58E4YRaJRUIfyJVXZYeNDHzqExGzarBspUwmlJm1Br6/e5O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gIHTgtAgAAVgQAAA4AAAAAAAAAAQAgAAAAHwEAAGRycy9lMm9Eb2MueG1sUEsFBgAAAAAG&#10;AAYAWQEAAL4FAAAAAA==&#10;">
              <v:fill on="f" focussize="0,0"/>
              <v:stroke on="f" weight="0.5pt"/>
              <v:imagedata o:title=""/>
              <o:lock v:ext="edit" aspectratio="f"/>
              <v:textbox inset="0mm,0mm,0mm,0mm" style="mso-fit-shape-to-text:t;">
                <w:txbxContent>
                  <w:p>
                    <w:pPr>
                      <w:pStyle w:val="23"/>
                      <w:rPr>
                        <w:rFonts w:hint="eastAsia"/>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nLvItAgAAVg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6mhLNFCp+/vH9&#10;/PPx/OsbuYr61NbPELa1CAzNO9Oga4Zzj8NIuymcil8QIvBD3dNFXdEEwuOl6WQ6TeHi8A0b4CdP&#10;163z4b0wikQjow7la1Vlx40PXegQErNps66kbEsoNakzenP1Nm0vXDwAlxo5IonusdEKza7pme1M&#10;fgIxZ7rW8JavKyTfMB8emEMv4MGYlnCPpZAGSUxvUVIa9/Vf5zEeJYKXkhq9lVGNUaJEftAoHQDD&#10;YLjB2A2GPqg7g2YdYwotb01ccEEOZuGM+oIRWsYccDHNkSmjYTDvQtffGEEulss2CM1mWdjoreUR&#10;Oorn7fIQIGCraxSlU6LXCu3WVqYfjdjPf+7bqKffw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YnLvItAgAAVgQAAA4AAAAAAAAAAQAgAAAAHwEAAGRycy9lMm9Eb2MueG1sUEsFBgAAAAAG&#10;AAYAWQEAAL4FAAAAAA==&#10;">
              <v:fill on="f" focussize="0,0"/>
              <v:stroke on="f" weight="0.5pt"/>
              <v:imagedata o:title=""/>
              <o:lock v:ext="edit" aspectratio="f"/>
              <v:textbox inset="0mm,0mm,0mm,0mm" style="mso-fit-shape-to-text:t;">
                <w:txbxContent>
                  <w:p>
                    <w:pPr>
                      <w:pStyle w:val="23"/>
                      <w:rPr>
                        <w:rFonts w:hint="eastAsia"/>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5"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rPr>
                              <w:rFonts w:hint="eastAsi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848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NGM5ZQ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k9HJCiWEa&#10;O3768f30+Ov08xu5jvrU1k8xbWMxMTRvocGp6f0enZF2Uzodf5EQwTiqezyrK5pAODqvJ+PLayzC&#10;MTS+uBmNJxEle7psnQ/vBGgSjZw6bF7SlB3WPrSpfUqsZWAllUoNVIbUOb26mAzThXMEwZXBGpFC&#10;+9RohWbbdLy2UByRloN2MLzlK4nF18yHB+ZwEpAJ7kq4x6NUgEWgsyipwH39lz/mY4MwSkmNk5VT&#10;/2XPnKBEvTfYujiGveF6Y9sbZq/vAId1hFtoeTLxgguqN0sH+jOu0CJWwRAzHGvlNPTmXWjnG1eQ&#10;i8UiJeGwWRbWZmN5hG7lW+wDlDIpG2VptejUwnFLvelWI87zn98p6+nvY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NGM5ZQzAgAAVgQAAA4AAAAAAAAAAQAgAAAAJQEAAGRycy9lMm9Eb2Mu&#10;eG1sUEsFBgAAAAAGAAYAWQEAAMoFAAAAAA==&#10;">
              <v:fill on="f" focussize="0,0"/>
              <v:stroke on="f" weight="0.5pt"/>
              <v:imagedata o:title=""/>
              <o:lock v:ext="edit" aspectratio="f"/>
              <v:textbox inset="0mm,0mm,0mm,0mm">
                <w:txbxContent>
                  <w:p>
                    <w:pPr>
                      <w:pStyle w:val="23"/>
                      <w:rPr>
                        <w:rFonts w:hint="eastAsia"/>
                      </w:rPr>
                    </w:pPr>
                  </w:p>
                </w:txbxContent>
              </v:textbox>
            </v:shape>
          </w:pict>
        </mc:Fallback>
      </mc:AlternateContent>
    </w:r>
  </w:p>
  <w:p>
    <w:pPr>
      <w:pStyle w:val="2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rPr>
        <w:rFonts w:hint="eastAsi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p>
  <w:p>
    <w:pPr>
      <w:pStyle w:val="24"/>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p>
  <w:p>
    <w:pPr>
      <w:pStyle w:val="2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A14D0"/>
    <w:multiLevelType w:val="singleLevel"/>
    <w:tmpl w:val="9D0A14D0"/>
    <w:lvl w:ilvl="0" w:tentative="0">
      <w:start w:val="5"/>
      <w:numFmt w:val="chineseCounting"/>
      <w:suff w:val="space"/>
      <w:lvlText w:val="第%1章"/>
      <w:lvlJc w:val="left"/>
      <w:rPr>
        <w:rFonts w:hint="eastAsia"/>
      </w:rPr>
    </w:lvl>
  </w:abstractNum>
  <w:abstractNum w:abstractNumId="1">
    <w:nsid w:val="A6849FB6"/>
    <w:multiLevelType w:val="singleLevel"/>
    <w:tmpl w:val="A6849FB6"/>
    <w:lvl w:ilvl="0" w:tentative="0">
      <w:start w:val="2"/>
      <w:numFmt w:val="chineseCounting"/>
      <w:suff w:val="nothing"/>
      <w:lvlText w:val="%1、"/>
      <w:lvlJc w:val="left"/>
      <w:rPr>
        <w:rFonts w:hint="eastAsia"/>
      </w:rPr>
    </w:lvl>
  </w:abstractNum>
  <w:abstractNum w:abstractNumId="2">
    <w:nsid w:val="A8BAE70E"/>
    <w:multiLevelType w:val="singleLevel"/>
    <w:tmpl w:val="A8BAE70E"/>
    <w:lvl w:ilvl="0" w:tentative="0">
      <w:start w:val="1"/>
      <w:numFmt w:val="bullet"/>
      <w:lvlText w:val=""/>
      <w:lvlJc w:val="left"/>
      <w:pPr>
        <w:ind w:left="420" w:hanging="420"/>
      </w:pPr>
      <w:rPr>
        <w:rFonts w:hint="default" w:ascii="Wingdings" w:hAnsi="Wingdings"/>
      </w:rPr>
    </w:lvl>
  </w:abstractNum>
  <w:abstractNum w:abstractNumId="3">
    <w:nsid w:val="00000005"/>
    <w:multiLevelType w:val="multilevel"/>
    <w:tmpl w:val="0000000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135"/>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6882CE3"/>
    <w:multiLevelType w:val="multilevel"/>
    <w:tmpl w:val="06882CE3"/>
    <w:lvl w:ilvl="0" w:tentative="0">
      <w:start w:val="1"/>
      <w:numFmt w:val="decimal"/>
      <w:pStyle w:val="161"/>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5">
    <w:nsid w:val="06DF48CC"/>
    <w:multiLevelType w:val="multilevel"/>
    <w:tmpl w:val="06DF48CC"/>
    <w:lvl w:ilvl="0" w:tentative="0">
      <w:start w:val="1"/>
      <w:numFmt w:val="japaneseCounting"/>
      <w:lvlText w:val="%1、"/>
      <w:lvlJc w:val="left"/>
      <w:pPr>
        <w:ind w:left="500" w:hanging="50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7">
    <w:nsid w:val="39A4E181"/>
    <w:multiLevelType w:val="singleLevel"/>
    <w:tmpl w:val="39A4E181"/>
    <w:lvl w:ilvl="0" w:tentative="0">
      <w:start w:val="1"/>
      <w:numFmt w:val="bullet"/>
      <w:lvlText w:val=""/>
      <w:lvlJc w:val="left"/>
      <w:pPr>
        <w:ind w:left="420" w:hanging="420"/>
      </w:pPr>
      <w:rPr>
        <w:rFonts w:hint="default" w:ascii="Wingdings" w:hAnsi="Wingdings"/>
      </w:rPr>
    </w:lvl>
  </w:abstractNum>
  <w:abstractNum w:abstractNumId="8">
    <w:nsid w:val="446AE577"/>
    <w:multiLevelType w:val="singleLevel"/>
    <w:tmpl w:val="446AE577"/>
    <w:lvl w:ilvl="0" w:tentative="0">
      <w:start w:val="1"/>
      <w:numFmt w:val="bullet"/>
      <w:lvlText w:val=""/>
      <w:lvlJc w:val="left"/>
      <w:pPr>
        <w:ind w:left="420" w:hanging="420"/>
      </w:pPr>
      <w:rPr>
        <w:rFonts w:hint="default" w:ascii="Wingdings" w:hAnsi="Wingdings"/>
      </w:rPr>
    </w:lvl>
  </w:abstractNum>
  <w:abstractNum w:abstractNumId="9">
    <w:nsid w:val="6415197C"/>
    <w:multiLevelType w:val="singleLevel"/>
    <w:tmpl w:val="6415197C"/>
    <w:lvl w:ilvl="0" w:tentative="0">
      <w:start w:val="1"/>
      <w:numFmt w:val="decimal"/>
      <w:suff w:val="nothing"/>
      <w:lvlText w:val="%1．"/>
      <w:lvlJc w:val="left"/>
      <w:pPr>
        <w:ind w:left="0" w:firstLine="400"/>
      </w:pPr>
      <w:rPr>
        <w:rFonts w:hint="default"/>
      </w:rPr>
    </w:lvl>
  </w:abstractNum>
  <w:abstractNum w:abstractNumId="10">
    <w:nsid w:val="646260FA"/>
    <w:multiLevelType w:val="multilevel"/>
    <w:tmpl w:val="646260FA"/>
    <w:lvl w:ilvl="0" w:tentative="0">
      <w:start w:val="1"/>
      <w:numFmt w:val="decimal"/>
      <w:pStyle w:val="158"/>
      <w:suff w:val="nothing"/>
      <w:lvlText w:val="表%1　"/>
      <w:lvlJc w:val="left"/>
      <w:pPr>
        <w:ind w:left="0" w:firstLine="0"/>
      </w:pPr>
      <w:rPr>
        <w:rFonts w:hint="eastAsia" w:ascii="黑体" w:hAnsi="Times New Roman" w:eastAsia="黑体"/>
        <w:b w:val="0"/>
        <w:i w:val="0"/>
        <w:color w:val="00000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56A6EAE"/>
    <w:multiLevelType w:val="multilevel"/>
    <w:tmpl w:val="656A6EAE"/>
    <w:lvl w:ilvl="0" w:tentative="0">
      <w:start w:val="1"/>
      <w:numFmt w:val="chineseCountingThousand"/>
      <w:pStyle w:val="16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6E8C6948"/>
    <w:multiLevelType w:val="singleLevel"/>
    <w:tmpl w:val="6E8C6948"/>
    <w:lvl w:ilvl="0" w:tentative="0">
      <w:start w:val="1"/>
      <w:numFmt w:val="chineseCounting"/>
      <w:suff w:val="space"/>
      <w:lvlText w:val="第%1部分"/>
      <w:lvlJc w:val="left"/>
      <w:rPr>
        <w:rFonts w:hint="eastAsia"/>
      </w:rPr>
    </w:lvl>
  </w:abstractNum>
  <w:abstractNum w:abstractNumId="13">
    <w:nsid w:val="7A612DE2"/>
    <w:multiLevelType w:val="singleLevel"/>
    <w:tmpl w:val="7A612DE2"/>
    <w:lvl w:ilvl="0" w:tentative="0">
      <w:start w:val="2"/>
      <w:numFmt w:val="decimal"/>
      <w:lvlText w:val="%1."/>
      <w:lvlJc w:val="left"/>
      <w:pPr>
        <w:tabs>
          <w:tab w:val="left" w:pos="312"/>
        </w:tabs>
      </w:pPr>
    </w:lvl>
  </w:abstractNum>
  <w:num w:numId="1">
    <w:abstractNumId w:val="3"/>
  </w:num>
  <w:num w:numId="2">
    <w:abstractNumId w:val="10"/>
  </w:num>
  <w:num w:numId="3">
    <w:abstractNumId w:val="4"/>
  </w:num>
  <w:num w:numId="4">
    <w:abstractNumId w:val="11"/>
  </w:num>
  <w:num w:numId="5">
    <w:abstractNumId w:val="12"/>
  </w:num>
  <w:num w:numId="6">
    <w:abstractNumId w:val="1"/>
  </w:num>
  <w:num w:numId="7">
    <w:abstractNumId w:val="13"/>
  </w:num>
  <w:num w:numId="8">
    <w:abstractNumId w:val="6"/>
  </w:num>
  <w:num w:numId="9">
    <w:abstractNumId w:val="2"/>
  </w:num>
  <w:num w:numId="10">
    <w:abstractNumId w:val="8"/>
  </w:num>
  <w:num w:numId="11">
    <w:abstractNumId w:val="5"/>
  </w:num>
  <w:num w:numId="12">
    <w:abstractNumId w:val="9"/>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4YzFjOWU0Nzg0NmRkMzI1ZDk2YmYxNGU0NmE0YTUifQ=="/>
    <w:docVar w:name="KSO_WPS_MARK_KEY" w:val="288773bf-0df4-413a-9f38-c1906dd68f40"/>
  </w:docVars>
  <w:rsids>
    <w:rsidRoot w:val="0056018A"/>
    <w:rsid w:val="000139F5"/>
    <w:rsid w:val="00022B06"/>
    <w:rsid w:val="0003340E"/>
    <w:rsid w:val="00036836"/>
    <w:rsid w:val="00047097"/>
    <w:rsid w:val="0005777A"/>
    <w:rsid w:val="00065382"/>
    <w:rsid w:val="00080223"/>
    <w:rsid w:val="000A5309"/>
    <w:rsid w:val="000D6544"/>
    <w:rsid w:val="000D6A51"/>
    <w:rsid w:val="000F45A3"/>
    <w:rsid w:val="001C1EE3"/>
    <w:rsid w:val="001C713C"/>
    <w:rsid w:val="001D75B9"/>
    <w:rsid w:val="00200F05"/>
    <w:rsid w:val="00201505"/>
    <w:rsid w:val="00220056"/>
    <w:rsid w:val="002626ED"/>
    <w:rsid w:val="00265A40"/>
    <w:rsid w:val="00282FDE"/>
    <w:rsid w:val="0029130A"/>
    <w:rsid w:val="003A4540"/>
    <w:rsid w:val="003B4D7D"/>
    <w:rsid w:val="003E0AB3"/>
    <w:rsid w:val="003F4954"/>
    <w:rsid w:val="00401C42"/>
    <w:rsid w:val="004076DE"/>
    <w:rsid w:val="00460AFB"/>
    <w:rsid w:val="00470130"/>
    <w:rsid w:val="00483B0A"/>
    <w:rsid w:val="004B5126"/>
    <w:rsid w:val="004C6FB1"/>
    <w:rsid w:val="004F7838"/>
    <w:rsid w:val="00503391"/>
    <w:rsid w:val="00552960"/>
    <w:rsid w:val="0056018A"/>
    <w:rsid w:val="00567344"/>
    <w:rsid w:val="005829DC"/>
    <w:rsid w:val="005C0B4E"/>
    <w:rsid w:val="005C421F"/>
    <w:rsid w:val="005E20BB"/>
    <w:rsid w:val="005F16F0"/>
    <w:rsid w:val="0065185D"/>
    <w:rsid w:val="00680629"/>
    <w:rsid w:val="00686C52"/>
    <w:rsid w:val="006F1414"/>
    <w:rsid w:val="007432BF"/>
    <w:rsid w:val="007525BF"/>
    <w:rsid w:val="00757DF0"/>
    <w:rsid w:val="007800DC"/>
    <w:rsid w:val="007838AA"/>
    <w:rsid w:val="00783D5E"/>
    <w:rsid w:val="00785FD6"/>
    <w:rsid w:val="007B212D"/>
    <w:rsid w:val="00806A61"/>
    <w:rsid w:val="00810733"/>
    <w:rsid w:val="00824BFD"/>
    <w:rsid w:val="008453B3"/>
    <w:rsid w:val="008951DA"/>
    <w:rsid w:val="008D3B56"/>
    <w:rsid w:val="008D5CEF"/>
    <w:rsid w:val="009360F9"/>
    <w:rsid w:val="00964F00"/>
    <w:rsid w:val="009B511E"/>
    <w:rsid w:val="009E0F5E"/>
    <w:rsid w:val="00A21EB2"/>
    <w:rsid w:val="00A31561"/>
    <w:rsid w:val="00A42B17"/>
    <w:rsid w:val="00A54E95"/>
    <w:rsid w:val="00A64E43"/>
    <w:rsid w:val="00A80564"/>
    <w:rsid w:val="00A960B2"/>
    <w:rsid w:val="00AE6633"/>
    <w:rsid w:val="00B01FF1"/>
    <w:rsid w:val="00B72516"/>
    <w:rsid w:val="00B92C97"/>
    <w:rsid w:val="00BA3C70"/>
    <w:rsid w:val="00BB4E42"/>
    <w:rsid w:val="00BF0E19"/>
    <w:rsid w:val="00C01073"/>
    <w:rsid w:val="00C7536C"/>
    <w:rsid w:val="00C855F6"/>
    <w:rsid w:val="00C92F53"/>
    <w:rsid w:val="00CD5223"/>
    <w:rsid w:val="00CE4E0B"/>
    <w:rsid w:val="00CE5010"/>
    <w:rsid w:val="00CE6E17"/>
    <w:rsid w:val="00D0528A"/>
    <w:rsid w:val="00D11B37"/>
    <w:rsid w:val="00D408EF"/>
    <w:rsid w:val="00D506B7"/>
    <w:rsid w:val="00D5145C"/>
    <w:rsid w:val="00D64DAE"/>
    <w:rsid w:val="00D729A1"/>
    <w:rsid w:val="00D81BAB"/>
    <w:rsid w:val="00DB5225"/>
    <w:rsid w:val="00DD1E5E"/>
    <w:rsid w:val="00DE6417"/>
    <w:rsid w:val="00E16182"/>
    <w:rsid w:val="00E1627A"/>
    <w:rsid w:val="00E34C35"/>
    <w:rsid w:val="00E650A8"/>
    <w:rsid w:val="00E70F69"/>
    <w:rsid w:val="00E8160A"/>
    <w:rsid w:val="00E878B4"/>
    <w:rsid w:val="00EB355F"/>
    <w:rsid w:val="00EB3D00"/>
    <w:rsid w:val="00F71720"/>
    <w:rsid w:val="00FE040F"/>
    <w:rsid w:val="00FE42B3"/>
    <w:rsid w:val="00FF1C92"/>
    <w:rsid w:val="012B4701"/>
    <w:rsid w:val="014832F2"/>
    <w:rsid w:val="014D51C1"/>
    <w:rsid w:val="01714809"/>
    <w:rsid w:val="01C52478"/>
    <w:rsid w:val="025C7FF6"/>
    <w:rsid w:val="027408EE"/>
    <w:rsid w:val="02963F39"/>
    <w:rsid w:val="02B3095A"/>
    <w:rsid w:val="02BA7274"/>
    <w:rsid w:val="02C32E43"/>
    <w:rsid w:val="03251978"/>
    <w:rsid w:val="0325718A"/>
    <w:rsid w:val="03366E54"/>
    <w:rsid w:val="03AF786B"/>
    <w:rsid w:val="03D802AA"/>
    <w:rsid w:val="042921B6"/>
    <w:rsid w:val="043B72BB"/>
    <w:rsid w:val="04450729"/>
    <w:rsid w:val="04461EC1"/>
    <w:rsid w:val="04504B3F"/>
    <w:rsid w:val="04AD02B8"/>
    <w:rsid w:val="04DE51C8"/>
    <w:rsid w:val="04DF17D4"/>
    <w:rsid w:val="050E1C4C"/>
    <w:rsid w:val="05412745"/>
    <w:rsid w:val="05424E5C"/>
    <w:rsid w:val="05491761"/>
    <w:rsid w:val="055C1AD8"/>
    <w:rsid w:val="05A351AD"/>
    <w:rsid w:val="05C82B50"/>
    <w:rsid w:val="05F35BCE"/>
    <w:rsid w:val="05F4028C"/>
    <w:rsid w:val="05F9748A"/>
    <w:rsid w:val="06266F78"/>
    <w:rsid w:val="063E7B7A"/>
    <w:rsid w:val="06582413"/>
    <w:rsid w:val="067E33B8"/>
    <w:rsid w:val="06E82FCB"/>
    <w:rsid w:val="06F34B95"/>
    <w:rsid w:val="06F91350"/>
    <w:rsid w:val="072909E1"/>
    <w:rsid w:val="07463CDF"/>
    <w:rsid w:val="07571DAC"/>
    <w:rsid w:val="07646254"/>
    <w:rsid w:val="07C25EE2"/>
    <w:rsid w:val="084859A3"/>
    <w:rsid w:val="085D4FCE"/>
    <w:rsid w:val="08DD171B"/>
    <w:rsid w:val="08E64121"/>
    <w:rsid w:val="08EC7F1C"/>
    <w:rsid w:val="090D588C"/>
    <w:rsid w:val="091B712C"/>
    <w:rsid w:val="0942017F"/>
    <w:rsid w:val="09BA1FBB"/>
    <w:rsid w:val="09CB139F"/>
    <w:rsid w:val="09FB7366"/>
    <w:rsid w:val="0A0106F5"/>
    <w:rsid w:val="0A08601B"/>
    <w:rsid w:val="0A0E456B"/>
    <w:rsid w:val="0A112AB7"/>
    <w:rsid w:val="0A4E5482"/>
    <w:rsid w:val="0AAA504A"/>
    <w:rsid w:val="0AB06448"/>
    <w:rsid w:val="0AD71BC7"/>
    <w:rsid w:val="0AF420EB"/>
    <w:rsid w:val="0B2B2BF5"/>
    <w:rsid w:val="0B2F3908"/>
    <w:rsid w:val="0B3F6206"/>
    <w:rsid w:val="0B6E15DE"/>
    <w:rsid w:val="0B6E45C2"/>
    <w:rsid w:val="0BDE0CED"/>
    <w:rsid w:val="0BE12DB6"/>
    <w:rsid w:val="0BFC6504"/>
    <w:rsid w:val="0BFE75F6"/>
    <w:rsid w:val="0C345AD1"/>
    <w:rsid w:val="0C626CE4"/>
    <w:rsid w:val="0C7D6B81"/>
    <w:rsid w:val="0D0C2B7B"/>
    <w:rsid w:val="0D1424ED"/>
    <w:rsid w:val="0D395D2F"/>
    <w:rsid w:val="0D9308F8"/>
    <w:rsid w:val="0DE76C3D"/>
    <w:rsid w:val="0E1A1D85"/>
    <w:rsid w:val="0E3C6988"/>
    <w:rsid w:val="0E750568"/>
    <w:rsid w:val="0E9C3C97"/>
    <w:rsid w:val="0EEA1A9A"/>
    <w:rsid w:val="0EEC7E92"/>
    <w:rsid w:val="0F2D7A80"/>
    <w:rsid w:val="0F4277E5"/>
    <w:rsid w:val="0F4C36B0"/>
    <w:rsid w:val="0F4C5227"/>
    <w:rsid w:val="0F684B57"/>
    <w:rsid w:val="0FA75561"/>
    <w:rsid w:val="0FB104C7"/>
    <w:rsid w:val="0FB83603"/>
    <w:rsid w:val="0FCA77F1"/>
    <w:rsid w:val="0FCC70AF"/>
    <w:rsid w:val="0FCD5DCC"/>
    <w:rsid w:val="10043197"/>
    <w:rsid w:val="10270545"/>
    <w:rsid w:val="103409DF"/>
    <w:rsid w:val="10444021"/>
    <w:rsid w:val="108A1D4B"/>
    <w:rsid w:val="10A10111"/>
    <w:rsid w:val="10A17FC7"/>
    <w:rsid w:val="10BE093E"/>
    <w:rsid w:val="10E20BD8"/>
    <w:rsid w:val="110C7DC7"/>
    <w:rsid w:val="111B0FE9"/>
    <w:rsid w:val="112C77F4"/>
    <w:rsid w:val="114755AB"/>
    <w:rsid w:val="115F67A8"/>
    <w:rsid w:val="116C0D19"/>
    <w:rsid w:val="119604A6"/>
    <w:rsid w:val="119A7465"/>
    <w:rsid w:val="11C07DA5"/>
    <w:rsid w:val="11C2491E"/>
    <w:rsid w:val="11F36B75"/>
    <w:rsid w:val="12491386"/>
    <w:rsid w:val="12751983"/>
    <w:rsid w:val="12887F77"/>
    <w:rsid w:val="12E60579"/>
    <w:rsid w:val="12E66E96"/>
    <w:rsid w:val="12EB0F02"/>
    <w:rsid w:val="13695B36"/>
    <w:rsid w:val="1372609F"/>
    <w:rsid w:val="13D73572"/>
    <w:rsid w:val="13F476B4"/>
    <w:rsid w:val="14504752"/>
    <w:rsid w:val="145A6A37"/>
    <w:rsid w:val="1467440F"/>
    <w:rsid w:val="153955DC"/>
    <w:rsid w:val="15400323"/>
    <w:rsid w:val="15433A9B"/>
    <w:rsid w:val="154C4F1A"/>
    <w:rsid w:val="159A7EFC"/>
    <w:rsid w:val="15A93017"/>
    <w:rsid w:val="15CF64A5"/>
    <w:rsid w:val="15FC2F04"/>
    <w:rsid w:val="16181FAC"/>
    <w:rsid w:val="168756A0"/>
    <w:rsid w:val="16F94849"/>
    <w:rsid w:val="17045E51"/>
    <w:rsid w:val="172011D4"/>
    <w:rsid w:val="17252C3B"/>
    <w:rsid w:val="172E12A5"/>
    <w:rsid w:val="173F0A2E"/>
    <w:rsid w:val="17770BC2"/>
    <w:rsid w:val="17860E2F"/>
    <w:rsid w:val="17A119AA"/>
    <w:rsid w:val="180100EF"/>
    <w:rsid w:val="18586F2B"/>
    <w:rsid w:val="18C2221E"/>
    <w:rsid w:val="191368C6"/>
    <w:rsid w:val="19442DF9"/>
    <w:rsid w:val="195C6AAA"/>
    <w:rsid w:val="19A766B9"/>
    <w:rsid w:val="19CE76BA"/>
    <w:rsid w:val="19F26070"/>
    <w:rsid w:val="19F97C8B"/>
    <w:rsid w:val="1A1523CE"/>
    <w:rsid w:val="1A6A6939"/>
    <w:rsid w:val="1AA730BD"/>
    <w:rsid w:val="1AC05546"/>
    <w:rsid w:val="1AD501AD"/>
    <w:rsid w:val="1AE4302E"/>
    <w:rsid w:val="1B333D5D"/>
    <w:rsid w:val="1B587618"/>
    <w:rsid w:val="1B5F19C7"/>
    <w:rsid w:val="1B7D6926"/>
    <w:rsid w:val="1BB50A0A"/>
    <w:rsid w:val="1BF67E9C"/>
    <w:rsid w:val="1C1C709B"/>
    <w:rsid w:val="1C4F6795"/>
    <w:rsid w:val="1C812956"/>
    <w:rsid w:val="1C8D1CB8"/>
    <w:rsid w:val="1C9F6814"/>
    <w:rsid w:val="1CCB626F"/>
    <w:rsid w:val="1D1F0356"/>
    <w:rsid w:val="1D5C514E"/>
    <w:rsid w:val="1D865D14"/>
    <w:rsid w:val="1D8705EC"/>
    <w:rsid w:val="1D8E41CF"/>
    <w:rsid w:val="1D954DCE"/>
    <w:rsid w:val="1DD872E4"/>
    <w:rsid w:val="1DEC0E7D"/>
    <w:rsid w:val="1E43150B"/>
    <w:rsid w:val="1EA93E80"/>
    <w:rsid w:val="1ED33FB6"/>
    <w:rsid w:val="1EE81332"/>
    <w:rsid w:val="1F32415A"/>
    <w:rsid w:val="1F542F9A"/>
    <w:rsid w:val="1F702632"/>
    <w:rsid w:val="1F7E2174"/>
    <w:rsid w:val="1FDC6454"/>
    <w:rsid w:val="20107567"/>
    <w:rsid w:val="204A0286"/>
    <w:rsid w:val="20807C50"/>
    <w:rsid w:val="20AB56C6"/>
    <w:rsid w:val="21547789"/>
    <w:rsid w:val="2176507C"/>
    <w:rsid w:val="21BE35AF"/>
    <w:rsid w:val="21C11174"/>
    <w:rsid w:val="21CF2D45"/>
    <w:rsid w:val="22244B28"/>
    <w:rsid w:val="22467FD4"/>
    <w:rsid w:val="229451FD"/>
    <w:rsid w:val="22A12DB6"/>
    <w:rsid w:val="22DB012E"/>
    <w:rsid w:val="230A01C2"/>
    <w:rsid w:val="236356D1"/>
    <w:rsid w:val="23A91C83"/>
    <w:rsid w:val="23C962E8"/>
    <w:rsid w:val="245F02C4"/>
    <w:rsid w:val="247E4FED"/>
    <w:rsid w:val="24AD78E0"/>
    <w:rsid w:val="24B30BE8"/>
    <w:rsid w:val="24E34060"/>
    <w:rsid w:val="25396B3D"/>
    <w:rsid w:val="253A0491"/>
    <w:rsid w:val="253D72D8"/>
    <w:rsid w:val="254E0478"/>
    <w:rsid w:val="25E036B2"/>
    <w:rsid w:val="25E9082A"/>
    <w:rsid w:val="25F42473"/>
    <w:rsid w:val="269C17B8"/>
    <w:rsid w:val="26AF2D79"/>
    <w:rsid w:val="26B34B91"/>
    <w:rsid w:val="26FC4F31"/>
    <w:rsid w:val="270D66E8"/>
    <w:rsid w:val="27514612"/>
    <w:rsid w:val="278B0DAB"/>
    <w:rsid w:val="279C6B0E"/>
    <w:rsid w:val="27A64735"/>
    <w:rsid w:val="27AB1F74"/>
    <w:rsid w:val="27CC4DF2"/>
    <w:rsid w:val="281146AF"/>
    <w:rsid w:val="281864F2"/>
    <w:rsid w:val="286903EF"/>
    <w:rsid w:val="287F5DD3"/>
    <w:rsid w:val="288047CB"/>
    <w:rsid w:val="289E62FA"/>
    <w:rsid w:val="28FD6E90"/>
    <w:rsid w:val="291E2CA6"/>
    <w:rsid w:val="29331862"/>
    <w:rsid w:val="2944442E"/>
    <w:rsid w:val="299741EC"/>
    <w:rsid w:val="299E147F"/>
    <w:rsid w:val="29C32A87"/>
    <w:rsid w:val="29CF26DC"/>
    <w:rsid w:val="29DD1DDA"/>
    <w:rsid w:val="2A1C5DA0"/>
    <w:rsid w:val="2A200D39"/>
    <w:rsid w:val="2A280AB9"/>
    <w:rsid w:val="2A507EFF"/>
    <w:rsid w:val="2A56745F"/>
    <w:rsid w:val="2ADC05A4"/>
    <w:rsid w:val="2AEF2177"/>
    <w:rsid w:val="2B146D62"/>
    <w:rsid w:val="2B2015AF"/>
    <w:rsid w:val="2B532EC3"/>
    <w:rsid w:val="2B6F0D7F"/>
    <w:rsid w:val="2B8716BD"/>
    <w:rsid w:val="2B8B76FF"/>
    <w:rsid w:val="2B9C641C"/>
    <w:rsid w:val="2BC44A9D"/>
    <w:rsid w:val="2BD5034F"/>
    <w:rsid w:val="2C863A37"/>
    <w:rsid w:val="2C924AE7"/>
    <w:rsid w:val="2D025012"/>
    <w:rsid w:val="2D363D1B"/>
    <w:rsid w:val="2D3C353B"/>
    <w:rsid w:val="2D4178F0"/>
    <w:rsid w:val="2D7711AA"/>
    <w:rsid w:val="2D7D58EB"/>
    <w:rsid w:val="2DA45D22"/>
    <w:rsid w:val="2DAE631A"/>
    <w:rsid w:val="2DBA41D2"/>
    <w:rsid w:val="2DCB4D0E"/>
    <w:rsid w:val="2DD877E0"/>
    <w:rsid w:val="2DE616C9"/>
    <w:rsid w:val="2DE801DF"/>
    <w:rsid w:val="2DFC2451"/>
    <w:rsid w:val="2E3422F8"/>
    <w:rsid w:val="2E3D3A4F"/>
    <w:rsid w:val="2E3D68D2"/>
    <w:rsid w:val="2E440A2C"/>
    <w:rsid w:val="2E4E3659"/>
    <w:rsid w:val="2E6E566D"/>
    <w:rsid w:val="2E7F188E"/>
    <w:rsid w:val="2EA91D49"/>
    <w:rsid w:val="2EBC0905"/>
    <w:rsid w:val="2EC73739"/>
    <w:rsid w:val="2EFB1B0E"/>
    <w:rsid w:val="2F343775"/>
    <w:rsid w:val="2F5107A8"/>
    <w:rsid w:val="2F5C684F"/>
    <w:rsid w:val="2F63756E"/>
    <w:rsid w:val="2F922AC9"/>
    <w:rsid w:val="2FE6553A"/>
    <w:rsid w:val="300119B8"/>
    <w:rsid w:val="307776D1"/>
    <w:rsid w:val="307A16E8"/>
    <w:rsid w:val="30862574"/>
    <w:rsid w:val="309D1AAC"/>
    <w:rsid w:val="30AD52F3"/>
    <w:rsid w:val="30B631E1"/>
    <w:rsid w:val="30B7454F"/>
    <w:rsid w:val="311933AA"/>
    <w:rsid w:val="317D15BB"/>
    <w:rsid w:val="31CC144A"/>
    <w:rsid w:val="31D07E6C"/>
    <w:rsid w:val="323F65DA"/>
    <w:rsid w:val="32412074"/>
    <w:rsid w:val="328944B3"/>
    <w:rsid w:val="328A70AC"/>
    <w:rsid w:val="32DE0199"/>
    <w:rsid w:val="333C2963"/>
    <w:rsid w:val="335B2774"/>
    <w:rsid w:val="33A4642E"/>
    <w:rsid w:val="33CD3272"/>
    <w:rsid w:val="33D4039C"/>
    <w:rsid w:val="33D47E05"/>
    <w:rsid w:val="33DF460E"/>
    <w:rsid w:val="33E13F2F"/>
    <w:rsid w:val="33FE2213"/>
    <w:rsid w:val="3413677D"/>
    <w:rsid w:val="342B544B"/>
    <w:rsid w:val="34396D55"/>
    <w:rsid w:val="345E036E"/>
    <w:rsid w:val="34673F86"/>
    <w:rsid w:val="34712C0C"/>
    <w:rsid w:val="34C47852"/>
    <w:rsid w:val="34DE1E4F"/>
    <w:rsid w:val="34F07DB1"/>
    <w:rsid w:val="35700359"/>
    <w:rsid w:val="357E6FD1"/>
    <w:rsid w:val="35881347"/>
    <w:rsid w:val="359009FB"/>
    <w:rsid w:val="35AB1391"/>
    <w:rsid w:val="35D354B8"/>
    <w:rsid w:val="35D4025C"/>
    <w:rsid w:val="35E84393"/>
    <w:rsid w:val="362666BC"/>
    <w:rsid w:val="363646D4"/>
    <w:rsid w:val="366B28CE"/>
    <w:rsid w:val="368A6B11"/>
    <w:rsid w:val="36C66E7F"/>
    <w:rsid w:val="36F44712"/>
    <w:rsid w:val="36F75A66"/>
    <w:rsid w:val="37085B1F"/>
    <w:rsid w:val="372E04CB"/>
    <w:rsid w:val="385B709E"/>
    <w:rsid w:val="38C56C0D"/>
    <w:rsid w:val="38E070F2"/>
    <w:rsid w:val="38FA1FA9"/>
    <w:rsid w:val="390D33AB"/>
    <w:rsid w:val="391E6D06"/>
    <w:rsid w:val="39573D9E"/>
    <w:rsid w:val="39FC7BE4"/>
    <w:rsid w:val="3A074847"/>
    <w:rsid w:val="3A830B2E"/>
    <w:rsid w:val="3A8F1281"/>
    <w:rsid w:val="3AA90FE6"/>
    <w:rsid w:val="3AA9318F"/>
    <w:rsid w:val="3AB62DA0"/>
    <w:rsid w:val="3AE67BC0"/>
    <w:rsid w:val="3B057828"/>
    <w:rsid w:val="3B69577B"/>
    <w:rsid w:val="3B702D85"/>
    <w:rsid w:val="3B7D3FD5"/>
    <w:rsid w:val="3B823DDF"/>
    <w:rsid w:val="3B937018"/>
    <w:rsid w:val="3BD827B4"/>
    <w:rsid w:val="3C237ED3"/>
    <w:rsid w:val="3C363894"/>
    <w:rsid w:val="3C4D2D59"/>
    <w:rsid w:val="3CAA596A"/>
    <w:rsid w:val="3CAF1D22"/>
    <w:rsid w:val="3CB1587B"/>
    <w:rsid w:val="3CB735F2"/>
    <w:rsid w:val="3CC1773F"/>
    <w:rsid w:val="3D186684"/>
    <w:rsid w:val="3D260E6E"/>
    <w:rsid w:val="3D363C36"/>
    <w:rsid w:val="3D4E5423"/>
    <w:rsid w:val="3D8B2178"/>
    <w:rsid w:val="3DB34909"/>
    <w:rsid w:val="3DD115F5"/>
    <w:rsid w:val="3DE435F0"/>
    <w:rsid w:val="3DE5122C"/>
    <w:rsid w:val="3DF37E53"/>
    <w:rsid w:val="3ED26DE9"/>
    <w:rsid w:val="3EED17D0"/>
    <w:rsid w:val="3F0C0304"/>
    <w:rsid w:val="3F774839"/>
    <w:rsid w:val="3F7C1A35"/>
    <w:rsid w:val="3FA17495"/>
    <w:rsid w:val="3FBD02CF"/>
    <w:rsid w:val="3FEC147E"/>
    <w:rsid w:val="3FED7DE8"/>
    <w:rsid w:val="40376375"/>
    <w:rsid w:val="412732B7"/>
    <w:rsid w:val="4127791F"/>
    <w:rsid w:val="41281794"/>
    <w:rsid w:val="413C1FDF"/>
    <w:rsid w:val="41550CE1"/>
    <w:rsid w:val="41620A86"/>
    <w:rsid w:val="41806A69"/>
    <w:rsid w:val="41B0259C"/>
    <w:rsid w:val="41B77686"/>
    <w:rsid w:val="41BC6F1C"/>
    <w:rsid w:val="41EF2363"/>
    <w:rsid w:val="41F77860"/>
    <w:rsid w:val="424A4B98"/>
    <w:rsid w:val="4253528A"/>
    <w:rsid w:val="42581D3A"/>
    <w:rsid w:val="428E23A1"/>
    <w:rsid w:val="42960004"/>
    <w:rsid w:val="42ED2EA4"/>
    <w:rsid w:val="42F6649D"/>
    <w:rsid w:val="42FE0080"/>
    <w:rsid w:val="431E5168"/>
    <w:rsid w:val="43315D2E"/>
    <w:rsid w:val="43670C99"/>
    <w:rsid w:val="43824A1C"/>
    <w:rsid w:val="4385126E"/>
    <w:rsid w:val="43D110E1"/>
    <w:rsid w:val="43E873C9"/>
    <w:rsid w:val="448700C8"/>
    <w:rsid w:val="44905B1F"/>
    <w:rsid w:val="45316885"/>
    <w:rsid w:val="45A95EE9"/>
    <w:rsid w:val="45B71E2A"/>
    <w:rsid w:val="45FB0F21"/>
    <w:rsid w:val="46167166"/>
    <w:rsid w:val="4636719A"/>
    <w:rsid w:val="46571F90"/>
    <w:rsid w:val="465859F2"/>
    <w:rsid w:val="46726CED"/>
    <w:rsid w:val="46D34989"/>
    <w:rsid w:val="47200EE3"/>
    <w:rsid w:val="472156FC"/>
    <w:rsid w:val="472703A0"/>
    <w:rsid w:val="47435AC2"/>
    <w:rsid w:val="47544B78"/>
    <w:rsid w:val="47587AF7"/>
    <w:rsid w:val="47745A86"/>
    <w:rsid w:val="47E239AC"/>
    <w:rsid w:val="480F4B73"/>
    <w:rsid w:val="4832167C"/>
    <w:rsid w:val="485446B7"/>
    <w:rsid w:val="487974BD"/>
    <w:rsid w:val="48B31B80"/>
    <w:rsid w:val="48DB38E3"/>
    <w:rsid w:val="48E06023"/>
    <w:rsid w:val="49001B5E"/>
    <w:rsid w:val="49376DB0"/>
    <w:rsid w:val="497A0274"/>
    <w:rsid w:val="49804BB7"/>
    <w:rsid w:val="49826DCB"/>
    <w:rsid w:val="499013E7"/>
    <w:rsid w:val="49A22843"/>
    <w:rsid w:val="49C8088A"/>
    <w:rsid w:val="49F70BF1"/>
    <w:rsid w:val="4A0F6D68"/>
    <w:rsid w:val="4A233384"/>
    <w:rsid w:val="4A301C93"/>
    <w:rsid w:val="4A3302AB"/>
    <w:rsid w:val="4A572A17"/>
    <w:rsid w:val="4A6F2535"/>
    <w:rsid w:val="4AC85D49"/>
    <w:rsid w:val="4AE308A9"/>
    <w:rsid w:val="4B005D50"/>
    <w:rsid w:val="4B260F2D"/>
    <w:rsid w:val="4B524331"/>
    <w:rsid w:val="4B8B54A8"/>
    <w:rsid w:val="4B9049B6"/>
    <w:rsid w:val="4B9A1456"/>
    <w:rsid w:val="4BA32C82"/>
    <w:rsid w:val="4BE70627"/>
    <w:rsid w:val="4C0A5AE1"/>
    <w:rsid w:val="4C130AB8"/>
    <w:rsid w:val="4C5A284D"/>
    <w:rsid w:val="4C5C0673"/>
    <w:rsid w:val="4CB370E9"/>
    <w:rsid w:val="4CB96B43"/>
    <w:rsid w:val="4CC24BEA"/>
    <w:rsid w:val="4CC75FCC"/>
    <w:rsid w:val="4CC87A5E"/>
    <w:rsid w:val="4CD63947"/>
    <w:rsid w:val="4CE9702B"/>
    <w:rsid w:val="4CEF2847"/>
    <w:rsid w:val="4CF957AB"/>
    <w:rsid w:val="4CFC49F4"/>
    <w:rsid w:val="4D073D73"/>
    <w:rsid w:val="4D1D2091"/>
    <w:rsid w:val="4D1E27BA"/>
    <w:rsid w:val="4D23574A"/>
    <w:rsid w:val="4D270EF8"/>
    <w:rsid w:val="4D4C4DB0"/>
    <w:rsid w:val="4D7322D5"/>
    <w:rsid w:val="4DD7034C"/>
    <w:rsid w:val="4DE312CB"/>
    <w:rsid w:val="4DF3347D"/>
    <w:rsid w:val="4DF5318E"/>
    <w:rsid w:val="4E1F4862"/>
    <w:rsid w:val="4E2E4393"/>
    <w:rsid w:val="4E535EF2"/>
    <w:rsid w:val="4EBC37FC"/>
    <w:rsid w:val="4F08773C"/>
    <w:rsid w:val="4F102B4E"/>
    <w:rsid w:val="4F1634D1"/>
    <w:rsid w:val="4F31409F"/>
    <w:rsid w:val="4F5543EF"/>
    <w:rsid w:val="4F5E670E"/>
    <w:rsid w:val="4F6576AF"/>
    <w:rsid w:val="4F846A83"/>
    <w:rsid w:val="4F965516"/>
    <w:rsid w:val="50070E2C"/>
    <w:rsid w:val="501112F3"/>
    <w:rsid w:val="504B57F2"/>
    <w:rsid w:val="50560FE4"/>
    <w:rsid w:val="50681F00"/>
    <w:rsid w:val="50C5433A"/>
    <w:rsid w:val="50C62BC7"/>
    <w:rsid w:val="50DA1528"/>
    <w:rsid w:val="50F72A66"/>
    <w:rsid w:val="5123368C"/>
    <w:rsid w:val="5130747C"/>
    <w:rsid w:val="515C765A"/>
    <w:rsid w:val="51905BB3"/>
    <w:rsid w:val="51946FCB"/>
    <w:rsid w:val="51DD796B"/>
    <w:rsid w:val="51DF373B"/>
    <w:rsid w:val="52241ACF"/>
    <w:rsid w:val="522E682E"/>
    <w:rsid w:val="52386AB2"/>
    <w:rsid w:val="5282410D"/>
    <w:rsid w:val="5283536B"/>
    <w:rsid w:val="529E42FF"/>
    <w:rsid w:val="52EF4CB5"/>
    <w:rsid w:val="52F959F0"/>
    <w:rsid w:val="5302488E"/>
    <w:rsid w:val="53136173"/>
    <w:rsid w:val="5321205D"/>
    <w:rsid w:val="534B12B7"/>
    <w:rsid w:val="539A4AC7"/>
    <w:rsid w:val="542631B6"/>
    <w:rsid w:val="5447483C"/>
    <w:rsid w:val="545E2895"/>
    <w:rsid w:val="54942CAE"/>
    <w:rsid w:val="54A61722"/>
    <w:rsid w:val="54B31FAF"/>
    <w:rsid w:val="54C211D8"/>
    <w:rsid w:val="54E97446"/>
    <w:rsid w:val="55190137"/>
    <w:rsid w:val="551F3E29"/>
    <w:rsid w:val="55282405"/>
    <w:rsid w:val="552A4EB4"/>
    <w:rsid w:val="55326D63"/>
    <w:rsid w:val="555D1A10"/>
    <w:rsid w:val="55C42C77"/>
    <w:rsid w:val="55FC1D03"/>
    <w:rsid w:val="566C5F63"/>
    <w:rsid w:val="56907552"/>
    <w:rsid w:val="56AC4A78"/>
    <w:rsid w:val="56DB16B9"/>
    <w:rsid w:val="577A3463"/>
    <w:rsid w:val="57AC4DC9"/>
    <w:rsid w:val="57F967AD"/>
    <w:rsid w:val="57FE314A"/>
    <w:rsid w:val="58052975"/>
    <w:rsid w:val="584D1A65"/>
    <w:rsid w:val="584F5C44"/>
    <w:rsid w:val="58504D6C"/>
    <w:rsid w:val="58615BB3"/>
    <w:rsid w:val="588717C9"/>
    <w:rsid w:val="58D43874"/>
    <w:rsid w:val="58D72319"/>
    <w:rsid w:val="58E525CA"/>
    <w:rsid w:val="58E55347"/>
    <w:rsid w:val="58EE7372"/>
    <w:rsid w:val="593C217C"/>
    <w:rsid w:val="593D045A"/>
    <w:rsid w:val="5960739E"/>
    <w:rsid w:val="597460CF"/>
    <w:rsid w:val="597676DD"/>
    <w:rsid w:val="59896D0A"/>
    <w:rsid w:val="59B72684"/>
    <w:rsid w:val="5A264C20"/>
    <w:rsid w:val="5A295A8C"/>
    <w:rsid w:val="5A3D61AC"/>
    <w:rsid w:val="5A9579AE"/>
    <w:rsid w:val="5AC468CD"/>
    <w:rsid w:val="5B006DDE"/>
    <w:rsid w:val="5B342B9A"/>
    <w:rsid w:val="5B5953B0"/>
    <w:rsid w:val="5B630802"/>
    <w:rsid w:val="5B807F68"/>
    <w:rsid w:val="5BA72CE5"/>
    <w:rsid w:val="5C034D53"/>
    <w:rsid w:val="5CBA0D39"/>
    <w:rsid w:val="5CC81D66"/>
    <w:rsid w:val="5D6509CD"/>
    <w:rsid w:val="5D722852"/>
    <w:rsid w:val="5E1D6F56"/>
    <w:rsid w:val="5E52187F"/>
    <w:rsid w:val="5E6A13CD"/>
    <w:rsid w:val="5E705D15"/>
    <w:rsid w:val="5E887B9F"/>
    <w:rsid w:val="5E93326C"/>
    <w:rsid w:val="5E9F1A7A"/>
    <w:rsid w:val="5EAF3818"/>
    <w:rsid w:val="5EB9022B"/>
    <w:rsid w:val="5EFB4BA4"/>
    <w:rsid w:val="5EFE2597"/>
    <w:rsid w:val="5F025452"/>
    <w:rsid w:val="5F5F46B5"/>
    <w:rsid w:val="5F6762C1"/>
    <w:rsid w:val="5FB25360"/>
    <w:rsid w:val="5FBA3CC0"/>
    <w:rsid w:val="5FD90D61"/>
    <w:rsid w:val="60177697"/>
    <w:rsid w:val="602329DB"/>
    <w:rsid w:val="604845A1"/>
    <w:rsid w:val="60534C73"/>
    <w:rsid w:val="607777D6"/>
    <w:rsid w:val="609A56B8"/>
    <w:rsid w:val="60BC76A1"/>
    <w:rsid w:val="60F0637F"/>
    <w:rsid w:val="610B7637"/>
    <w:rsid w:val="612279BA"/>
    <w:rsid w:val="615F5624"/>
    <w:rsid w:val="61786FF4"/>
    <w:rsid w:val="619A6E2E"/>
    <w:rsid w:val="61CB78FE"/>
    <w:rsid w:val="61D215CF"/>
    <w:rsid w:val="620D6AF3"/>
    <w:rsid w:val="62593D9F"/>
    <w:rsid w:val="625C563D"/>
    <w:rsid w:val="626A1704"/>
    <w:rsid w:val="627921C2"/>
    <w:rsid w:val="62892D3E"/>
    <w:rsid w:val="62B362C8"/>
    <w:rsid w:val="62C1330E"/>
    <w:rsid w:val="62C3746A"/>
    <w:rsid w:val="62D60F4C"/>
    <w:rsid w:val="6317611A"/>
    <w:rsid w:val="6342085E"/>
    <w:rsid w:val="636F415C"/>
    <w:rsid w:val="63910B10"/>
    <w:rsid w:val="63D22876"/>
    <w:rsid w:val="641B511C"/>
    <w:rsid w:val="64917820"/>
    <w:rsid w:val="64AA1CC5"/>
    <w:rsid w:val="64C90280"/>
    <w:rsid w:val="6528341F"/>
    <w:rsid w:val="656B2909"/>
    <w:rsid w:val="65A3045D"/>
    <w:rsid w:val="65AF2651"/>
    <w:rsid w:val="65D97752"/>
    <w:rsid w:val="65E25E59"/>
    <w:rsid w:val="66307F76"/>
    <w:rsid w:val="664F617E"/>
    <w:rsid w:val="66580EAF"/>
    <w:rsid w:val="66694D0D"/>
    <w:rsid w:val="667B4472"/>
    <w:rsid w:val="66F041A8"/>
    <w:rsid w:val="6721178A"/>
    <w:rsid w:val="6739399A"/>
    <w:rsid w:val="673F39DE"/>
    <w:rsid w:val="674C5D22"/>
    <w:rsid w:val="67663AF8"/>
    <w:rsid w:val="67762CFD"/>
    <w:rsid w:val="677A678D"/>
    <w:rsid w:val="6798432F"/>
    <w:rsid w:val="67AA2321"/>
    <w:rsid w:val="67EA64CC"/>
    <w:rsid w:val="68011379"/>
    <w:rsid w:val="681E1720"/>
    <w:rsid w:val="68252C37"/>
    <w:rsid w:val="68817BAC"/>
    <w:rsid w:val="689A5E59"/>
    <w:rsid w:val="68A94E70"/>
    <w:rsid w:val="68EE72DF"/>
    <w:rsid w:val="690B4C92"/>
    <w:rsid w:val="69356906"/>
    <w:rsid w:val="69485FEA"/>
    <w:rsid w:val="69676EB0"/>
    <w:rsid w:val="69677DC0"/>
    <w:rsid w:val="69937EC7"/>
    <w:rsid w:val="69D64558"/>
    <w:rsid w:val="69E3623E"/>
    <w:rsid w:val="6A042548"/>
    <w:rsid w:val="6A471EFD"/>
    <w:rsid w:val="6A771BC9"/>
    <w:rsid w:val="6A9D5B77"/>
    <w:rsid w:val="6AB57116"/>
    <w:rsid w:val="6AC22461"/>
    <w:rsid w:val="6B17424A"/>
    <w:rsid w:val="6B2218FA"/>
    <w:rsid w:val="6B686C59"/>
    <w:rsid w:val="6B691672"/>
    <w:rsid w:val="6B7804E7"/>
    <w:rsid w:val="6BE97F42"/>
    <w:rsid w:val="6C2063E9"/>
    <w:rsid w:val="6C5E6A51"/>
    <w:rsid w:val="6C6513C3"/>
    <w:rsid w:val="6C6720CF"/>
    <w:rsid w:val="6C737CFB"/>
    <w:rsid w:val="6C744268"/>
    <w:rsid w:val="6C7B02B3"/>
    <w:rsid w:val="6C913746"/>
    <w:rsid w:val="6CD62D03"/>
    <w:rsid w:val="6CD97FB6"/>
    <w:rsid w:val="6CDD60A6"/>
    <w:rsid w:val="6D0E5050"/>
    <w:rsid w:val="6D1E3C1B"/>
    <w:rsid w:val="6D4B22B8"/>
    <w:rsid w:val="6D930013"/>
    <w:rsid w:val="6DA265FA"/>
    <w:rsid w:val="6DFB5D0A"/>
    <w:rsid w:val="6E1A1656"/>
    <w:rsid w:val="6E231DD6"/>
    <w:rsid w:val="6E2F17D2"/>
    <w:rsid w:val="6E4F6056"/>
    <w:rsid w:val="6E512505"/>
    <w:rsid w:val="6E5A5288"/>
    <w:rsid w:val="6EE013EE"/>
    <w:rsid w:val="6EE079F1"/>
    <w:rsid w:val="6EE42C42"/>
    <w:rsid w:val="6EEA4439"/>
    <w:rsid w:val="6EF8183A"/>
    <w:rsid w:val="6F240921"/>
    <w:rsid w:val="6F363766"/>
    <w:rsid w:val="6F46175D"/>
    <w:rsid w:val="6F7F7CB0"/>
    <w:rsid w:val="6FE0165C"/>
    <w:rsid w:val="6FE10C44"/>
    <w:rsid w:val="70222744"/>
    <w:rsid w:val="706D25DF"/>
    <w:rsid w:val="706D2B21"/>
    <w:rsid w:val="707B1384"/>
    <w:rsid w:val="70857A34"/>
    <w:rsid w:val="70985D3C"/>
    <w:rsid w:val="70A65682"/>
    <w:rsid w:val="71047C73"/>
    <w:rsid w:val="7109004F"/>
    <w:rsid w:val="71103167"/>
    <w:rsid w:val="712E56F7"/>
    <w:rsid w:val="716875CD"/>
    <w:rsid w:val="71691ABB"/>
    <w:rsid w:val="71AE1AEA"/>
    <w:rsid w:val="71CF3B6C"/>
    <w:rsid w:val="71F80F33"/>
    <w:rsid w:val="721056AE"/>
    <w:rsid w:val="722922C6"/>
    <w:rsid w:val="727176A7"/>
    <w:rsid w:val="7295497F"/>
    <w:rsid w:val="72CB03A1"/>
    <w:rsid w:val="732D4B5D"/>
    <w:rsid w:val="73393C88"/>
    <w:rsid w:val="7362513F"/>
    <w:rsid w:val="73771D49"/>
    <w:rsid w:val="739D70A1"/>
    <w:rsid w:val="73A1354E"/>
    <w:rsid w:val="73E035D5"/>
    <w:rsid w:val="74024296"/>
    <w:rsid w:val="743D0241"/>
    <w:rsid w:val="74A11E7D"/>
    <w:rsid w:val="74D228C5"/>
    <w:rsid w:val="7550071B"/>
    <w:rsid w:val="75590B0A"/>
    <w:rsid w:val="756D0349"/>
    <w:rsid w:val="7582279F"/>
    <w:rsid w:val="75843EB5"/>
    <w:rsid w:val="75895B4A"/>
    <w:rsid w:val="75912FA2"/>
    <w:rsid w:val="75BB71AF"/>
    <w:rsid w:val="75F01962"/>
    <w:rsid w:val="760E19DF"/>
    <w:rsid w:val="764E52E0"/>
    <w:rsid w:val="76557F3E"/>
    <w:rsid w:val="76676A53"/>
    <w:rsid w:val="76944574"/>
    <w:rsid w:val="76A3294D"/>
    <w:rsid w:val="76B620A1"/>
    <w:rsid w:val="76B7642D"/>
    <w:rsid w:val="76C92425"/>
    <w:rsid w:val="76D61240"/>
    <w:rsid w:val="76D766A5"/>
    <w:rsid w:val="76F20814"/>
    <w:rsid w:val="76F92565"/>
    <w:rsid w:val="77462524"/>
    <w:rsid w:val="77501DCD"/>
    <w:rsid w:val="77565681"/>
    <w:rsid w:val="779A6594"/>
    <w:rsid w:val="77A21064"/>
    <w:rsid w:val="77E34EB2"/>
    <w:rsid w:val="781564B8"/>
    <w:rsid w:val="78224ACF"/>
    <w:rsid w:val="7883406B"/>
    <w:rsid w:val="78CD6DCC"/>
    <w:rsid w:val="78D07CAF"/>
    <w:rsid w:val="78DE12D7"/>
    <w:rsid w:val="78FB4D34"/>
    <w:rsid w:val="79210683"/>
    <w:rsid w:val="799C3465"/>
    <w:rsid w:val="79B14EC4"/>
    <w:rsid w:val="7A025270"/>
    <w:rsid w:val="7A141937"/>
    <w:rsid w:val="7A2A6B4A"/>
    <w:rsid w:val="7A681070"/>
    <w:rsid w:val="7A860C7C"/>
    <w:rsid w:val="7A9F7D20"/>
    <w:rsid w:val="7AB879FE"/>
    <w:rsid w:val="7AF4245F"/>
    <w:rsid w:val="7B3264DD"/>
    <w:rsid w:val="7B81188A"/>
    <w:rsid w:val="7B9E2902"/>
    <w:rsid w:val="7BAC424F"/>
    <w:rsid w:val="7BC854E2"/>
    <w:rsid w:val="7C0562EC"/>
    <w:rsid w:val="7C067A45"/>
    <w:rsid w:val="7C0D2ED7"/>
    <w:rsid w:val="7C1C072C"/>
    <w:rsid w:val="7C27683F"/>
    <w:rsid w:val="7C8141C6"/>
    <w:rsid w:val="7CB14B4D"/>
    <w:rsid w:val="7CE208B6"/>
    <w:rsid w:val="7CF26969"/>
    <w:rsid w:val="7D25523C"/>
    <w:rsid w:val="7DB23041"/>
    <w:rsid w:val="7E5F7809"/>
    <w:rsid w:val="7ED56C53"/>
    <w:rsid w:val="7EEA1BAF"/>
    <w:rsid w:val="7F4909C9"/>
    <w:rsid w:val="7F5460D4"/>
    <w:rsid w:val="7F552892"/>
    <w:rsid w:val="7FFD3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qFormat="1"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4"/>
    <w:next w:val="1"/>
    <w:link w:val="139"/>
    <w:qFormat/>
    <w:uiPriority w:val="9"/>
    <w:pPr>
      <w:keepNext/>
      <w:keepLines/>
      <w:jc w:val="center"/>
      <w:outlineLvl w:val="0"/>
    </w:pPr>
    <w:rPr>
      <w:b/>
      <w:bCs/>
      <w:kern w:val="44"/>
      <w:sz w:val="36"/>
      <w:szCs w:val="44"/>
    </w:rPr>
  </w:style>
  <w:style w:type="paragraph" w:styleId="2">
    <w:name w:val="heading 2"/>
    <w:basedOn w:val="1"/>
    <w:next w:val="1"/>
    <w:link w:val="140"/>
    <w:qFormat/>
    <w:uiPriority w:val="9"/>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14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qFormat/>
    <w:uiPriority w:val="39"/>
    <w:pPr>
      <w:ind w:left="480"/>
      <w:jc w:val="left"/>
    </w:pPr>
    <w:rPr>
      <w:rFonts w:ascii="Calibri" w:hAnsi="Calibri" w:eastAsia="宋体" w:cs="Times New Roman"/>
      <w:i/>
      <w:iCs/>
      <w:sz w:val="20"/>
      <w:szCs w:val="20"/>
    </w:r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Normal Indent"/>
    <w:basedOn w:val="1"/>
    <w:qFormat/>
    <w:uiPriority w:val="0"/>
    <w:pPr>
      <w:ind w:firstLine="420" w:firstLineChars="200"/>
    </w:pPr>
    <w:rPr>
      <w:kern w:val="0"/>
    </w:rPr>
  </w:style>
  <w:style w:type="paragraph" w:styleId="9">
    <w:name w:val="caption"/>
    <w:basedOn w:val="1"/>
    <w:next w:val="1"/>
    <w:qFormat/>
    <w:uiPriority w:val="35"/>
    <w:pPr>
      <w:spacing w:before="152" w:after="160"/>
    </w:pPr>
    <w:rPr>
      <w:rFonts w:ascii="Arial" w:hAnsi="Arial" w:eastAsia="黑体" w:cs="Arial"/>
      <w:sz w:val="20"/>
      <w:szCs w:val="20"/>
    </w:rPr>
  </w:style>
  <w:style w:type="paragraph" w:styleId="10">
    <w:name w:val="Document Map"/>
    <w:basedOn w:val="1"/>
    <w:link w:val="142"/>
    <w:qFormat/>
    <w:uiPriority w:val="0"/>
    <w:pPr>
      <w:shd w:val="clear" w:color="auto" w:fill="000080"/>
    </w:pPr>
    <w:rPr>
      <w:sz w:val="24"/>
    </w:rPr>
  </w:style>
  <w:style w:type="paragraph" w:styleId="11">
    <w:name w:val="toa heading"/>
    <w:basedOn w:val="1"/>
    <w:next w:val="1"/>
    <w:qFormat/>
    <w:uiPriority w:val="99"/>
    <w:pPr>
      <w:spacing w:before="120"/>
    </w:pPr>
    <w:rPr>
      <w:rFonts w:ascii="Arial" w:hAnsi="Arial" w:eastAsia="宋体" w:cs="Arial"/>
      <w:sz w:val="24"/>
      <w:szCs w:val="24"/>
    </w:rPr>
  </w:style>
  <w:style w:type="paragraph" w:styleId="12">
    <w:name w:val="annotation text"/>
    <w:basedOn w:val="1"/>
    <w:link w:val="143"/>
    <w:qFormat/>
    <w:uiPriority w:val="0"/>
    <w:pPr>
      <w:jc w:val="left"/>
    </w:pPr>
  </w:style>
  <w:style w:type="paragraph" w:styleId="13">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4">
    <w:name w:val="Body Text"/>
    <w:basedOn w:val="1"/>
    <w:next w:val="15"/>
    <w:link w:val="144"/>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5">
    <w:name w:val="Body Text Indent"/>
    <w:basedOn w:val="1"/>
    <w:link w:val="145"/>
    <w:qFormat/>
    <w:uiPriority w:val="99"/>
    <w:pPr>
      <w:spacing w:after="120"/>
      <w:ind w:left="420" w:leftChars="200"/>
    </w:pPr>
    <w:rPr>
      <w:rFonts w:ascii="Calibri" w:hAnsi="Calibri" w:eastAsia="宋体" w:cs="Times New Roman"/>
      <w:szCs w:val="20"/>
    </w:rPr>
  </w:style>
  <w:style w:type="paragraph" w:styleId="16">
    <w:name w:val="index 4"/>
    <w:basedOn w:val="1"/>
    <w:next w:val="1"/>
    <w:qFormat/>
    <w:uiPriority w:val="0"/>
    <w:pPr>
      <w:ind w:left="600" w:leftChars="600"/>
    </w:pPr>
  </w:style>
  <w:style w:type="paragraph" w:styleId="17">
    <w:name w:val="toc 5"/>
    <w:basedOn w:val="1"/>
    <w:next w:val="1"/>
    <w:qFormat/>
    <w:uiPriority w:val="39"/>
    <w:pPr>
      <w:ind w:left="960"/>
      <w:jc w:val="left"/>
    </w:pPr>
    <w:rPr>
      <w:rFonts w:ascii="Calibri" w:hAnsi="Calibri" w:eastAsia="宋体" w:cs="Times New Roman"/>
      <w:sz w:val="18"/>
      <w:szCs w:val="18"/>
    </w:rPr>
  </w:style>
  <w:style w:type="paragraph" w:styleId="18">
    <w:name w:val="Plain Text"/>
    <w:basedOn w:val="1"/>
    <w:link w:val="146"/>
    <w:qFormat/>
    <w:uiPriority w:val="0"/>
    <w:rPr>
      <w:rFonts w:ascii="宋体" w:hAnsi="Courier New"/>
    </w:rPr>
  </w:style>
  <w:style w:type="paragraph" w:styleId="19">
    <w:name w:val="toc 8"/>
    <w:basedOn w:val="1"/>
    <w:next w:val="1"/>
    <w:qFormat/>
    <w:uiPriority w:val="39"/>
    <w:pPr>
      <w:ind w:left="1680"/>
      <w:jc w:val="left"/>
    </w:pPr>
    <w:rPr>
      <w:rFonts w:ascii="Calibri" w:hAnsi="Calibri" w:eastAsia="宋体" w:cs="Times New Roman"/>
      <w:sz w:val="18"/>
      <w:szCs w:val="18"/>
    </w:rPr>
  </w:style>
  <w:style w:type="paragraph" w:styleId="20">
    <w:name w:val="Date"/>
    <w:basedOn w:val="1"/>
    <w:next w:val="1"/>
    <w:link w:val="147"/>
    <w:qFormat/>
    <w:uiPriority w:val="0"/>
    <w:pPr>
      <w:ind w:left="100" w:leftChars="2500"/>
    </w:pPr>
    <w:rPr>
      <w:sz w:val="24"/>
    </w:rPr>
  </w:style>
  <w:style w:type="paragraph" w:styleId="21">
    <w:name w:val="Body Text Indent 2"/>
    <w:basedOn w:val="1"/>
    <w:link w:val="148"/>
    <w:qFormat/>
    <w:uiPriority w:val="0"/>
    <w:pPr>
      <w:spacing w:after="120" w:line="480" w:lineRule="auto"/>
      <w:ind w:left="420" w:leftChars="200"/>
    </w:pPr>
  </w:style>
  <w:style w:type="paragraph" w:styleId="22">
    <w:name w:val="Balloon Text"/>
    <w:basedOn w:val="1"/>
    <w:link w:val="149"/>
    <w:qFormat/>
    <w:uiPriority w:val="0"/>
    <w:rPr>
      <w:sz w:val="18"/>
    </w:rPr>
  </w:style>
  <w:style w:type="paragraph" w:styleId="23">
    <w:name w:val="footer"/>
    <w:basedOn w:val="1"/>
    <w:link w:val="150"/>
    <w:qFormat/>
    <w:uiPriority w:val="99"/>
    <w:pPr>
      <w:tabs>
        <w:tab w:val="center" w:pos="4153"/>
        <w:tab w:val="right" w:pos="8306"/>
      </w:tabs>
      <w:snapToGrid w:val="0"/>
      <w:jc w:val="left"/>
    </w:pPr>
    <w:rPr>
      <w:sz w:val="18"/>
    </w:rPr>
  </w:style>
  <w:style w:type="paragraph" w:styleId="24">
    <w:name w:val="header"/>
    <w:basedOn w:val="1"/>
    <w:link w:val="151"/>
    <w:qFormat/>
    <w:uiPriority w:val="0"/>
    <w:pPr>
      <w:pBdr>
        <w:bottom w:val="single" w:color="auto" w:sz="6" w:space="1"/>
      </w:pBdr>
      <w:tabs>
        <w:tab w:val="center" w:pos="4153"/>
        <w:tab w:val="right" w:pos="8306"/>
      </w:tabs>
      <w:snapToGrid w:val="0"/>
      <w:jc w:val="center"/>
    </w:pPr>
    <w:rPr>
      <w:sz w:val="18"/>
    </w:rPr>
  </w:style>
  <w:style w:type="paragraph" w:styleId="25">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6">
    <w:name w:val="toc 4"/>
    <w:basedOn w:val="1"/>
    <w:next w:val="1"/>
    <w:qFormat/>
    <w:uiPriority w:val="39"/>
    <w:pPr>
      <w:ind w:left="720"/>
      <w:jc w:val="left"/>
    </w:pPr>
    <w:rPr>
      <w:rFonts w:ascii="Calibri" w:hAnsi="Calibri" w:eastAsia="宋体" w:cs="Times New Roman"/>
      <w:sz w:val="18"/>
      <w:szCs w:val="18"/>
    </w:rPr>
  </w:style>
  <w:style w:type="paragraph" w:styleId="27">
    <w:name w:val="Subtitle"/>
    <w:basedOn w:val="1"/>
    <w:next w:val="1"/>
    <w:qFormat/>
    <w:uiPriority w:val="11"/>
    <w:pPr>
      <w:spacing w:line="360" w:lineRule="auto"/>
      <w:ind w:firstLine="200" w:firstLineChars="200"/>
      <w:outlineLvl w:val="1"/>
    </w:pPr>
    <w:rPr>
      <w:rFonts w:ascii="宋体" w:eastAsia="宋体"/>
      <w:bCs/>
      <w:kern w:val="28"/>
      <w:sz w:val="24"/>
      <w:szCs w:val="32"/>
    </w:rPr>
  </w:style>
  <w:style w:type="paragraph" w:styleId="28">
    <w:name w:val="List"/>
    <w:basedOn w:val="1"/>
    <w:qFormat/>
    <w:uiPriority w:val="99"/>
    <w:pPr>
      <w:ind w:left="420" w:hanging="420"/>
    </w:pPr>
    <w:rPr>
      <w:rFonts w:ascii="Times New Roman" w:hAnsi="Times New Roman" w:eastAsia="宋体" w:cs="Times New Roman"/>
      <w:szCs w:val="20"/>
    </w:rPr>
  </w:style>
  <w:style w:type="paragraph" w:styleId="29">
    <w:name w:val="toc 6"/>
    <w:basedOn w:val="1"/>
    <w:next w:val="1"/>
    <w:qFormat/>
    <w:uiPriority w:val="39"/>
    <w:pPr>
      <w:ind w:left="1200"/>
      <w:jc w:val="left"/>
    </w:pPr>
    <w:rPr>
      <w:rFonts w:ascii="Calibri" w:hAnsi="Calibri" w:eastAsia="宋体" w:cs="Times New Roman"/>
      <w:sz w:val="18"/>
      <w:szCs w:val="18"/>
    </w:rPr>
  </w:style>
  <w:style w:type="paragraph" w:styleId="30">
    <w:name w:val="Body Text Indent 3"/>
    <w:basedOn w:val="1"/>
    <w:link w:val="152"/>
    <w:qFormat/>
    <w:uiPriority w:val="0"/>
    <w:pPr>
      <w:spacing w:after="120"/>
      <w:ind w:left="420" w:leftChars="200"/>
    </w:pPr>
    <w:rPr>
      <w:sz w:val="16"/>
    </w:rPr>
  </w:style>
  <w:style w:type="paragraph" w:styleId="31">
    <w:name w:val="index 9"/>
    <w:basedOn w:val="1"/>
    <w:next w:val="1"/>
    <w:semiHidden/>
    <w:unhideWhenUsed/>
    <w:qFormat/>
    <w:uiPriority w:val="99"/>
    <w:pPr>
      <w:ind w:left="2520" w:hanging="280"/>
    </w:pPr>
    <w:rPr>
      <w:rFonts w:eastAsia="仿宋"/>
      <w:sz w:val="28"/>
    </w:rPr>
  </w:style>
  <w:style w:type="paragraph" w:styleId="32">
    <w:name w:val="toc 2"/>
    <w:basedOn w:val="1"/>
    <w:next w:val="1"/>
    <w:unhideWhenUsed/>
    <w:qFormat/>
    <w:uiPriority w:val="39"/>
    <w:pPr>
      <w:ind w:left="420" w:leftChars="200"/>
    </w:pPr>
    <w:rPr>
      <w:rFonts w:ascii="Calibri" w:hAnsi="Calibri" w:eastAsia="宋体" w:cs="Times New Roman"/>
      <w:szCs w:val="20"/>
    </w:rPr>
  </w:style>
  <w:style w:type="paragraph" w:styleId="33">
    <w:name w:val="toc 9"/>
    <w:basedOn w:val="1"/>
    <w:next w:val="1"/>
    <w:qFormat/>
    <w:uiPriority w:val="39"/>
    <w:pPr>
      <w:ind w:left="1920"/>
      <w:jc w:val="left"/>
    </w:pPr>
    <w:rPr>
      <w:rFonts w:ascii="Calibri" w:hAnsi="Calibri" w:eastAsia="宋体" w:cs="Times New Roman"/>
      <w:sz w:val="18"/>
      <w:szCs w:val="18"/>
    </w:rPr>
  </w:style>
  <w:style w:type="paragraph" w:styleId="34">
    <w:name w:val="Normal (Web)"/>
    <w:basedOn w:val="1"/>
    <w:qFormat/>
    <w:uiPriority w:val="99"/>
    <w:rPr>
      <w:rFonts w:ascii="Calibri" w:hAnsi="Calibri" w:eastAsia="宋体" w:cs="Times New Roman"/>
      <w:sz w:val="24"/>
      <w:szCs w:val="20"/>
    </w:rPr>
  </w:style>
  <w:style w:type="paragraph" w:styleId="35">
    <w:name w:val="index 1"/>
    <w:basedOn w:val="1"/>
    <w:next w:val="1"/>
    <w:qFormat/>
    <w:uiPriority w:val="99"/>
    <w:rPr>
      <w:rFonts w:ascii="Calibri" w:hAnsi="Calibri" w:eastAsia="宋体" w:cs="Times New Roman"/>
      <w:sz w:val="24"/>
      <w:szCs w:val="24"/>
    </w:rPr>
  </w:style>
  <w:style w:type="paragraph" w:styleId="36">
    <w:name w:val="Title"/>
    <w:basedOn w:val="1"/>
    <w:next w:val="1"/>
    <w:link w:val="153"/>
    <w:qFormat/>
    <w:uiPriority w:val="0"/>
    <w:pPr>
      <w:spacing w:before="160" w:after="40" w:line="240" w:lineRule="atLeast"/>
      <w:ind w:left="425" w:hanging="425"/>
      <w:jc w:val="center"/>
      <w:outlineLvl w:val="0"/>
    </w:pPr>
    <w:rPr>
      <w:rFonts w:ascii="Arial" w:hAnsi="Arial"/>
      <w:b/>
      <w:sz w:val="32"/>
    </w:rPr>
  </w:style>
  <w:style w:type="paragraph" w:styleId="37">
    <w:name w:val="annotation subject"/>
    <w:basedOn w:val="12"/>
    <w:next w:val="12"/>
    <w:link w:val="154"/>
    <w:qFormat/>
    <w:uiPriority w:val="0"/>
    <w:rPr>
      <w:b/>
    </w:rPr>
  </w:style>
  <w:style w:type="paragraph" w:styleId="38">
    <w:name w:val="Body Text First Indent 2"/>
    <w:basedOn w:val="15"/>
    <w:semiHidden/>
    <w:qFormat/>
    <w:uiPriority w:val="99"/>
    <w:pPr>
      <w:spacing w:line="276" w:lineRule="auto"/>
      <w:ind w:firstLine="420" w:firstLineChars="200"/>
      <w:jc w:val="left"/>
    </w:p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22"/>
    <w:rPr>
      <w:b/>
    </w:rPr>
  </w:style>
  <w:style w:type="character" w:styleId="43">
    <w:name w:val="page number"/>
    <w:basedOn w:val="41"/>
    <w:qFormat/>
    <w:uiPriority w:val="99"/>
    <w:rPr>
      <w:rFonts w:cs="Times New Roman"/>
    </w:rPr>
  </w:style>
  <w:style w:type="character" w:styleId="44">
    <w:name w:val="FollowedHyperlink"/>
    <w:basedOn w:val="41"/>
    <w:qFormat/>
    <w:uiPriority w:val="99"/>
    <w:rPr>
      <w:color w:val="800080"/>
      <w:u w:val="single"/>
    </w:rPr>
  </w:style>
  <w:style w:type="character" w:styleId="45">
    <w:name w:val="Emphasis"/>
    <w:qFormat/>
    <w:uiPriority w:val="99"/>
    <w:rPr>
      <w:rFonts w:cs="Times New Roman"/>
      <w:color w:val="auto"/>
    </w:rPr>
  </w:style>
  <w:style w:type="character" w:styleId="46">
    <w:name w:val="HTML Acronym"/>
    <w:basedOn w:val="41"/>
    <w:qFormat/>
    <w:uiPriority w:val="99"/>
  </w:style>
  <w:style w:type="character" w:styleId="47">
    <w:name w:val="Hyperlink"/>
    <w:basedOn w:val="41"/>
    <w:qFormat/>
    <w:uiPriority w:val="99"/>
    <w:rPr>
      <w:color w:val="1F4F88"/>
      <w:u w:val="none"/>
    </w:rPr>
  </w:style>
  <w:style w:type="character" w:styleId="48">
    <w:name w:val="annotation reference"/>
    <w:basedOn w:val="41"/>
    <w:qFormat/>
    <w:uiPriority w:val="99"/>
    <w:rPr>
      <w:sz w:val="21"/>
    </w:rPr>
  </w:style>
  <w:style w:type="character" w:customStyle="1" w:styleId="49">
    <w:name w:val="标题 1 字符"/>
    <w:basedOn w:val="41"/>
    <w:qFormat/>
    <w:uiPriority w:val="9"/>
    <w:rPr>
      <w:rFonts w:ascii="Calibri" w:hAnsi="Calibri" w:eastAsia="宋体" w:cs="Times New Roman"/>
      <w:b/>
      <w:bCs/>
      <w:kern w:val="44"/>
      <w:sz w:val="36"/>
      <w:szCs w:val="44"/>
    </w:rPr>
  </w:style>
  <w:style w:type="character" w:customStyle="1" w:styleId="50">
    <w:name w:val="标题 2 字符"/>
    <w:basedOn w:val="41"/>
    <w:qFormat/>
    <w:uiPriority w:val="9"/>
    <w:rPr>
      <w:rFonts w:ascii="Arial" w:hAnsi="Arial" w:eastAsia="宋体" w:cs="Times New Roman"/>
      <w:b/>
      <w:bCs/>
      <w:sz w:val="24"/>
      <w:szCs w:val="32"/>
    </w:rPr>
  </w:style>
  <w:style w:type="character" w:customStyle="1" w:styleId="51">
    <w:name w:val="标题 3 字符"/>
    <w:basedOn w:val="41"/>
    <w:semiHidden/>
    <w:qFormat/>
    <w:uiPriority w:val="9"/>
    <w:rPr>
      <w:rFonts w:ascii="Calibri" w:hAnsi="Calibri" w:eastAsia="宋体" w:cs="Times New Roman"/>
      <w:b/>
      <w:bCs/>
      <w:sz w:val="32"/>
      <w:szCs w:val="32"/>
    </w:rPr>
  </w:style>
  <w:style w:type="character" w:customStyle="1" w:styleId="52">
    <w:name w:val="Char Char3"/>
    <w:qFormat/>
    <w:uiPriority w:val="0"/>
    <w:rPr>
      <w:rFonts w:ascii="宋体" w:hAnsi="Courier New" w:eastAsia="宋体"/>
      <w:kern w:val="2"/>
      <w:sz w:val="21"/>
      <w:lang w:val="en-US" w:eastAsia="zh-CN"/>
    </w:rPr>
  </w:style>
  <w:style w:type="character" w:customStyle="1" w:styleId="53">
    <w:name w:val="正文文本缩进 2 字符"/>
    <w:qFormat/>
    <w:locked/>
    <w:uiPriority w:val="0"/>
  </w:style>
  <w:style w:type="character" w:customStyle="1" w:styleId="54">
    <w:name w:val="批注主题 字符"/>
    <w:qFormat/>
    <w:locked/>
    <w:uiPriority w:val="0"/>
    <w:rPr>
      <w:b/>
    </w:rPr>
  </w:style>
  <w:style w:type="character" w:customStyle="1" w:styleId="55">
    <w:name w:val="正文文本缩进 3 字符"/>
    <w:qFormat/>
    <w:locked/>
    <w:uiPriority w:val="0"/>
    <w:rPr>
      <w:sz w:val="16"/>
    </w:rPr>
  </w:style>
  <w:style w:type="character" w:customStyle="1" w:styleId="56">
    <w:name w:val="纯文本 Char"/>
    <w:qFormat/>
    <w:uiPriority w:val="0"/>
    <w:rPr>
      <w:rFonts w:ascii="宋体" w:hAnsi="Courier New" w:eastAsia="宋体"/>
      <w:kern w:val="2"/>
      <w:sz w:val="21"/>
      <w:lang w:val="en-US" w:eastAsia="zh-CN"/>
    </w:rPr>
  </w:style>
  <w:style w:type="character" w:customStyle="1" w:styleId="57">
    <w:name w:val="Char Char2"/>
    <w:qFormat/>
    <w:uiPriority w:val="0"/>
    <w:rPr>
      <w:rFonts w:ascii="宋体" w:hAnsi="Courier New"/>
      <w:kern w:val="2"/>
      <w:sz w:val="21"/>
    </w:rPr>
  </w:style>
  <w:style w:type="character" w:customStyle="1" w:styleId="58">
    <w:name w:val="列出段落 字符"/>
    <w:link w:val="59"/>
    <w:qFormat/>
    <w:locked/>
    <w:uiPriority w:val="34"/>
    <w:rPr>
      <w:sz w:val="22"/>
    </w:rPr>
  </w:style>
  <w:style w:type="paragraph" w:customStyle="1" w:styleId="59">
    <w:name w:val="列出段落1"/>
    <w:basedOn w:val="1"/>
    <w:link w:val="58"/>
    <w:qFormat/>
    <w:uiPriority w:val="34"/>
    <w:pPr>
      <w:ind w:firstLine="420" w:firstLineChars="200"/>
    </w:pPr>
    <w:rPr>
      <w:sz w:val="22"/>
    </w:rPr>
  </w:style>
  <w:style w:type="character" w:customStyle="1" w:styleId="60">
    <w:name w:val="apple-converted-space"/>
    <w:basedOn w:val="41"/>
    <w:qFormat/>
    <w:uiPriority w:val="0"/>
    <w:rPr>
      <w:rFonts w:cs="Times New Roman"/>
    </w:rPr>
  </w:style>
  <w:style w:type="character" w:customStyle="1" w:styleId="61">
    <w:name w:val="页眉 字符"/>
    <w:qFormat/>
    <w:locked/>
    <w:uiPriority w:val="0"/>
    <w:rPr>
      <w:sz w:val="18"/>
    </w:rPr>
  </w:style>
  <w:style w:type="character" w:customStyle="1" w:styleId="62">
    <w:name w:val="BODY TEXT Char"/>
    <w:qFormat/>
    <w:locked/>
    <w:uiPriority w:val="0"/>
    <w:rPr>
      <w:rFonts w:eastAsia="新宋体"/>
      <w:kern w:val="2"/>
      <w:sz w:val="21"/>
    </w:rPr>
  </w:style>
  <w:style w:type="character" w:customStyle="1" w:styleId="63">
    <w:name w:val="批注文字 字符"/>
    <w:qFormat/>
    <w:locked/>
    <w:uiPriority w:val="0"/>
  </w:style>
  <w:style w:type="character" w:customStyle="1" w:styleId="64">
    <w:name w:val="标题 字符"/>
    <w:qFormat/>
    <w:locked/>
    <w:uiPriority w:val="0"/>
    <w:rPr>
      <w:rFonts w:ascii="Arial" w:hAnsi="Arial"/>
      <w:b/>
      <w:sz w:val="32"/>
    </w:rPr>
  </w:style>
  <w:style w:type="character" w:customStyle="1" w:styleId="65">
    <w:name w:val="日期 字符"/>
    <w:qFormat/>
    <w:locked/>
    <w:uiPriority w:val="0"/>
    <w:rPr>
      <w:sz w:val="24"/>
    </w:rPr>
  </w:style>
  <w:style w:type="character" w:customStyle="1" w:styleId="66">
    <w:name w:val="ATXT_Bullets Zchn"/>
    <w:link w:val="67"/>
    <w:qFormat/>
    <w:locked/>
    <w:uiPriority w:val="99"/>
    <w:rPr>
      <w:rFonts w:ascii="Arial" w:hAnsi="Arial"/>
      <w:lang w:val="de-AT" w:eastAsia="zh-CN"/>
    </w:rPr>
  </w:style>
  <w:style w:type="paragraph" w:customStyle="1" w:styleId="67">
    <w:name w:val="ATXT_Bullets"/>
    <w:link w:val="66"/>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8">
    <w:name w:val="Char Char5"/>
    <w:qFormat/>
    <w:uiPriority w:val="0"/>
    <w:rPr>
      <w:rFonts w:ascii="宋体" w:hAnsi="Courier New" w:eastAsia="宋体"/>
      <w:kern w:val="2"/>
      <w:sz w:val="21"/>
      <w:lang w:val="en-US" w:eastAsia="zh-CN"/>
    </w:rPr>
  </w:style>
  <w:style w:type="character" w:customStyle="1" w:styleId="69">
    <w:name w:val="批注框文本 字符"/>
    <w:qFormat/>
    <w:locked/>
    <w:uiPriority w:val="0"/>
    <w:rPr>
      <w:sz w:val="18"/>
    </w:rPr>
  </w:style>
  <w:style w:type="character" w:customStyle="1" w:styleId="70">
    <w:name w:val="批注文字 Char"/>
    <w:qFormat/>
    <w:uiPriority w:val="0"/>
    <w:rPr>
      <w:kern w:val="2"/>
    </w:rPr>
  </w:style>
  <w:style w:type="character" w:customStyle="1" w:styleId="71">
    <w:name w:val="批注主题 Char"/>
    <w:qFormat/>
    <w:uiPriority w:val="0"/>
    <w:rPr>
      <w:b/>
      <w:kern w:val="2"/>
    </w:rPr>
  </w:style>
  <w:style w:type="character" w:customStyle="1" w:styleId="72">
    <w:name w:val="文档结构图 字符"/>
    <w:qFormat/>
    <w:locked/>
    <w:uiPriority w:val="0"/>
    <w:rPr>
      <w:sz w:val="24"/>
      <w:shd w:val="clear" w:color="auto" w:fill="000080"/>
    </w:rPr>
  </w:style>
  <w:style w:type="character" w:customStyle="1" w:styleId="73">
    <w:name w:val="HTML Markup"/>
    <w:qFormat/>
    <w:uiPriority w:val="0"/>
    <w:rPr>
      <w:vanish/>
      <w:color w:val="FF0000"/>
    </w:rPr>
  </w:style>
  <w:style w:type="character" w:customStyle="1" w:styleId="74">
    <w:name w:val="纯文本 字符"/>
    <w:qFormat/>
    <w:locked/>
    <w:uiPriority w:val="0"/>
    <w:rPr>
      <w:rFonts w:ascii="宋体" w:hAnsi="Courier New"/>
    </w:rPr>
  </w:style>
  <w:style w:type="character" w:customStyle="1" w:styleId="75">
    <w:name w:val="页脚 字符"/>
    <w:qFormat/>
    <w:locked/>
    <w:uiPriority w:val="99"/>
    <w:rPr>
      <w:sz w:val="18"/>
    </w:rPr>
  </w:style>
  <w:style w:type="character" w:customStyle="1" w:styleId="76">
    <w:name w:val="Default Char"/>
    <w:link w:val="77"/>
    <w:qFormat/>
    <w:locked/>
    <w:uiPriority w:val="0"/>
    <w:rPr>
      <w:rFonts w:ascii="仿宋_GB2312" w:eastAsia="仿宋_GB2312"/>
      <w:color w:val="000000"/>
      <w:sz w:val="24"/>
    </w:rPr>
  </w:style>
  <w:style w:type="paragraph" w:customStyle="1" w:styleId="77">
    <w:name w:val="Default"/>
    <w:link w:val="76"/>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8">
    <w:name w:val="页脚 Char"/>
    <w:qFormat/>
    <w:locked/>
    <w:uiPriority w:val="99"/>
    <w:rPr>
      <w:sz w:val="18"/>
    </w:rPr>
  </w:style>
  <w:style w:type="character" w:customStyle="1" w:styleId="79">
    <w:name w:val="批注文字 字符1"/>
    <w:basedOn w:val="41"/>
    <w:semiHidden/>
    <w:qFormat/>
    <w:uiPriority w:val="99"/>
  </w:style>
  <w:style w:type="character" w:customStyle="1" w:styleId="80">
    <w:name w:val="批注文字 字符11"/>
    <w:basedOn w:val="41"/>
    <w:qFormat/>
    <w:uiPriority w:val="0"/>
    <w:rPr>
      <w:rFonts w:cs="Times New Roman"/>
      <w:kern w:val="2"/>
      <w:sz w:val="21"/>
    </w:rPr>
  </w:style>
  <w:style w:type="character" w:customStyle="1" w:styleId="81">
    <w:name w:val="正文文本缩进 字符"/>
    <w:basedOn w:val="41"/>
    <w:qFormat/>
    <w:uiPriority w:val="99"/>
    <w:rPr>
      <w:rFonts w:ascii="Calibri" w:hAnsi="Calibri" w:eastAsia="宋体" w:cs="Times New Roman"/>
      <w:szCs w:val="20"/>
    </w:rPr>
  </w:style>
  <w:style w:type="character" w:customStyle="1" w:styleId="82">
    <w:name w:val="文档结构图 字符1"/>
    <w:basedOn w:val="41"/>
    <w:semiHidden/>
    <w:qFormat/>
    <w:uiPriority w:val="99"/>
    <w:rPr>
      <w:rFonts w:ascii="Microsoft YaHei UI" w:eastAsia="Microsoft YaHei UI"/>
      <w:sz w:val="18"/>
      <w:szCs w:val="18"/>
    </w:rPr>
  </w:style>
  <w:style w:type="character" w:customStyle="1" w:styleId="83">
    <w:name w:val="文档结构图 字符11"/>
    <w:basedOn w:val="41"/>
    <w:semiHidden/>
    <w:qFormat/>
    <w:uiPriority w:val="99"/>
    <w:rPr>
      <w:rFonts w:ascii="Microsoft YaHei UI" w:eastAsia="Microsoft YaHei UI" w:cs="Times New Roman"/>
      <w:kern w:val="2"/>
      <w:sz w:val="18"/>
      <w:szCs w:val="18"/>
    </w:rPr>
  </w:style>
  <w:style w:type="character" w:customStyle="1" w:styleId="84">
    <w:name w:val="正文文本 字符"/>
    <w:basedOn w:val="41"/>
    <w:qFormat/>
    <w:uiPriority w:val="99"/>
    <w:rPr>
      <w:rFonts w:ascii="Calibri" w:hAnsi="Calibri" w:eastAsia="新宋体" w:cs="Times New Roman"/>
      <w:szCs w:val="21"/>
    </w:rPr>
  </w:style>
  <w:style w:type="character" w:customStyle="1" w:styleId="85">
    <w:name w:val="纯文本 字符1"/>
    <w:basedOn w:val="41"/>
    <w:semiHidden/>
    <w:qFormat/>
    <w:uiPriority w:val="99"/>
    <w:rPr>
      <w:rFonts w:hAnsi="Courier New" w:cs="Courier New" w:asciiTheme="minorEastAsia"/>
    </w:rPr>
  </w:style>
  <w:style w:type="character" w:customStyle="1" w:styleId="86">
    <w:name w:val="纯文本 字符11"/>
    <w:basedOn w:val="41"/>
    <w:qFormat/>
    <w:uiPriority w:val="0"/>
    <w:rPr>
      <w:rFonts w:hAnsi="Courier New" w:cs="Courier New" w:asciiTheme="minorEastAsia" w:eastAsiaTheme="minorEastAsia"/>
      <w:kern w:val="2"/>
      <w:sz w:val="21"/>
    </w:rPr>
  </w:style>
  <w:style w:type="character" w:customStyle="1" w:styleId="87">
    <w:name w:val="页眉 字符1"/>
    <w:basedOn w:val="41"/>
    <w:semiHidden/>
    <w:qFormat/>
    <w:uiPriority w:val="99"/>
    <w:rPr>
      <w:sz w:val="18"/>
      <w:szCs w:val="18"/>
    </w:rPr>
  </w:style>
  <w:style w:type="character" w:customStyle="1" w:styleId="88">
    <w:name w:val="页眉 字符11"/>
    <w:basedOn w:val="41"/>
    <w:semiHidden/>
    <w:qFormat/>
    <w:uiPriority w:val="99"/>
    <w:rPr>
      <w:rFonts w:cs="Times New Roman"/>
      <w:kern w:val="2"/>
      <w:sz w:val="18"/>
      <w:szCs w:val="18"/>
    </w:rPr>
  </w:style>
  <w:style w:type="character" w:customStyle="1" w:styleId="89">
    <w:name w:val="批注框文本 字符1"/>
    <w:basedOn w:val="41"/>
    <w:semiHidden/>
    <w:qFormat/>
    <w:uiPriority w:val="99"/>
    <w:rPr>
      <w:sz w:val="18"/>
      <w:szCs w:val="18"/>
    </w:rPr>
  </w:style>
  <w:style w:type="character" w:customStyle="1" w:styleId="90">
    <w:name w:val="批注框文本 字符11"/>
    <w:basedOn w:val="41"/>
    <w:semiHidden/>
    <w:qFormat/>
    <w:uiPriority w:val="99"/>
    <w:rPr>
      <w:rFonts w:cs="Times New Roman"/>
      <w:kern w:val="2"/>
      <w:sz w:val="18"/>
      <w:szCs w:val="18"/>
    </w:rPr>
  </w:style>
  <w:style w:type="character" w:customStyle="1" w:styleId="91">
    <w:name w:val="日期 字符1"/>
    <w:basedOn w:val="41"/>
    <w:semiHidden/>
    <w:qFormat/>
    <w:uiPriority w:val="99"/>
  </w:style>
  <w:style w:type="character" w:customStyle="1" w:styleId="92">
    <w:name w:val="日期 字符11"/>
    <w:basedOn w:val="41"/>
    <w:semiHidden/>
    <w:qFormat/>
    <w:uiPriority w:val="99"/>
    <w:rPr>
      <w:rFonts w:cs="Times New Roman"/>
      <w:kern w:val="2"/>
      <w:sz w:val="21"/>
    </w:rPr>
  </w:style>
  <w:style w:type="character" w:customStyle="1" w:styleId="93">
    <w:name w:val="页脚 字符1"/>
    <w:basedOn w:val="41"/>
    <w:semiHidden/>
    <w:qFormat/>
    <w:uiPriority w:val="99"/>
    <w:rPr>
      <w:sz w:val="18"/>
      <w:szCs w:val="18"/>
    </w:rPr>
  </w:style>
  <w:style w:type="character" w:customStyle="1" w:styleId="94">
    <w:name w:val="页脚 字符11"/>
    <w:basedOn w:val="41"/>
    <w:semiHidden/>
    <w:qFormat/>
    <w:uiPriority w:val="99"/>
    <w:rPr>
      <w:rFonts w:cs="Times New Roman"/>
      <w:kern w:val="2"/>
      <w:sz w:val="18"/>
      <w:szCs w:val="18"/>
    </w:rPr>
  </w:style>
  <w:style w:type="character" w:customStyle="1" w:styleId="95">
    <w:name w:val="正文文本缩进 2 字符1"/>
    <w:basedOn w:val="41"/>
    <w:semiHidden/>
    <w:qFormat/>
    <w:uiPriority w:val="99"/>
  </w:style>
  <w:style w:type="character" w:customStyle="1" w:styleId="96">
    <w:name w:val="正文文本缩进 2 字符11"/>
    <w:basedOn w:val="41"/>
    <w:semiHidden/>
    <w:qFormat/>
    <w:uiPriority w:val="99"/>
    <w:rPr>
      <w:rFonts w:cs="Times New Roman"/>
      <w:kern w:val="2"/>
      <w:sz w:val="21"/>
    </w:rPr>
  </w:style>
  <w:style w:type="character" w:customStyle="1" w:styleId="97">
    <w:name w:val="正文文本缩进 3 字符1"/>
    <w:basedOn w:val="41"/>
    <w:semiHidden/>
    <w:qFormat/>
    <w:uiPriority w:val="99"/>
    <w:rPr>
      <w:sz w:val="16"/>
      <w:szCs w:val="16"/>
    </w:rPr>
  </w:style>
  <w:style w:type="character" w:customStyle="1" w:styleId="98">
    <w:name w:val="正文文本缩进 3 字符11"/>
    <w:basedOn w:val="41"/>
    <w:semiHidden/>
    <w:qFormat/>
    <w:uiPriority w:val="99"/>
    <w:rPr>
      <w:rFonts w:cs="Times New Roman"/>
      <w:kern w:val="2"/>
      <w:sz w:val="16"/>
      <w:szCs w:val="16"/>
    </w:rPr>
  </w:style>
  <w:style w:type="character" w:customStyle="1" w:styleId="99">
    <w:name w:val="批注主题 字符1"/>
    <w:basedOn w:val="79"/>
    <w:semiHidden/>
    <w:qFormat/>
    <w:uiPriority w:val="99"/>
    <w:rPr>
      <w:b/>
      <w:bCs/>
    </w:rPr>
  </w:style>
  <w:style w:type="character" w:customStyle="1" w:styleId="100">
    <w:name w:val="批注主题 字符11"/>
    <w:basedOn w:val="80"/>
    <w:semiHidden/>
    <w:qFormat/>
    <w:uiPriority w:val="99"/>
    <w:rPr>
      <w:rFonts w:cs="Times New Roman"/>
      <w:b/>
      <w:bCs/>
      <w:kern w:val="2"/>
      <w:sz w:val="21"/>
    </w:rPr>
  </w:style>
  <w:style w:type="character" w:customStyle="1" w:styleId="101">
    <w:name w:val="标题 字符1"/>
    <w:basedOn w:val="41"/>
    <w:qFormat/>
    <w:uiPriority w:val="10"/>
    <w:rPr>
      <w:rFonts w:asciiTheme="majorHAnsi" w:hAnsiTheme="majorHAnsi" w:eastAsiaTheme="majorEastAsia" w:cstheme="majorBidi"/>
      <w:b/>
      <w:bCs/>
      <w:sz w:val="32"/>
      <w:szCs w:val="32"/>
    </w:rPr>
  </w:style>
  <w:style w:type="character" w:customStyle="1" w:styleId="102">
    <w:name w:val="标题 字符11"/>
    <w:basedOn w:val="41"/>
    <w:qFormat/>
    <w:uiPriority w:val="10"/>
    <w:rPr>
      <w:rFonts w:cs="Times New Roman" w:asciiTheme="majorHAnsi" w:hAnsiTheme="majorHAnsi" w:eastAsiaTheme="majorEastAsia"/>
      <w:b/>
      <w:bCs/>
      <w:kern w:val="2"/>
      <w:sz w:val="32"/>
      <w:szCs w:val="32"/>
    </w:rPr>
  </w:style>
  <w:style w:type="paragraph" w:customStyle="1" w:styleId="103">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4">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5">
    <w:name w:val="二级列表 Char"/>
    <w:basedOn w:val="1"/>
    <w:qFormat/>
    <w:uiPriority w:val="0"/>
    <w:rPr>
      <w:rFonts w:ascii="Calibri" w:hAnsi="Calibri" w:eastAsia="宋体" w:cs="Times New Roman"/>
      <w:szCs w:val="20"/>
    </w:rPr>
  </w:style>
  <w:style w:type="paragraph" w:customStyle="1" w:styleId="106">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7">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8">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9">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0">
    <w:name w:val="Char Char Char Char Char Char Char"/>
    <w:basedOn w:val="1"/>
    <w:qFormat/>
    <w:uiPriority w:val="0"/>
    <w:rPr>
      <w:rFonts w:ascii="Verdana" w:hAnsi="Verdana" w:eastAsia="宋体" w:cs="Times New Roman"/>
      <w:kern w:val="0"/>
      <w:sz w:val="20"/>
      <w:szCs w:val="20"/>
      <w:lang w:eastAsia="en-US"/>
    </w:rPr>
  </w:style>
  <w:style w:type="paragraph" w:customStyle="1" w:styleId="111">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2">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3">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4">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5">
    <w:name w:val="标书正文格式"/>
    <w:basedOn w:val="18"/>
    <w:link w:val="117"/>
    <w:qFormat/>
    <w:uiPriority w:val="0"/>
    <w:pPr>
      <w:spacing w:line="360" w:lineRule="auto"/>
      <w:ind w:firstLine="200" w:firstLineChars="200"/>
    </w:pPr>
    <w:rPr>
      <w:rFonts w:hAnsi="宋体"/>
      <w:color w:val="000000"/>
      <w:sz w:val="24"/>
      <w:szCs w:val="24"/>
    </w:rPr>
  </w:style>
  <w:style w:type="paragraph" w:customStyle="1" w:styleId="116">
    <w:name w:val="标书二级标题"/>
    <w:basedOn w:val="2"/>
    <w:link w:val="119"/>
    <w:qFormat/>
    <w:uiPriority w:val="0"/>
    <w:pPr>
      <w:spacing w:line="240" w:lineRule="auto"/>
      <w:jc w:val="left"/>
    </w:pPr>
    <w:rPr>
      <w:rFonts w:ascii="宋体" w:hAnsi="宋体" w:eastAsia="黑体"/>
      <w:b w:val="0"/>
      <w:sz w:val="28"/>
      <w:szCs w:val="30"/>
    </w:rPr>
  </w:style>
  <w:style w:type="character" w:customStyle="1" w:styleId="117">
    <w:name w:val="标书正文格式 字符"/>
    <w:link w:val="115"/>
    <w:qFormat/>
    <w:locked/>
    <w:uiPriority w:val="0"/>
    <w:rPr>
      <w:rFonts w:ascii="宋体" w:hAnsi="宋体"/>
      <w:color w:val="000000"/>
      <w:sz w:val="24"/>
      <w:szCs w:val="24"/>
    </w:rPr>
  </w:style>
  <w:style w:type="paragraph" w:customStyle="1" w:styleId="118">
    <w:name w:val="标书表格"/>
    <w:basedOn w:val="1"/>
    <w:link w:val="120"/>
    <w:qFormat/>
    <w:uiPriority w:val="0"/>
    <w:pPr>
      <w:jc w:val="center"/>
    </w:pPr>
    <w:rPr>
      <w:rFonts w:ascii="Times New Roman" w:hAnsi="Times New Roman" w:eastAsia="宋体" w:cs="Times New Roman"/>
      <w:b/>
      <w:szCs w:val="20"/>
    </w:rPr>
  </w:style>
  <w:style w:type="character" w:customStyle="1" w:styleId="119">
    <w:name w:val="标书二级标题 字符"/>
    <w:link w:val="116"/>
    <w:qFormat/>
    <w:locked/>
    <w:uiPriority w:val="0"/>
    <w:rPr>
      <w:rFonts w:ascii="宋体" w:hAnsi="宋体" w:eastAsia="黑体" w:cs="Times New Roman"/>
      <w:bCs/>
      <w:sz w:val="28"/>
      <w:szCs w:val="30"/>
    </w:rPr>
  </w:style>
  <w:style w:type="character" w:customStyle="1" w:styleId="120">
    <w:name w:val="标书表格 字符"/>
    <w:link w:val="118"/>
    <w:qFormat/>
    <w:locked/>
    <w:uiPriority w:val="0"/>
    <w:rPr>
      <w:rFonts w:ascii="Times New Roman" w:hAnsi="Times New Roman" w:eastAsia="宋体" w:cs="Times New Roman"/>
      <w:b/>
      <w:szCs w:val="20"/>
    </w:rPr>
  </w:style>
  <w:style w:type="paragraph" w:customStyle="1" w:styleId="121">
    <w:name w:val="标书三级标题"/>
    <w:basedOn w:val="5"/>
    <w:next w:val="115"/>
    <w:link w:val="122"/>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2">
    <w:name w:val="标书三级标题 字符"/>
    <w:link w:val="121"/>
    <w:qFormat/>
    <w:locked/>
    <w:uiPriority w:val="0"/>
    <w:rPr>
      <w:rFonts w:ascii="Times New Roman" w:hAnsi="Times New Roman" w:eastAsia="宋体" w:cs="Times New Roman"/>
      <w:b/>
      <w:bCs/>
      <w:color w:val="000000"/>
      <w:sz w:val="24"/>
      <w:szCs w:val="24"/>
    </w:rPr>
  </w:style>
  <w:style w:type="character" w:customStyle="1" w:styleId="123">
    <w:name w:val="标三级标题 字符"/>
    <w:link w:val="124"/>
    <w:qFormat/>
    <w:locked/>
    <w:uiPriority w:val="0"/>
    <w:rPr>
      <w:b/>
      <w:color w:val="000000"/>
      <w:sz w:val="24"/>
    </w:rPr>
  </w:style>
  <w:style w:type="paragraph" w:customStyle="1" w:styleId="124">
    <w:name w:val="标三级标题"/>
    <w:basedOn w:val="121"/>
    <w:link w:val="123"/>
    <w:qFormat/>
    <w:uiPriority w:val="0"/>
    <w:rPr>
      <w:rFonts w:asciiTheme="minorHAnsi" w:hAnsiTheme="minorHAnsi" w:eastAsiaTheme="minorEastAsia" w:cstheme="minorBidi"/>
      <w:bCs w:val="0"/>
      <w:szCs w:val="22"/>
    </w:rPr>
  </w:style>
  <w:style w:type="character" w:customStyle="1" w:styleId="125">
    <w:name w:val="标正文 字符"/>
    <w:link w:val="126"/>
    <w:qFormat/>
    <w:locked/>
    <w:uiPriority w:val="0"/>
    <w:rPr>
      <w:rFonts w:ascii="宋体" w:eastAsia="宋体"/>
      <w:color w:val="000000"/>
      <w:sz w:val="24"/>
    </w:rPr>
  </w:style>
  <w:style w:type="paragraph" w:customStyle="1" w:styleId="126">
    <w:name w:val="标正文"/>
    <w:basedOn w:val="115"/>
    <w:link w:val="125"/>
    <w:qFormat/>
    <w:uiPriority w:val="0"/>
    <w:pPr>
      <w:ind w:firstLine="480"/>
    </w:pPr>
    <w:rPr>
      <w:rFonts w:eastAsia="宋体" w:hAnsiTheme="minorHAnsi"/>
      <w:szCs w:val="22"/>
    </w:rPr>
  </w:style>
  <w:style w:type="paragraph" w:customStyle="1" w:styleId="127">
    <w:name w:val="TOC 标题1"/>
    <w:basedOn w:val="3"/>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8">
    <w:name w:val="HR正文表格"/>
    <w:basedOn w:val="1"/>
    <w:qFormat/>
    <w:uiPriority w:val="0"/>
    <w:pPr>
      <w:spacing w:beforeLines="25" w:afterLines="25" w:line="300" w:lineRule="auto"/>
    </w:pPr>
    <w:rPr>
      <w:szCs w:val="24"/>
    </w:rPr>
  </w:style>
  <w:style w:type="paragraph" w:styleId="129">
    <w:name w:val="List Paragraph"/>
    <w:basedOn w:val="1"/>
    <w:qFormat/>
    <w:uiPriority w:val="99"/>
    <w:pPr>
      <w:ind w:firstLine="420" w:firstLineChars="200"/>
    </w:pPr>
  </w:style>
  <w:style w:type="paragraph" w:customStyle="1" w:styleId="130">
    <w:name w:val="WPSOffice手动目录 1"/>
    <w:qFormat/>
    <w:uiPriority w:val="0"/>
    <w:rPr>
      <w:rFonts w:ascii="Times New Roman" w:hAnsi="Times New Roman" w:eastAsia="宋体" w:cs="Times New Roman"/>
      <w:lang w:val="en-US" w:eastAsia="zh-CN" w:bidi="ar-SA"/>
    </w:rPr>
  </w:style>
  <w:style w:type="table" w:customStyle="1" w:styleId="131">
    <w:name w:val="Table Normal"/>
    <w:semiHidden/>
    <w:unhideWhenUsed/>
    <w:qFormat/>
    <w:uiPriority w:val="0"/>
    <w:tblPr>
      <w:tblCellMar>
        <w:top w:w="0" w:type="dxa"/>
        <w:left w:w="0" w:type="dxa"/>
        <w:bottom w:w="0" w:type="dxa"/>
        <w:right w:w="0" w:type="dxa"/>
      </w:tblCellMar>
    </w:tblPr>
  </w:style>
  <w:style w:type="character" w:customStyle="1" w:styleId="132">
    <w:name w:val="NormalCharacter"/>
    <w:qFormat/>
    <w:uiPriority w:val="0"/>
  </w:style>
  <w:style w:type="paragraph" w:customStyle="1" w:styleId="133">
    <w:name w:val="Table Paragraph"/>
    <w:basedOn w:val="1"/>
    <w:qFormat/>
    <w:uiPriority w:val="1"/>
    <w:rPr>
      <w:rFonts w:ascii="宋体" w:hAnsi="宋体" w:eastAsia="宋体" w:cs="宋体"/>
    </w:rPr>
  </w:style>
  <w:style w:type="paragraph" w:customStyle="1" w:styleId="134">
    <w:name w:val="标书一级标题"/>
    <w:basedOn w:val="3"/>
    <w:qFormat/>
    <w:uiPriority w:val="0"/>
    <w:rPr>
      <w:rFonts w:eastAsia="黑体"/>
      <w:b w:val="0"/>
      <w:color w:val="000000"/>
      <w:sz w:val="30"/>
      <w:szCs w:val="24"/>
    </w:rPr>
  </w:style>
  <w:style w:type="paragraph" w:customStyle="1" w:styleId="135">
    <w:name w:val="标题 5（有编号）（绿盟科技）"/>
    <w:basedOn w:val="1"/>
    <w:next w:val="136"/>
    <w:qFormat/>
    <w:uiPriority w:val="0"/>
    <w:pPr>
      <w:keepNext/>
      <w:keepLines/>
      <w:numPr>
        <w:ilvl w:val="4"/>
        <w:numId w:val="1"/>
      </w:numPr>
      <w:spacing w:before="280" w:after="156" w:line="377" w:lineRule="auto"/>
      <w:outlineLvl w:val="4"/>
    </w:pPr>
    <w:rPr>
      <w:rFonts w:ascii="Arial" w:hAnsi="Arial" w:eastAsia="黑体" w:cs="Times New Roman"/>
      <w:b/>
      <w:sz w:val="24"/>
      <w:szCs w:val="28"/>
    </w:rPr>
  </w:style>
  <w:style w:type="paragraph" w:customStyle="1" w:styleId="136">
    <w:name w:val="正文（绿盟科技）"/>
    <w:unhideWhenUsed/>
    <w:qFormat/>
    <w:uiPriority w:val="0"/>
    <w:pPr>
      <w:spacing w:line="300" w:lineRule="auto"/>
    </w:pPr>
    <w:rPr>
      <w:rFonts w:ascii="Arial" w:hAnsi="Arial" w:eastAsia="宋体" w:cs="Times New Roman"/>
      <w:sz w:val="21"/>
      <w:szCs w:val="21"/>
      <w:lang w:val="en-US" w:eastAsia="zh-CN" w:bidi="ar-SA"/>
    </w:rPr>
  </w:style>
  <w:style w:type="character" w:customStyle="1" w:styleId="137">
    <w:name w:val="font61"/>
    <w:qFormat/>
    <w:uiPriority w:val="0"/>
    <w:rPr>
      <w:rFonts w:hint="eastAsia" w:ascii="宋体" w:hAnsi="宋体" w:eastAsia="宋体" w:cs="宋体"/>
      <w:color w:val="000000"/>
      <w:sz w:val="22"/>
      <w:szCs w:val="22"/>
      <w:u w:val="none"/>
    </w:rPr>
  </w:style>
  <w:style w:type="paragraph" w:customStyle="1" w:styleId="138">
    <w:name w:val="正文内容"/>
    <w:qFormat/>
    <w:uiPriority w:val="0"/>
    <w:pPr>
      <w:widowControl w:val="0"/>
      <w:ind w:firstLine="200" w:firstLineChars="200"/>
      <w:jc w:val="both"/>
    </w:pPr>
    <w:rPr>
      <w:rFonts w:ascii="Times New Roman" w:hAnsi="Times New Roman" w:eastAsia="仿宋_GB2312" w:cs="Times New Roman"/>
      <w:bCs/>
      <w:kern w:val="2"/>
      <w:sz w:val="28"/>
      <w:szCs w:val="24"/>
      <w:lang w:val="en-US" w:eastAsia="zh-CN" w:bidi="ar-SA"/>
    </w:rPr>
  </w:style>
  <w:style w:type="character" w:customStyle="1" w:styleId="139">
    <w:name w:val="标题 1 字符1"/>
    <w:basedOn w:val="41"/>
    <w:link w:val="3"/>
    <w:qFormat/>
    <w:uiPriority w:val="9"/>
    <w:rPr>
      <w:rFonts w:ascii="Calibri" w:hAnsi="Calibri" w:eastAsia="宋体" w:cs="Times New Roman"/>
      <w:b/>
      <w:bCs/>
      <w:kern w:val="44"/>
      <w:sz w:val="36"/>
      <w:szCs w:val="44"/>
    </w:rPr>
  </w:style>
  <w:style w:type="character" w:customStyle="1" w:styleId="140">
    <w:name w:val="标题 2 字符1"/>
    <w:basedOn w:val="41"/>
    <w:link w:val="2"/>
    <w:qFormat/>
    <w:uiPriority w:val="9"/>
    <w:rPr>
      <w:rFonts w:ascii="Arial" w:hAnsi="Arial" w:eastAsia="宋体" w:cs="Times New Roman"/>
      <w:b/>
      <w:bCs/>
      <w:sz w:val="24"/>
      <w:szCs w:val="32"/>
    </w:rPr>
  </w:style>
  <w:style w:type="character" w:customStyle="1" w:styleId="141">
    <w:name w:val="标题 3 字符1"/>
    <w:basedOn w:val="41"/>
    <w:link w:val="5"/>
    <w:semiHidden/>
    <w:qFormat/>
    <w:uiPriority w:val="9"/>
    <w:rPr>
      <w:rFonts w:ascii="Calibri" w:hAnsi="Calibri" w:eastAsia="宋体" w:cs="Times New Roman"/>
      <w:b/>
      <w:bCs/>
      <w:sz w:val="32"/>
      <w:szCs w:val="32"/>
    </w:rPr>
  </w:style>
  <w:style w:type="character" w:customStyle="1" w:styleId="142">
    <w:name w:val="文档结构图 字符2"/>
    <w:link w:val="10"/>
    <w:qFormat/>
    <w:locked/>
    <w:uiPriority w:val="0"/>
    <w:rPr>
      <w:rFonts w:ascii="Times New Roman" w:hAnsi="Times New Roman" w:eastAsia="宋体" w:cs="Times New Roman"/>
      <w:sz w:val="24"/>
      <w:shd w:val="clear" w:color="auto" w:fill="000080"/>
    </w:rPr>
  </w:style>
  <w:style w:type="character" w:customStyle="1" w:styleId="143">
    <w:name w:val="批注文字 字符2"/>
    <w:link w:val="12"/>
    <w:qFormat/>
    <w:locked/>
    <w:uiPriority w:val="0"/>
    <w:rPr>
      <w:rFonts w:ascii="Times New Roman" w:hAnsi="Times New Roman" w:eastAsia="宋体" w:cs="Times New Roman"/>
    </w:rPr>
  </w:style>
  <w:style w:type="character" w:customStyle="1" w:styleId="144">
    <w:name w:val="正文文本 字符1"/>
    <w:basedOn w:val="41"/>
    <w:link w:val="14"/>
    <w:qFormat/>
    <w:uiPriority w:val="99"/>
    <w:rPr>
      <w:rFonts w:ascii="Calibri" w:hAnsi="Calibri" w:eastAsia="新宋体" w:cs="Times New Roman"/>
      <w:szCs w:val="21"/>
    </w:rPr>
  </w:style>
  <w:style w:type="character" w:customStyle="1" w:styleId="145">
    <w:name w:val="正文文本缩进 字符1"/>
    <w:basedOn w:val="41"/>
    <w:link w:val="15"/>
    <w:qFormat/>
    <w:uiPriority w:val="99"/>
    <w:rPr>
      <w:rFonts w:ascii="Calibri" w:hAnsi="Calibri" w:eastAsia="宋体" w:cs="Times New Roman"/>
      <w:szCs w:val="20"/>
    </w:rPr>
  </w:style>
  <w:style w:type="character" w:customStyle="1" w:styleId="146">
    <w:name w:val="纯文本 字符2"/>
    <w:link w:val="18"/>
    <w:qFormat/>
    <w:locked/>
    <w:uiPriority w:val="0"/>
    <w:rPr>
      <w:rFonts w:ascii="宋体" w:hAnsi="Courier New" w:eastAsia="宋体" w:cs="Times New Roman"/>
    </w:rPr>
  </w:style>
  <w:style w:type="character" w:customStyle="1" w:styleId="147">
    <w:name w:val="日期 字符2"/>
    <w:link w:val="20"/>
    <w:qFormat/>
    <w:locked/>
    <w:uiPriority w:val="0"/>
    <w:rPr>
      <w:rFonts w:ascii="Times New Roman" w:hAnsi="Times New Roman" w:eastAsia="宋体" w:cs="Times New Roman"/>
      <w:sz w:val="24"/>
    </w:rPr>
  </w:style>
  <w:style w:type="character" w:customStyle="1" w:styleId="148">
    <w:name w:val="正文文本缩进 2 字符2"/>
    <w:link w:val="21"/>
    <w:qFormat/>
    <w:locked/>
    <w:uiPriority w:val="0"/>
    <w:rPr>
      <w:rFonts w:ascii="Times New Roman" w:hAnsi="Times New Roman" w:eastAsia="宋体" w:cs="Times New Roman"/>
    </w:rPr>
  </w:style>
  <w:style w:type="character" w:customStyle="1" w:styleId="149">
    <w:name w:val="批注框文本 字符2"/>
    <w:link w:val="22"/>
    <w:qFormat/>
    <w:locked/>
    <w:uiPriority w:val="0"/>
    <w:rPr>
      <w:rFonts w:ascii="Times New Roman" w:hAnsi="Times New Roman" w:eastAsia="宋体" w:cs="Times New Roman"/>
      <w:sz w:val="18"/>
    </w:rPr>
  </w:style>
  <w:style w:type="character" w:customStyle="1" w:styleId="150">
    <w:name w:val="页脚 字符2"/>
    <w:link w:val="23"/>
    <w:qFormat/>
    <w:locked/>
    <w:uiPriority w:val="99"/>
    <w:rPr>
      <w:rFonts w:ascii="Times New Roman" w:hAnsi="Times New Roman" w:eastAsia="宋体" w:cs="Times New Roman"/>
      <w:sz w:val="18"/>
    </w:rPr>
  </w:style>
  <w:style w:type="character" w:customStyle="1" w:styleId="151">
    <w:name w:val="页眉 字符2"/>
    <w:link w:val="24"/>
    <w:qFormat/>
    <w:locked/>
    <w:uiPriority w:val="0"/>
    <w:rPr>
      <w:rFonts w:ascii="Times New Roman" w:hAnsi="Times New Roman" w:eastAsia="宋体" w:cs="Times New Roman"/>
      <w:sz w:val="18"/>
    </w:rPr>
  </w:style>
  <w:style w:type="character" w:customStyle="1" w:styleId="152">
    <w:name w:val="正文文本缩进 3 字符2"/>
    <w:link w:val="30"/>
    <w:qFormat/>
    <w:locked/>
    <w:uiPriority w:val="0"/>
    <w:rPr>
      <w:rFonts w:ascii="Times New Roman" w:hAnsi="Times New Roman" w:eastAsia="宋体" w:cs="Times New Roman"/>
      <w:sz w:val="16"/>
    </w:rPr>
  </w:style>
  <w:style w:type="character" w:customStyle="1" w:styleId="153">
    <w:name w:val="标题 字符2"/>
    <w:link w:val="36"/>
    <w:qFormat/>
    <w:locked/>
    <w:uiPriority w:val="0"/>
    <w:rPr>
      <w:rFonts w:ascii="Arial" w:hAnsi="Arial" w:eastAsia="宋体" w:cs="Times New Roman"/>
      <w:b/>
      <w:sz w:val="32"/>
    </w:rPr>
  </w:style>
  <w:style w:type="character" w:customStyle="1" w:styleId="154">
    <w:name w:val="批注主题 字符2"/>
    <w:link w:val="37"/>
    <w:qFormat/>
    <w:locked/>
    <w:uiPriority w:val="0"/>
    <w:rPr>
      <w:rFonts w:ascii="Times New Roman" w:hAnsi="Times New Roman" w:eastAsia="宋体" w:cs="Times New Roman"/>
      <w:b/>
    </w:rPr>
  </w:style>
  <w:style w:type="paragraph" w:customStyle="1" w:styleId="155">
    <w:name w:val="修订1"/>
    <w:semiHidden/>
    <w:qFormat/>
    <w:uiPriority w:val="99"/>
    <w:rPr>
      <w:rFonts w:ascii="等线" w:hAnsi="等线" w:eastAsia="等线" w:cs="Times New Roman"/>
      <w:kern w:val="2"/>
      <w:sz w:val="21"/>
      <w:szCs w:val="22"/>
      <w:lang w:val="en-US" w:eastAsia="zh-CN" w:bidi="ar-SA"/>
    </w:rPr>
  </w:style>
  <w:style w:type="paragraph" w:customStyle="1" w:styleId="156">
    <w:name w:val="K2-A4"/>
    <w:basedOn w:val="6"/>
    <w:qFormat/>
    <w:uiPriority w:val="0"/>
    <w:pPr>
      <w:spacing w:before="0" w:after="0" w:line="360" w:lineRule="auto"/>
    </w:pPr>
    <w:rPr>
      <w:rFonts w:ascii="Times New Roman" w:hAnsi="Times New Roman" w:eastAsia="宋体" w:cs="Times New Roman"/>
      <w:bCs/>
      <w:sz w:val="21"/>
      <w:szCs w:val="28"/>
    </w:rPr>
  </w:style>
  <w:style w:type="paragraph" w:customStyle="1" w:styleId="157">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58">
    <w:name w:val="正文表标题"/>
    <w:next w:val="157"/>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paragraph" w:customStyle="1" w:styleId="159">
    <w:name w:val="p0"/>
    <w:basedOn w:val="1"/>
    <w:qFormat/>
    <w:uiPriority w:val="0"/>
    <w:pPr>
      <w:widowControl/>
      <w:spacing w:line="360" w:lineRule="auto"/>
      <w:jc w:val="left"/>
    </w:pPr>
    <w:rPr>
      <w:rFonts w:ascii="Times New Roman" w:hAnsi="Times New Roman" w:eastAsia="宋体" w:cs="Times New Roman"/>
      <w:kern w:val="0"/>
      <w:sz w:val="24"/>
      <w:szCs w:val="21"/>
    </w:rPr>
  </w:style>
  <w:style w:type="paragraph" w:customStyle="1" w:styleId="160">
    <w:name w:val="Table Text"/>
    <w:basedOn w:val="1"/>
    <w:semiHidden/>
    <w:qFormat/>
    <w:uiPriority w:val="0"/>
    <w:rPr>
      <w:rFonts w:ascii="宋体" w:hAnsi="宋体" w:eastAsia="宋体" w:cs="宋体"/>
      <w:sz w:val="24"/>
      <w:szCs w:val="24"/>
      <w:lang w:eastAsia="en-US"/>
    </w:rPr>
  </w:style>
  <w:style w:type="paragraph" w:customStyle="1" w:styleId="161">
    <w:name w:val="（4）级标题"/>
    <w:basedOn w:val="18"/>
    <w:qFormat/>
    <w:uiPriority w:val="8"/>
    <w:pPr>
      <w:numPr>
        <w:ilvl w:val="0"/>
        <w:numId w:val="3"/>
      </w:numPr>
      <w:spacing w:line="360" w:lineRule="auto"/>
      <w:outlineLvl w:val="4"/>
    </w:pPr>
  </w:style>
  <w:style w:type="paragraph" w:customStyle="1" w:styleId="162">
    <w:name w:val="一级标题"/>
    <w:basedOn w:val="18"/>
    <w:qFormat/>
    <w:uiPriority w:val="1"/>
    <w:pPr>
      <w:numPr>
        <w:ilvl w:val="0"/>
        <w:numId w:val="4"/>
      </w:numPr>
      <w:spacing w:line="360" w:lineRule="auto"/>
      <w:ind w:left="420"/>
      <w:outlineLvl w:val="1"/>
    </w:pPr>
    <w:rPr>
      <w:rFonts w:ascii="黑体" w:eastAsia="黑体"/>
      <w:b/>
      <w:bCs/>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6" Type="http://schemas.openxmlformats.org/officeDocument/2006/relationships/fontTable" Target="fontTable.xml"/><Relationship Id="rId85" Type="http://schemas.openxmlformats.org/officeDocument/2006/relationships/numbering" Target="numbering.xml"/><Relationship Id="rId84" Type="http://schemas.openxmlformats.org/officeDocument/2006/relationships/customXml" Target="../customXml/item1.xml"/><Relationship Id="rId83" Type="http://schemas.openxmlformats.org/officeDocument/2006/relationships/image" Target="media/image38.png"/><Relationship Id="rId82" Type="http://schemas.openxmlformats.org/officeDocument/2006/relationships/image" Target="media/image37.png"/><Relationship Id="rId81" Type="http://schemas.openxmlformats.org/officeDocument/2006/relationships/image" Target="media/image36.png"/><Relationship Id="rId80" Type="http://schemas.openxmlformats.org/officeDocument/2006/relationships/image" Target="media/image35.png"/><Relationship Id="rId8" Type="http://schemas.openxmlformats.org/officeDocument/2006/relationships/footer" Target="footer4.xml"/><Relationship Id="rId79" Type="http://schemas.openxmlformats.org/officeDocument/2006/relationships/image" Target="media/image34.png"/><Relationship Id="rId78" Type="http://schemas.openxmlformats.org/officeDocument/2006/relationships/image" Target="media/image33.png"/><Relationship Id="rId77" Type="http://schemas.openxmlformats.org/officeDocument/2006/relationships/image" Target="media/image32.png"/><Relationship Id="rId76" Type="http://schemas.openxmlformats.org/officeDocument/2006/relationships/image" Target="media/image31.png"/><Relationship Id="rId75" Type="http://schemas.openxmlformats.org/officeDocument/2006/relationships/image" Target="media/image30.png"/><Relationship Id="rId74" Type="http://schemas.openxmlformats.org/officeDocument/2006/relationships/image" Target="media/image29.png"/><Relationship Id="rId73" Type="http://schemas.openxmlformats.org/officeDocument/2006/relationships/image" Target="media/image28.png"/><Relationship Id="rId72" Type="http://schemas.openxmlformats.org/officeDocument/2006/relationships/image" Target="media/image27.png"/><Relationship Id="rId71" Type="http://schemas.openxmlformats.org/officeDocument/2006/relationships/image" Target="media/image26.png"/><Relationship Id="rId70" Type="http://schemas.openxmlformats.org/officeDocument/2006/relationships/image" Target="media/image25.png"/><Relationship Id="rId7" Type="http://schemas.openxmlformats.org/officeDocument/2006/relationships/header" Target="header2.xml"/><Relationship Id="rId69" Type="http://schemas.openxmlformats.org/officeDocument/2006/relationships/image" Target="media/image24.png"/><Relationship Id="rId68" Type="http://schemas.openxmlformats.org/officeDocument/2006/relationships/image" Target="media/image23.png"/><Relationship Id="rId67" Type="http://schemas.openxmlformats.org/officeDocument/2006/relationships/image" Target="media/image22.png"/><Relationship Id="rId66" Type="http://schemas.openxmlformats.org/officeDocument/2006/relationships/image" Target="media/image21.png"/><Relationship Id="rId65" Type="http://schemas.openxmlformats.org/officeDocument/2006/relationships/image" Target="media/image20.png"/><Relationship Id="rId64" Type="http://schemas.openxmlformats.org/officeDocument/2006/relationships/image" Target="media/image19.png"/><Relationship Id="rId63" Type="http://schemas.openxmlformats.org/officeDocument/2006/relationships/image" Target="media/image18.png"/><Relationship Id="rId62" Type="http://schemas.openxmlformats.org/officeDocument/2006/relationships/image" Target="media/image17.png"/><Relationship Id="rId61" Type="http://schemas.openxmlformats.org/officeDocument/2006/relationships/image" Target="media/image16.png"/><Relationship Id="rId60" Type="http://schemas.openxmlformats.org/officeDocument/2006/relationships/image" Target="media/image15.png"/><Relationship Id="rId6" Type="http://schemas.openxmlformats.org/officeDocument/2006/relationships/footer" Target="footer3.xml"/><Relationship Id="rId59" Type="http://schemas.openxmlformats.org/officeDocument/2006/relationships/image" Target="media/image14.png"/><Relationship Id="rId58" Type="http://schemas.openxmlformats.org/officeDocument/2006/relationships/image" Target="media/image13.png"/><Relationship Id="rId57" Type="http://schemas.openxmlformats.org/officeDocument/2006/relationships/image" Target="media/image12.png"/><Relationship Id="rId56" Type="http://schemas.openxmlformats.org/officeDocument/2006/relationships/image" Target="media/image11.png"/><Relationship Id="rId55" Type="http://schemas.openxmlformats.org/officeDocument/2006/relationships/image" Target="media/image10.png"/><Relationship Id="rId54" Type="http://schemas.openxmlformats.org/officeDocument/2006/relationships/image" Target="media/image9.png"/><Relationship Id="rId53" Type="http://schemas.openxmlformats.org/officeDocument/2006/relationships/image" Target="media/image8.png"/><Relationship Id="rId52" Type="http://schemas.openxmlformats.org/officeDocument/2006/relationships/image" Target="media/image7.png"/><Relationship Id="rId51" Type="http://schemas.openxmlformats.org/officeDocument/2006/relationships/image" Target="media/image6.png"/><Relationship Id="rId50" Type="http://schemas.openxmlformats.org/officeDocument/2006/relationships/image" Target="media/image5.png"/><Relationship Id="rId5" Type="http://schemas.openxmlformats.org/officeDocument/2006/relationships/header" Target="header1.xml"/><Relationship Id="rId49" Type="http://schemas.openxmlformats.org/officeDocument/2006/relationships/image" Target="media/image4.png"/><Relationship Id="rId48" Type="http://schemas.openxmlformats.org/officeDocument/2006/relationships/image" Target="media/image3.png"/><Relationship Id="rId47" Type="http://schemas.openxmlformats.org/officeDocument/2006/relationships/image" Target="media/image2.png"/><Relationship Id="rId46" Type="http://schemas.openxmlformats.org/officeDocument/2006/relationships/image" Target="media/image1.png"/><Relationship Id="rId45" Type="http://schemas.openxmlformats.org/officeDocument/2006/relationships/theme" Target="theme/theme1.xml"/><Relationship Id="rId44" Type="http://schemas.openxmlformats.org/officeDocument/2006/relationships/footer" Target="footer32.xml"/><Relationship Id="rId43" Type="http://schemas.openxmlformats.org/officeDocument/2006/relationships/footer" Target="footer31.xml"/><Relationship Id="rId42" Type="http://schemas.openxmlformats.org/officeDocument/2006/relationships/header" Target="header10.xml"/><Relationship Id="rId41" Type="http://schemas.openxmlformats.org/officeDocument/2006/relationships/header" Target="header9.xml"/><Relationship Id="rId40" Type="http://schemas.openxmlformats.org/officeDocument/2006/relationships/footer" Target="footer30.xml"/><Relationship Id="rId4" Type="http://schemas.openxmlformats.org/officeDocument/2006/relationships/footer" Target="footer2.xml"/><Relationship Id="rId39" Type="http://schemas.openxmlformats.org/officeDocument/2006/relationships/footer" Target="footer29.xml"/><Relationship Id="rId38" Type="http://schemas.openxmlformats.org/officeDocument/2006/relationships/header" Target="header8.xml"/><Relationship Id="rId37" Type="http://schemas.openxmlformats.org/officeDocument/2006/relationships/header" Target="header7.xml"/><Relationship Id="rId36" Type="http://schemas.openxmlformats.org/officeDocument/2006/relationships/footer" Target="footer28.xml"/><Relationship Id="rId35" Type="http://schemas.openxmlformats.org/officeDocument/2006/relationships/footer" Target="footer27.xml"/><Relationship Id="rId34" Type="http://schemas.openxmlformats.org/officeDocument/2006/relationships/footer" Target="footer26.xml"/><Relationship Id="rId33" Type="http://schemas.openxmlformats.org/officeDocument/2006/relationships/footer" Target="footer25.xml"/><Relationship Id="rId32" Type="http://schemas.openxmlformats.org/officeDocument/2006/relationships/footer" Target="footer24.xml"/><Relationship Id="rId31" Type="http://schemas.openxmlformats.org/officeDocument/2006/relationships/footer" Target="footer23.xml"/><Relationship Id="rId30" Type="http://schemas.openxmlformats.org/officeDocument/2006/relationships/footer" Target="footer22.xml"/><Relationship Id="rId3" Type="http://schemas.openxmlformats.org/officeDocument/2006/relationships/footer" Target="footer1.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111</Pages>
  <Words>2338</Words>
  <Characters>2531</Characters>
  <Lines>1801</Lines>
  <Paragraphs>1806</Paragraphs>
  <TotalTime>1</TotalTime>
  <ScaleCrop>false</ScaleCrop>
  <LinksUpToDate>false</LinksUpToDate>
  <CharactersWithSpaces>2588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玛琪朵</cp:lastModifiedBy>
  <cp:lastPrinted>2022-07-01T03:19:00Z</cp:lastPrinted>
  <dcterms:modified xsi:type="dcterms:W3CDTF">2026-07-16T01:39:43Z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ED02EB12B8294FE5807EAA5D2C3C24E0</vt:lpwstr>
  </property>
  <property fmtid="{D5CDD505-2E9C-101B-9397-08002B2CF9AE}" pid="4" name="KSOTemplateDocerSaveRecord">
    <vt:lpwstr>eyJoZGlkIjoiNTU0NjFkNjJjMTE0ZjAxMTUwMzQ3NGY5YmUxOTc2YjciLCJ1c2VySWQiOiI2MTE0ODQxNTgifQ==</vt:lpwstr>
  </property>
</Properties>
</file>