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pStyle w:val="18"/>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济南卡车</w:t>
      </w:r>
      <w:r>
        <w:rPr>
          <w:rFonts w:hint="eastAsia" w:ascii="Calibri" w:hAnsi="宋体" w:eastAsia="宋体" w:cs="Times New Roman"/>
          <w:b/>
          <w:bCs/>
          <w:color w:val="000000"/>
          <w:spacing w:val="-8"/>
          <w:sz w:val="48"/>
          <w:szCs w:val="44"/>
          <w:lang w:val="en-US" w:eastAsia="zh-CN"/>
        </w:rPr>
        <w:t>制造</w:t>
      </w:r>
      <w:r>
        <w:rPr>
          <w:rFonts w:hint="eastAsia" w:ascii="Calibri" w:hAnsi="宋体" w:eastAsia="宋体" w:cs="Times New Roman"/>
          <w:b/>
          <w:bCs/>
          <w:color w:val="000000"/>
          <w:spacing w:val="-8"/>
          <w:sz w:val="48"/>
          <w:szCs w:val="44"/>
        </w:rPr>
        <w:t>公司</w:t>
      </w:r>
      <w:r>
        <w:rPr>
          <w:rFonts w:hint="eastAsia" w:ascii="Calibri" w:hAnsi="宋体" w:eastAsia="宋体" w:cs="Times New Roman"/>
          <w:b/>
          <w:bCs/>
          <w:color w:val="000000"/>
          <w:spacing w:val="-8"/>
          <w:sz w:val="48"/>
          <w:szCs w:val="44"/>
          <w:lang w:val="en-US" w:eastAsia="zh-CN"/>
        </w:rPr>
        <w:t>党家庄</w:t>
      </w:r>
      <w:r>
        <w:rPr>
          <w:rFonts w:hint="eastAsia" w:ascii="Calibri" w:hAnsi="宋体" w:eastAsia="宋体" w:cs="Times New Roman"/>
          <w:b/>
          <w:bCs/>
          <w:color w:val="000000"/>
          <w:spacing w:val="-8"/>
          <w:sz w:val="48"/>
          <w:szCs w:val="44"/>
        </w:rPr>
        <w:t>厂区</w:t>
      </w:r>
    </w:p>
    <w:p>
      <w:pPr>
        <w:pStyle w:val="18"/>
        <w:jc w:val="center"/>
      </w:pPr>
      <w:r>
        <w:rPr>
          <w:rFonts w:hint="eastAsia" w:ascii="Calibri" w:hAnsi="宋体" w:eastAsia="宋体" w:cs="Times New Roman"/>
          <w:b/>
          <w:bCs/>
          <w:color w:val="000000"/>
          <w:spacing w:val="-8"/>
          <w:sz w:val="48"/>
          <w:szCs w:val="44"/>
        </w:rPr>
        <w:t>总三车间总装北线加固改造技改项目</w:t>
      </w:r>
    </w:p>
    <w:p>
      <w:pPr>
        <w:pStyle w:val="18"/>
      </w:pPr>
    </w:p>
    <w:p>
      <w:pPr>
        <w:pStyle w:val="18"/>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5"/>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济南卡车制造公司</w:t>
            </w:r>
            <w:r>
              <w:rPr>
                <w:rFonts w:hint="eastAsia" w:ascii="宋体" w:hAnsi="宋体" w:eastAsia="宋体" w:cs="宋体"/>
                <w:sz w:val="24"/>
                <w:szCs w:val="24"/>
                <w:u w:val="single"/>
                <w:lang w:val="en-US" w:eastAsia="zh-CN"/>
              </w:rPr>
              <w:t>党家庄厂区</w:t>
            </w:r>
            <w:r>
              <w:rPr>
                <w:rFonts w:hint="eastAsia" w:ascii="宋体" w:hAnsi="宋体" w:eastAsia="宋体" w:cs="宋体"/>
                <w:sz w:val="24"/>
                <w:szCs w:val="24"/>
                <w:u w:val="single"/>
              </w:rPr>
              <w:t>总三车间总装北线加固改造技改项目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color w:val="000000" w:themeColor="text1"/>
                <w:sz w:val="24"/>
                <w:szCs w:val="24"/>
                <w:highlight w:val="none"/>
                <w14:textFill>
                  <w14:solidFill>
                    <w14:schemeClr w14:val="tx1"/>
                  </w14:solidFill>
                </w14:textFill>
              </w:rPr>
              <w:t>ZBGL2026070282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lang w:val="en-US" w:eastAsia="zh-CN"/>
              </w:rPr>
              <w:t>党家庄厂区总三车间总装北线承载能力加固改造至20T，使用系数不小于1.2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中国重汽集团济南卡车股份有限公司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济南市莱芜区莱城大道777号</w:t>
            </w:r>
          </w:p>
          <w:p>
            <w:pPr>
              <w:ind w:firstLine="482" w:firstLineChars="200"/>
              <w:rPr>
                <w:rFonts w:hint="eastAsia" w:ascii="宋体" w:hAnsi="宋体" w:eastAsia="宋体" w:cs="宋体"/>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
                <w:snapToGrid w:val="0"/>
                <w:kern w:val="0"/>
                <w:sz w:val="24"/>
                <w:szCs w:val="24"/>
                <w:highlight w:val="yellow"/>
                <w:lang w:val="en-US" w:eastAsia="zh-CN"/>
              </w:rPr>
              <w:t>刘兴瑶</w:t>
            </w:r>
          </w:p>
          <w:p>
            <w:pPr>
              <w:pStyle w:val="18"/>
              <w:ind w:firstLine="482" w:firstLineChars="200"/>
              <w:rPr>
                <w:rFonts w:hint="default" w:hAnsi="宋体" w:eastAsia="宋体" w:cs="宋体"/>
                <w:b/>
                <w:snapToGrid w:val="0"/>
                <w:kern w:val="0"/>
                <w:sz w:val="24"/>
                <w:szCs w:val="24"/>
                <w:highlight w:val="yellow"/>
                <w:lang w:val="en-US" w:eastAsia="zh-CN"/>
              </w:rPr>
            </w:pPr>
            <w:r>
              <w:rPr>
                <w:rFonts w:hint="eastAsia" w:hAnsi="宋体" w:eastAsia="宋体" w:cs="宋体"/>
                <w:b/>
                <w:snapToGrid w:val="0"/>
                <w:kern w:val="0"/>
                <w:sz w:val="24"/>
                <w:szCs w:val="24"/>
                <w:highlight w:val="yellow"/>
              </w:rPr>
              <w:t>电话：198</w:t>
            </w:r>
            <w:r>
              <w:rPr>
                <w:rFonts w:hint="eastAsia" w:hAnsi="宋体" w:eastAsia="宋体" w:cs="宋体"/>
                <w:b/>
                <w:snapToGrid w:val="0"/>
                <w:kern w:val="0"/>
                <w:sz w:val="24"/>
                <w:szCs w:val="24"/>
                <w:highlight w:val="yellow"/>
                <w:lang w:val="en-US" w:eastAsia="zh-CN"/>
              </w:rPr>
              <w:t>61850639</w:t>
            </w:r>
          </w:p>
          <w:p>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邮箱：liuxingyao@sinotruk.com</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
                <w:snapToGrid w:val="0"/>
                <w:kern w:val="0"/>
                <w:sz w:val="24"/>
                <w:szCs w:val="24"/>
                <w:highlight w:val="yellow"/>
                <w:lang w:val="en-US" w:eastAsia="zh-CN"/>
              </w:rPr>
              <w:t>温崇炜</w:t>
            </w:r>
          </w:p>
          <w:p>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电话：15169592696</w:t>
            </w:r>
          </w:p>
          <w:p>
            <w:pPr>
              <w:ind w:firstLine="482" w:firstLineChars="200"/>
              <w:rPr>
                <w:rFonts w:hint="eastAsia"/>
              </w:rPr>
            </w:pPr>
            <w:r>
              <w:rPr>
                <w:rFonts w:hint="eastAsia" w:ascii="宋体" w:hAnsi="宋体" w:eastAsia="宋体" w:cs="宋体"/>
                <w:b/>
                <w:snapToGrid w:val="0"/>
                <w:kern w:val="0"/>
                <w:sz w:val="24"/>
                <w:szCs w:val="24"/>
                <w:highlight w:val="yellow"/>
              </w:rPr>
              <w:t>邮箱：wenchongwei@sinotruk.com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eastAsia="宋体"/>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bCs/>
                <w:color w:val="000000"/>
                <w:sz w:val="24"/>
                <w:szCs w:val="24"/>
                <w:highlight w:val="yellow"/>
                <w:u w:val="single"/>
              </w:rPr>
              <w:t>00</w:t>
            </w:r>
            <w:r>
              <w:rPr>
                <w:rFonts w:hint="eastAsia" w:hAnsi="宋体" w:eastAsia="宋体" w:cs="宋体"/>
                <w:b/>
                <w:color w:val="000000"/>
                <w:sz w:val="24"/>
                <w:szCs w:val="24"/>
                <w:highlight w:val="yellow"/>
                <w:u w:val="single"/>
                <w:lang w:eastAsia="zh-CN"/>
              </w:rPr>
              <w:t>万元</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 xml:space="preserve">月 </w:t>
            </w:r>
            <w:r>
              <w:rPr>
                <w:rFonts w:hint="eastAsia" w:ascii="宋体" w:hAnsi="宋体" w:eastAsia="宋体" w:cs="宋体"/>
                <w:bCs/>
                <w:sz w:val="24"/>
                <w:szCs w:val="24"/>
                <w:highlight w:val="yellow"/>
                <w:lang w:val="en-US" w:eastAsia="zh-CN"/>
              </w:rPr>
              <w:t>16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日17:00前；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rPr>
              <w:t>：</w:t>
            </w:r>
            <w:r>
              <w:rPr>
                <w:rFonts w:hint="eastAsia" w:ascii="宋体" w:hAnsi="宋体" w:eastAsia="宋体" w:cs="宋体"/>
                <w:sz w:val="24"/>
                <w:szCs w:val="24"/>
                <w:highlight w:val="yellow"/>
              </w:rPr>
              <w:t>2026年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 xml:space="preserve">月 </w:t>
            </w:r>
            <w:r>
              <w:rPr>
                <w:rFonts w:hint="eastAsia" w:ascii="宋体" w:hAnsi="宋体" w:eastAsia="宋体" w:cs="宋体"/>
                <w:sz w:val="24"/>
                <w:szCs w:val="24"/>
                <w:highlight w:val="yellow"/>
                <w:lang w:val="en-US" w:eastAsia="zh-CN"/>
              </w:rPr>
              <w:t>25</w:t>
            </w:r>
            <w:r>
              <w:rPr>
                <w:rFonts w:hint="eastAsia" w:ascii="宋体" w:hAnsi="宋体" w:eastAsia="宋体" w:cs="宋体"/>
                <w:sz w:val="24"/>
                <w:szCs w:val="24"/>
                <w:highlight w:val="yellow"/>
              </w:rPr>
              <w:t>日17:00前</w:t>
            </w:r>
            <w:r>
              <w:rPr>
                <w:rFonts w:hint="eastAsia" w:ascii="宋体" w:hAnsi="宋体" w:eastAsia="宋体" w:cs="宋体"/>
                <w:sz w:val="24"/>
                <w:szCs w:val="24"/>
              </w:rPr>
              <w:t>；</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highlight w:val="red"/>
              </w:rPr>
              <w:t>“</w:t>
            </w:r>
            <w:r>
              <w:rPr>
                <w:rFonts w:hint="eastAsia" w:eastAsia="宋体" w:cs="Times New Roman"/>
                <w:b/>
                <w:bCs/>
                <w:highlight w:val="red"/>
              </w:rPr>
              <w:t>应标</w:t>
            </w:r>
            <w:r>
              <w:rPr>
                <w:rFonts w:hint="eastAsia" w:eastAsia="宋体" w:cs="Times New Roman"/>
                <w:highlight w:val="red"/>
              </w:rPr>
              <w:t>”</w:t>
            </w:r>
            <w:r>
              <w:rPr>
                <w:rFonts w:hint="eastAsia" w:eastAsia="宋体" w:cs="Times New Roman"/>
                <w:b/>
                <w:bCs/>
                <w:highlight w:val="red"/>
              </w:rPr>
              <w:t>后按照招标文件第三部分投标文件组成资格证明文件中的1.1</w:t>
            </w:r>
            <w:r>
              <w:rPr>
                <w:rFonts w:eastAsia="宋体" w:cs="Times New Roman"/>
                <w:b/>
                <w:bCs/>
                <w:highlight w:val="red"/>
              </w:rPr>
              <w:t>-</w:t>
            </w:r>
            <w:r>
              <w:rPr>
                <w:rFonts w:hint="eastAsia" w:eastAsia="宋体" w:cs="Times New Roman"/>
                <w:b/>
                <w:bCs/>
                <w:highlight w:val="red"/>
              </w:rPr>
              <w:t>1.1</w:t>
            </w:r>
            <w:r>
              <w:rPr>
                <w:rFonts w:hint="eastAsia" w:eastAsia="宋体" w:cs="Times New Roman"/>
                <w:b/>
                <w:bCs/>
                <w:highlight w:val="red"/>
                <w:lang w:val="en-US" w:eastAsia="zh-CN"/>
              </w:rPr>
              <w:t>3</w:t>
            </w:r>
            <w:r>
              <w:rPr>
                <w:rFonts w:hint="eastAsia" w:eastAsia="宋体" w:cs="Times New Roman"/>
                <w:b/>
                <w:bCs/>
                <w:highlight w:val="red"/>
              </w:rPr>
              <w:t>准备资料并</w:t>
            </w:r>
            <w:r>
              <w:rPr>
                <w:rFonts w:hint="eastAsia" w:eastAsia="宋体" w:cs="Times New Roman"/>
                <w:highlight w:val="red"/>
              </w:rPr>
              <w:t>上传，资质审查通过即为报名成功</w:t>
            </w:r>
            <w:r>
              <w:rPr>
                <w:rFonts w:hint="eastAsia" w:hAnsi="Courier New" w:eastAsia="宋体" w:cs="Times New Roman"/>
                <w:highlight w:val="red"/>
              </w:rPr>
              <w:t>；</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highlight w:val="yellow"/>
              </w:rPr>
            </w:pPr>
            <w:r>
              <w:rPr>
                <w:rFonts w:hint="eastAsia" w:eastAsia="宋体" w:cs="宋体"/>
                <w:b/>
                <w:bCs/>
                <w:highlight w:val="none"/>
              </w:rPr>
              <w:t>应标截止时间：</w:t>
            </w:r>
            <w:r>
              <w:rPr>
                <w:rFonts w:hint="eastAsia" w:eastAsia="宋体" w:cs="宋体"/>
                <w:highlight w:val="yellow"/>
              </w:rPr>
              <w:t>2026年</w:t>
            </w:r>
            <w:r>
              <w:rPr>
                <w:rFonts w:hint="eastAsia" w:eastAsia="宋体" w:cs="宋体"/>
                <w:highlight w:val="yellow"/>
                <w:lang w:val="en-US" w:eastAsia="zh-CN"/>
              </w:rPr>
              <w:t>7</w:t>
            </w:r>
            <w:r>
              <w:rPr>
                <w:rFonts w:hint="eastAsia" w:eastAsia="宋体" w:cs="宋体"/>
                <w:highlight w:val="yellow"/>
              </w:rPr>
              <w:t xml:space="preserve">月 </w:t>
            </w:r>
            <w:r>
              <w:rPr>
                <w:rFonts w:hint="eastAsia" w:eastAsia="宋体" w:cs="宋体"/>
                <w:highlight w:val="yellow"/>
                <w:lang w:val="en-US" w:eastAsia="zh-CN"/>
              </w:rPr>
              <w:t>21</w:t>
            </w:r>
            <w:r>
              <w:rPr>
                <w:rFonts w:hint="eastAsia" w:eastAsia="宋体" w:cs="宋体"/>
                <w:highlight w:val="yellow"/>
              </w:rPr>
              <w:t>日17时00分00秒</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8"/>
              <w:rPr>
                <w:rFonts w:hint="eastAsia" w:hAnsi="宋体" w:eastAsia="宋体" w:cs="Times New Roman"/>
                <w:color w:val="000000"/>
                <w:sz w:val="24"/>
                <w:szCs w:val="24"/>
              </w:rPr>
            </w:pPr>
            <w:r>
              <w:rPr>
                <w:rFonts w:hint="eastAsia" w:eastAsia="宋体" w:cs="宋体" w:asciiTheme="minorHAnsi" w:hAnsiTheme="minorHAnsi"/>
                <w:b/>
                <w:sz w:val="24"/>
                <w:szCs w:val="24"/>
                <w:highlight w:val="none"/>
              </w:rPr>
              <w:t>邮寄地址：</w:t>
            </w:r>
            <w:r>
              <w:rPr>
                <w:rFonts w:hint="eastAsia" w:hAnsi="宋体" w:eastAsia="宋体" w:cs="Times New Roman"/>
                <w:color w:val="000000"/>
                <w:sz w:val="24"/>
                <w:szCs w:val="24"/>
                <w:highlight w:val="yellow"/>
              </w:rPr>
              <w:t>山东省济南市莱芜区莱城大道</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w:t>
            </w:r>
            <w:r>
              <w:rPr>
                <w:rFonts w:hint="eastAsia" w:hAnsi="宋体" w:eastAsia="宋体" w:cs="宋体"/>
                <w:b/>
                <w:bCs/>
                <w:sz w:val="24"/>
                <w:lang w:eastAsia="zh-CN"/>
              </w:rPr>
              <w:t>作出</w:t>
            </w:r>
            <w:r>
              <w:rPr>
                <w:rFonts w:hint="eastAsia" w:hAnsi="宋体" w:eastAsia="宋体" w:cs="宋体"/>
                <w:b/>
                <w:bCs/>
                <w:sz w:val="24"/>
              </w:rPr>
              <w:t>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yellow"/>
                <w:u w:val="single"/>
              </w:rPr>
              <w:t>2026</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7</w:t>
            </w:r>
            <w:r>
              <w:rPr>
                <w:rFonts w:hint="eastAsia" w:hAnsi="宋体" w:eastAsia="宋体" w:cs="宋体"/>
                <w:sz w:val="24"/>
                <w:szCs w:val="24"/>
                <w:highlight w:val="yellow"/>
              </w:rPr>
              <w:t>月</w:t>
            </w:r>
            <w:r>
              <w:rPr>
                <w:rFonts w:hint="eastAsia" w:hAnsi="宋体" w:eastAsia="宋体" w:cs="宋体"/>
                <w:sz w:val="24"/>
                <w:szCs w:val="24"/>
                <w:highlight w:val="yellow"/>
                <w:u w:val="single"/>
              </w:rPr>
              <w:t xml:space="preserve"> </w:t>
            </w:r>
            <w:r>
              <w:rPr>
                <w:rFonts w:hint="eastAsia" w:hAnsi="宋体" w:eastAsia="宋体" w:cs="宋体"/>
                <w:sz w:val="24"/>
                <w:szCs w:val="24"/>
                <w:highlight w:val="yellow"/>
                <w:u w:val="single"/>
                <w:lang w:val="en-US" w:eastAsia="zh-CN"/>
              </w:rPr>
              <w:t>26</w:t>
            </w:r>
            <w:r>
              <w:rPr>
                <w:rFonts w:hint="eastAsia" w:hAnsi="宋体" w:eastAsia="宋体" w:cs="宋体"/>
                <w:sz w:val="24"/>
                <w:szCs w:val="24"/>
                <w:highlight w:val="yellow"/>
              </w:rPr>
              <w:t>日下</w:t>
            </w:r>
            <w:r>
              <w:rPr>
                <w:rFonts w:hint="eastAsia" w:hAnsi="宋体" w:eastAsia="宋体" w:cs="宋体"/>
                <w:kern w:val="0"/>
                <w:sz w:val="24"/>
                <w:szCs w:val="24"/>
                <w:highlight w:val="yellow"/>
              </w:rPr>
              <w:t>午17</w:t>
            </w:r>
            <w:r>
              <w:rPr>
                <w:rFonts w:hint="eastAsia" w:hAnsi="宋体" w:eastAsia="宋体" w:cs="宋体"/>
                <w:sz w:val="24"/>
                <w:szCs w:val="24"/>
                <w:highlight w:val="yellow"/>
              </w:rPr>
              <w:t>:00:00（北京时间）</w:t>
            </w:r>
          </w:p>
          <w:p>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单位名称：</w:t>
            </w:r>
            <w:r>
              <w:rPr>
                <w:rFonts w:ascii="宋体" w:hAnsi="宋体" w:eastAsia="宋体" w:cs="宋体"/>
                <w:sz w:val="24"/>
                <w:szCs w:val="24"/>
              </w:rPr>
              <w:t>中国重汽集团济南卡车股份有限公司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rPr>
              <w:t>招商银行股份有限公司济南分行营业部</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w:t>
            </w:r>
            <w:r>
              <w:rPr>
                <w:rFonts w:hint="eastAsia" w:ascii="宋体" w:hAnsi="宋体" w:eastAsia="宋体" w:cs="宋体"/>
                <w:b/>
                <w:bCs/>
                <w:color w:val="000000"/>
                <w:kern w:val="0"/>
                <w:sz w:val="24"/>
                <w:szCs w:val="24"/>
                <w:highlight w:val="yellow"/>
                <w:lang w:eastAsia="zh-CN"/>
              </w:rPr>
              <w:t>账号</w:t>
            </w:r>
            <w:r>
              <w:rPr>
                <w:rFonts w:hint="eastAsia" w:ascii="宋体" w:hAnsi="宋体" w:eastAsia="宋体" w:cs="宋体"/>
                <w:b/>
                <w:bCs/>
                <w:color w:val="000000"/>
                <w:kern w:val="0"/>
                <w:sz w:val="24"/>
                <w:szCs w:val="24"/>
                <w:highlight w:val="yellow"/>
              </w:rPr>
              <w:t>：</w:t>
            </w:r>
            <w:r>
              <w:rPr>
                <w:rFonts w:ascii="宋体" w:hAnsi="宋体" w:eastAsia="宋体" w:cs="宋体"/>
                <w:sz w:val="24"/>
                <w:szCs w:val="24"/>
              </w:rPr>
              <w:t>531900051810601</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rPr>
              <w:t>308451028020</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转账附言：公司名称+项目名称+投标保证金。（严格按照此格式备注）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highlight w:val="none"/>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w:t>
            </w:r>
            <w:r>
              <w:rPr>
                <w:rFonts w:hint="eastAsia" w:ascii="宋体" w:hAnsi="宋体" w:cs="宋体"/>
                <w:sz w:val="24"/>
                <w:szCs w:val="24"/>
                <w:lang w:val="en-US" w:eastAsia="zh-CN"/>
              </w:rPr>
              <w:t>账</w:t>
            </w:r>
            <w:r>
              <w:rPr>
                <w:rFonts w:hint="eastAsia" w:ascii="宋体" w:hAnsi="宋体" w:cs="宋体"/>
                <w:sz w:val="24"/>
                <w:szCs w:val="24"/>
              </w:rPr>
              <w:t>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 xml:space="preserve">月 </w:t>
            </w:r>
            <w:r>
              <w:rPr>
                <w:rFonts w:hint="eastAsia" w:ascii="宋体" w:hAnsi="宋体" w:cs="宋体"/>
                <w:sz w:val="24"/>
                <w:szCs w:val="24"/>
                <w:highlight w:val="yellow"/>
                <w:lang w:val="en-US" w:eastAsia="zh-CN"/>
              </w:rPr>
              <w:t>27</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。（暂定，具体时间地点另行通知）</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莱芜区莱城大道</w:t>
            </w:r>
            <w:r>
              <w:rPr>
                <w:rFonts w:hint="eastAsia" w:ascii="宋体" w:hAnsi="宋体" w:eastAsia="宋体" w:cs="宋体"/>
                <w:sz w:val="24"/>
                <w:szCs w:val="24"/>
                <w:highlight w:val="yellow"/>
              </w:rPr>
              <w:t>777号办公楼三楼会议室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评标方法：资质标审核→唱标→综合评标。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自接到中标通知日起，</w:t>
            </w:r>
            <w:r>
              <w:rPr>
                <w:rFonts w:hint="eastAsia" w:hAnsi="宋体" w:eastAsia="宋体" w:cs="宋体"/>
                <w:color w:val="000000"/>
                <w:sz w:val="24"/>
                <w:szCs w:val="24"/>
                <w:highlight w:val="yellow"/>
                <w:lang w:val="en-US" w:eastAsia="zh-CN"/>
              </w:rPr>
              <w:t>4</w:t>
            </w:r>
            <w:r>
              <w:rPr>
                <w:rFonts w:hint="eastAsia" w:hAnsi="宋体" w:eastAsia="宋体" w:cs="宋体"/>
                <w:color w:val="000000"/>
                <w:sz w:val="24"/>
                <w:szCs w:val="24"/>
                <w:highlight w:val="yellow"/>
              </w:rPr>
              <w:t>个月内</w:t>
            </w:r>
            <w:r>
              <w:rPr>
                <w:rFonts w:hint="eastAsia" w:hAnsi="宋体" w:eastAsia="宋体" w:cs="宋体"/>
                <w:color w:val="000000"/>
                <w:sz w:val="24"/>
                <w:szCs w:val="24"/>
              </w:rPr>
              <w:t>完成现场安装调试及培训服务</w:t>
            </w:r>
            <w:r>
              <w:rPr>
                <w:rFonts w:hint="eastAsia" w:hAnsi="宋体" w:eastAsia="宋体" w:cs="宋体"/>
                <w:color w:val="000000"/>
                <w:sz w:val="24"/>
                <w:szCs w:val="24"/>
                <w:lang w:eastAsia="zh-CN"/>
              </w:rPr>
              <w:t>，</w:t>
            </w:r>
            <w:r>
              <w:rPr>
                <w:rFonts w:hint="eastAsia" w:hAnsi="宋体" w:eastAsia="宋体" w:cs="宋体"/>
                <w:color w:val="000000"/>
                <w:sz w:val="24"/>
                <w:szCs w:val="24"/>
              </w:rPr>
              <w:t>投标人应当随标书提供详细的工期计划。</w:t>
            </w:r>
          </w:p>
          <w:p>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highlight w:val="cyan"/>
                <w:lang w:val="en-US" w:eastAsia="zh-CN"/>
              </w:rPr>
              <w:t>说明</w:t>
            </w:r>
            <w:r>
              <w:rPr>
                <w:rFonts w:hint="eastAsia" w:hAnsi="宋体" w:eastAsia="宋体" w:cs="宋体"/>
                <w:b/>
                <w:bCs/>
                <w:color w:val="000000"/>
                <w:sz w:val="24"/>
                <w:szCs w:val="24"/>
                <w:highlight w:val="cyan"/>
              </w:rPr>
              <w:t>：以投标人承诺的交货期为准，交货期越短，该项评审得分越高。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widowControl/>
              <w:ind w:firstLine="482" w:firstLineChars="200"/>
              <w:jc w:val="left"/>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济南卡车制造公司</w:t>
            </w:r>
            <w:r>
              <w:rPr>
                <w:rFonts w:hint="eastAsia" w:ascii="宋体" w:hAnsi="宋体" w:eastAsia="宋体" w:cs="宋体"/>
                <w:color w:val="000000"/>
                <w:sz w:val="24"/>
                <w:szCs w:val="24"/>
                <w:highlight w:val="yellow"/>
                <w:u w:val="single"/>
                <w:lang w:val="en-US" w:eastAsia="zh-CN"/>
              </w:rPr>
              <w:t>党家庄厂区总三</w:t>
            </w:r>
            <w:r>
              <w:rPr>
                <w:rFonts w:hint="eastAsia" w:ascii="宋体" w:hAnsi="宋体" w:eastAsia="宋体" w:cs="宋体"/>
                <w:color w:val="000000"/>
                <w:sz w:val="24"/>
                <w:szCs w:val="24"/>
                <w:highlight w:val="yellow"/>
                <w:u w:val="single"/>
              </w:rPr>
              <w:t>车间</w:t>
            </w:r>
            <w:r>
              <w:rPr>
                <w:rFonts w:hint="eastAsia" w:ascii="宋体"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b/>
                <w:bCs/>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pPr>
              <w:ind w:firstLine="480" w:firstLineChars="200"/>
              <w:rPr>
                <w:rFonts w:hint="eastAsia"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hint="eastAsia" w:ascii="宋体" w:hAnsi="宋体" w:cs="宋体"/>
                <w:bCs/>
                <w:sz w:val="24"/>
                <w:szCs w:val="24"/>
              </w:rPr>
            </w:pPr>
            <w:r>
              <w:rPr>
                <w:rFonts w:hint="eastAsia" w:ascii="宋体" w:hAnsi="宋体" w:eastAsia="宋体" w:cs="宋体"/>
                <w:color w:val="000000"/>
                <w:sz w:val="24"/>
                <w:szCs w:val="24"/>
                <w:highlight w:val="yellow"/>
              </w:rPr>
              <w:t>详见合同签订信息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10</w:t>
            </w:r>
            <w:r>
              <w:rPr>
                <w:rFonts w:hint="eastAsia" w:ascii="宋体" w:hAnsi="宋体" w:eastAsia="宋体" w:cs="宋体"/>
                <w:sz w:val="24"/>
                <w:szCs w:val="24"/>
              </w:rPr>
              <w:t>日内需根据设计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8"/>
        <w:jc w:val="center"/>
        <w:outlineLvl w:val="0"/>
        <w:rPr>
          <w:rFonts w:ascii="Calibri" w:hAnsi="Calibri" w:eastAsia="宋体" w:cs="Times New Roman"/>
          <w:b/>
          <w:bCs/>
          <w:kern w:val="44"/>
          <w:sz w:val="36"/>
          <w:szCs w:val="44"/>
        </w:rPr>
      </w:pPr>
      <w:bookmarkStart w:id="4" w:name="_Toc15609"/>
    </w:p>
    <w:p>
      <w:pPr>
        <w:pStyle w:val="18"/>
        <w:jc w:val="center"/>
        <w:outlineLvl w:val="0"/>
        <w:rPr>
          <w:rFonts w:ascii="Calibri" w:hAnsi="Calibri" w:eastAsia="宋体" w:cs="Times New Roman"/>
          <w:b/>
          <w:bCs/>
          <w:kern w:val="44"/>
          <w:sz w:val="36"/>
          <w:szCs w:val="44"/>
        </w:rPr>
      </w:pPr>
    </w:p>
    <w:p>
      <w:pPr>
        <w:widowControl/>
        <w:jc w:val="left"/>
        <w:rPr>
          <w:rFonts w:ascii="Calibri" w:hAnsi="Calibri" w:eastAsia="宋体" w:cs="Times New Roman"/>
          <w:b/>
          <w:bCs/>
          <w:kern w:val="44"/>
          <w:sz w:val="36"/>
          <w:szCs w:val="44"/>
        </w:rPr>
      </w:pPr>
      <w:r>
        <w:rPr>
          <w:rFonts w:ascii="Calibri" w:hAnsi="Calibri" w:eastAsia="宋体" w:cs="Times New Roman"/>
          <w:b/>
          <w:bCs/>
          <w:kern w:val="44"/>
          <w:sz w:val="36"/>
          <w:szCs w:val="44"/>
        </w:rPr>
        <w:br w:type="page"/>
      </w:r>
    </w:p>
    <w:p>
      <w:pPr>
        <w:pStyle w:val="1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w:t>
      </w:r>
      <w:r>
        <w:rPr>
          <w:rFonts w:hint="eastAsia" w:ascii="宋体" w:hAnsi="宋体" w:eastAsia="宋体" w:cs="宋体"/>
          <w:sz w:val="24"/>
          <w:szCs w:val="24"/>
          <w:lang w:val="en-US" w:eastAsia="zh-CN"/>
        </w:rPr>
        <w:t>账</w:t>
      </w:r>
      <w:r>
        <w:rPr>
          <w:rFonts w:hint="eastAsia" w:ascii="宋体" w:hAnsi="宋体" w:eastAsia="宋体" w:cs="宋体"/>
          <w:sz w:val="24"/>
          <w:szCs w:val="24"/>
        </w:rPr>
        <w:t>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5"/>
        <w:ind w:firstLine="480"/>
        <w:rPr>
          <w:rFonts w:hint="eastAsia" w:eastAsia="宋体" w:cs="宋体"/>
        </w:rPr>
      </w:pPr>
      <w:r>
        <w:rPr>
          <w:rFonts w:hint="eastAsia" w:eastAsia="宋体" w:cs="宋体"/>
        </w:rPr>
        <w:t>4.2招标人银行账户信息如下：见《投标须知前附表》4.2。</w:t>
      </w:r>
    </w:p>
    <w:p>
      <w:pPr>
        <w:pStyle w:val="115"/>
        <w:ind w:firstLine="480"/>
        <w:rPr>
          <w:rFonts w:hint="eastAsia" w:eastAsia="宋体" w:cs="宋体"/>
        </w:rPr>
      </w:pPr>
      <w:r>
        <w:rPr>
          <w:rFonts w:hint="eastAsia" w:eastAsia="宋体" w:cs="宋体"/>
        </w:rPr>
        <w:t>转账附言：公司名称+项目名称+投标保证金；</w:t>
      </w:r>
    </w:p>
    <w:p>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5"/>
        <w:ind w:firstLine="480"/>
        <w:rPr>
          <w:rFonts w:hint="eastAsia" w:eastAsia="宋体" w:cs="宋体"/>
        </w:rPr>
      </w:pPr>
      <w:r>
        <w:rPr>
          <w:rFonts w:hint="eastAsia" w:eastAsia="宋体" w:cs="宋体"/>
        </w:rPr>
        <w:t>4.3说明</w:t>
      </w:r>
    </w:p>
    <w:p>
      <w:pPr>
        <w:pStyle w:val="115"/>
        <w:ind w:firstLine="480"/>
        <w:rPr>
          <w:rFonts w:hint="eastAsia" w:eastAsia="宋体" w:cs="宋体"/>
        </w:rPr>
      </w:pPr>
      <w:r>
        <w:rPr>
          <w:rFonts w:hint="eastAsia" w:eastAsia="宋体" w:cs="宋体"/>
        </w:rPr>
        <w:t>4.3.1 投标人在向招标人出示《投标保证金缴纳凭证》后方可进行投标；</w:t>
      </w:r>
    </w:p>
    <w:p>
      <w:pPr>
        <w:pStyle w:val="115"/>
        <w:ind w:firstLine="480"/>
        <w:rPr>
          <w:rFonts w:hint="eastAsia" w:eastAsia="宋体" w:cs="宋体"/>
        </w:rPr>
      </w:pPr>
      <w:r>
        <w:rPr>
          <w:rFonts w:hint="eastAsia" w:eastAsia="宋体" w:cs="宋体"/>
        </w:rPr>
        <w:t>4.3.2 发生以下情况时，招标人有权没收保证金：</w:t>
      </w:r>
    </w:p>
    <w:p>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5"/>
        <w:ind w:firstLine="480"/>
        <w:rPr>
          <w:rFonts w:hint="eastAsia" w:eastAsia="宋体" w:cs="宋体"/>
        </w:rPr>
      </w:pPr>
      <w:r>
        <w:rPr>
          <w:rFonts w:hint="eastAsia" w:eastAsia="宋体" w:cs="宋体"/>
        </w:rPr>
        <w:t>4.3.2.2 投标人递送投标文件后，无正当理由放弃投标的；</w:t>
      </w:r>
    </w:p>
    <w:p>
      <w:pPr>
        <w:pStyle w:val="115"/>
        <w:ind w:firstLine="480"/>
        <w:rPr>
          <w:rFonts w:hint="eastAsia" w:eastAsia="宋体" w:cs="宋体"/>
        </w:rPr>
      </w:pPr>
      <w:r>
        <w:rPr>
          <w:rFonts w:hint="eastAsia" w:eastAsia="宋体" w:cs="宋体"/>
        </w:rPr>
        <w:t>4.3.2.3若为视频开标，招标过程中澄清函等资料原件未按要求提交的；</w:t>
      </w:r>
    </w:p>
    <w:p>
      <w:pPr>
        <w:pStyle w:val="115"/>
        <w:ind w:firstLine="480"/>
        <w:rPr>
          <w:rFonts w:hint="eastAsia" w:eastAsia="宋体" w:cs="宋体"/>
        </w:rPr>
      </w:pPr>
      <w:r>
        <w:rPr>
          <w:rFonts w:hint="eastAsia" w:eastAsia="宋体" w:cs="宋体"/>
        </w:rPr>
        <w:t>4.3.2.4自中标通知书发出之日起30日内，中标人无正当理由不签订合同的；</w:t>
      </w:r>
    </w:p>
    <w:p>
      <w:pPr>
        <w:pStyle w:val="115"/>
        <w:ind w:firstLine="480"/>
        <w:rPr>
          <w:rFonts w:hint="eastAsia"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5"/>
        <w:ind w:firstLine="480"/>
        <w:rPr>
          <w:rFonts w:hint="eastAsia" w:eastAsia="宋体" w:cs="宋体"/>
        </w:rPr>
      </w:pPr>
      <w:r>
        <w:rPr>
          <w:rFonts w:hint="eastAsia" w:eastAsia="宋体" w:cs="宋体"/>
        </w:rPr>
        <w:t>4.4投标报名截止时间</w:t>
      </w:r>
    </w:p>
    <w:p>
      <w:pPr>
        <w:pStyle w:val="115"/>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pPr>
        <w:pStyle w:val="115"/>
        <w:ind w:firstLine="480"/>
        <w:rPr>
          <w:rFonts w:hint="eastAsia" w:eastAsia="宋体" w:cs="宋体"/>
        </w:rPr>
      </w:pPr>
      <w:r>
        <w:rPr>
          <w:rFonts w:hint="eastAsia" w:eastAsia="宋体" w:cs="宋体"/>
        </w:rPr>
        <w:t>报名提交资料：均为盖章电子扫描版，用“公司名称+文件名称”命名。</w:t>
      </w:r>
    </w:p>
    <w:p>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hint="eastAsia" w:ascii="宋体" w:hAnsi="宋体" w:eastAsia="宋体" w:cs="宋体"/>
          <w:b/>
          <w:sz w:val="24"/>
          <w:szCs w:val="24"/>
        </w:rPr>
      </w:pPr>
      <w:bookmarkStart w:id="6" w:name="_Toc33285487"/>
      <w:bookmarkStart w:id="7" w:name="_Toc33265752"/>
      <w:bookmarkStart w:id="8" w:name="_Toc33265653"/>
      <w:bookmarkStart w:id="9" w:name="_Toc33266627"/>
      <w:bookmarkStart w:id="10" w:name="_Toc33266914"/>
      <w:bookmarkStart w:id="11" w:name="_Toc33266950"/>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1.评标（综合评分法）</w:t>
      </w:r>
    </w:p>
    <w:p>
      <w:pPr>
        <w:pStyle w:val="162"/>
        <w:numPr>
          <w:ilvl w:val="0"/>
          <w:numId w:val="0"/>
        </w:numPr>
        <w:ind w:firstLine="420"/>
        <w:rPr>
          <w:rFonts w:hint="eastAsia" w:ascii="宋体" w:hAnsi="宋体" w:eastAsia="宋体" w:cs="宋体"/>
          <w:b w:val="0"/>
          <w:bCs w:val="0"/>
          <w:color w:val="000000"/>
          <w:sz w:val="24"/>
          <w:szCs w:val="24"/>
        </w:rPr>
      </w:pPr>
      <w:bookmarkStart w:id="14" w:name="_Toc33265654"/>
      <w:bookmarkStart w:id="15" w:name="_Toc33265753"/>
      <w:bookmarkStart w:id="16" w:name="_Toc33285489"/>
      <w:bookmarkStart w:id="17" w:name="_Toc33266628"/>
      <w:bookmarkStart w:id="18" w:name="_Toc395116634"/>
      <w:bookmarkStart w:id="19" w:name="_Toc33266915"/>
      <w:bookmarkStart w:id="20" w:name="_Toc33267002"/>
      <w:bookmarkStart w:id="21" w:name="_Toc33266951"/>
      <w:r>
        <w:rPr>
          <w:rFonts w:hint="eastAsia" w:ascii="宋体" w:hAnsi="宋体" w:eastAsia="宋体" w:cs="宋体"/>
          <w:b w:val="0"/>
          <w:bCs w:val="0"/>
          <w:color w:val="000000"/>
          <w:sz w:val="24"/>
          <w:szCs w:val="24"/>
        </w:rPr>
        <w:t>本次招标采用综合评分法评标，即在最大限度地满足招标文件实质性要求的前提下，按照评分标准中规定的评分因素和评分细则进行综合评价、评分。</w:t>
      </w:r>
    </w:p>
    <w:p>
      <w:pPr>
        <w:pStyle w:val="162"/>
        <w:numPr>
          <w:ilvl w:val="0"/>
          <w:numId w:val="0"/>
        </w:numP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评标委员会各成员独立对每一份有效投标文件进行评价并对除报价以外的评分项目进行评分，报价得分由工作人员通过计算得出。</w:t>
      </w:r>
    </w:p>
    <w:p>
      <w:pPr>
        <w:pStyle w:val="162"/>
        <w:numPr>
          <w:ilvl w:val="0"/>
          <w:numId w:val="0"/>
        </w:numPr>
      </w:pPr>
      <w:r>
        <w:rPr>
          <w:rFonts w:hint="eastAsia" w:ascii="宋体" w:hAnsi="宋体" w:eastAsia="宋体" w:cs="宋体"/>
          <w:b w:val="0"/>
          <w:bCs w:val="0"/>
          <w:color w:val="000000"/>
          <w:sz w:val="24"/>
          <w:szCs w:val="24"/>
        </w:rPr>
        <w:t>投标人得分＝∑评委评价得分/评委人数＋商务标得分</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应标资格审查：在“中国重汽e采通”应标报名时，按照第一部分第四条投标文件编制资格证明文件中的1.1-1.11准备资料，上传完毕后，等待审核；</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商务标评审：商务条款相应确认→价格澄清→商务标评审；评审期间产生的商务价格澄清均由投标人在重汽e采通平台限时内完成提交；</w:t>
      </w:r>
    </w:p>
    <w:p>
      <w:pPr>
        <w:numPr>
          <w:ilvl w:val="0"/>
          <w:numId w:val="10"/>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注意：投标人均需要自带笔记本电脑在重汽e采通进行自主投标和提交澄清函；投标和提交澄清函均有时间限制，超时未提交的按无效处理。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spacing w:line="360" w:lineRule="auto"/>
        <w:ind w:firstLine="482" w:firstLineChars="200"/>
        <w:outlineLvl w:val="2"/>
        <w:rPr>
          <w:rFonts w:hint="eastAsia"/>
        </w:rPr>
      </w:pPr>
      <w:r>
        <w:rPr>
          <w:rFonts w:hint="eastAsia" w:ascii="宋体" w:hAnsi="宋体" w:eastAsia="宋体" w:cs="宋体"/>
          <w:b/>
          <w:bCs/>
          <w:color w:val="000000"/>
          <w:sz w:val="24"/>
          <w:szCs w:val="24"/>
        </w:rPr>
        <w:t>2.评分标准（综合评分法）</w:t>
      </w:r>
    </w:p>
    <w:p>
      <w:pPr>
        <w:keepNext/>
        <w:keepLines/>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详见附件14</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hint="eastAsia"/>
        </w:rPr>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8"/>
      <w:bookmarkStart w:id="24" w:name="OLE_LINK26"/>
      <w:bookmarkStart w:id="25" w:name="OLE_LINK27"/>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firstLine="48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2"/>
        <w:ind w:firstLine="480"/>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4.其他：</w:t>
      </w:r>
      <w:r>
        <w:rPr>
          <w:rFonts w:hint="default" w:ascii="宋体" w:hAnsi="宋体" w:eastAsia="宋体" w:cs="宋体"/>
          <w:b w:val="0"/>
          <w:bCs w:val="0"/>
          <w:color w:val="000000"/>
          <w:kern w:val="2"/>
          <w:sz w:val="24"/>
          <w:szCs w:val="24"/>
          <w:highlight w:val="none"/>
          <w:lang w:val="en-US" w:eastAsia="zh-CN" w:bidi="ar-SA"/>
        </w:rPr>
        <w:t>中标人在收到中标通知书后或合同签订后，非因招标人原因导致项目无法继续实施的，中标人应承担由此给招标人造成的一切损失（包括但不限于直接损失、间接损失</w:t>
      </w:r>
      <w:r>
        <w:rPr>
          <w:rFonts w:hint="eastAsia" w:ascii="宋体" w:hAnsi="宋体" w:cs="宋体"/>
          <w:b w:val="0"/>
          <w:bCs w:val="0"/>
          <w:color w:val="000000"/>
          <w:kern w:val="2"/>
          <w:sz w:val="24"/>
          <w:szCs w:val="24"/>
          <w:highlight w:val="none"/>
          <w:lang w:val="en-US" w:eastAsia="zh-CN" w:bidi="ar-SA"/>
        </w:rPr>
        <w:t>和</w:t>
      </w:r>
      <w:r>
        <w:rPr>
          <w:rFonts w:hint="default" w:ascii="宋体" w:hAnsi="宋体" w:eastAsia="宋体" w:cs="宋体"/>
          <w:b w:val="0"/>
          <w:bCs w:val="0"/>
          <w:color w:val="000000"/>
          <w:kern w:val="2"/>
          <w:sz w:val="24"/>
          <w:szCs w:val="24"/>
          <w:highlight w:val="none"/>
          <w:lang w:val="en-US" w:eastAsia="zh-CN" w:bidi="ar-SA"/>
        </w:rPr>
        <w:t>重新招标</w:t>
      </w:r>
      <w:r>
        <w:rPr>
          <w:rFonts w:hint="eastAsia" w:ascii="宋体" w:hAnsi="宋体" w:cs="宋体"/>
          <w:b w:val="0"/>
          <w:bCs w:val="0"/>
          <w:color w:val="000000"/>
          <w:kern w:val="2"/>
          <w:sz w:val="24"/>
          <w:szCs w:val="24"/>
          <w:highlight w:val="none"/>
          <w:lang w:val="en-US" w:eastAsia="zh-CN" w:bidi="ar-SA"/>
        </w:rPr>
        <w:t>等</w:t>
      </w:r>
      <w:r>
        <w:rPr>
          <w:rFonts w:hint="default" w:ascii="宋体" w:hAnsi="宋体" w:eastAsia="宋体" w:cs="宋体"/>
          <w:b w:val="0"/>
          <w:bCs w:val="0"/>
          <w:color w:val="000000"/>
          <w:kern w:val="2"/>
          <w:sz w:val="24"/>
          <w:szCs w:val="24"/>
          <w:highlight w:val="none"/>
          <w:lang w:val="en-US" w:eastAsia="zh-CN" w:bidi="ar-SA"/>
        </w:rPr>
        <w:t>费用），招标人有权单方解除合同，并不予退还</w:t>
      </w:r>
      <w:r>
        <w:rPr>
          <w:rFonts w:hint="eastAsia" w:ascii="宋体" w:hAnsi="宋体" w:cs="宋体"/>
          <w:b w:val="0"/>
          <w:bCs w:val="0"/>
          <w:color w:val="000000"/>
          <w:kern w:val="2"/>
          <w:sz w:val="24"/>
          <w:szCs w:val="24"/>
          <w:highlight w:val="none"/>
          <w:lang w:val="en-US" w:eastAsia="zh-CN" w:bidi="ar-SA"/>
        </w:rPr>
        <w:t>投标</w:t>
      </w:r>
      <w:r>
        <w:rPr>
          <w:rFonts w:hint="default" w:ascii="宋体" w:hAnsi="宋体" w:eastAsia="宋体" w:cs="宋体"/>
          <w:b w:val="0"/>
          <w:bCs w:val="0"/>
          <w:color w:val="000000"/>
          <w:kern w:val="2"/>
          <w:sz w:val="24"/>
          <w:szCs w:val="24"/>
          <w:highlight w:val="none"/>
          <w:lang w:val="en-US" w:eastAsia="zh-CN" w:bidi="ar-SA"/>
        </w:rPr>
        <w:t>保证金，同时保留追究中标人其他违约责任的权利。</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归中国重汽集团济南卡车股份有限公司。</w:t>
      </w:r>
    </w:p>
    <w:p>
      <w:pPr>
        <w:widowControl/>
        <w:jc w:val="left"/>
        <w:rPr>
          <w:rFonts w:ascii="Arial" w:hAnsi="Arial" w:eastAsia="宋体" w:cs="Times New Roman"/>
          <w:b/>
          <w:bCs/>
          <w:sz w:val="24"/>
          <w:szCs w:val="32"/>
        </w:rPr>
      </w:pPr>
      <w:r>
        <w:br w:type="page"/>
      </w:r>
    </w:p>
    <w:p>
      <w:pPr>
        <w:pStyle w:val="18"/>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2022年1月1日至今，企业近三年同类项目业绩证明，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rPr>
        <w:t>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2.3提供2022年1月1日以来同类产品的制造销售业绩（用户名单、联系方式），并附合同复印件。该同类项目业绩一览表必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11980"/>
      <w:bookmarkStart w:id="33" w:name="_Toc169605877"/>
      <w:r>
        <w:rPr>
          <w:rFonts w:hint="eastAsia" w:ascii="Calibri" w:hAnsi="Calibri" w:eastAsia="宋体" w:cs="Times New Roman"/>
          <w:b/>
          <w:bCs/>
          <w:kern w:val="44"/>
          <w:sz w:val="36"/>
          <w:szCs w:val="44"/>
        </w:rPr>
        <w:t>第四部分 技术标书</w:t>
      </w:r>
      <w:bookmarkEnd w:id="32"/>
    </w:p>
    <w:p>
      <w:pPr>
        <w:pStyle w:val="18"/>
      </w:pPr>
    </w:p>
    <w:p>
      <w:pPr>
        <w:keepNext/>
        <w:keepLines/>
        <w:jc w:val="center"/>
        <w:rPr>
          <w:rFonts w:hint="eastAsia" w:ascii="Calibri" w:hAnsi="宋体" w:eastAsia="宋体" w:cs="Times New Roman"/>
          <w:b/>
          <w:bCs/>
          <w:color w:val="000000"/>
          <w:spacing w:val="-8"/>
          <w:sz w:val="48"/>
          <w:szCs w:val="44"/>
        </w:rPr>
      </w:pPr>
    </w:p>
    <w:p>
      <w:pPr>
        <w:keepNext/>
        <w:keepLines/>
        <w:jc w:val="center"/>
        <w:rPr>
          <w:rFonts w:hint="eastAsia" w:ascii="Calibri" w:hAnsi="宋体" w:eastAsia="宋体" w:cs="Times New Roman"/>
          <w:b/>
          <w:bCs/>
          <w:color w:val="000000"/>
          <w:spacing w:val="-8"/>
          <w:sz w:val="48"/>
          <w:szCs w:val="44"/>
        </w:rPr>
      </w:pPr>
    </w:p>
    <w:p>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中国重汽集团济南卡车制造公司</w:t>
      </w:r>
    </w:p>
    <w:p>
      <w:pPr>
        <w:jc w:val="center"/>
        <w:rPr>
          <w:rFonts w:ascii="Calibri" w:hAnsi="Calibri" w:eastAsia="宋体" w:cs="Times New Roman"/>
          <w:b/>
          <w:bCs/>
          <w:color w:val="000000"/>
          <w:sz w:val="28"/>
          <w:szCs w:val="28"/>
        </w:rPr>
      </w:pPr>
      <w:r>
        <w:rPr>
          <w:rFonts w:hint="eastAsia" w:ascii="Calibri" w:hAnsi="Calibri" w:eastAsia="宋体" w:cs="Times New Roman"/>
          <w:b/>
          <w:bCs/>
          <w:color w:val="000000"/>
          <w:sz w:val="48"/>
          <w:szCs w:val="48"/>
          <w:lang w:val="en-US" w:eastAsia="zh-CN"/>
        </w:rPr>
        <w:t>党家庄</w:t>
      </w:r>
      <w:r>
        <w:rPr>
          <w:rFonts w:hint="eastAsia" w:ascii="Calibri" w:hAnsi="Calibri" w:eastAsia="宋体" w:cs="Times New Roman"/>
          <w:b/>
          <w:bCs/>
          <w:color w:val="000000"/>
          <w:sz w:val="48"/>
          <w:szCs w:val="48"/>
        </w:rPr>
        <w:t>厂区总三车间总装北线加固改造技改项目</w:t>
      </w:r>
    </w:p>
    <w:p>
      <w:pPr>
        <w:pStyle w:val="18"/>
      </w:pPr>
    </w:p>
    <w:p>
      <w:pPr>
        <w:pStyle w:val="18"/>
      </w:pPr>
    </w:p>
    <w:p>
      <w:pPr>
        <w:pStyle w:val="18"/>
      </w:pPr>
    </w:p>
    <w:p>
      <w:pPr>
        <w:pStyle w:val="18"/>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hint="eastAsia" w:ascii="黑体" w:hAnsi="宋体" w:eastAsia="黑体" w:cs="Times New Roman"/>
          <w:color w:val="000000"/>
          <w:sz w:val="72"/>
          <w:szCs w:val="72"/>
        </w:rPr>
      </w:pPr>
    </w:p>
    <w:p>
      <w:pPr>
        <w:pStyle w:val="18"/>
        <w:rPr>
          <w:b/>
          <w:bCs/>
        </w:rPr>
      </w:pPr>
    </w:p>
    <w:p>
      <w:pPr>
        <w:pStyle w:val="18"/>
        <w:rPr>
          <w:b/>
          <w:bCs/>
        </w:rPr>
      </w:pPr>
    </w:p>
    <w:p>
      <w:pPr>
        <w:pStyle w:val="18"/>
        <w:rPr>
          <w:b/>
          <w:bCs/>
        </w:rPr>
      </w:pPr>
    </w:p>
    <w:p>
      <w:pPr>
        <w:pStyle w:val="18"/>
        <w:rPr>
          <w:b/>
          <w:bCs/>
        </w:rPr>
      </w:pPr>
    </w:p>
    <w:p>
      <w:pPr>
        <w:pStyle w:val="18"/>
        <w:rPr>
          <w:b/>
          <w:bCs/>
        </w:rPr>
      </w:pPr>
    </w:p>
    <w:p>
      <w:pPr>
        <w:pStyle w:val="18"/>
        <w:rPr>
          <w:b/>
          <w:bCs/>
        </w:rPr>
      </w:pP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w:t>
      </w: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 xml:space="preserve">2026年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pStyle w:val="18"/>
        <w:rPr>
          <w:rFonts w:hint="eastAsia" w:ascii="华文仿宋" w:hAnsi="华文仿宋" w:eastAsia="华文仿宋"/>
          <w:b/>
          <w:bCs/>
          <w:sz w:val="32"/>
          <w:szCs w:val="28"/>
        </w:rPr>
      </w:pPr>
    </w:p>
    <w:p>
      <w:pPr>
        <w:spacing w:line="360" w:lineRule="auto"/>
        <w:rPr>
          <w:rFonts w:hint="eastAsia" w:ascii="宋体" w:hAnsi="宋体" w:eastAsia="宋体"/>
          <w:b/>
          <w:sz w:val="36"/>
          <w:szCs w:val="36"/>
        </w:rPr>
        <w:sectPr>
          <w:headerReference r:id="rId9" w:type="default"/>
          <w:footerReference r:id="rId10" w:type="default"/>
          <w:pgSz w:w="11907" w:h="16840"/>
          <w:pgMar w:top="1304" w:right="1418" w:bottom="1304" w:left="1418" w:header="724" w:footer="851" w:gutter="0"/>
          <w:pgNumType w:start="1"/>
          <w:cols w:space="720" w:num="1"/>
          <w:docGrid w:linePitch="290" w:charSpace="-3931"/>
        </w:sectPr>
      </w:pPr>
    </w:p>
    <w:p>
      <w:pPr>
        <w:keepNext/>
        <w:keepLines/>
        <w:spacing w:before="120" w:after="120" w:line="480" w:lineRule="exact"/>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第一章采购货物概况</w:t>
      </w:r>
    </w:p>
    <w:p>
      <w:pPr>
        <w:keepNext/>
        <w:keepLines/>
        <w:spacing w:before="120" w:after="120" w:line="480" w:lineRule="exact"/>
        <w:jc w:val="center"/>
        <w:outlineLvl w:val="2"/>
        <w:rPr>
          <w:rFonts w:hint="eastAsia" w:ascii="宋体" w:hAnsi="宋体" w:eastAsia="宋体"/>
          <w:b/>
          <w:bCs/>
          <w:sz w:val="24"/>
          <w:szCs w:val="24"/>
        </w:rPr>
      </w:pPr>
      <w:bookmarkStart w:id="34" w:name="_Toc169605878"/>
      <w:r>
        <w:rPr>
          <w:rFonts w:hint="eastAsia" w:ascii="宋体" w:hAnsi="宋体" w:eastAsia="宋体"/>
          <w:b/>
          <w:bCs/>
          <w:sz w:val="24"/>
          <w:szCs w:val="24"/>
        </w:rPr>
        <w:t>第一节使用环境</w:t>
      </w:r>
      <w:bookmarkEnd w:id="34"/>
    </w:p>
    <w:p>
      <w:pPr>
        <w:spacing w:line="360" w:lineRule="auto"/>
        <w:rPr>
          <w:rFonts w:hint="eastAsia" w:ascii="宋体" w:hAnsi="宋体" w:eastAsia="宋体"/>
          <w:sz w:val="24"/>
          <w:szCs w:val="24"/>
          <w:u w:val="single"/>
        </w:rPr>
      </w:pPr>
      <w:r>
        <w:rPr>
          <w:rFonts w:hint="eastAsia" w:ascii="宋体" w:hAnsi="宋体" w:eastAsia="宋体"/>
          <w:sz w:val="24"/>
          <w:szCs w:val="24"/>
        </w:rPr>
        <w:t>一、项目名称：</w:t>
      </w:r>
      <w:r>
        <w:rPr>
          <w:rFonts w:hint="eastAsia" w:ascii="宋体" w:hAnsi="宋体" w:eastAsia="宋体" w:cs="宋体"/>
          <w:sz w:val="24"/>
          <w:szCs w:val="24"/>
          <w:u w:val="single"/>
        </w:rPr>
        <w:t>济南卡车制造公司党家庄厂区总三车间总装北线加固改造技改项目</w:t>
      </w:r>
    </w:p>
    <w:p>
      <w:pPr>
        <w:spacing w:line="360" w:lineRule="auto"/>
        <w:outlineLvl w:val="3"/>
        <w:rPr>
          <w:rFonts w:hint="eastAsia"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山东省济南市市中区党家庄镇南首中国重汽集团济南卡车股份有限公司党家庄工厂</w:t>
      </w:r>
    </w:p>
    <w:p>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山东省济南市市中区党家庄镇南首中国重汽集团济南卡车股份有限公司党家庄工厂</w:t>
      </w:r>
    </w:p>
    <w:p>
      <w:pPr>
        <w:pStyle w:val="129"/>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8"/>
        <w:tabs>
          <w:tab w:val="left" w:pos="1134"/>
        </w:tabs>
        <w:spacing w:line="360" w:lineRule="auto"/>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8"/>
        <w:tabs>
          <w:tab w:val="left" w:pos="1134"/>
        </w:tabs>
        <w:spacing w:line="360" w:lineRule="auto"/>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keepNext/>
        <w:keepLines/>
        <w:spacing w:before="120" w:after="120" w:line="480" w:lineRule="exact"/>
        <w:jc w:val="center"/>
        <w:outlineLvl w:val="2"/>
        <w:rPr>
          <w:rFonts w:hint="eastAsia" w:ascii="宋体" w:hAnsi="宋体" w:eastAsia="宋体"/>
          <w:b/>
          <w:bCs/>
          <w:sz w:val="24"/>
          <w:szCs w:val="24"/>
        </w:rPr>
      </w:pPr>
      <w:r>
        <w:rPr>
          <w:rFonts w:hint="eastAsia" w:ascii="宋体" w:hAnsi="宋体" w:eastAsia="宋体"/>
          <w:b/>
          <w:bCs/>
          <w:sz w:val="24"/>
          <w:szCs w:val="24"/>
        </w:rPr>
        <w:t>第二节采购货物概况</w:t>
      </w:r>
    </w:p>
    <w:p>
      <w:pPr>
        <w:pStyle w:val="129"/>
        <w:numPr>
          <w:ilvl w:val="0"/>
          <w:numId w:val="11"/>
        </w:numPr>
        <w:spacing w:line="420" w:lineRule="exact"/>
        <w:ind w:firstLineChars="0"/>
        <w:outlineLvl w:val="3"/>
        <w:rPr>
          <w:rFonts w:hint="eastAsia" w:ascii="宋体" w:hAnsi="宋体" w:eastAsia="宋体"/>
          <w:bCs/>
          <w:sz w:val="24"/>
          <w:szCs w:val="24"/>
        </w:rPr>
      </w:pPr>
      <w:r>
        <w:rPr>
          <w:rFonts w:hint="eastAsia" w:ascii="宋体" w:hAnsi="宋体" w:eastAsia="宋体"/>
          <w:b/>
          <w:sz w:val="24"/>
          <w:szCs w:val="24"/>
        </w:rPr>
        <w:t>货物名称：总三车间总装北线加固改造设备设施</w:t>
      </w:r>
    </w:p>
    <w:p>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9"/>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5250"/>
        <w:gridCol w:w="3022"/>
        <w:gridCol w:w="1185"/>
        <w:gridCol w:w="1167"/>
        <w:gridCol w:w="1682"/>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5" w:type="pct"/>
            <w:vAlign w:val="center"/>
          </w:tcPr>
          <w:p>
            <w:pPr>
              <w:spacing w:line="360" w:lineRule="exact"/>
              <w:jc w:val="center"/>
              <w:rPr>
                <w:rFonts w:hint="eastAsia" w:ascii="宋体" w:hAnsi="宋体" w:eastAsia="宋体"/>
                <w:b/>
                <w:sz w:val="24"/>
                <w:szCs w:val="28"/>
              </w:rPr>
            </w:pPr>
            <w:r>
              <w:rPr>
                <w:rFonts w:hint="eastAsia" w:ascii="宋体" w:hAnsi="宋体" w:eastAsia="宋体"/>
                <w:b/>
                <w:sz w:val="24"/>
                <w:szCs w:val="28"/>
              </w:rPr>
              <w:t>序号</w:t>
            </w:r>
          </w:p>
        </w:tc>
        <w:tc>
          <w:tcPr>
            <w:tcW w:w="1786" w:type="pct"/>
            <w:vAlign w:val="center"/>
          </w:tcPr>
          <w:p>
            <w:pPr>
              <w:spacing w:line="360" w:lineRule="exact"/>
              <w:jc w:val="center"/>
              <w:rPr>
                <w:rFonts w:hint="eastAsia" w:ascii="宋体" w:hAnsi="宋体" w:eastAsia="宋体"/>
                <w:b/>
                <w:sz w:val="24"/>
                <w:szCs w:val="28"/>
              </w:rPr>
            </w:pPr>
            <w:r>
              <w:rPr>
                <w:rFonts w:hint="eastAsia" w:ascii="宋体" w:hAnsi="宋体" w:eastAsia="宋体"/>
                <w:b/>
                <w:sz w:val="24"/>
                <w:szCs w:val="28"/>
              </w:rPr>
              <w:t>名称</w:t>
            </w:r>
          </w:p>
        </w:tc>
        <w:tc>
          <w:tcPr>
            <w:tcW w:w="1028" w:type="pct"/>
            <w:vAlign w:val="center"/>
          </w:tcPr>
          <w:p>
            <w:pPr>
              <w:spacing w:line="360" w:lineRule="exact"/>
              <w:jc w:val="center"/>
              <w:rPr>
                <w:rFonts w:hint="eastAsia" w:ascii="宋体" w:hAnsi="宋体" w:eastAsia="宋体"/>
                <w:b/>
                <w:sz w:val="24"/>
                <w:szCs w:val="28"/>
              </w:rPr>
            </w:pPr>
            <w:r>
              <w:rPr>
                <w:rFonts w:hint="eastAsia" w:ascii="宋体" w:hAnsi="宋体" w:eastAsia="宋体"/>
                <w:b/>
                <w:sz w:val="24"/>
                <w:szCs w:val="28"/>
              </w:rPr>
              <w:t>规格</w:t>
            </w:r>
          </w:p>
        </w:tc>
        <w:tc>
          <w:tcPr>
            <w:tcW w:w="403" w:type="pct"/>
            <w:vAlign w:val="center"/>
          </w:tcPr>
          <w:p>
            <w:pPr>
              <w:spacing w:line="360" w:lineRule="exact"/>
              <w:jc w:val="center"/>
              <w:rPr>
                <w:rFonts w:hint="eastAsia" w:ascii="宋体" w:hAnsi="宋体" w:eastAsia="宋体"/>
                <w:b/>
                <w:sz w:val="24"/>
                <w:szCs w:val="28"/>
              </w:rPr>
            </w:pPr>
            <w:r>
              <w:rPr>
                <w:rFonts w:hint="eastAsia" w:ascii="宋体" w:hAnsi="宋体" w:eastAsia="宋体"/>
                <w:b/>
                <w:sz w:val="24"/>
                <w:szCs w:val="28"/>
              </w:rPr>
              <w:t>单位</w:t>
            </w:r>
          </w:p>
        </w:tc>
        <w:tc>
          <w:tcPr>
            <w:tcW w:w="397" w:type="pct"/>
            <w:vAlign w:val="center"/>
          </w:tcPr>
          <w:p>
            <w:pPr>
              <w:spacing w:line="360" w:lineRule="exact"/>
              <w:jc w:val="center"/>
              <w:rPr>
                <w:rFonts w:hint="eastAsia" w:ascii="宋体" w:hAnsi="宋体" w:eastAsia="宋体"/>
                <w:b/>
                <w:sz w:val="24"/>
                <w:szCs w:val="28"/>
              </w:rPr>
            </w:pPr>
            <w:r>
              <w:rPr>
                <w:rFonts w:hint="eastAsia" w:ascii="宋体" w:hAnsi="宋体" w:eastAsia="宋体"/>
                <w:b/>
                <w:sz w:val="24"/>
                <w:szCs w:val="28"/>
              </w:rPr>
              <w:t>数量</w:t>
            </w:r>
          </w:p>
        </w:tc>
        <w:tc>
          <w:tcPr>
            <w:tcW w:w="572" w:type="pct"/>
            <w:vAlign w:val="center"/>
          </w:tcPr>
          <w:p>
            <w:pPr>
              <w:spacing w:line="360" w:lineRule="exact"/>
              <w:jc w:val="center"/>
              <w:rPr>
                <w:rFonts w:ascii="宋体" w:hAnsi="宋体" w:eastAsia="宋体"/>
                <w:b/>
                <w:sz w:val="24"/>
                <w:szCs w:val="28"/>
              </w:rPr>
            </w:pPr>
            <w:r>
              <w:rPr>
                <w:rFonts w:hint="eastAsia" w:ascii="宋体" w:hAnsi="宋体" w:eastAsia="宋体"/>
                <w:b/>
                <w:sz w:val="24"/>
                <w:szCs w:val="28"/>
              </w:rPr>
              <w:t>交货方式</w:t>
            </w:r>
          </w:p>
        </w:tc>
        <w:tc>
          <w:tcPr>
            <w:tcW w:w="507" w:type="pct"/>
            <w:vAlign w:val="center"/>
          </w:tcPr>
          <w:p>
            <w:pPr>
              <w:spacing w:line="360" w:lineRule="exact"/>
              <w:jc w:val="center"/>
              <w:rPr>
                <w:rFonts w:ascii="宋体" w:hAnsi="宋体" w:eastAsia="宋体"/>
                <w:b/>
                <w:sz w:val="24"/>
                <w:szCs w:val="28"/>
              </w:rPr>
            </w:pPr>
            <w:r>
              <w:rPr>
                <w:rFonts w:hint="eastAsia" w:ascii="宋体" w:hAnsi="宋体" w:eastAsia="宋体"/>
                <w:b/>
                <w:sz w:val="24"/>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1</w:t>
            </w:r>
          </w:p>
        </w:tc>
        <w:tc>
          <w:tcPr>
            <w:tcW w:w="1786" w:type="pct"/>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更换15kW电机减速机</w:t>
            </w:r>
          </w:p>
        </w:tc>
        <w:tc>
          <w:tcPr>
            <w:tcW w:w="1028" w:type="pct"/>
            <w:vAlign w:val="center"/>
          </w:tcPr>
          <w:p>
            <w:pPr>
              <w:spacing w:line="360" w:lineRule="auto"/>
              <w:jc w:val="center"/>
              <w:rPr>
                <w:rFonts w:hint="default"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SEW一级能效</w:t>
            </w:r>
          </w:p>
        </w:tc>
        <w:tc>
          <w:tcPr>
            <w:tcW w:w="403" w:type="pct"/>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套</w:t>
            </w:r>
          </w:p>
        </w:tc>
        <w:tc>
          <w:tcPr>
            <w:tcW w:w="397" w:type="pct"/>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1</w:t>
            </w:r>
          </w:p>
        </w:tc>
        <w:tc>
          <w:tcPr>
            <w:tcW w:w="572" w:type="pct"/>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2</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更换5.5kW电机减速机</w:t>
            </w:r>
          </w:p>
        </w:tc>
        <w:tc>
          <w:tcPr>
            <w:tcW w:w="1028" w:type="pct"/>
            <w:vAlign w:val="center"/>
          </w:tcPr>
          <w:p>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SEW一级能效</w:t>
            </w:r>
          </w:p>
        </w:tc>
        <w:tc>
          <w:tcPr>
            <w:tcW w:w="403"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97"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3</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电气系统配套更换</w:t>
            </w:r>
          </w:p>
        </w:tc>
        <w:tc>
          <w:tcPr>
            <w:tcW w:w="1028" w:type="pct"/>
            <w:vAlign w:val="center"/>
          </w:tcPr>
          <w:p>
            <w:pPr>
              <w:spacing w:line="360" w:lineRule="auto"/>
              <w:jc w:val="center"/>
              <w:rPr>
                <w:rFonts w:hint="default"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97"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4</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加固地拖链、双板链线体中间骨架</w:t>
            </w:r>
          </w:p>
        </w:tc>
        <w:tc>
          <w:tcPr>
            <w:tcW w:w="1028" w:type="pct"/>
            <w:vAlign w:val="center"/>
          </w:tcPr>
          <w:p>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5</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地拖链增加承载横梁</w:t>
            </w:r>
          </w:p>
        </w:tc>
        <w:tc>
          <w:tcPr>
            <w:tcW w:w="1028" w:type="pct"/>
            <w:vAlign w:val="center"/>
          </w:tcPr>
          <w:p>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6</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检修地拖链链条行走轨道、链条返回轨道</w:t>
            </w:r>
          </w:p>
        </w:tc>
        <w:tc>
          <w:tcPr>
            <w:tcW w:w="1028" w:type="pct"/>
            <w:vAlign w:val="center"/>
          </w:tcPr>
          <w:p>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7</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加固地拖链、双板链两侧地坑盖板及支架支撑</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8</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加固地拖链和双板链驱动部分、涨紧部分</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9</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更换双板链链板</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10</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检修双板链承重轨道、返回轨道</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11</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更换地拖链420米轨道</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12</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更换地拖链防护胶皮</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05"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13</w:t>
            </w:r>
          </w:p>
        </w:tc>
        <w:tc>
          <w:tcPr>
            <w:tcW w:w="1786" w:type="pct"/>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更换地拖链、双板链滚轮轴承</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05" w:type="pct"/>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w:t>
            </w:r>
          </w:p>
        </w:tc>
        <w:tc>
          <w:tcPr>
            <w:tcW w:w="1786" w:type="pct"/>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线体地下地坑照明设备</w:t>
            </w:r>
          </w:p>
        </w:tc>
        <w:tc>
          <w:tcPr>
            <w:tcW w:w="1028" w:type="pct"/>
            <w:vAlign w:val="center"/>
          </w:tcPr>
          <w:p>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交钥匙方式</w:t>
            </w:r>
          </w:p>
        </w:tc>
        <w:tc>
          <w:tcPr>
            <w:tcW w:w="507" w:type="pct"/>
            <w:vAlign w:val="center"/>
          </w:tcPr>
          <w:p>
            <w:pPr>
              <w:spacing w:line="360" w:lineRule="auto"/>
              <w:jc w:val="center"/>
              <w:rPr>
                <w:rFonts w:ascii="宋体" w:hAnsi="宋体" w:eastAsia="宋体"/>
                <w:bCs/>
                <w:sz w:val="24"/>
                <w:szCs w:val="24"/>
              </w:rPr>
            </w:pPr>
          </w:p>
        </w:tc>
      </w:tr>
    </w:tbl>
    <w:p>
      <w:pPr>
        <w:spacing w:line="360" w:lineRule="auto"/>
        <w:ind w:firstLine="482" w:firstLineChars="200"/>
        <w:rPr>
          <w:rFonts w:hint="eastAsia" w:ascii="宋体" w:hAnsi="宋体" w:eastAsia="宋体" w:cs="宋体"/>
          <w:b/>
          <w:bCs w:val="0"/>
          <w:sz w:val="24"/>
          <w:szCs w:val="24"/>
        </w:rPr>
      </w:pPr>
      <w:r>
        <w:rPr>
          <w:rFonts w:hint="eastAsia" w:ascii="宋体" w:hAnsi="宋体" w:eastAsia="宋体" w:cs="宋体"/>
          <w:b/>
          <w:bCs w:val="0"/>
          <w:sz w:val="24"/>
          <w:szCs w:val="24"/>
        </w:rPr>
        <w:t>备注：</w:t>
      </w:r>
    </w:p>
    <w:p>
      <w:pPr>
        <w:numPr>
          <w:ilvl w:val="0"/>
          <w:numId w:val="12"/>
        </w:numPr>
        <w:spacing w:line="360" w:lineRule="auto"/>
        <w:ind w:left="0" w:leftChars="0" w:firstLine="482" w:firstLineChars="200"/>
        <w:rPr>
          <w:rFonts w:hint="eastAsia" w:ascii="宋体" w:hAnsi="宋体" w:eastAsia="宋体" w:cs="宋体"/>
          <w:bCs/>
          <w:sz w:val="24"/>
          <w:szCs w:val="24"/>
          <w:highlight w:val="yellow"/>
        </w:rPr>
      </w:pPr>
      <w:r>
        <w:rPr>
          <w:rFonts w:hint="eastAsia" w:ascii="宋体" w:hAnsi="宋体" w:eastAsia="宋体" w:cs="宋体"/>
          <w:b/>
          <w:bCs w:val="0"/>
          <w:sz w:val="24"/>
          <w:szCs w:val="24"/>
          <w:highlight w:val="yellow"/>
          <w:lang w:val="en-US" w:eastAsia="zh-CN"/>
        </w:rPr>
        <w:t>投标文件中须包含三维设计图及计算校核书等核算依据，并注明所选用物料的规格、型号及材质等关键技术参数；该项目所用加固件的尺寸、选型及材质等，需根据核算依据确定，最终以现场实际情况和会签图纸为准。</w:t>
      </w:r>
    </w:p>
    <w:p>
      <w:pPr>
        <w:numPr>
          <w:ilvl w:val="0"/>
          <w:numId w:val="12"/>
        </w:numPr>
        <w:spacing w:line="360" w:lineRule="auto"/>
        <w:ind w:left="0" w:leftChars="0" w:firstLine="480" w:firstLineChars="200"/>
        <w:rPr>
          <w:rFonts w:hint="eastAsia" w:ascii="宋体" w:hAnsi="宋体" w:eastAsia="宋体" w:cs="宋体"/>
          <w:bCs/>
          <w:sz w:val="24"/>
          <w:szCs w:val="24"/>
        </w:rPr>
      </w:pPr>
      <w:r>
        <w:rPr>
          <w:rFonts w:hint="eastAsia" w:ascii="宋体" w:hAnsi="宋体" w:eastAsia="宋体" w:cs="宋体"/>
          <w:bCs/>
          <w:sz w:val="24"/>
          <w:szCs w:val="24"/>
        </w:rPr>
        <w:t>本表所列采购设备仅为主要设备明细，应配套供货以及招标人所列其它货物（或设备）和服务，请投标人认真阅读“供货范围”。若有异议，不管是多么微小，都应在投标文件“商务偏离”章节中予以详细说明。</w:t>
      </w:r>
    </w:p>
    <w:p>
      <w:pPr>
        <w:numPr>
          <w:ilvl w:val="0"/>
          <w:numId w:val="12"/>
        </w:numPr>
        <w:spacing w:line="360" w:lineRule="auto"/>
        <w:ind w:left="0" w:leftChars="0" w:firstLine="480" w:firstLineChars="200"/>
        <w:rPr>
          <w:rFonts w:hint="eastAsia" w:eastAsia="宋体"/>
          <w:b/>
          <w:bCs w:val="0"/>
          <w:highlight w:val="none"/>
          <w:lang w:val="en-US" w:eastAsia="zh-CN"/>
        </w:rPr>
      </w:pPr>
      <w:r>
        <w:rPr>
          <w:rFonts w:hint="eastAsia" w:ascii="宋体" w:hAnsi="宋体" w:eastAsia="宋体" w:cs="宋体"/>
          <w:bCs/>
          <w:sz w:val="24"/>
          <w:szCs w:val="24"/>
          <w:highlight w:val="none"/>
        </w:rPr>
        <w:t>本表“供货方式”指：交钥匙方式——包括制造、运输、定点卸货、安装、调试和协助验收以及培训等。</w:t>
      </w:r>
    </w:p>
    <w:p>
      <w:pPr>
        <w:pStyle w:val="13"/>
        <w:rPr>
          <w:rFonts w:hint="eastAsia"/>
        </w:rPr>
      </w:pPr>
    </w:p>
    <w:p>
      <w:pPr>
        <w:spacing w:line="360" w:lineRule="auto"/>
        <w:outlineLvl w:val="3"/>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b/>
          <w:color w:val="000000"/>
          <w:sz w:val="24"/>
          <w:szCs w:val="24"/>
        </w:rPr>
        <w:t>、采购货物特别说明</w:t>
      </w:r>
    </w:p>
    <w:p>
      <w:pPr>
        <w:spacing w:line="360" w:lineRule="auto"/>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rPr>
        <w:t>主要器件品牌表：</w:t>
      </w:r>
      <w:r>
        <w:rPr>
          <w:rFonts w:hint="eastAsia" w:ascii="宋体" w:hAnsi="宋体" w:eastAsia="宋体" w:cs="宋体"/>
          <w:bCs/>
          <w:sz w:val="24"/>
          <w:szCs w:val="24"/>
          <w:lang w:val="en-US" w:eastAsia="zh-CN"/>
        </w:rPr>
        <w:t>(仅供参考)</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元器件建议按照下表清单中的标准选用，投标方投标时提供选用规格清单,最终规格待图纸会签时确定，</w:t>
      </w:r>
      <w:r>
        <w:rPr>
          <w:rFonts w:hint="eastAsia" w:ascii="宋体" w:hAnsi="宋体" w:eastAsia="宋体" w:cs="宋体"/>
          <w:bCs/>
          <w:sz w:val="24"/>
          <w:szCs w:val="24"/>
          <w:highlight w:val="yellow"/>
        </w:rPr>
        <w:t>可选同等或国内一流品牌。</w:t>
      </w:r>
    </w:p>
    <w:tbl>
      <w:tblPr>
        <w:tblStyle w:val="3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3039"/>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pPr>
              <w:widowControl/>
              <w:spacing w:line="320" w:lineRule="exact"/>
              <w:jc w:val="center"/>
              <w:rPr>
                <w:rFonts w:hint="eastAsia" w:ascii="宋体" w:hAnsi="宋体" w:eastAsia="宋体" w:cs="宋体"/>
                <w:b/>
                <w:bCs/>
                <w:kern w:val="0"/>
                <w:szCs w:val="21"/>
              </w:rPr>
            </w:pPr>
            <w:r>
              <w:rPr>
                <w:rFonts w:hint="eastAsia" w:ascii="宋体" w:hAnsi="宋体" w:eastAsia="宋体" w:cs="宋体"/>
                <w:b/>
                <w:bCs/>
                <w:kern w:val="0"/>
                <w:szCs w:val="21"/>
              </w:rPr>
              <w:t>序号</w:t>
            </w:r>
          </w:p>
        </w:tc>
        <w:tc>
          <w:tcPr>
            <w:tcW w:w="3039" w:type="dxa"/>
            <w:vAlign w:val="center"/>
          </w:tcPr>
          <w:p>
            <w:pPr>
              <w:widowControl/>
              <w:spacing w:line="320" w:lineRule="exact"/>
              <w:jc w:val="center"/>
              <w:rPr>
                <w:rFonts w:hint="eastAsia" w:ascii="宋体" w:hAnsi="宋体" w:eastAsia="宋体" w:cs="宋体"/>
                <w:b/>
                <w:bCs/>
                <w:kern w:val="0"/>
                <w:szCs w:val="21"/>
              </w:rPr>
            </w:pPr>
            <w:r>
              <w:rPr>
                <w:rFonts w:hint="eastAsia" w:ascii="宋体" w:hAnsi="宋体" w:eastAsia="宋体" w:cs="宋体"/>
                <w:b/>
                <w:bCs/>
                <w:kern w:val="0"/>
                <w:szCs w:val="21"/>
              </w:rPr>
              <w:t>名     称</w:t>
            </w:r>
          </w:p>
        </w:tc>
        <w:tc>
          <w:tcPr>
            <w:tcW w:w="5370" w:type="dxa"/>
            <w:vAlign w:val="center"/>
          </w:tcPr>
          <w:p>
            <w:pPr>
              <w:widowControl/>
              <w:spacing w:line="320" w:lineRule="exact"/>
              <w:jc w:val="center"/>
              <w:rPr>
                <w:rFonts w:hint="eastAsia" w:ascii="宋体" w:hAnsi="宋体" w:eastAsia="宋体" w:cs="宋体"/>
                <w:b/>
                <w:bCs/>
                <w:kern w:val="0"/>
                <w:szCs w:val="21"/>
              </w:rPr>
            </w:pPr>
            <w:r>
              <w:rPr>
                <w:rFonts w:hint="eastAsia" w:ascii="宋体" w:hAnsi="宋体" w:eastAsia="宋体" w:cs="宋体"/>
                <w:b/>
                <w:bCs/>
                <w:kern w:val="0"/>
                <w:szCs w:val="21"/>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pPr>
              <w:widowControl/>
              <w:spacing w:line="320" w:lineRule="exact"/>
              <w:jc w:val="center"/>
              <w:rPr>
                <w:rFonts w:hint="eastAsia" w:ascii="宋体" w:hAnsi="宋体" w:eastAsia="宋体" w:cs="宋体"/>
                <w:kern w:val="0"/>
                <w:szCs w:val="21"/>
              </w:rPr>
            </w:pPr>
            <w:r>
              <w:rPr>
                <w:rFonts w:hint="eastAsia" w:ascii="宋体" w:hAnsi="宋体" w:eastAsia="宋体" w:cs="宋体"/>
                <w:kern w:val="0"/>
                <w:szCs w:val="21"/>
              </w:rPr>
              <w:t>1</w:t>
            </w:r>
          </w:p>
        </w:tc>
        <w:tc>
          <w:tcPr>
            <w:tcW w:w="3039" w:type="dxa"/>
            <w:vAlign w:val="center"/>
          </w:tcPr>
          <w:p>
            <w:pPr>
              <w:jc w:val="center"/>
              <w:rPr>
                <w:rFonts w:hint="eastAsia" w:ascii="宋体" w:hAnsi="宋体" w:eastAsia="宋体" w:cs="宋体"/>
                <w:color w:val="000000"/>
                <w:szCs w:val="21"/>
              </w:rPr>
            </w:pPr>
            <w:r>
              <w:rPr>
                <w:rFonts w:hint="eastAsia" w:ascii="宋体" w:hAnsi="宋体" w:eastAsia="宋体" w:cs="宋体"/>
                <w:b/>
                <w:bCs/>
                <w:color w:val="000000"/>
                <w:szCs w:val="21"/>
              </w:rPr>
              <w:t>变频器</w:t>
            </w:r>
          </w:p>
        </w:tc>
        <w:tc>
          <w:tcPr>
            <w:tcW w:w="5370" w:type="dxa"/>
            <w:vAlign w:val="center"/>
          </w:tcPr>
          <w:p>
            <w:pPr>
              <w:widowControl/>
              <w:spacing w:line="320" w:lineRule="exact"/>
              <w:jc w:val="center"/>
              <w:rPr>
                <w:rFonts w:hint="eastAsia" w:ascii="宋体" w:hAnsi="宋体" w:eastAsia="宋体" w:cs="宋体"/>
                <w:kern w:val="0"/>
                <w:szCs w:val="21"/>
              </w:rPr>
            </w:pPr>
            <w:r>
              <w:rPr>
                <w:rFonts w:hint="eastAsia" w:ascii="宋体" w:hAnsi="宋体" w:eastAsia="宋体" w:cs="宋体"/>
                <w:kern w:val="0"/>
                <w:szCs w:val="21"/>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pPr>
              <w:widowControl/>
              <w:spacing w:line="320" w:lineRule="exact"/>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2</w:t>
            </w:r>
          </w:p>
        </w:tc>
        <w:tc>
          <w:tcPr>
            <w:tcW w:w="3039" w:type="dxa"/>
            <w:vAlign w:val="center"/>
          </w:tcPr>
          <w:p>
            <w:pPr>
              <w:jc w:val="center"/>
              <w:rPr>
                <w:rFonts w:hint="eastAsia" w:ascii="宋体" w:hAnsi="宋体" w:eastAsia="宋体" w:cs="宋体"/>
                <w:b/>
                <w:bCs/>
                <w:color w:val="000000"/>
                <w:szCs w:val="21"/>
              </w:rPr>
            </w:pPr>
            <w:r>
              <w:rPr>
                <w:rFonts w:hint="eastAsia" w:ascii="宋体" w:hAnsi="宋体" w:eastAsia="宋体" w:cs="宋体"/>
                <w:b/>
                <w:bCs/>
                <w:color w:val="000000"/>
                <w:szCs w:val="21"/>
              </w:rPr>
              <w:t>电机</w:t>
            </w:r>
          </w:p>
        </w:tc>
        <w:tc>
          <w:tcPr>
            <w:tcW w:w="5370" w:type="dxa"/>
            <w:vAlign w:val="center"/>
          </w:tcPr>
          <w:p>
            <w:pPr>
              <w:widowControl/>
              <w:spacing w:line="320" w:lineRule="exact"/>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SEW</w:t>
            </w:r>
            <w:r>
              <w:rPr>
                <w:rFonts w:hint="eastAsia" w:ascii="宋体" w:hAnsi="宋体" w:eastAsia="宋体" w:cs="宋体"/>
                <w:kern w:val="0"/>
                <w:szCs w:val="21"/>
              </w:rPr>
              <w:t>一级</w:t>
            </w:r>
            <w:r>
              <w:rPr>
                <w:rFonts w:hint="eastAsia" w:ascii="宋体" w:hAnsi="宋体" w:eastAsia="宋体" w:cs="宋体"/>
                <w:kern w:val="0"/>
                <w:szCs w:val="21"/>
                <w:lang w:val="en-US" w:eastAsia="zh-CN"/>
              </w:rPr>
              <w:t>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pPr>
              <w:widowControl/>
              <w:spacing w:line="320" w:lineRule="exact"/>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3</w:t>
            </w:r>
          </w:p>
        </w:tc>
        <w:tc>
          <w:tcPr>
            <w:tcW w:w="3039" w:type="dxa"/>
            <w:vAlign w:val="center"/>
          </w:tcPr>
          <w:p>
            <w:pPr>
              <w:jc w:val="center"/>
              <w:rPr>
                <w:rFonts w:hint="eastAsia" w:ascii="宋体" w:hAnsi="宋体" w:eastAsia="宋体" w:cs="宋体"/>
                <w:b/>
                <w:bCs/>
                <w:color w:val="000000"/>
                <w:szCs w:val="21"/>
              </w:rPr>
            </w:pPr>
            <w:r>
              <w:rPr>
                <w:rFonts w:hint="eastAsia" w:ascii="宋体" w:hAnsi="宋体" w:eastAsia="宋体" w:cs="宋体"/>
                <w:b/>
                <w:bCs/>
                <w:color w:val="000000"/>
                <w:szCs w:val="21"/>
              </w:rPr>
              <w:t>数字量输入模块</w:t>
            </w:r>
          </w:p>
        </w:tc>
        <w:tc>
          <w:tcPr>
            <w:tcW w:w="5370" w:type="dxa"/>
            <w:vAlign w:val="center"/>
          </w:tcPr>
          <w:p>
            <w:pPr>
              <w:widowControl/>
              <w:spacing w:line="320" w:lineRule="exact"/>
              <w:jc w:val="center"/>
              <w:rPr>
                <w:rFonts w:hint="eastAsia" w:ascii="宋体" w:hAnsi="宋体" w:eastAsia="宋体" w:cs="宋体"/>
                <w:kern w:val="0"/>
                <w:szCs w:val="21"/>
              </w:rPr>
            </w:pPr>
            <w:r>
              <w:rPr>
                <w:rFonts w:hint="eastAsia" w:ascii="宋体" w:hAnsi="宋体" w:eastAsia="宋体" w:cs="宋体"/>
                <w:kern w:val="0"/>
                <w:szCs w:val="21"/>
              </w:rPr>
              <w:t>西门子</w:t>
            </w:r>
          </w:p>
        </w:tc>
      </w:tr>
    </w:tbl>
    <w:p>
      <w:pPr>
        <w:pStyle w:val="13"/>
        <w:rPr>
          <w:rFonts w:hint="eastAsia"/>
        </w:rPr>
      </w:pP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hint="eastAsia"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1、投标方须对济南卡车制造公司党家庄厂区总三车间总装北线加固改造技改项目施工详细内容充分分析，根据需求并提供详细的工艺方案，同时以此为报价基础。</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spacing w:line="360" w:lineRule="auto"/>
        <w:ind w:firstLine="480" w:firstLineChars="200"/>
        <w:rPr>
          <w:rFonts w:hint="eastAsia" w:ascii="宋体" w:hAnsi="宋体" w:eastAsia="宋体"/>
          <w:bCs/>
          <w:sz w:val="24"/>
          <w:szCs w:val="24"/>
          <w:highlight w:val="cyan"/>
        </w:rPr>
      </w:pPr>
      <w:r>
        <w:rPr>
          <w:rFonts w:hint="eastAsia" w:ascii="宋体" w:hAnsi="宋体" w:eastAsia="宋体"/>
          <w:bCs/>
          <w:sz w:val="24"/>
          <w:szCs w:val="24"/>
          <w:highlight w:val="yellow"/>
        </w:rPr>
        <w:t>原则上，本项目中电机功率＞7.5kW,必须选用一级能效。电机功率&lt;7.5kW，优先选用一级能效；其中对于能源供应类设备及年运行时间≥2000h工艺设备的电机必须选用一级能效。杜绝选用三级及以下能效。</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负责土建施工，负责检查各种预留孔洞、沟槽和预埋件的位置、尺寸；</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配合业主方进行工艺调试；</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13"/>
        </w:numPr>
        <w:spacing w:line="360" w:lineRule="auto"/>
        <w:rPr>
          <w:rFonts w:hint="eastAsia" w:ascii="宋体" w:hAnsi="宋体" w:eastAsia="宋体"/>
          <w:bCs/>
          <w:sz w:val="24"/>
          <w:szCs w:val="24"/>
        </w:rPr>
      </w:pPr>
      <w:bookmarkStart w:id="35" w:name="_Hlk206399421"/>
      <w:r>
        <w:rPr>
          <w:rFonts w:hint="eastAsia" w:ascii="宋体" w:hAnsi="宋体" w:eastAsia="宋体"/>
          <w:bCs/>
          <w:sz w:val="24"/>
          <w:szCs w:val="24"/>
        </w:rPr>
        <w:t>其他招标方的施工要求。</w:t>
      </w:r>
    </w:p>
    <w:bookmarkEnd w:id="35"/>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hint="eastAsia" w:ascii="宋体" w:hAnsi="宋体" w:eastAsia="宋体"/>
          <w:sz w:val="24"/>
          <w:szCs w:val="24"/>
        </w:rPr>
      </w:pPr>
    </w:p>
    <w:p>
      <w:pPr>
        <w:widowControl/>
        <w:spacing w:line="360" w:lineRule="auto"/>
        <w:jc w:val="left"/>
        <w:rPr>
          <w:rFonts w:hint="eastAsia" w:ascii="宋体" w:hAnsi="宋体" w:eastAsia="宋体"/>
          <w:sz w:val="24"/>
          <w:szCs w:val="24"/>
        </w:rPr>
      </w:pPr>
    </w:p>
    <w:p>
      <w:pPr>
        <w:keepNext/>
        <w:keepLines/>
        <w:spacing w:before="120" w:after="120" w:line="480" w:lineRule="exact"/>
        <w:jc w:val="center"/>
        <w:outlineLvl w:val="1"/>
        <w:rPr>
          <w:rFonts w:hint="eastAsia" w:ascii="宋体" w:hAnsi="宋体" w:eastAsia="宋体"/>
          <w:bCs/>
          <w:kern w:val="44"/>
          <w:sz w:val="28"/>
          <w:szCs w:val="28"/>
        </w:rPr>
      </w:pPr>
      <w:bookmarkStart w:id="36" w:name="_Toc169605880"/>
      <w:bookmarkStart w:id="37" w:name="_Toc169605881"/>
      <w:r>
        <w:rPr>
          <w:rFonts w:hint="eastAsia" w:ascii="宋体" w:hAnsi="宋体" w:eastAsia="宋体"/>
          <w:b/>
          <w:bCs/>
          <w:kern w:val="44"/>
          <w:sz w:val="28"/>
          <w:szCs w:val="28"/>
        </w:rPr>
        <w:t>第二章技术要求</w:t>
      </w:r>
      <w:bookmarkEnd w:id="36"/>
    </w:p>
    <w:p>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1.本章技术要求，仅对功能、设计、结构、性能、安装和试验检验等方面，提出了最低和一般性的技术要求，并未对一切技术细节作出规定</w:t>
      </w:r>
      <w:r>
        <w:rPr>
          <w:rFonts w:hint="eastAsia" w:ascii="宋体" w:hAnsi="宋体" w:eastAsia="宋体"/>
          <w:sz w:val="24"/>
          <w:szCs w:val="24"/>
          <w:lang w:eastAsia="zh-CN"/>
        </w:rPr>
        <w:t>，也未充分引述有关标准、规程和规范的条文，投标方保证提供符合本招标技术条件和有关中国国家现行最新标准(GB系列)和有关行业最新标准要求的优质设计及设备；同时满足中国国家有关安全、环保等强制性法规、标准的要求。投标方须详细列出包括设计、制造、检验、供货、验收等所采用的标准、规程和规范名称供招标方审查确认。但不能免除投标方在保证单个设备材料的质量、性能符合本技术条件要求方面应承担的责任</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 xml:space="preserve"> *1.2 投标方积极协助和提供招标方和招标方所委托的工程设计单位有关人员所需要的、和设备（或材料）有关的工程设计资料、技术咨询等。</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*1.3 本招标技术条件所使用的标准如与投标方所执行的标准水平不一致时，按较高标准执行。如果本招标技术条件与现行使用的有关国家标准以及有关行业最新标准有明显抵触的条文，投标方应及时书面通知招标方进行解决。</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1.4 投标方所供的设备，必须符合中国最新版的法律、法规和相关标准、规范的要求。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1.5 投标方所供设备涉及的专利权技术以及知识产权保护其它技术等，应保证招标方不因此受到第三方侵权指控以及实际损失。</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1.6 投标方应满足招标方提出的各项技术要求，应保证所供货物的先进性、可靠性、经济性和实用性，并为全新设备，投标人应保证所供货物的完整性和成套性，能保证货物的正常运行、使用。</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1.7 投标方应对招标方采购的设备所涉及的技术、产能等信息负有保密义务。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1.8 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不管是多么微小，都应在投标文件“技术偏离”中予以详细说明。</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1.9 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1.10 投标方认为所供货物必需由招标方配备、解决或提供的其它要求，投标人应满足招标人提出的各项技术要求，必要时应当免费提供技术承诺或担保。</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1.11 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1.12 投标方可以根据自身经验以及对本技术规范书和招标文件的理解，写明买方招标设备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*1.13 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*1.14 在本标书中没有提及到的部分，所有供应商必须保证设备各部分功能齐全并便于使用，这部分价格应该包含在报价中，而不得另行加价。</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*1.15 本项目中所有改造均不可影响卡车公司总装线及分装线正常生产。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1.16 本招标文件中所有加注“*”的条款为否决项，不允许出现偏离。</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1.17 环境条件</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a.环境温度：-25℃～55℃；</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b.相对湿度：5％～95％；</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c.海拔高度：≤2000m；</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d.大气压强：80kPa～110kPa；</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e.电力:中国制式，三相五线制供电，供电电压 380V士10%/220V士10%，供电频率50Hz士0.5Hz。</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1.18 投标方应在确保改造后的产线可以安全稳定运行，并且具备生产现有及项目内要求的新增车型的能力。</w:t>
      </w:r>
    </w:p>
    <w:p>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1.19 投标方认为所供货物必需由招标方配备、解决或提供的其它要求，如设备基础隔振和减振设施、洁净气源等，均应在投标文件中予以充分说明。</w:t>
      </w:r>
    </w:p>
    <w:p>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hint="eastAsia" w:ascii="宋体" w:hAnsi="宋体" w:eastAsia="宋体"/>
          <w:sz w:val="24"/>
          <w:szCs w:val="24"/>
        </w:rPr>
      </w:pPr>
      <w:r>
        <w:rPr>
          <w:rFonts w:ascii="宋体" w:hAnsi="宋体" w:eastAsia="宋体"/>
          <w:sz w:val="24"/>
          <w:szCs w:val="24"/>
        </w:rPr>
        <w:t>1</w:t>
      </w:r>
      <w:r>
        <w:rPr>
          <w:rFonts w:hint="eastAsia" w:ascii="宋体" w:hAnsi="宋体" w:eastAsia="宋体"/>
          <w:sz w:val="24"/>
          <w:szCs w:val="24"/>
        </w:rPr>
        <w:t>.投标人所供的货物，必须符合中国最新版的法律、法规和相关标准、规范的要求，符合项目所在地政府有关特殊要求。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.投标人应保证所供货物的先进性、可靠性、经济性和实用性，并为全新货物（或设备）。</w:t>
      </w:r>
    </w:p>
    <w:p>
      <w:pPr>
        <w:spacing w:line="360" w:lineRule="auto"/>
        <w:ind w:firstLine="480" w:firstLineChars="200"/>
        <w:rPr>
          <w:rFonts w:hint="eastAsia" w:ascii="宋体" w:hAnsi="宋体" w:eastAsia="宋体"/>
          <w:sz w:val="24"/>
          <w:szCs w:val="24"/>
        </w:rPr>
      </w:pPr>
      <w:r>
        <w:rPr>
          <w:rFonts w:ascii="宋体" w:hAnsi="宋体" w:eastAsia="宋体"/>
          <w:sz w:val="24"/>
          <w:szCs w:val="24"/>
        </w:rPr>
        <w:t>4</w:t>
      </w:r>
      <w:r>
        <w:rPr>
          <w:rFonts w:hint="eastAsia" w:ascii="宋体" w:hAnsi="宋体" w:eastAsia="宋体"/>
          <w:sz w:val="24"/>
          <w:szCs w:val="24"/>
        </w:rPr>
        <w:t>.投标人应满足招标人提出的各项技术要求，必要时应当免费提供技术承诺或担保。</w:t>
      </w:r>
    </w:p>
    <w:p>
      <w:pPr>
        <w:spacing w:line="360" w:lineRule="auto"/>
        <w:ind w:firstLine="480" w:firstLineChars="200"/>
        <w:rPr>
          <w:rFonts w:hint="eastAsia"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sz w:val="24"/>
          <w:szCs w:val="24"/>
        </w:rPr>
      </w:pPr>
      <w:r>
        <w:rPr>
          <w:rFonts w:ascii="宋体" w:hAnsi="宋体" w:eastAsia="宋体"/>
          <w:sz w:val="24"/>
          <w:szCs w:val="24"/>
        </w:rPr>
        <w:t>6</w:t>
      </w:r>
      <w:r>
        <w:rPr>
          <w:rFonts w:hint="eastAsia" w:ascii="宋体" w:hAnsi="宋体" w:eastAsia="宋体"/>
          <w:sz w:val="24"/>
          <w:szCs w:val="24"/>
        </w:rPr>
        <w:t>.投标人应保证所供货物的完整性和成套性，能保证货物的正常运行、使用。</w:t>
      </w:r>
    </w:p>
    <w:p>
      <w:pPr>
        <w:spacing w:line="360" w:lineRule="auto"/>
        <w:ind w:firstLine="480" w:firstLineChars="200"/>
        <w:rPr>
          <w:rFonts w:hint="eastAsia" w:ascii="宋体" w:hAnsi="宋体" w:eastAsia="宋体"/>
          <w:sz w:val="24"/>
          <w:szCs w:val="24"/>
        </w:rPr>
      </w:pPr>
      <w:r>
        <w:rPr>
          <w:rFonts w:ascii="宋体" w:hAnsi="宋体" w:eastAsia="宋体"/>
          <w:sz w:val="24"/>
          <w:szCs w:val="24"/>
        </w:rPr>
        <w:t>7</w:t>
      </w:r>
      <w:r>
        <w:rPr>
          <w:rFonts w:hint="eastAsia" w:ascii="宋体" w:hAnsi="宋体" w:eastAsia="宋体"/>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8.投标人预验收时需提供进口设备、部件的报关清关资料。</w:t>
      </w:r>
    </w:p>
    <w:p>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9.</w:t>
      </w:r>
      <w:r>
        <w:rPr>
          <w:rFonts w:hint="eastAsia" w:ascii="Times New Roman" w:hAnsi="Times New Roman" w:eastAsia="宋体"/>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14.投标方应满足招标方提出的各项技术要求。</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18.投标方认为所供货物必须由招标方配备、解决或提供的其他要求，如设备基础隔振和减振设施、洁净气源等，均应在投标文件中予以充分说明。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 xml:space="preserve"> *22. 本项目中所有改造均不可影响卡车制造公司正常生产。</w:t>
      </w:r>
    </w:p>
    <w:p>
      <w:pPr>
        <w:spacing w:line="360" w:lineRule="auto"/>
        <w:ind w:firstLine="600" w:firstLineChars="250"/>
        <w:rPr>
          <w:rFonts w:hint="eastAsia" w:ascii="Times New Roman" w:hAnsi="Times New Roman" w:eastAsia="宋体"/>
          <w:bCs/>
          <w:sz w:val="24"/>
          <w:szCs w:val="24"/>
        </w:rPr>
      </w:pPr>
      <w:r>
        <w:rPr>
          <w:rFonts w:hint="eastAsia" w:ascii="Times New Roman" w:hAnsi="Times New Roman" w:eastAsia="宋体"/>
          <w:bCs/>
          <w:sz w:val="24"/>
          <w:szCs w:val="24"/>
        </w:rPr>
        <w:t>23.本招标文件中所有加注“*”的条款为否决项，不允许出现偏离。</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24.工艺方案通用要求：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）电机能耗要求：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电机功率≥7.5kW，必须选用一级能效。电机功率&lt;7.5kW，优先选用一级能效:其中对于能源供应类设备及年运行时间≥2000h 工艺设备的电机必须选用一级能效。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lang w:eastAsia="zh-CN"/>
        </w:rPr>
        <w:t>）程序权限要求：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供方必须提供所有设备程序的源代码，包括但不限于 PLC程序、HMI 程序、机器人程序、视觉程序、伺服等。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供方所提供的程序不得设置任何密码、保护等限制手段，PLC不得设置修改下载权限，功能块不得设置密码保护。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H</w:t>
      </w:r>
      <w:r>
        <w:rPr>
          <w:rFonts w:hint="eastAsia" w:ascii="宋体" w:hAnsi="宋体" w:eastAsia="宋体" w:cs="宋体"/>
          <w:b w:val="0"/>
          <w:bCs w:val="0"/>
          <w:sz w:val="24"/>
          <w:szCs w:val="24"/>
          <w:lang w:val="en-US" w:eastAsia="zh-CN"/>
        </w:rPr>
        <w:t>M</w:t>
      </w:r>
      <w:r>
        <w:rPr>
          <w:rFonts w:hint="eastAsia" w:ascii="宋体" w:hAnsi="宋体" w:eastAsia="宋体" w:cs="宋体"/>
          <w:b w:val="0"/>
          <w:bCs w:val="0"/>
          <w:sz w:val="24"/>
          <w:szCs w:val="24"/>
          <w:lang w:eastAsia="zh-CN"/>
        </w:rPr>
        <w:t>I界面等需要密码保护的程序，供方必须提供所有级别的用户名、密码。</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供方需在终验收前提供最新的设备程序源码，III 界面各级用户名和密码，并保证与现场程序一致。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lang w:eastAsia="zh-CN"/>
        </w:rPr>
      </w:pPr>
      <w:r>
        <w:rPr>
          <w:rFonts w:hint="eastAsia" w:ascii="宋体" w:hAnsi="宋体" w:eastAsia="宋体" w:cs="宋体"/>
          <w:b w:val="0"/>
          <w:bCs w:val="0"/>
          <w:sz w:val="24"/>
          <w:szCs w:val="24"/>
          <w:lang w:eastAsia="zh-CN"/>
        </w:rPr>
        <w:t>供方需在终验收前提供最新的设备电气图纸，图纸要求为可编辑原格式(EPLAN、CAD格式)且与实际接线一致。</w:t>
      </w:r>
    </w:p>
    <w:p>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1.法律、法规、技术标准要求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涉及的所有设备的设计、制造、安装和试验应遵照中国最新版本的标准与规范以及经需方认可的等于或高于本技术文件的替代标准。设备采用材质合格证明及分析报告，消防设备由招标方负责通过公安、消防部门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●《劳动安全和劳动卫生管理》。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●《电气装置安装工程电缆线路装置施工及验收通用规范》。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●《电气装置安装工程低压电器施工及验收通用规范》。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●《电气装置安装工程接地装置施工及验收通用规范》。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●《机械设备安装工程施工及验收通用规范》。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其它国家和行业相关的技术标准规范等。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投标方企标高于上述标准时优先采用投标方企标。</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2、钢结构技术要求</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 xml:space="preserve">2.1 </w:t>
      </w:r>
      <w:r>
        <w:rPr>
          <w:rFonts w:hint="eastAsia" w:ascii="宋体" w:hAnsi="宋体" w:eastAsia="宋体" w:cs="宋体"/>
          <w:sz w:val="24"/>
          <w:szCs w:val="24"/>
          <w:lang w:val="en-US" w:eastAsia="zh-CN"/>
        </w:rPr>
        <w:t>对于</w:t>
      </w:r>
      <w:r>
        <w:rPr>
          <w:rFonts w:hint="eastAsia" w:ascii="宋体" w:hAnsi="宋体" w:eastAsia="宋体" w:cs="宋体"/>
          <w:sz w:val="24"/>
          <w:szCs w:val="24"/>
        </w:rPr>
        <w:t>采用螺栓连接</w:t>
      </w:r>
      <w:r>
        <w:rPr>
          <w:rFonts w:hint="eastAsia" w:ascii="宋体" w:hAnsi="宋体" w:eastAsia="宋体" w:cs="宋体"/>
          <w:sz w:val="24"/>
          <w:szCs w:val="24"/>
          <w:lang w:val="en-US" w:eastAsia="zh-CN"/>
        </w:rPr>
        <w:t>的</w:t>
      </w:r>
      <w:r>
        <w:rPr>
          <w:rFonts w:hint="eastAsia" w:ascii="宋体" w:hAnsi="宋体" w:eastAsia="宋体" w:cs="宋体"/>
          <w:sz w:val="24"/>
          <w:szCs w:val="24"/>
        </w:rPr>
        <w:t>钢结构，所有螺栓采用直径不小于 M12， 螺栓等级不低于 10.9 级的符合国家标准的螺栓。所有高强度螺栓必须镀锌处理</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对于采用 U 型螺栓的，螺栓等级不低于 4.8 级，U 型螺栓必须镀锌处理，所有螺栓连接副采用双螺母防松，均用厚螺母，螺母等级必须与螺栓等级匹配；螺栓螺母紧固完成后，随即用红色标记笔标记，标记方式为从结构件、螺母、螺栓端头画直线；垂直方向螺栓安装时除非空间不足，否则要求螺栓冲下安装。（便于目视检测松紧）；螺栓安装时必须配备标定合格的扭矩扳手，根据设计人员提供的螺栓预紧力值拧紧；螺栓安装时必须严格按照图纸实施，不得混搭借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下料及制孔时，须使用锯床及冲床加工，不得采用火焰割；</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构件喷漆前必须进行喷砂处理，油漆采用喷塑处理；钢结构安装摩擦面喷漆前用胶带纸粘贴，现场安装时再将胶带纸去除；钢结构厂家需预留油漆必须满足足够现场补漆使用，预留油漆随钢结构一起发运现场；</w:t>
      </w:r>
    </w:p>
    <w:p>
      <w:pPr>
        <w:spacing w:line="360" w:lineRule="auto"/>
        <w:ind w:firstLine="480" w:firstLineChars="200"/>
        <w:rPr>
          <w:rFonts w:hint="eastAsia"/>
        </w:rPr>
      </w:pPr>
      <w:r>
        <w:rPr>
          <w:rFonts w:hint="eastAsia" w:ascii="宋体" w:hAnsi="宋体" w:eastAsia="宋体" w:cs="宋体"/>
          <w:sz w:val="24"/>
          <w:szCs w:val="24"/>
        </w:rPr>
        <w:t>2.5 钢结构材料运输需保证外观质量，无磕碰划伤；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钢结构采用全螺栓联接，扭矩采用100%全检合格。螺栓拧紧后有色标标识，招标方负责抽查，若抽查发现异常，投标方无条件对所有螺栓联接进行检查及标识。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 所有钢结构必须保证足够的刚性和稳定性，要求采用8.8 级高强度螺栓联接，必要时可增加支撑构件。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2.8 投标方必须保证所购材料的质量满足其机械性能， 并在钢材进料后及时向招标方提供质量保证书，不允许钢材有明显的锈蚀现象，招标方有权进行检查，发现质量问题，招标方有权拒绝使用和勒令投标方停工，由此造成的损失由投标方负责。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 装配线上方吊架根据须要设剪刀撑，吊杆长度过长时设双层剪刀撑，装配线长度方向根据 须要两侧设剪刀撑。</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2.10 钢结构选型时须考虑在该工艺段所需要的合适的最佳性能结构，满足相关生产线工艺装配生产载荷。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2.11需遵守如下标准：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（1）安全规范和标准、防火规范和标准、环保规范和标准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（2）GB 50236-2011《现场设备、工业管道焊接工程施工规范》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（3）GB 50205-2020《钢结构工程施工质量验收标准》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（4）GB 51367-2019《钢结构加固设计标准》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（5）GB 50661-2024《钢结构焊接规范》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w:t>
      </w:r>
      <w:r>
        <w:rPr>
          <w:rFonts w:hint="eastAsia" w:ascii="宋体" w:hAnsi="宋体" w:eastAsia="宋体" w:cs="宋体"/>
          <w:sz w:val="24"/>
          <w:szCs w:val="24"/>
          <w:lang w:val="en-US" w:eastAsia="zh-CN"/>
        </w:rPr>
        <w:t>对于焊接加固的部分，</w:t>
      </w:r>
      <w:r>
        <w:rPr>
          <w:rFonts w:hint="eastAsia" w:ascii="宋体" w:hAnsi="宋体" w:eastAsia="宋体" w:cs="宋体"/>
          <w:sz w:val="24"/>
          <w:szCs w:val="24"/>
        </w:rPr>
        <w:t>全部焊缝应进行外观检查，焊缝表面应是原始状态，没有加工或补焊痕迹。焊缝表面不得有裂纹、未熔合、夹渣、弧坑和气孔等缺陷。焊缝外观质量及尺寸允许偏差应符合GB 50205的有关规定。对设计要求的一级、二级焊缝应进行内部缺陷的无损检测，一级焊缝探伤比例应为100%，二级焊缝探伤比例应不低于20%。</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3、设计标准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设计制造标准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 设备的设计、制造所遵循标准应遵守以下原则：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（1）凡按引进技术设计制造的设备，须按引进技术相应的标准如ASME、ASTM、NFPA及相应的引进公司标准规范进行设计、制造、检验。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（2）以国内技术设计制造的产品，按相应的国家标准、行业标准或企业标准进行设计、制造、检验。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（3）在按以上技术标准设计制造的同时，还必须满足最新版的行业相应规范标准。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（4）在按相应技术标准设计制造的同时，还必须满足有关安全、环保及其它方面最新版的国家强制性标准和规程〔规定〕的要求。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（5）如果本技术规范书中存在某些要求高于上述标准，则以本技术规范书的要求为准。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 卖方应提供设计制造的规范、规程和标准等清单。严格按照国家有关标准执行。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质量保证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卖方在投标文件中应对本企业执行的质量保证体系进行简要的介绍，对质量的保证措施进行必要的说明。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任何部件材料的检验、检查和试验均应符合国家标准所适用的要求。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根据本合同文件，卖方应采取措施确保设备质量，产品交货前，应对设备进行必要的检查与试验，以保证整个设计和制造符合规程要求。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3.2.4 卖方有责任将检查和试验资料按规定完整、及时提交给买方；对重要的检查与试验项目，应邀请买方派代表参加验收。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3.2.5 所有制造、加工工序、设备或材料、运行效果的试验和检查验收都应满足国家标准。</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w:t>
      </w:r>
      <w:r>
        <w:rPr>
          <w:rFonts w:hint="eastAsia" w:ascii="宋体" w:hAnsi="宋体" w:eastAsia="宋体" w:cs="宋体"/>
          <w:b/>
          <w:bCs/>
          <w:sz w:val="24"/>
          <w:szCs w:val="24"/>
          <w:lang w:eastAsia="zh-CN"/>
        </w:rPr>
        <w:t>、</w:t>
      </w:r>
      <w:r>
        <w:rPr>
          <w:rFonts w:hint="eastAsia" w:ascii="宋体" w:hAnsi="宋体" w:eastAsia="宋体" w:cs="宋体"/>
          <w:b/>
          <w:bCs/>
          <w:sz w:val="24"/>
          <w:szCs w:val="24"/>
        </w:rPr>
        <w:t>设备基础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投标方向招标方提交的装配产线相关设备基础，设计参数须遵照满足提供的装配线基础结构要求。投标方须在图纸、文件中明确说明是否满足的要求。同时在设备基础土建施工时必须进行现场指导和复核。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注：招标方所有发放的图纸仅为投标方方案设计时的参考，投标方在进行方案详细设计时应与招标方确认图纸是否为最新。对于装配线结构相关的资料，投标方在施工前必须到工厂进行现场测量并核实。</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5、接口规定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用动力接口规安——车间提供动力配电箱或输电母排分电箱，而由动力配电箱或输电母排分电箱至工艺生产线的设备配线工作由设备提供方负责，具体的设备用电量、动力入口位置等参数由投标方在合同签订后15个工作日内以书面形式向招标方提供，由双方共同确认。</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6、设备安全要求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机械防护方面要求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6.1.1 必须符合国家安全标准，符合国家安全卫生法规。投标方应通过设计消除风险或限制风险，不得遗留通过设计能够消除的危险，也不得遗留通过安全防护装置能够消除的危险，在使用设备时不需要再增加任何（包括机械、电器）防护装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6.1.2 设备具备良好和全面安全防护措施。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6.1.3 设备的操作机构其设置应操纵方便、安全省力、标专清晰、牢固可靠。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6.1.4 设备综合噪音控制在70分贝以下。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电气部分安全要求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6.2.1 所有电器设计必须接地良好，对地电阻小于1欧姆。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6.2.2 控制系统能保证在设备的供给能源发生异常时也不会产生危险，设备本身不会损坏，也不会对人员产生伤害。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6.2.3 控制系统放置在操作者便于操作和观察的部位。设备根据具体情况设置了必要的急停开关。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6.2.4 设备的电气控制系统：具备过载保护和短路保护功能。当设备的线路发生碰壳时，控制系统在0.1秒内切断该线路的供电。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6.2.5 能源偶然切断后又重新接通时，设备必须能避免危险运转。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6.2.6 采用多级制供电系统。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6.2.7 电机安装牢固，控制要求具备过载、短路、断路保护，防护等级IP54以上。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6.2.8 设备具备良好和全面的安全防护措施。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6.2.9 配电柜出口周围有防止电线磨损的措施，电源线中间无接头。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6.2.10 电控柜防护等级：IP54。</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6.2.11 控制柜操作面板上有设备正常运行指示灯。</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7、设备安装要求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设备的安装工作由投标方全权负责，买方配合，安装用水、气、电按招标方规定，投标方施工时须带所需的设备、工具，投标方在设备制作完成后，进厂安装前必须通知招标方。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在施工过程中，投标方需遵循相关行业的安全标准、规范、制度，同时严格遵守招标方相关安全规章制度，如有违反上述标准、规范、制度造成的安全事故，投标方承担全部责任。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投标方应保证其所提供的工程所使用的材料、配套设备、零部件均是全新的。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投标方在施工期间所有设备、零部件、制成品，工具、材料等均自行保管、保护。施工现场与设备清理工作，均由投标方完成。因招标方因素导致工作拖延，投标方不承担责任，工期可适当顺延。</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7.5 </w:t>
      </w:r>
      <w:r>
        <w:rPr>
          <w:rFonts w:hint="eastAsia" w:ascii="宋体" w:hAnsi="宋体" w:eastAsia="宋体" w:cs="宋体"/>
          <w:b/>
          <w:bCs/>
          <w:sz w:val="24"/>
          <w:szCs w:val="24"/>
          <w:highlight w:val="yellow"/>
        </w:rPr>
        <w:t>投标方负责提供装配产线加固改造</w:t>
      </w:r>
      <w:r>
        <w:rPr>
          <w:rFonts w:hint="eastAsia" w:ascii="宋体" w:hAnsi="宋体" w:eastAsia="宋体" w:cs="宋体"/>
          <w:b/>
          <w:bCs/>
          <w:sz w:val="24"/>
          <w:szCs w:val="24"/>
          <w:highlight w:val="yellow"/>
          <w:lang w:val="en-US" w:eastAsia="zh-CN"/>
        </w:rPr>
        <w:t>三维</w:t>
      </w:r>
      <w:r>
        <w:rPr>
          <w:rFonts w:hint="eastAsia" w:ascii="宋体" w:hAnsi="宋体" w:eastAsia="宋体" w:cs="宋体"/>
          <w:b/>
          <w:bCs/>
          <w:sz w:val="24"/>
          <w:szCs w:val="24"/>
          <w:highlight w:val="yellow"/>
        </w:rPr>
        <w:t>设计</w:t>
      </w:r>
      <w:r>
        <w:rPr>
          <w:rFonts w:hint="eastAsia" w:ascii="宋体" w:hAnsi="宋体" w:eastAsia="宋体" w:cs="宋体"/>
          <w:b/>
          <w:bCs/>
          <w:sz w:val="24"/>
          <w:szCs w:val="24"/>
          <w:highlight w:val="yellow"/>
          <w:lang w:val="en-US" w:eastAsia="zh-CN"/>
        </w:rPr>
        <w:t>图</w:t>
      </w:r>
      <w:r>
        <w:rPr>
          <w:rFonts w:hint="eastAsia" w:ascii="宋体" w:hAnsi="宋体" w:eastAsia="宋体" w:cs="宋体"/>
          <w:b/>
          <w:bCs/>
          <w:sz w:val="24"/>
          <w:szCs w:val="24"/>
          <w:highlight w:val="yellow"/>
        </w:rPr>
        <w:t>及相关施工方案</w:t>
      </w:r>
      <w:r>
        <w:rPr>
          <w:rFonts w:hint="eastAsia" w:ascii="宋体" w:hAnsi="宋体" w:eastAsia="宋体" w:cs="宋体"/>
          <w:b/>
          <w:bCs/>
          <w:sz w:val="24"/>
          <w:szCs w:val="24"/>
          <w:highlight w:val="yellow"/>
          <w:lang w:val="en-US" w:eastAsia="zh-CN"/>
        </w:rPr>
        <w:t>的详细</w:t>
      </w:r>
      <w:r>
        <w:rPr>
          <w:rFonts w:hint="eastAsia" w:ascii="宋体" w:hAnsi="宋体" w:eastAsia="宋体" w:cs="宋体"/>
          <w:b/>
          <w:bCs/>
          <w:sz w:val="24"/>
          <w:szCs w:val="24"/>
          <w:highlight w:val="yellow"/>
        </w:rPr>
        <w:t>计算书依据，</w:t>
      </w:r>
      <w:r>
        <w:rPr>
          <w:rFonts w:hint="eastAsia" w:ascii="宋体" w:hAnsi="宋体" w:eastAsia="宋体" w:cs="宋体"/>
          <w:b/>
          <w:bCs/>
          <w:sz w:val="24"/>
          <w:szCs w:val="24"/>
          <w:highlight w:val="yellow"/>
          <w:lang w:val="en-US" w:eastAsia="zh-CN"/>
        </w:rPr>
        <w:t>至少涵盖“</w:t>
      </w:r>
      <w:r>
        <w:rPr>
          <w:rFonts w:hint="eastAsia" w:ascii="宋体" w:hAnsi="宋体" w:eastAsia="宋体" w:cs="宋体"/>
          <w:b/>
          <w:bCs/>
          <w:sz w:val="24"/>
          <w:szCs w:val="24"/>
          <w:highlight w:val="yellow"/>
        </w:rPr>
        <w:t>12、项目内容</w:t>
      </w:r>
      <w:r>
        <w:rPr>
          <w:rFonts w:hint="eastAsia" w:ascii="宋体" w:hAnsi="宋体" w:eastAsia="宋体" w:cs="宋体"/>
          <w:b/>
          <w:bCs/>
          <w:sz w:val="24"/>
          <w:szCs w:val="24"/>
          <w:highlight w:val="yellow"/>
          <w:lang w:eastAsia="zh-CN"/>
        </w:rPr>
        <w:t>”</w:t>
      </w:r>
      <w:r>
        <w:rPr>
          <w:rFonts w:hint="eastAsia" w:ascii="宋体" w:hAnsi="宋体" w:eastAsia="宋体" w:cs="宋体"/>
          <w:b/>
          <w:bCs/>
          <w:sz w:val="24"/>
          <w:szCs w:val="24"/>
          <w:highlight w:val="yellow"/>
          <w:lang w:val="en-US" w:eastAsia="zh-CN"/>
        </w:rPr>
        <w:t>所列内容，</w:t>
      </w:r>
      <w:r>
        <w:rPr>
          <w:rFonts w:hint="eastAsia" w:ascii="宋体" w:hAnsi="宋体" w:eastAsia="宋体" w:cs="宋体"/>
          <w:b/>
          <w:bCs/>
          <w:sz w:val="24"/>
          <w:szCs w:val="24"/>
          <w:highlight w:val="yellow"/>
        </w:rPr>
        <w:t>计算书所得理论尺寸根据现场实际可以调整，最终以满足现场安全稳定持续生产为</w:t>
      </w:r>
      <w:r>
        <w:rPr>
          <w:rFonts w:hint="eastAsia" w:ascii="宋体" w:hAnsi="宋体" w:eastAsia="宋体" w:cs="宋体"/>
          <w:b/>
          <w:bCs/>
          <w:sz w:val="24"/>
          <w:szCs w:val="24"/>
          <w:highlight w:val="yellow"/>
          <w:lang w:val="en-US" w:eastAsia="zh-CN"/>
        </w:rPr>
        <w:t>准</w:t>
      </w:r>
      <w:r>
        <w:rPr>
          <w:rFonts w:hint="eastAsia" w:ascii="宋体" w:hAnsi="宋体" w:eastAsia="宋体" w:cs="宋体"/>
          <w:b/>
          <w:bCs/>
          <w:sz w:val="24"/>
          <w:szCs w:val="24"/>
          <w:highlight w:val="yellow"/>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设备安装前投标方应现场确认设备基础是否满足安装调试要求，如不满足协助提供基础改造要求参数和建议。</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8、设计联络和施工遵守事项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合同签订后，投标方在设计过程中，应征求招标方意见进行必要的设计联络。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设计联络的目的是沟通招标方和投标方双方的思想，反映投标方的要求，通过设计联络后，投标方仍要对供货结果负最终责任。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投标方与其它品目卖方之间的技术联络，可由本品目卖方向招标方提出，也可经同意后直接与其它品目卖方进行协调。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投标方在工艺方案、设备及工艺装备设计完成后，需获得招标方认可后方可投入制造。投标方仍对设计方案、设备及工艺装备的正确性、可靠性、完整性负全部责任。在方案未经招标方认可而投入生产，如因方案修改对投标方所造成的一切损失均由投标方负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8.5 施工现场的管理要依照当地的法规、对施工现场的工作人员、其他的出入人员进行纪律、卫生、安全的教育和监督，要杜绝火灾、盗窃及其它事故的发生，如若发生意外，将视为投标方的责任予以处理。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8.6 材料必须全部使用新品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a)国内采购：采用国内一类厂家A级产品（出货前将检查厂家的出货证明及相关凭证）；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b)国外采购：采用投标方使用最多的产品。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8.7 所有线（管）路设计安装应尽量横平竖直，排列合理，维修方更。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8.8 在制造、运输、安装过程中设备应受到保护以防损坏。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8.9 保洁：所有封闭结构应先做好内部清洁和吹扫，再封闭安装。</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9、项目实施要求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项目实施：为了确保本项目的顺利实施，本项目采用“交钥匙”工程方式。</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10、保密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本次招标方所提供的资料，供投标方设计时使用，投标方必须严格保密，不得以任何理由泄露给第三方。</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11、知识产权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投标方应保证，在中华人民共和国使用该设备（包括技术资料）或合同规定的任何一部分时，免受第三方提出的侵权其专利权、商标权、著作权或其它知识结构产权的起诉。</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12、项目内容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实施地点：济南卡车制造公司党家庄工厂总三车间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施需求及内容：本项目主要为对济南卡车制造公司总三车间现有整条总装北线Z11-Z28工位加固改造，加固装配线包含Z11-Z26工位地拖链、Z27-Z28工位双板链，为适配新能源重卡生产需求，将现总装北线承载能力由15T改造加固至20T（安全系数不小于1.5</w:t>
      </w:r>
      <w:r>
        <w:rPr>
          <w:rFonts w:hint="eastAsia" w:ascii="宋体" w:hAnsi="宋体" w:eastAsia="宋体" w:cs="宋体"/>
          <w:sz w:val="24"/>
          <w:szCs w:val="24"/>
          <w:lang w:eastAsia="zh-CN"/>
        </w:rPr>
        <w:t>，</w:t>
      </w:r>
      <w:r>
        <w:rPr>
          <w:rFonts w:hint="eastAsia" w:ascii="宋体" w:hAnsi="宋体" w:eastAsia="宋体" w:cs="宋体"/>
          <w:sz w:val="24"/>
          <w:szCs w:val="24"/>
        </w:rPr>
        <w:t>使用系数不小于1.2），确保加固改造后产线设备及结构满足单车整备质量20</w:t>
      </w:r>
      <w:r>
        <w:rPr>
          <w:rFonts w:hint="eastAsia" w:ascii="宋体" w:hAnsi="宋体" w:eastAsia="宋体" w:cs="宋体"/>
          <w:sz w:val="24"/>
          <w:szCs w:val="24"/>
          <w:lang w:val="en-US" w:eastAsia="zh-CN"/>
        </w:rPr>
        <w:t>T</w:t>
      </w:r>
      <w:r>
        <w:rPr>
          <w:rFonts w:hint="eastAsia" w:ascii="宋体" w:hAnsi="宋体" w:eastAsia="宋体" w:cs="宋体"/>
          <w:sz w:val="24"/>
          <w:szCs w:val="24"/>
        </w:rPr>
        <w:t>安全稳定可持续生产，并适用于生产现有车型及未来扩展新增车型。本项目为“交钥匙”工程，请各投标单位根据招标单位提供原设备设计图纸进行校验和复核，地拖链及双板链设备、产线结构加固改造内容不限于以下所列项：</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12.1 更换电机减速机及电气系统：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12.1.1 为保证改造后线体运行平稳，现对地拖链、双板链电机减速机进行更换。更换要求电机减速机安全系数不小于1.5，使用系数不小于1.2。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 地拖链电机减速机更换：地拖链现15kW电机减速机已使用近20年，磨损严重，为保证线体加固改造后安全平稳运行，综合节能要求，需更换为一级能效电机。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 双板链电机减速机由现4KW更换为5.5KW。</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③新更换地拖链、双板链电机减速机要求地埋式固定。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12.1.2 电气系统更换：配套更换大功率电线电缆及电气元件，双板链更换5.5kW变频器。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Z11-Z26工位地拖链加固改造：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实际加固具体位置区域按工位和招标方现场指定。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12.2.1 加固地拖链轨道及支撑钢结构：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①对地拖链支撑钢构进行逐点检查并对开焊处进行修复。地拖链支撑钢构逐点检查区域需投标方明确并根据招标方需求及意见相应调整，严重变形位置要求投标方更换。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②对支撑横梁左右两端与连接的立柱进行焊接加固（红框所示），投标方需根据现场实际情况及招标方需求意见相应调整施工并提供明确的焊接加固方案，保证加固后线体结构能长期安全稳定可持续运行。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地拖链横截面如图所示：</w:t>
      </w:r>
    </w:p>
    <w:p>
      <w:pPr>
        <w:spacing w:line="360" w:lineRule="auto"/>
        <w:ind w:firstLine="420" w:firstLineChars="200"/>
        <w:jc w:val="center"/>
        <w:rPr>
          <w:rFonts w:hint="eastAsia" w:ascii="宋体" w:hAnsi="宋体" w:eastAsia="宋体" w:cs="宋体"/>
          <w:sz w:val="24"/>
          <w:szCs w:val="24"/>
        </w:rPr>
      </w:pPr>
      <w:r>
        <w:drawing>
          <wp:inline distT="0" distB="0" distL="114300" distR="114300">
            <wp:extent cx="2617470" cy="2216150"/>
            <wp:effectExtent l="0" t="0" r="1143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tretch>
                      <a:fillRect/>
                    </a:stretch>
                  </pic:blipFill>
                  <pic:spPr>
                    <a:xfrm>
                      <a:off x="0" y="0"/>
                      <a:ext cx="2617470" cy="221615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12.2.2 加固机头、机尾钢结构及线体两侧地坑盖板：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①对现有地拖链地坑支撑框架钢构焊接处进行逐点检查，并对开焊处进行焊接修复。地拖链地坑支撑框架钢构逐点检查区域需投标方明确并根据招标方需求及意见相应调整，严重变形位置要求投标方更换。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②在地拖链地坑支撑立柱内、外侧增加20#槽钢支撑，增加的20#槽钢由投标方根据现场地拖链地坑支撑立柱实际情况合理设计并提供图纸。</w:t>
      </w:r>
    </w:p>
    <w:p>
      <w:pPr>
        <w:pStyle w:val="2"/>
        <w:jc w:val="center"/>
        <w:rPr>
          <w:rFonts w:hint="eastAsia" w:ascii="宋体" w:hAnsi="宋体" w:eastAsia="宋体" w:cs="宋体"/>
          <w:sz w:val="24"/>
          <w:szCs w:val="24"/>
        </w:rPr>
      </w:pPr>
      <w:r>
        <w:drawing>
          <wp:inline distT="0" distB="0" distL="114300" distR="114300">
            <wp:extent cx="2856230" cy="2151380"/>
            <wp:effectExtent l="0" t="0" r="1270" b="127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47"/>
                    <a:stretch>
                      <a:fillRect/>
                    </a:stretch>
                  </pic:blipFill>
                  <pic:spPr>
                    <a:xfrm>
                      <a:off x="0" y="0"/>
                      <a:ext cx="2856660" cy="2151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③在地拖链地坑支撑框架横梁底部增加20厚钢板组合三角支撑，增加的组合三角支撑由投标方根据现场地拖链地坑支撑立柱实际情况合理设计并提供图纸。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增加地拖链驱动框架与地基的压板，将驱动框架与地基的压板由单板式改为通长板，横跨整个地基，增大框架与基础板的吸附力。标书提供压板仅供投标方参考，压板实际施工尺寸需投标方根据现场情况合理设计并提供图纸，压板厚度不小于现压板，新增后具备增强框架与基础板吸附力和稳定性的功能。</w:t>
      </w:r>
    </w:p>
    <w:p>
      <w:pPr>
        <w:pStyle w:val="2"/>
        <w:jc w:val="center"/>
        <w:rPr>
          <w:rFonts w:hint="default" w:ascii="宋体" w:hAnsi="宋体" w:eastAsia="宋体" w:cs="宋体"/>
          <w:sz w:val="24"/>
          <w:szCs w:val="24"/>
          <w:lang w:val="en-US"/>
        </w:rPr>
      </w:pPr>
      <w:r>
        <w:rPr>
          <w:rFonts w:hint="eastAsia" w:ascii="宋体" w:hAnsi="宋体" w:cs="宋体"/>
          <w:sz w:val="24"/>
          <w:szCs w:val="24"/>
          <w:lang w:val="en-US" w:eastAsia="zh-CN"/>
        </w:rPr>
        <w:drawing>
          <wp:inline distT="0" distB="0" distL="114300" distR="114300">
            <wp:extent cx="1823085" cy="1376045"/>
            <wp:effectExtent l="0" t="0" r="5715" b="14605"/>
            <wp:docPr id="31" name="图片 31" descr="742dc468eb3cdf71085fcfd8a41de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42dc468eb3cdf71085fcfd8a41de2d5"/>
                    <pic:cNvPicPr>
                      <a:picLocks noChangeAspect="1"/>
                    </pic:cNvPicPr>
                  </pic:nvPicPr>
                  <pic:blipFill>
                    <a:blip r:embed="rId48"/>
                    <a:stretch>
                      <a:fillRect/>
                    </a:stretch>
                  </pic:blipFill>
                  <pic:spPr>
                    <a:xfrm>
                      <a:off x="0" y="0"/>
                      <a:ext cx="1823085" cy="137604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149475" cy="1396365"/>
            <wp:effectExtent l="0" t="0" r="3175" b="1333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149475" cy="139636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sz w:val="24"/>
          <w:szCs w:val="24"/>
          <w:highlight w:val="none"/>
          <w:lang w:val="en-US" w:eastAsia="zh-CN"/>
        </w:rPr>
        <w:t>⑤地拖链驱动框架内增加筋板，增大驱动框架的承载力。标书</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提供筋板仅供投标方参考，筋板实际施工尺寸需投标方根据现场情况合理设计并提供图纸，新增筋板要求具备明显的增大驱动框架承载力的实施效果。</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rPr>
      </w:pPr>
      <w:r>
        <w:rPr>
          <w:rFonts w:hint="eastAsia" w:ascii="宋体" w:hAnsi="宋体" w:cs="宋体"/>
          <w:sz w:val="24"/>
          <w:szCs w:val="24"/>
          <w:lang w:val="en-US" w:eastAsia="zh-CN"/>
        </w:rPr>
        <w:drawing>
          <wp:inline distT="0" distB="0" distL="114300" distR="114300">
            <wp:extent cx="2297430" cy="1544320"/>
            <wp:effectExtent l="0" t="0" r="7620" b="17780"/>
            <wp:docPr id="33" name="图片 33" descr="25de8da390162548253e607092378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de8da390162548253e607092378c43"/>
                    <pic:cNvPicPr>
                      <a:picLocks noChangeAspect="1"/>
                    </pic:cNvPicPr>
                  </pic:nvPicPr>
                  <pic:blipFill>
                    <a:blip r:embed="rId50"/>
                    <a:stretch>
                      <a:fillRect/>
                    </a:stretch>
                  </pic:blipFill>
                  <pic:spPr>
                    <a:xfrm>
                      <a:off x="0" y="0"/>
                      <a:ext cx="2297430" cy="1544320"/>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1264285" cy="1562100"/>
            <wp:effectExtent l="0" t="0" r="12065" b="0"/>
            <wp:docPr id="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64285" cy="1562100"/>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⑥检修校直地拖链线体两侧盖板和轨道压板，并在盖板内增加“十”字加强筋。地拖链线体两侧盖板包含小车运行轨道左、右两侧扁豆花纹盖板和平滑盖板，投标方需根据现场实际情况，设计合适的盖板内增加的“十”字加强筋，并提供现场盖板内增加“十”字加强筋的图纸，小车轨道压板校直调整后与支撑桥小车滑轮贴合紧密，支撑桥小车运行平稳，不存在震颤、脱轨等问题，链条轨道压板校直后，不会对链条安全平稳运行造成影响，不存在链条运行卡滞、干涉磨碰问题。</w:t>
      </w:r>
    </w:p>
    <w:p>
      <w:pPr>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b w:val="0"/>
          <w:bCs w:val="0"/>
          <w:lang w:val="en-US" w:eastAsia="zh-CN"/>
        </w:rPr>
      </w:pPr>
      <w:r>
        <w:drawing>
          <wp:inline distT="0" distB="0" distL="114300" distR="114300">
            <wp:extent cx="2221865" cy="1666240"/>
            <wp:effectExtent l="0" t="0" r="6985" b="1016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52"/>
                    <a:stretch>
                      <a:fillRect/>
                    </a:stretch>
                  </pic:blipFill>
                  <pic:spPr>
                    <a:xfrm>
                      <a:off x="0" y="0"/>
                      <a:ext cx="2221865" cy="1666240"/>
                    </a:xfrm>
                    <a:prstGeom prst="rect">
                      <a:avLst/>
                    </a:prstGeom>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drawing>
          <wp:inline distT="0" distB="0" distL="114300" distR="114300">
            <wp:extent cx="2231390" cy="1668145"/>
            <wp:effectExtent l="0" t="0" r="16510" b="8255"/>
            <wp:docPr id="49" name="图片 49" descr="314ea040be86802bea15e728108f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14ea040be86802bea15e728108fc011"/>
                    <pic:cNvPicPr>
                      <a:picLocks noChangeAspect="1"/>
                    </pic:cNvPicPr>
                  </pic:nvPicPr>
                  <pic:blipFill>
                    <a:blip r:embed="rId53"/>
                    <a:stretch>
                      <a:fillRect/>
                    </a:stretch>
                  </pic:blipFill>
                  <pic:spPr>
                    <a:xfrm>
                      <a:off x="0" y="0"/>
                      <a:ext cx="2231390" cy="1668145"/>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12.2.3 地拖链增加承载横梁</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地拖链原中间支架为1m间距排布，在地拖链轨道下平面现有的2个横梁之间增加1个承载横梁，增加后中间支架排布变更为0.5m，增加后地拖链轨道最大承载能力预计可达35T。地拖链新加承载横梁不应破坏线体原有稳固结构，因地拖链轨道下表面空间较小，施工难度大，投标方需详细明确说明地拖链增加承载横梁施工项具体的施工步骤和过程，确保该项加固方案实施有效可行。</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3421380" cy="1390650"/>
            <wp:effectExtent l="0" t="0" r="7620" b="0"/>
            <wp:docPr id="50" name="图片 50" descr="dfc02873dd1660e627f204e96f24a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fc02873dd1660e627f204e96f24a4ee"/>
                    <pic:cNvPicPr>
                      <a:picLocks noChangeAspect="1"/>
                    </pic:cNvPicPr>
                  </pic:nvPicPr>
                  <pic:blipFill>
                    <a:blip r:embed="rId54"/>
                    <a:stretch>
                      <a:fillRect/>
                    </a:stretch>
                  </pic:blipFill>
                  <pic:spPr>
                    <a:xfrm>
                      <a:off x="0" y="0"/>
                      <a:ext cx="3421380" cy="1390650"/>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1805305" cy="1421765"/>
            <wp:effectExtent l="0" t="0" r="4445" b="698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55"/>
                    <a:stretch>
                      <a:fillRect/>
                    </a:stretch>
                  </pic:blipFill>
                  <pic:spPr>
                    <a:xfrm>
                      <a:off x="0" y="0"/>
                      <a:ext cx="1805305" cy="1421765"/>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12.2.3 更换地拖链420米轨道和链条两侧防护胶皮</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①更换地拖链420米轨道：钢轨规格为22Kg轻轨</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材质：Q235</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，招标方需确定更换轨道后支撑桥小车车轮与更换新轨道贴合，线体生产运行安全平稳，运行中无支撑桥小车偏移、震颤、倾斜以及车轮脱轨等问题。</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1976120" cy="1887855"/>
            <wp:effectExtent l="0" t="0" r="5080" b="17145"/>
            <wp:docPr id="52" name="图片 52" descr="ec13544fc631d299bf6c90c9cdd2d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c13544fc631d299bf6c90c9cdd2d988"/>
                    <pic:cNvPicPr>
                      <a:picLocks noChangeAspect="1"/>
                    </pic:cNvPicPr>
                  </pic:nvPicPr>
                  <pic:blipFill>
                    <a:blip r:embed="rId56"/>
                    <a:stretch>
                      <a:fillRect/>
                    </a:stretch>
                  </pic:blipFill>
                  <pic:spPr>
                    <a:xfrm>
                      <a:off x="0" y="0"/>
                      <a:ext cx="1976120" cy="188785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453640" cy="1841500"/>
            <wp:effectExtent l="0" t="0" r="3810" b="635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7"/>
                    <a:stretch>
                      <a:fillRect/>
                    </a:stretch>
                  </pic:blipFill>
                  <pic:spPr>
                    <a:xfrm>
                      <a:off x="0" y="0"/>
                      <a:ext cx="2453640" cy="184150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更换地拖链链条两侧防护胶皮：投标方需按照现场实际情况确定地拖链链条两侧防护胶皮具体更换尺寸，所更换防护胶皮必须具备防止杂物通过链条孔落入轨道内部功能且更换防护胶皮不影响线体支撑桥小车正常运行生产和链条运行，具备耐磨、耐腐蚀性、不易变形等特性。</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12.2.4 更换安全销</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地拖链安全销由27.5mm直径更换为53mm直径（材质：铸铁SH20）。此尺寸仅为按极限状态下计算理论尺寸，投标人需提供按单支撑桥小车承载10T（单车使用3个支撑桥小车）状态下，改造后地拖链（需一并考虑地拖链加固改造方案实施后，地拖链增加重量）适用的安全销直径计算书，计算书需完整、准确并标注安全销材质，并提供安全销图纸，安全销实际使用尺寸以现场调试实际情况为准。</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12.2.5 更换地拖链磨损严重的50套轴承滚轮，新换轴承滚轮与地拖链现用轴承滚轮规格一致，新换轴承滚轮需保证与线体及线体其余轴承滚轮衔接到位，可以满足线体长期安全稳定运行。</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12.2.6 加固地拖链驱动部分、涨紧部分</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①地拖链驱动部分包括驱动地坑钢构支架及盖板、电机减速机固定座、下坡段钢构及支撑、前靠模弯轨、下坡弯轨等。</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②地拖链涨紧部分包括涨紧地坑钢构支架及盖板、涨紧基座、后靠模弯轨、行走小车压轨、链条行走压轨等。</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③投标方需根据现场实际情况明确加固地拖链驱动部分、涨紧部分具体实施方案，并满足招标方现场需求和意见。</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12.2.7 检修地拖链链条行走轨道、返回轨道</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检修过程如有必要投标方需与招标方技术人员一起进行，投标方检修需满足招标方现场需求和意见。</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12.3 Z27-Z28工位双板链加固改造：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12.3.1 加固双板链轨道支撑钢结构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①对双板链轨道压板及固定螺栓进行调整紧固，实施区域需投标方具体明确并根据招标方需求及意见相应调整。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②对双板链支撑框架焊接处进行逐点检查并对开焊处进行修复（红框所示），实施区域需投标方明确，并根据现场实际情况及招标方需求意见相应调整施工，保证加固后线体结构能长期安全稳定可持续运行。</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rPr>
          <w:rFonts w:hint="eastAsia" w:ascii="宋体" w:hAnsi="宋体" w:cs="宋体"/>
          <w:sz w:val="24"/>
          <w:szCs w:val="24"/>
          <w:lang w:val="en-US" w:eastAsia="zh-CN"/>
        </w:rPr>
        <w:drawing>
          <wp:inline distT="0" distB="0" distL="114300" distR="114300">
            <wp:extent cx="3634740" cy="1453515"/>
            <wp:effectExtent l="0" t="0" r="3810" b="13335"/>
            <wp:docPr id="54" name="图片 54" descr="9bc94f678c324ccbb865368bf8ba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bc94f678c324ccbb865368bf8ba3224"/>
                    <pic:cNvPicPr>
                      <a:picLocks noChangeAspect="1"/>
                    </pic:cNvPicPr>
                  </pic:nvPicPr>
                  <pic:blipFill>
                    <a:blip r:embed="rId58"/>
                    <a:stretch>
                      <a:fillRect/>
                    </a:stretch>
                  </pic:blipFill>
                  <pic:spPr>
                    <a:xfrm>
                      <a:off x="0" y="0"/>
                      <a:ext cx="3634740" cy="1453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在双板链支撑立柱内、外侧增加20#槽钢支撑，标书提供槽钢仅供投标方参考，新增槽钢具体规格尺寸需由投标方根据现场双板链支撑立柱实际情况合理设计并提供图纸，投标方应保证新加槽钢具备加强立柱承载能力的功能。</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lang w:val="en-US" w:eastAsia="zh-CN"/>
        </w:rPr>
      </w:pPr>
      <w:r>
        <w:drawing>
          <wp:inline distT="0" distB="0" distL="114300" distR="114300">
            <wp:extent cx="2097405" cy="1916430"/>
            <wp:effectExtent l="0" t="0" r="17145" b="762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59"/>
                    <a:stretch>
                      <a:fillRect/>
                    </a:stretch>
                  </pic:blipFill>
                  <pic:spPr>
                    <a:xfrm>
                      <a:off x="0" y="0"/>
                      <a:ext cx="2097405" cy="1916430"/>
                    </a:xfrm>
                    <a:prstGeom prst="rect">
                      <a:avLst/>
                    </a:prstGeom>
                  </pic:spPr>
                </pic:pic>
              </a:graphicData>
            </a:graphic>
          </wp:inline>
        </w:drawing>
      </w:r>
      <w:r>
        <w:rPr>
          <w:rFonts w:hint="eastAsia"/>
          <w:lang w:val="en-US" w:eastAsia="zh-CN"/>
        </w:rPr>
        <w:t xml:space="preserve">  </w:t>
      </w:r>
      <w:r>
        <w:drawing>
          <wp:inline distT="0" distB="0" distL="114300" distR="114300">
            <wp:extent cx="1658620" cy="1878965"/>
            <wp:effectExtent l="0" t="0" r="17780" b="6985"/>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8620" cy="187896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④在双板链框架横梁底部增加20厚钢板组合三角支撑，增加的钢板组合三角支撑由投标方根据现场双板链框架实际情况合理设计并提供图纸，投标方应保证新加钢板组合三角支撑具备加强板链框架承载能力的功能。</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pPr>
      <w:r>
        <w:drawing>
          <wp:inline distT="0" distB="0" distL="114300" distR="114300">
            <wp:extent cx="2407920" cy="1844675"/>
            <wp:effectExtent l="0" t="0" r="11430" b="3175"/>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407920" cy="1844675"/>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⑤在双板链立柱基座底板增加20#槽钢支撑，增加的槽钢支撑需投标方根据现场双板链立柱实际情况合理设计并提供图纸。</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val="0"/>
          <w:bCs w:val="0"/>
          <w:sz w:val="24"/>
          <w:szCs w:val="24"/>
          <w:lang w:val="en-US" w:eastAsia="zh-CN"/>
        </w:rPr>
      </w:pPr>
      <w:r>
        <w:drawing>
          <wp:inline distT="0" distB="0" distL="114300" distR="114300">
            <wp:extent cx="2014855" cy="1576705"/>
            <wp:effectExtent l="0" t="0" r="4445" b="4445"/>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14855" cy="1576705"/>
                    </a:xfrm>
                    <a:prstGeom prst="rect">
                      <a:avLst/>
                    </a:prstGeom>
                  </pic:spPr>
                </pic:pic>
              </a:graphicData>
            </a:graphic>
          </wp:inline>
        </w:drawing>
      </w:r>
      <w:r>
        <w:rPr>
          <w:rFonts w:hint="eastAsia"/>
          <w:lang w:val="en-US" w:eastAsia="zh-CN"/>
        </w:rPr>
        <w:t xml:space="preserve">  </w:t>
      </w:r>
      <w:r>
        <w:rPr>
          <w:rFonts w:hint="eastAsia" w:ascii="宋体" w:hAnsi="宋体" w:cs="宋体"/>
          <w:sz w:val="24"/>
          <w:szCs w:val="24"/>
          <w:lang w:val="en-US" w:eastAsia="zh-CN"/>
        </w:rPr>
        <w:drawing>
          <wp:inline distT="0" distB="0" distL="114300" distR="114300">
            <wp:extent cx="2399665" cy="1568450"/>
            <wp:effectExtent l="0" t="0" r="635" b="12700"/>
            <wp:docPr id="59" name="图片 59" descr="7d29195da0288485cde3aca8290ac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d29195da0288485cde3aca8290acea2"/>
                    <pic:cNvPicPr>
                      <a:picLocks noChangeAspect="1"/>
                    </pic:cNvPicPr>
                  </pic:nvPicPr>
                  <pic:blipFill>
                    <a:blip r:embed="rId63"/>
                    <a:stretch>
                      <a:fillRect/>
                    </a:stretch>
                  </pic:blipFill>
                  <pic:spPr>
                    <a:xfrm>
                      <a:off x="0" y="0"/>
                      <a:ext cx="2399665" cy="1568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12.3.2 加固双板链机头、机尾钢结构及线体两侧地坑盖板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①对现有双板链地坑支撑框架钢构焊接处进行逐点检查，并对开焊处进行焊接修复，双板链地坑支撑钢构逐点检查区域需投标方明确并根据招标方需求及意见相应调整，严重变形位置要求投标方更换。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②在双板链地坑支撑立柱内、外侧增加20#槽钢支撑，新增槽钢具体规格尺寸需由投标方根据现场双板链地坑支撑立柱实际情况合理设计并提供图纸，投标方应保证新加槽钢支撑具备加强立柱承载能力的功能。</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384425" cy="1805305"/>
            <wp:effectExtent l="0" t="0" r="15875" b="444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47"/>
                    <a:stretch>
                      <a:fillRect/>
                    </a:stretch>
                  </pic:blipFill>
                  <pic:spPr>
                    <a:xfrm>
                      <a:off x="0" y="0"/>
                      <a:ext cx="2384425" cy="180530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在双板链地坑支撑框架横梁底部增加20厚钢板组合三角支撑，增加的钢板组合三角支撑具体规格尺寸需由投标方根据现场双板链地坑支撑框架实际情况合理设计并提供图纸，投标方应保证新加钢板组合三角支撑具备加强支撑框架承载能力的功能。</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383790" cy="1652270"/>
            <wp:effectExtent l="0" t="0" r="16510" b="508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64"/>
                    <a:stretch>
                      <a:fillRect/>
                    </a:stretch>
                  </pic:blipFill>
                  <pic:spPr>
                    <a:xfrm>
                      <a:off x="0" y="0"/>
                      <a:ext cx="2383790" cy="1652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④增加双板链驱动框架与地基的压板，由单板式改为通长版，横跨整个地基，增大框架与基础板的吸附力。标书提供压板仅供投标方参考，压板实际施工尺寸需投标方根据现场情况合理设计并提供图纸，压板厚度不小于现压板，新增后具备增强框架与基础板吸附力和稳定性的功能。</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2398395" cy="1809115"/>
            <wp:effectExtent l="0" t="0" r="1905" b="635"/>
            <wp:docPr id="62" name="图片 62" descr="742dc468eb3cdf71085fcfd8a41de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42dc468eb3cdf71085fcfd8a41de2d5"/>
                    <pic:cNvPicPr>
                      <a:picLocks noChangeAspect="1"/>
                    </pic:cNvPicPr>
                  </pic:nvPicPr>
                  <pic:blipFill>
                    <a:blip r:embed="rId48"/>
                    <a:stretch>
                      <a:fillRect/>
                    </a:stretch>
                  </pic:blipFill>
                  <pic:spPr>
                    <a:xfrm>
                      <a:off x="0" y="0"/>
                      <a:ext cx="2398395" cy="180911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750185" cy="1786890"/>
            <wp:effectExtent l="0" t="0" r="12065" b="3810"/>
            <wp:docPr id="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750185" cy="178689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⑤双板链驱动框架内增加筋板，增大驱动框架的承载力。标书提供筋板仅供投标方参考，筋板实际施工尺寸需投标方根据现场情况合理设计并提供图纸，新增筋板要求具备明显的增大驱动框架承载力的实施效果。</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2290445" cy="1543685"/>
            <wp:effectExtent l="0" t="0" r="14605" b="18415"/>
            <wp:docPr id="64" name="图片 64" descr="7e5f8e6f06beb9ffd20aa7a29422b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e5f8e6f06beb9ffd20aa7a29422bf70"/>
                    <pic:cNvPicPr>
                      <a:picLocks noChangeAspect="1"/>
                    </pic:cNvPicPr>
                  </pic:nvPicPr>
                  <pic:blipFill>
                    <a:blip r:embed="rId65"/>
                    <a:stretch>
                      <a:fillRect/>
                    </a:stretch>
                  </pic:blipFill>
                  <pic:spPr>
                    <a:xfrm>
                      <a:off x="0" y="0"/>
                      <a:ext cx="2290445" cy="154368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1254760" cy="1550670"/>
            <wp:effectExtent l="0" t="0" r="2540" b="1143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54760" cy="15506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⑥检修校直双板链两侧盖板和轨道压板，并在盖板内增加“十”字加强筋。双板链线体两侧盖板包含轨道左、右两侧全部扁豆花纹盖板，投标方需根据现场实际情况，设计合适的盖板内增加的“十”字加强筋，并提供现场盖板内增加“十”字加强筋的图纸。轨道压板校直后，与轨道链板贴合但不干涉磨碰链板运行，投标方需根据招标方需求和意见，校直调整轨道压板后可以解决双板链现存轨道压板起翘剐蹭磨损车辆轮胎等问题。</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lang w:val="en-US" w:eastAsia="zh-CN"/>
        </w:rPr>
      </w:pPr>
      <w:r>
        <w:drawing>
          <wp:inline distT="0" distB="0" distL="114300" distR="114300">
            <wp:extent cx="2540635" cy="1715770"/>
            <wp:effectExtent l="0" t="0" r="12065" b="17780"/>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66"/>
                    <a:stretch>
                      <a:fillRect/>
                    </a:stretch>
                  </pic:blipFill>
                  <pic:spPr>
                    <a:xfrm>
                      <a:off x="0" y="0"/>
                      <a:ext cx="2540635" cy="1715770"/>
                    </a:xfrm>
                    <a:prstGeom prst="rect">
                      <a:avLst/>
                    </a:prstGeom>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drawing>
          <wp:inline distT="0" distB="0" distL="114300" distR="114300">
            <wp:extent cx="2599690" cy="1749425"/>
            <wp:effectExtent l="0" t="0" r="10160" b="3175"/>
            <wp:docPr id="67" name="图片 67" descr="18006acaf42203cf24cd33f490b34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8006acaf42203cf24cd33f490b346d3"/>
                    <pic:cNvPicPr>
                      <a:picLocks noChangeAspect="1"/>
                    </pic:cNvPicPr>
                  </pic:nvPicPr>
                  <pic:blipFill>
                    <a:blip r:embed="rId67"/>
                    <a:stretch>
                      <a:fillRect/>
                    </a:stretch>
                  </pic:blipFill>
                  <pic:spPr>
                    <a:xfrm>
                      <a:off x="0" y="0"/>
                      <a:ext cx="2599690" cy="174942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12.3.3 加固双板链下线地坑钢构盖板</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①逐点检查双板链车辆下线处钢构框架，对钢构框架开焊处进行焊接修复。双板链车辆下线处钢构框架焊接逐点检查区域需投标方明确并根据招标方需求及意见相应调整，严重变形位置要求投标方更换。</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257425" cy="1815465"/>
            <wp:effectExtent l="0" t="0" r="9525" b="13335"/>
            <wp:docPr id="68" name="图片 29"/>
            <wp:cNvGraphicFramePr/>
            <a:graphic xmlns:a="http://schemas.openxmlformats.org/drawingml/2006/main">
              <a:graphicData uri="http://schemas.openxmlformats.org/drawingml/2006/picture">
                <pic:pic xmlns:pic="http://schemas.openxmlformats.org/drawingml/2006/picture">
                  <pic:nvPicPr>
                    <pic:cNvPr id="68" name="图片 29"/>
                    <pic:cNvPicPr/>
                  </pic:nvPicPr>
                  <pic:blipFill>
                    <a:blip r:embed="rId68"/>
                    <a:stretch>
                      <a:fillRect/>
                    </a:stretch>
                  </pic:blipFill>
                  <pic:spPr>
                    <a:xfrm>
                      <a:off x="0" y="0"/>
                      <a:ext cx="2257425" cy="18154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②将双板链车辆下线处地坑盖板更换为10mm厚钢板，新钢板至少具备25T承载能力，新钢板铺设完毕后无鼓包、闪缝、起翘等问题，安装后下线处整体在同一水平面。</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203450" cy="1487805"/>
            <wp:effectExtent l="0" t="0" r="6350" b="1714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69"/>
                    <a:stretch>
                      <a:fillRect/>
                    </a:stretch>
                  </pic:blipFill>
                  <pic:spPr>
                    <a:xfrm>
                      <a:off x="0" y="0"/>
                      <a:ext cx="2203450" cy="148780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③增加立柱双侧槽钢加固，下线处框架立柱由单侧加强槽钢更改为双侧加强槽钢。增加的加强槽钢实际施工规格尺寸，需投标方根据现场情况合理设计并提供图纸。</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121535" cy="1597025"/>
            <wp:effectExtent l="0" t="0" r="12065" b="317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70"/>
                    <a:srcRect/>
                    <a:stretch>
                      <a:fillRect/>
                    </a:stretch>
                  </pic:blipFill>
                  <pic:spPr>
                    <a:xfrm>
                      <a:off x="0" y="0"/>
                      <a:ext cx="2121535" cy="1597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12.3.4 更换双板链链板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板链链板由5mm更换为8mm厚花纹钢板，在新链板上链板与轨道接触点内部增加两条方管式加强筋，提高链板强度，加强筋必须使用管式，不允许使用角铁式。投标方需根据现场实际情况设计合理的管式加强筋新链板并提供图纸，保证加厚新链板更换后，不影响双板链正常使用运行及链板返回等。</w:t>
      </w:r>
    </w:p>
    <w:p>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1179195" cy="2056765"/>
            <wp:effectExtent l="0" t="0" r="1905" b="63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71"/>
                    <a:stretch>
                      <a:fillRect/>
                    </a:stretch>
                  </pic:blipFill>
                  <pic:spPr>
                    <a:xfrm>
                      <a:off x="0" y="0"/>
                      <a:ext cx="1179195" cy="205676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12.3.5 更换安全销</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双板链安全销由15mm直径更换为22mm直径（材质：铸铁SH20）。此尺寸仅为按极限状态下计算理论尺寸，投标人需提供按单车30T状态下，改造后双板链（需一并考虑双板链加固改造方案实施后，双板链增加重量）适用的安全销直径计算书，计算书需完整、准确并标注安全销材质，并提供安全销图纸，安全销实际使用尺寸以现场调试实际情况为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12.3.6 更换双板链磨损严重的150套轴承滚轮，新换轴承滚轮与双板链现用轴承滚轮规格一致，新换轴承滚轮需保证与线体其余轴承滚轮衔接到位，可以满足线体长期安全稳定运行。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12.3.7 加固双板链驱动部分、涨紧部分：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①双板链驱动部分包括驱动地坑钢构支架及盖板、电机减速机固定座等。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②双板链涨紧部分包括涨紧地坑钢构支架及盖板、涨紧基座等。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③投标方需根据现场实际情况明确加固双板链驱动部分、涨紧部分具体实施方案，并满足招标方现场需求和意见。</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12.3.8 检修双板链承重轨道、返回轨道</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检修过程如有必要需投标方与招标方技术人员一起进行，投标方检修需满足招标方现场需求和意见。</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12.4 全部安装完成后整线联调联试。</w:t>
      </w:r>
    </w:p>
    <w:p>
      <w:pPr>
        <w:pStyle w:val="2"/>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13.项目实施特殊要求</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13.1 项目实施过程中不允许使用化学螺栓。</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13.2 投标方需根据备货期及具体施工内容提供完整的项目施工计划，明确项目备货周期、施工过程连续停线时间。</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13.3地拖链、双板链地坑内存在废油液、废油渣，地坑内废油液、废油渣清理和收集由投标方负责，并由投标方提供清理和收集的工具、容器，收集的废油液、废油渣由招标方负责处理。</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13.4密闭空间</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设备地下地坑</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作业：密闭空间作业所需的照明、通风等安全设备设施需投标方根据现场实际施工环境自行准备。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ascii="宋体" w:hAnsi="宋体" w:eastAsia="宋体" w:cs="宋体"/>
          <w:b w:val="0"/>
          <w:bCs w:val="0"/>
          <w:sz w:val="24"/>
          <w:szCs w:val="24"/>
          <w:lang w:val="en-US" w:eastAsia="zh-CN"/>
        </w:rPr>
        <w:t>13.5为保证项目实施安全性并方便项目日后养护维修，投标方负责在施工区域总装北线线体地下地坑内每间隔15-20m增加24V 安全LED照明灯或按具体情况以及招标方意见通线间隔铺设灯带，照明设备电源线铺设需理顺齐整且不影响线体运行和线体及照明设备日常保养维修，所加照明设备必须以安全为第一要义，并方便日后检修时开、关以及更换照明设备。</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w:t>
      </w: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rPr>
        <w:t>若招标文件各组成部分对同一事项的描述存在不一致，以对投标人要求较高、或对项目技术及质量标准要求更严格的条款为准。</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14.电气部分标准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符合《电气装置安装盘、柜及二次回路接线施工及验收规范》 （GB50171-92）；</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符合《电气装置安装工程母线装置施工及验收规范》 （GBJ149-90）；</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符合《电气装置安装工程爆炸和火灾危险环境电气装置施工及验收规范》 （GB50527-96）；</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符合《电气装置安装工程质量检验、评定标准》（GBJ303-88）；</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符合《工业机械电气设备 第一部分：通用技术条件》（GB/T5226.1-1996）；</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符合《电控设备 第一部分：低压电器电控设备》；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符合机械部部颁标准《电力系统二次回路用屏（台）通用技术条件》。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辅梁钢结构的材料表面需经过除锈处理，通过一次底漆、两次面漆使漆膜的厚度为30～50微米。油漆的颜色由招标方负责向投标方提供色板或色标号。</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15.执行标准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15.1 招标方此处所列标准仅为涉及的主要标准，而且不保证其为最新版执行标准；投标方应当在投标文件中认真予以填写、补充和修改完善。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15.2 投标方需要执行的标准，应当采用所供货物通过买方组织的最终验收之日已经开始执行的最新标准。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15.3 采购货物的产品质量、技术标准如在招投标文件中无相应说明，则按中华人民共和国有关部门颁发的最新的国标或专业（部）标准执行及相应的国际标准。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15.4 采购货物没有国家或专业（部）标准的，按企业标准执行时，卖方应在合同签署之前，将所涉及的企业标准提供给买方确认。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15.5 采购货物如果采用国际标准，其执行标准由投标方提供、招标方确认。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15.6 采购货物所涉及的标准不统一时，原则上按照最严格标准执行。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15.7 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ascii="宋体" w:hAnsi="宋体" w:eastAsia="宋体" w:cs="宋体"/>
                <w:sz w:val="24"/>
                <w:szCs w:val="24"/>
              </w:rPr>
            </w:pPr>
          </w:p>
        </w:tc>
        <w:tc>
          <w:tcPr>
            <w:tcW w:w="20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ascii="宋体" w:hAnsi="宋体" w:eastAsia="宋体" w:cs="宋体"/>
                <w:sz w:val="24"/>
                <w:szCs w:val="24"/>
              </w:rPr>
            </w:pPr>
          </w:p>
        </w:tc>
        <w:tc>
          <w:tcPr>
            <w:tcW w:w="20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卖方确认</w:t>
            </w:r>
          </w:p>
        </w:tc>
      </w:tr>
    </w:tbl>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pPr>
        <w:pStyle w:val="18"/>
        <w:rPr>
          <w:rFonts w:hint="eastAsia" w:hAnsi="宋体" w:eastAsia="宋体"/>
        </w:rPr>
      </w:pPr>
    </w:p>
    <w:p>
      <w:pPr>
        <w:keepNext/>
        <w:keepLines/>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第三章供货范围及供货方式</w:t>
      </w:r>
      <w:bookmarkEnd w:id="37"/>
    </w:p>
    <w:p>
      <w:pPr>
        <w:rPr>
          <w:rFonts w:hint="eastAsia" w:ascii="宋体" w:hAnsi="宋体" w:eastAsia="宋体"/>
        </w:rPr>
      </w:pPr>
    </w:p>
    <w:p>
      <w:pPr>
        <w:keepNext/>
        <w:keepLines/>
        <w:spacing w:line="360" w:lineRule="auto"/>
        <w:jc w:val="center"/>
        <w:outlineLvl w:val="2"/>
        <w:rPr>
          <w:rFonts w:hint="eastAsia"/>
        </w:rPr>
      </w:pPr>
      <w:bookmarkStart w:id="38" w:name="_Toc169605882"/>
      <w:r>
        <w:rPr>
          <w:rFonts w:hint="eastAsia" w:ascii="宋体" w:hAnsi="宋体" w:eastAsia="宋体" w:cs="宋体"/>
          <w:b/>
          <w:bCs/>
          <w:sz w:val="24"/>
          <w:szCs w:val="32"/>
        </w:rPr>
        <w:t>第一节  供货范围</w:t>
      </w:r>
      <w:bookmarkEnd w:id="38"/>
    </w:p>
    <w:p>
      <w:pPr>
        <w:pStyle w:val="129"/>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3343"/>
        <w:gridCol w:w="1639"/>
        <w:gridCol w:w="1650"/>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更换15kW电机减速机</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SEW一级</w:t>
            </w:r>
            <w:r>
              <w:rPr>
                <w:rFonts w:hint="eastAsia" w:ascii="宋体" w:hAnsi="宋体" w:eastAsia="宋体" w:cs="宋体"/>
                <w:sz w:val="21"/>
                <w:szCs w:val="21"/>
                <w:vertAlign w:val="baseline"/>
                <w:lang w:val="en-US" w:eastAsia="zh-CN"/>
              </w:rPr>
              <w:t>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更换5.5kW电机减速机</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SEW一级</w:t>
            </w:r>
            <w:r>
              <w:rPr>
                <w:rFonts w:hint="eastAsia" w:ascii="宋体" w:hAnsi="宋体" w:eastAsia="宋体" w:cs="宋体"/>
                <w:sz w:val="21"/>
                <w:szCs w:val="21"/>
                <w:vertAlign w:val="baseline"/>
                <w:lang w:val="en-US" w:eastAsia="zh-CN"/>
              </w:rPr>
              <w:t>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电气系统配套更换</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加固地拖链、双板链线体中间骨架</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地拖链增加承载横梁</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6</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检修地拖链链条行走轨道、链条返回轨道</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7</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加固地拖链、双板链两侧地坑盖板及支架支撑</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8</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加固地拖链和双板链驱动部分、涨紧部分</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更换双板链链板</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件</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检修双板链承重轨道、返回轨道</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更换地拖链420米轨道</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12</w:t>
            </w:r>
          </w:p>
        </w:tc>
        <w:tc>
          <w:tcPr>
            <w:tcW w:w="33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更换地拖链防护胶皮</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13</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更换地拖链、双板链滚轮轴承</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14</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线体地下地坑照明设备</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15</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设备竣工总图</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16</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设备使用说明书</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17</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系统软硬件清单</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18</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技术培训资料</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19</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测试报告</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20</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lang w:val="en-US" w:eastAsia="zh-CN"/>
              </w:rPr>
              <w:t>纸质版</w:t>
            </w:r>
            <w:r>
              <w:rPr>
                <w:rFonts w:hint="eastAsia" w:ascii="宋体" w:hAnsi="宋体" w:eastAsia="宋体" w:cs="宋体"/>
                <w:sz w:val="21"/>
                <w:szCs w:val="21"/>
                <w:highlight w:val="none"/>
              </w:rPr>
              <w:t>设备资料</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电子版WORD或PDF版</w:t>
            </w:r>
            <w:r>
              <w:rPr>
                <w:rFonts w:hint="eastAsia" w:ascii="宋体" w:hAnsi="宋体" w:eastAsia="宋体" w:cs="宋体"/>
                <w:sz w:val="21"/>
                <w:szCs w:val="21"/>
                <w:highlight w:val="none"/>
                <w:lang w:val="en-US" w:eastAsia="zh-CN"/>
              </w:rPr>
              <w:t>一套）</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21</w:t>
            </w:r>
          </w:p>
        </w:tc>
        <w:tc>
          <w:tcPr>
            <w:tcW w:w="33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非标工装设备数据模型</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lang w:val="en-US" w:eastAsia="zh-CN"/>
              </w:rPr>
              <w:t>套</w:t>
            </w:r>
          </w:p>
        </w:tc>
        <w:tc>
          <w:tcPr>
            <w:tcW w:w="1650" w:type="dxa"/>
            <w:shd w:val="clear" w:color="auto" w:fill="auto"/>
            <w:vAlign w:val="center"/>
          </w:tcPr>
          <w:p>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STP</w:t>
            </w:r>
          </w:p>
        </w:tc>
      </w:tr>
    </w:tbl>
    <w:p>
      <w:pPr>
        <w:spacing w:before="156" w:beforeLines="50" w:after="156"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电源划分，控制柜仅指设备的主控柜，原则上每台设备设置一个主控柜（主控柜位置需根据实际生产情况具体设置），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传功能），配电柜接线及柜内各元器件由投标方负责。</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投标方负责线边配电柜到线边两侧工位上的接电盒（具体图纸会签时确定），接电盒内各元器件由投标方负责。投标方负责提供输送设备、工艺设备、照明、风扇、插座用电。  </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2.照明划分，招标方负责车间照明、应急照明、疏散指示灯。投标方负责工位照明、设备</w:t>
      </w:r>
      <w:r>
        <w:rPr>
          <w:rFonts w:hint="eastAsia" w:ascii="宋体" w:hAnsi="宋体" w:eastAsia="宋体" w:cs="宋体"/>
          <w:sz w:val="24"/>
          <w:szCs w:val="24"/>
          <w:lang w:val="en-US" w:eastAsia="zh-CN"/>
        </w:rPr>
        <w:t>地坑</w:t>
      </w:r>
      <w:r>
        <w:rPr>
          <w:rFonts w:hint="eastAsia" w:ascii="宋体" w:hAnsi="宋体" w:eastAsia="宋体" w:cs="宋体"/>
          <w:sz w:val="24"/>
          <w:szCs w:val="24"/>
        </w:rPr>
        <w:t>照明。</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3.气源划分，气源一次侧与二次侧的范围界定：根据设备需要，招标方在车间主管网上预留气源接口并带有阀门；阀门后所有的气路设施由投标方负责，投标方需在提供资料时提出预留气源接口位置。</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投标方应及时提供满足施工设计的下列资料和图纸（具体清单投标方提出，招标方细化，投标方确认）：</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1.确定中标方7天内提供工艺设备平面图、工艺设备负荷图、工艺设备基础图、公用动力需求。</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2.确定中标方7天内提供设备设计图、设备安装图。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3.确定中标方7天内提供设备电器原理图、电器的备件清单。</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4.确定中标方7天内提供货物基础及相关的设计、制作所需的纸质及电子版资料；电子版文件应当能够使用常用版本软件可以阅读甚至使用，进口货物、设备应有中外文对照。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5.设备调试完成后提交上述所有图纸、文件的竣工资料。</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6.设备调试完成后提供设备维护使用说明书以及零部件供应商的相关信息资料。</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7.在预验收前，提供货物各部分的功能描述文件、图片、影像等资料（进口、设备应有中外文对照）。</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8.在终验收前，提供为保证货物后续正常运行所需的具体技术要求等资料（如果供货范围包含该部分实物）。</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9.在终验收前，提供确定的维修所需要且买方可以自行采购的外购件、外协件、电气元件及主要原材料的供货厂家明细表。</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10.在终验收后的第一笔货款支付日之前，提供包括货物的备品备件、易损件和专用耗材的图纸及技术参数、技术要求等资料。</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11.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12.本“技术资料范围”所列的技术资料、图等，投标方应各提供4套纸质资料及3套电子版资料（光盘或u盘等），图纸要求用CAD电子版本，每份技术文件应装有目录清单。</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13.文件、资料确认投标方必须经招标方确认的文件、图纸、实施方案内容如下：</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a)平面布置图；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b)含联系电话的设备型号规格的备件清单实施计划； </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c)现场施工管理、方案；</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d)其它。</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14.本条款所列要求，如招标人认为投标人提供的资料不能满足要求时，有权要求投标人免费补充或增加。</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15.投标方必须提供设备模型（文件格式STP），模型文件应包含设备的全部信息；对设备结构及功能详细说明，包括设备工作流程描述、运行说明、工位节拍等信息。</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16.维修和使用手册</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在调试以前必须提供维修和使用手册四套和一套电子文件。这些手册应包括，但不限于下述内容：</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设备描述和主要设备的分项；</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润滑计划和润滑频次；</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供应商的文献和详细的元件部件；</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操作程序；</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设备布置图；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详细的元件和总装图，包括分解部件总成图；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故障分析和解决方法；</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维修功能——维护和维修细节，包括频次。</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17.图纸</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17.1提供机械AutoCAD（.dwg）格式，电气EPLANP8可编辑格式的文件和电子数据。</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17.2提供所有设施和设备的图纸，包括总图、原理图、制造图、分解视图。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17.3在签订合同后立即进行设计图纸，并提供图纸，在整个阶段连续地进行。这些图纸包括，但不限于：</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详细的零件图；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零件和总成图；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总的平面布置图和分图；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钢结构布置图和分图；</w:t>
      </w:r>
    </w:p>
    <w:p>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17.5在完工时要提供四套图纸和机械AutoCAD（.dwg）格式，电气EPLANP8电子版本图纸。</w:t>
      </w:r>
      <w:bookmarkStart w:id="39" w:name="_Toc169605883"/>
    </w:p>
    <w:p>
      <w:pPr>
        <w:pStyle w:val="2"/>
        <w:keepNext/>
        <w:keepLines/>
        <w:pageBreakBefore w:val="0"/>
        <w:widowControl w:val="0"/>
        <w:kinsoku/>
        <w:wordWrap/>
        <w:overflowPunct/>
        <w:topLinePunct w:val="0"/>
        <w:autoSpaceDE/>
        <w:autoSpaceDN/>
        <w:bidi w:val="0"/>
        <w:adjustRightInd/>
        <w:snapToGrid/>
        <w:ind w:firstLine="482" w:firstLineChars="200"/>
        <w:textAlignment w:val="auto"/>
        <w:rPr>
          <w:rFonts w:hint="eastAsia"/>
        </w:rPr>
      </w:pPr>
      <w:r>
        <w:rPr>
          <w:rFonts w:hint="eastAsia"/>
        </w:rPr>
        <w:t>四、供货范围特别提示</w:t>
      </w:r>
    </w:p>
    <w:p>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b w:val="0"/>
          <w:bCs w:val="0"/>
        </w:rPr>
      </w:pPr>
      <w:r>
        <w:rPr>
          <w:rFonts w:hint="eastAsia"/>
          <w:b w:val="0"/>
          <w:bCs w:val="0"/>
        </w:rPr>
        <w:t>如果投标人认为本节所列的供货范围难以满足，则仍需要按照本要求提供，但该部分货物应当在投标报价中单独列明货物名称及品质、货值。</w:t>
      </w:r>
    </w:p>
    <w:p>
      <w:pPr>
        <w:rPr>
          <w:rFonts w:hint="eastAsia"/>
          <w:b w:val="0"/>
          <w:bCs w:val="0"/>
        </w:rPr>
      </w:pPr>
      <w:r>
        <w:rPr>
          <w:rFonts w:hint="eastAsia"/>
          <w:b w:val="0"/>
          <w:bCs w:val="0"/>
        </w:rPr>
        <w:br w:type="page"/>
      </w:r>
    </w:p>
    <w:p>
      <w:pPr>
        <w:rPr>
          <w:rFonts w:hint="eastAsia"/>
        </w:rPr>
      </w:pPr>
    </w:p>
    <w:p>
      <w:pPr>
        <w:pStyle w:val="18"/>
        <w:spacing w:line="360" w:lineRule="auto"/>
        <w:rPr>
          <w:rFonts w:hint="eastAsia" w:hAnsi="宋体" w:eastAsia="宋体"/>
        </w:rPr>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9"/>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sz w:val="24"/>
          <w:szCs w:val="24"/>
          <w:u w:val="single"/>
        </w:rPr>
        <w:t>山东省济南市市中区党家庄镇南首济南卡车制造有限公司</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1.自合同签定生效之日起，70个日历日之内交货至供货地点。</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2.接续30个日历日之内安装调试完毕。</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3.接续30个日历日之内完成终验收。</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应防止在运输过程中变形，在装运时必须按照极板宽度方向垂直于地面用专用包装箱，避免弯曲和扭曲。</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5.凡电器电子设备须严格包装，以确保不致在运输和保管期间损坏。</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6.设备接口和凸出薄弱部分应考虑防止碰撞损伤。</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7.所有孔、管接头及法兰、螺纹和末端焊接的连接件，都应有保护装置，以防止在运输和保管期间发生损坏腐蚀和掉进其他物件的现象发生。</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8.每个包装件应有装箱单，并至少标明名称、型号规格、数量、净重和毛重、投标人（或供货商）名称和制造日期等相关内容。包装箱内应附带下列文件，但不限于此：产品使用说明书、产品检验合格证书。</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9.每个包装箱应有明显标志，并具有中文书写的合同号、装运标志、发货和到货地点名称、发货人和收货人名称、货物名称和项目号、箱号和外型尺寸等内容。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10.应按照不同的装运要求在包装箱上标明“小心轻放”、“箭头向上”、“防潮”、“防磁”、“不准平放”等标志，以及其它适用的国标通用标志。</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11.包装箱应连续编号，不应出现重复编号。</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12.在不受到外界破坏情况下，包装应保证自交货日起一年内货物（或设备）完好无损。</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13.投标方应根据包装箱内所装物品的特性，向招标方提供安全保存方法的说明。</w:t>
      </w:r>
    </w:p>
    <w:p>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14.投标方所供的备品备件及专用工具应有安全储存方法的说明</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szCs w:val="20"/>
        </w:rPr>
      </w:pPr>
      <w:r>
        <w:rPr>
          <w:rFonts w:hint="eastAsia" w:ascii="宋体" w:hAnsi="宋体" w:eastAsia="宋体" w:cs="宋体"/>
          <w:sz w:val="24"/>
          <w:szCs w:val="24"/>
        </w:rPr>
        <w:t>5.货物（或设备）运抵交货地点后，应负责货物（或设备）的卸货、搬运、保管等事宜，或按照合同约定。</w:t>
      </w:r>
    </w:p>
    <w:p>
      <w:pPr>
        <w:keepNext/>
        <w:keepLines/>
        <w:spacing w:line="360" w:lineRule="auto"/>
        <w:jc w:val="center"/>
        <w:outlineLvl w:val="1"/>
        <w:rPr>
          <w:rFonts w:hint="eastAsia" w:ascii="宋体" w:hAnsi="宋体" w:eastAsia="宋体"/>
          <w:b/>
          <w:bCs/>
          <w:kern w:val="44"/>
          <w:sz w:val="28"/>
          <w:szCs w:val="28"/>
        </w:rPr>
      </w:pPr>
      <w:bookmarkStart w:id="40" w:name="_Toc169605884"/>
      <w:r>
        <w:rPr>
          <w:rFonts w:hint="eastAsia" w:ascii="宋体" w:hAnsi="宋体" w:eastAsia="宋体"/>
          <w:b/>
          <w:bCs/>
          <w:kern w:val="44"/>
          <w:sz w:val="28"/>
          <w:szCs w:val="28"/>
        </w:rPr>
        <w:t>第四章质保期及售后服务</w:t>
      </w:r>
      <w:bookmarkEnd w:id="40"/>
    </w:p>
    <w:p>
      <w:pPr>
        <w:pStyle w:val="121"/>
        <w:spacing w:line="360" w:lineRule="auto"/>
        <w:rPr>
          <w:rFonts w:hint="eastAsia" w:ascii="宋体" w:hAnsi="宋体"/>
        </w:rPr>
      </w:pPr>
      <w:r>
        <w:rPr>
          <w:rFonts w:hint="eastAsia" w:ascii="宋体" w:hAnsi="宋体"/>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1.全部供货范围内的设备、材料、零配件和工器具等，除合同特别约定外，其质保期均自终验收签字生效之日起12个月。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rPr>
      </w:pPr>
      <w:r>
        <w:rPr>
          <w:rFonts w:hint="eastAsia" w:ascii="宋体" w:hAnsi="宋体" w:eastAsia="宋体" w:cs="宋体"/>
          <w:sz w:val="24"/>
          <w:szCs w:val="24"/>
        </w:rPr>
        <w:t>5.软件要具备升级功能，在投产后五年内中标方负责为业主方免费升级</w:t>
      </w:r>
      <w:r>
        <w:rPr>
          <w:rFonts w:hint="eastAsia" w:ascii="Times New Roman" w:hAnsi="Times New Roman" w:eastAsia="宋体"/>
          <w:sz w:val="24"/>
          <w:szCs w:val="24"/>
        </w:rPr>
        <w:t>。</w:t>
      </w:r>
    </w:p>
    <w:p>
      <w:pPr>
        <w:pStyle w:val="121"/>
        <w:pageBreakBefore w:val="0"/>
        <w:widowControl w:val="0"/>
        <w:kinsoku/>
        <w:wordWrap/>
        <w:overflowPunct/>
        <w:topLinePunct w:val="0"/>
        <w:autoSpaceDE/>
        <w:autoSpaceDN/>
        <w:bidi w:val="0"/>
        <w:spacing w:line="360" w:lineRule="auto"/>
        <w:textAlignment w:val="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1.应负责在招标方货物使用现场，对技术、维修和操作人员提供免费的理论、技术和操作、维修等方面的技术指导和培训，并接受招标方有关人员的技术咨询。投标方要有具体的培训计划和培训内容，应分别进行理论培训和实际操作培训，其目的是保证招标方有关人员在投标方交货验收后，能独立进行操作并维修。培训时间在安装调试结束后，培训工作日不少于</w:t>
      </w:r>
      <w:r>
        <w:rPr>
          <w:rFonts w:hint="eastAsia" w:ascii="宋体" w:hAnsi="宋体" w:eastAsia="宋体"/>
          <w:color w:val="000000"/>
          <w:sz w:val="24"/>
          <w:szCs w:val="24"/>
          <w:u w:val="single"/>
        </w:rPr>
        <w:t>2</w:t>
      </w:r>
      <w:r>
        <w:rPr>
          <w:rFonts w:hint="eastAsia" w:ascii="宋体" w:hAnsi="宋体" w:eastAsia="宋体"/>
          <w:color w:val="000000"/>
          <w:sz w:val="24"/>
          <w:szCs w:val="24"/>
        </w:rPr>
        <w:t>个日历日。</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r>
        <w:rPr>
          <w:rFonts w:hint="eastAsia" w:ascii="宋体" w:hAnsi="宋体" w:eastAsia="宋体"/>
          <w:sz w:val="24"/>
          <w:szCs w:val="24"/>
          <w:lang w:eastAsia="zh-CN"/>
        </w:rPr>
        <w:t>。</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r>
        <w:rPr>
          <w:rFonts w:hint="eastAsia" w:ascii="宋体" w:hAnsi="宋体" w:eastAsia="宋体"/>
          <w:sz w:val="24"/>
          <w:szCs w:val="24"/>
          <w:lang w:eastAsia="zh-CN"/>
        </w:rPr>
        <w:t>。</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r>
        <w:rPr>
          <w:rFonts w:hint="eastAsia" w:ascii="宋体" w:hAnsi="宋体" w:eastAsia="宋体"/>
          <w:sz w:val="24"/>
          <w:szCs w:val="24"/>
          <w:lang w:eastAsia="zh-CN"/>
        </w:rPr>
        <w:t>。</w:t>
      </w:r>
    </w:p>
    <w:p>
      <w:pPr>
        <w:pStyle w:val="8"/>
        <w:ind w:firstLine="480"/>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1"/>
        <w:spacing w:line="360" w:lineRule="auto"/>
        <w:rPr>
          <w:rFonts w:hint="eastAsia" w:ascii="宋体" w:hAnsi="宋体" w:cs="宋体"/>
        </w:rPr>
      </w:pPr>
      <w:r>
        <w:rPr>
          <w:rFonts w:hint="eastAsia" w:ascii="宋体" w:hAnsi="宋体" w:cs="宋体"/>
        </w:rPr>
        <w:t>三、安装调试及验收服务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1.根据设备的要求，调试可分空载和负载两个阶段进行；招标人将予以积极配合，协助投标方达到设备的各项技术要求和性能；</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验收时执行的标准：执行国家最新相关标准或行业标准、规范，验收时投标人（卖方）应提供设备制造、安装、验收时所采用的标准或规范的文字样本供买方参考，验收时的实际数据应满足国家标准、本标书及验收方案中的相关规定。</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3.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r>
        <w:rPr>
          <w:rFonts w:hint="eastAsia" w:ascii="宋体" w:hAnsi="宋体" w:eastAsia="宋体"/>
          <w:sz w:val="24"/>
          <w:szCs w:val="24"/>
          <w:lang w:eastAsia="zh-CN"/>
        </w:rPr>
        <w:t>。</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4.投标方免费负责设备的安装、调试，并接受用户的技术咨询</w:t>
      </w:r>
      <w:r>
        <w:rPr>
          <w:rFonts w:hint="eastAsia" w:ascii="宋体" w:hAnsi="宋体" w:eastAsia="宋体"/>
          <w:sz w:val="24"/>
          <w:szCs w:val="24"/>
          <w:lang w:eastAsia="zh-CN"/>
        </w:rPr>
        <w:t>。</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5.投标方是否提供有偿的还是免费的、指导安装调试还是负责安装调试，至少应在投标文件的服务章节中，予以明确说明</w:t>
      </w:r>
      <w:r>
        <w:rPr>
          <w:rFonts w:hint="eastAsia" w:ascii="宋体" w:hAnsi="宋体" w:eastAsia="宋体"/>
          <w:sz w:val="24"/>
          <w:szCs w:val="24"/>
          <w:lang w:eastAsia="zh-CN"/>
        </w:rPr>
        <w:t>。</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6.投标方进入招标方现场进行安装调试过程中，应进行相关安全环保注意事项的培训，并提供相关人员、设备安全作业资质的要求。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7.设备供方配合招标方完成设备数据采集的调试工作，包括但不限于提供设备PLC程序（无密码），接口调试等工作。</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8.投标人在招标人现场进行的、指导或负责的、设备（或材料）的预验收和终验收，应当是免费的，陪同生产时间不少于45天。</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9.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10.在投标人所提供设备需要得到招标人建设项目所在地政府或行业主管部门的查验、试验、验收时，投标人应当免费协助招标人完成所需要的工作、材料和服务等。</w:t>
      </w:r>
    </w:p>
    <w:p>
      <w:pPr>
        <w:pStyle w:val="121"/>
        <w:spacing w:line="360" w:lineRule="auto"/>
        <w:rPr>
          <w:rFonts w:hint="eastAsia" w:ascii="宋体" w:hAnsi="宋体" w:cs="宋体"/>
        </w:rPr>
      </w:pPr>
      <w:r>
        <w:rPr>
          <w:rFonts w:hint="eastAsia" w:ascii="宋体" w:hAnsi="宋体" w:cs="宋体"/>
        </w:rPr>
        <w:t>四、售后服务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由投标方全权负责本品目所有设备售后服务，其中包括所有外购设备。</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只有持买方、卖方代表共同对整条线进行最终综合验收，并签署合格证后，设备才被视为交付使用。其质量保证期为整机二年。在质保期内，调备维护、保养、维修（非人为损坏的）。卖方（设备生产制造商）须负责免费维修和免费更换零配件。</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3.如设备部件属国内生产厂家制造的，卖方应在接到通知后与买方的技术人员联系并告之其处理方法。在确认买方无法解决时，必须在接到通知的36小时内免费为买方维修或更换部件。</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4.如设备部件属国外生产厂家制造的，卖方应储备一定数量的备品备件。</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5.质保期内如有零件损坏，自维修好之日起重新计算质保期</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6.保修期内提供免费跟踪服务，每半年提供一次例行检查。</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7.保修期后每年对买方进行一次回访，收集买方意见和建议，及时解决工程有关事宜。</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8.保修期满后，优惠供应卖方制造的备品备件。</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9.为保证设备正常运行，卖方长期为买方提供本标段相关的技术咨询。</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10.在质保期之内，如发现投标人所提供的设备（或材料）存在问题，需要投标人配合解决时，投标人须在接到通知后市内2小时、省内8小时、省外24小时内派有关人员到达现场，解决问题。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12.所有的售后服务均由投标人受理。如果发生问题并且收到报告，应当在2小时内予以答复。</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13.投标方有义务在设备整个使用寿命周期内提供优质的服务。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14.投标方派往招标方使用现场的人员，应具有较高的业务素质；现场解决问题时，不得无故拖延或推迟，应为招标方提供最佳的服务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16※ 招标人若将设备接入MES，实现智能制造，投标人需要无条件的提供帮助与服务，包括但不限于提供设备程序，以及为实现某种自动化功能而需对设备程序进行的调整等。</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17※ 在工具设备使用寿命周期内，投标人每年至少开展1次工具及软件使用、工具设备维修保养等方面的培训工作</w:t>
      </w:r>
      <w:r>
        <w:rPr>
          <w:rFonts w:ascii="宋体" w:hAnsi="宋体" w:eastAsia="宋体"/>
          <w:sz w:val="24"/>
          <w:szCs w:val="24"/>
        </w:rPr>
        <w:t>。</w:t>
      </w:r>
    </w:p>
    <w:p>
      <w:pPr>
        <w:pStyle w:val="121"/>
        <w:spacing w:line="360" w:lineRule="auto"/>
        <w:rPr>
          <w:rFonts w:hint="eastAsia" w:ascii="宋体" w:hAnsi="宋体" w:cs="宋体"/>
        </w:rPr>
      </w:pPr>
      <w:r>
        <w:rPr>
          <w:rFonts w:hint="eastAsia" w:ascii="宋体" w:hAnsi="宋体" w:cs="宋体"/>
        </w:rPr>
        <w:t>五、其它服务</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1.若投标方所提供货物有需要进口的，投标方一般应自行、自费办理；必要时，买卖双方共同办理。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2.除招标文件、投标文件、答疑文件、技术标书、合同等约定之外，投标方应免费负责必要的或强制性的货物的检验、试验、化验等直接费用。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 中国重汽集团济南卡车有限公司党家庄工厂。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pStyle w:val="2"/>
      </w:pPr>
    </w:p>
    <w:p>
      <w:pPr>
        <w:keepNext/>
        <w:keepLines/>
        <w:numPr>
          <w:ilvl w:val="0"/>
          <w:numId w:val="14"/>
        </w:numPr>
        <w:spacing w:line="360" w:lineRule="auto"/>
        <w:jc w:val="center"/>
        <w:outlineLvl w:val="1"/>
        <w:rPr>
          <w:rFonts w:hint="eastAsia" w:ascii="宋体" w:hAnsi="宋体" w:eastAsia="宋体"/>
          <w:b/>
          <w:bCs/>
          <w:kern w:val="44"/>
          <w:sz w:val="28"/>
          <w:szCs w:val="28"/>
        </w:rPr>
      </w:pPr>
      <w:bookmarkStart w:id="41" w:name="_Toc465187646"/>
      <w:r>
        <w:rPr>
          <w:rFonts w:hint="eastAsia" w:ascii="宋体" w:hAnsi="宋体" w:eastAsia="宋体"/>
          <w:b/>
          <w:bCs/>
          <w:kern w:val="44"/>
          <w:sz w:val="28"/>
          <w:szCs w:val="28"/>
        </w:rPr>
        <w:t xml:space="preserve"> 预验收与终验收</w:t>
      </w:r>
      <w:bookmarkEnd w:id="41"/>
    </w:p>
    <w:p>
      <w:pPr>
        <w:pStyle w:val="121"/>
        <w:spacing w:line="360" w:lineRule="auto"/>
        <w:rPr>
          <w:rFonts w:hint="eastAsia" w:ascii="宋体" w:hAnsi="宋体"/>
          <w:color w:val="auto"/>
        </w:rPr>
      </w:pPr>
      <w:r>
        <w:rPr>
          <w:rFonts w:hint="eastAsia" w:ascii="宋体" w:hAnsi="宋体"/>
          <w:color w:val="auto"/>
        </w:rPr>
        <w:t>一、验收依据和验收标准</w:t>
      </w:r>
    </w:p>
    <w:p>
      <w:pPr>
        <w:pStyle w:val="121"/>
        <w:spacing w:line="360" w:lineRule="auto"/>
        <w:ind w:firstLine="480"/>
        <w:rPr>
          <w:rFonts w:hint="eastAsia" w:ascii="宋体" w:hAnsi="宋体" w:cs="宋体"/>
          <w:b w:val="0"/>
          <w:bCs w:val="0"/>
        </w:rPr>
      </w:pPr>
      <w:r>
        <w:rPr>
          <w:rFonts w:hint="eastAsia" w:ascii="宋体" w:hAnsi="宋体" w:cs="宋体"/>
          <w:b w:val="0"/>
          <w:bCs w:val="0"/>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pPr>
        <w:pStyle w:val="121"/>
        <w:spacing w:line="360" w:lineRule="auto"/>
        <w:rPr>
          <w:rFonts w:hint="eastAsia" w:ascii="宋体" w:hAnsi="宋体"/>
          <w:color w:val="auto"/>
        </w:rPr>
      </w:pPr>
      <w:r>
        <w:rPr>
          <w:rFonts w:hint="eastAsia" w:ascii="宋体" w:hAnsi="宋体"/>
          <w:color w:val="auto"/>
        </w:rPr>
        <w:t>二、检验</w:t>
      </w:r>
    </w:p>
    <w:p>
      <w:pPr>
        <w:pStyle w:val="121"/>
        <w:spacing w:line="360" w:lineRule="auto"/>
        <w:ind w:firstLine="480"/>
        <w:rPr>
          <w:rFonts w:hint="eastAsia" w:ascii="宋体" w:hAnsi="宋体" w:cs="宋体"/>
          <w:b w:val="0"/>
          <w:bCs w:val="0"/>
        </w:rPr>
      </w:pPr>
      <w:r>
        <w:rPr>
          <w:rFonts w:hint="eastAsia" w:ascii="宋体" w:hAnsi="宋体" w:cs="宋体"/>
          <w:b w:val="0"/>
          <w:bCs w:val="0"/>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rPr>
          <w:rFonts w:hint="eastAsia" w:ascii="宋体" w:hAnsi="宋体"/>
          <w:color w:val="auto"/>
        </w:rPr>
      </w:pPr>
      <w:r>
        <w:rPr>
          <w:rFonts w:hint="eastAsia" w:ascii="宋体" w:hAnsi="宋体"/>
          <w:color w:val="auto"/>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验收一般分预验收和终验收两部分。预验收在安装调试完成后现场进行。但是所有的项目，包括不能预验收的项目和预验收通过的项目都在终验收时重新检验，最终只以终验收为准。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时，设备应制造、组装完毕，并已进行了试运行、负荷试验和精度测试；预验收检查项目为：设备的技术规格和数量，设备制造加工质量，设备的机械、电气动作、综合精度、负荷试验，技术资料的完整情况。</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2.终验收规程：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设备（或材料）允许情况下，一般连续运行30天，每天连续10小时，除用户方面因素外，必须达到以下要求：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a）在整个验收过程中没有维修、更换零部件或元件行为；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b）所有出现的调整，每次调整时间均不超过30分钟；</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c）所有调整时间的总和不超过总运行时间的10%；</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d）累计负载运行实际性能（或生产率）达到合同规定；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e）终验收原则上要求一次完成，若一次验收不成功，最多允许两次；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f）终验收通过后买卖双方共同签署终验收报告。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3.设备（或材料）验收的一般标准与要求：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 预验收的一般标准与要求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a.资料齐全性、完整性和有效性。按照“配套供货范围及要求”中“技术资料范围”的规定验收；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设备（或材料）应运行灵活、稳定、可靠、安全，无异常声音和非正常振动。设备不允许出现漏水、漏液、漏气（汽）、漏电。运动的零部件（如链条、联轴器、离合器等）应动作平稳、没有异常声音，不松动或易于调整；</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c.设备（或材料）外观应无损伤，应该涂满同种明亮清晰的油漆（特殊标志除外）。设备应该完整且所有的零部件应该安装牢固，所有的焊缝饱满、无残渣等缺陷；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d.设备（或材料）应有完整的标牌，且清晰易见；</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e.设备（或材料）的安全要求符合中国最新的相关法律、法规、标准和规范以及合同要求；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②终验收时的一般验收标准与要求：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a.资料齐全性、完整性和有效性。</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b.设备应运行灵活、稳定、可靠、安全，无异常声音和非正常振动。设备不允许出现漏水、漏液、漏气（汽）。运动的零部件（如链条、联轴器、离合器等）应动作平稳、没有异常声音，不松动或易于调整；</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c.设备（或材料）外观应无损伤，应该涂满同种明亮清晰的油漆（特殊标志除外）。设备应该完整且所有的零部件应该安装牢固，所有的焊缝饱满、无残渣等缺陷；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d.所有的管道和电缆线等，应排列有序（正确、牢固、整齐）无皱褶、收缩和裂缝，电缆线在整个长度范围内，所有的接头应完全正确地连接；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e.设备应有完整的标牌，且清晰易见；</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f.设备的润滑系统工作可靠，润滑点易于到达；</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g.设备的安全要求符合中国最新的相关法律、法规、标准和规范以及合同要求；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h.地线连接和地极符合国际（ISO/IEC）标准规范；</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i.所有的压力容器应具备合格证（如果有压力容器）；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j.设备正常运行时，噪音不超过中国国家有关规定；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k.计量仪器、仪表配套合理，采用中国的法定计量单位，计量准确、灵敏可靠。保证设计指标和仪器说明书的参数的实现，要求竣工验收交付一次合格，返修更换校调不超过48小时，特殊情况除外；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l.设备质量、技术性能等，按照签定的技术协议书和合同规定的终验收标准验收；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 终验收条件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依据招标文件、投标文件、答疑文件、技术交流文件等形成并达成一致的技术协议书和合同规定的终验收条件验收。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4.性能验收试验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 卖方负责现场安装调试。</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 卖方应按双方商定的时间进度表进行设备的安装调试等工作。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 卖方应在到货后根据总进度要求及时完成设备的安装调试。</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 卖方对设备进行试运行，检查是否满足使用要求。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 系统终验收条件为：达到设计和满足质量、环保要求，稳定生产一个月。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 验收报告至少包括以下各点：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a)性能测试报各； </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b)满足技术规格书要求的全部合同规定的要求；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c)准备好最终所有的技术资料；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d)某些细小问题存在的情况建立残留问题，持续跟进。</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  性能验收试验的地点由合同确定，一般为买方现场。</w:t>
      </w:r>
    </w:p>
    <w:p>
      <w:pPr>
        <w:adjustRightInd w:val="0"/>
        <w:snapToGrid w:val="0"/>
        <w:spacing w:line="360" w:lineRule="auto"/>
        <w:ind w:firstLine="482" w:firstLineChars="200"/>
        <w:rPr>
          <w:rFonts w:hint="eastAsia" w:hAnsi="宋体" w:eastAsia="宋体" w:cs="宋体"/>
          <w:b/>
          <w:bCs/>
          <w:color w:val="000000"/>
          <w:sz w:val="24"/>
          <w:szCs w:val="24"/>
        </w:rPr>
        <w:sectPr>
          <w:footerReference r:id="rId12" w:type="first"/>
          <w:footerReference r:id="rId11" w:type="default"/>
          <w:pgSz w:w="16838" w:h="11906" w:orient="landscape"/>
          <w:pgMar w:top="1417" w:right="1588" w:bottom="1417" w:left="1134" w:header="851" w:footer="992" w:gutter="0"/>
          <w:cols w:space="720" w:num="1"/>
          <w:titlePg/>
          <w:docGrid w:type="lines" w:linePitch="312" w:charSpace="0"/>
        </w:sectPr>
      </w:pPr>
    </w:p>
    <w:bookmarkEnd w:id="33"/>
    <w:p>
      <w:pPr>
        <w:pStyle w:val="18"/>
      </w:pPr>
    </w:p>
    <w:p>
      <w:pPr>
        <w:spacing w:line="360" w:lineRule="auto"/>
        <w:jc w:val="center"/>
        <w:outlineLvl w:val="0"/>
        <w:rPr>
          <w:rFonts w:ascii="宋体" w:hAnsi="Calibri" w:eastAsia="宋体" w:cs="Times New Roman"/>
          <w:b/>
          <w:sz w:val="36"/>
          <w:szCs w:val="36"/>
        </w:rPr>
      </w:pPr>
      <w:bookmarkStart w:id="4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spacing w:line="360" w:lineRule="auto"/>
        <w:jc w:val="right"/>
        <w:rPr>
          <w:rFonts w:hint="eastAsia" w:ascii="方正小标宋简体" w:hAnsi="方正小标宋简体" w:eastAsia="方正小标宋简体" w:cs="方正小标宋简体"/>
          <w:b/>
          <w:bCs/>
          <w:w w:val="90"/>
          <w:sz w:val="24"/>
          <w:szCs w:val="24"/>
          <w:u w:val="single"/>
        </w:rPr>
      </w:pPr>
      <w:bookmarkStart w:id="43" w:name="_Toc283814116"/>
      <w:bookmarkStart w:id="44" w:name="_Toc29691"/>
      <w:r>
        <w:rPr>
          <w:rFonts w:hint="eastAsia" w:ascii="仿宋_GB2312" w:hAnsi="仿宋_GB2312" w:eastAsia="仿宋_GB2312" w:cs="仿宋_GB2312"/>
          <w:w w:val="90"/>
          <w:sz w:val="24"/>
          <w:szCs w:val="24"/>
        </w:rPr>
        <w:t xml:space="preserve"> </w:t>
      </w: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pPr>
        <w:spacing w:line="360" w:lineRule="auto"/>
        <w:jc w:val="center"/>
        <w:rPr>
          <w:rFonts w:hint="eastAsia" w:ascii="方正小标宋简体" w:hAnsi="方正小标宋简体" w:eastAsia="方正小标宋简体" w:cs="方正小标宋简体"/>
          <w:w w:val="90"/>
          <w:sz w:val="56"/>
          <w:szCs w:val="56"/>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rPr>
      </w:pPr>
    </w:p>
    <w:p>
      <w:pPr>
        <w:spacing w:line="360" w:lineRule="auto"/>
        <w:ind w:firstLine="2160" w:firstLineChars="900"/>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r>
        <w:rPr>
          <w:rFonts w:hint="eastAsia" w:ascii="仿宋_GB2312" w:hAnsi="仿宋_GB2312" w:eastAsia="仿宋_GB2312" w:cs="仿宋_GB2312"/>
          <w:b/>
          <w:sz w:val="24"/>
          <w:szCs w:val="24"/>
          <w:u w:val="single"/>
        </w:rPr>
        <w:t>合同项目名称</w:t>
      </w:r>
    </w:p>
    <w:p>
      <w:pPr>
        <w:spacing w:line="360" w:lineRule="auto"/>
        <w:ind w:firstLine="2160" w:firstLineChars="900"/>
        <w:jc w:val="left"/>
        <w:rPr>
          <w:rFonts w:hint="eastAsia" w:ascii="仿宋_GB2312" w:hAnsi="仿宋_GB2312" w:eastAsia="仿宋_GB2312" w:cs="仿宋_GB2312"/>
          <w:bCs/>
          <w:sz w:val="24"/>
          <w:szCs w:val="24"/>
        </w:rPr>
      </w:pPr>
    </w:p>
    <w:p>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甲方单位全称</w:t>
      </w:r>
    </w:p>
    <w:p>
      <w:pPr>
        <w:spacing w:line="360" w:lineRule="auto"/>
        <w:ind w:firstLine="2168" w:firstLineChars="900"/>
        <w:jc w:val="left"/>
        <w:rPr>
          <w:rFonts w:hint="eastAsia" w:ascii="仿宋_GB2312" w:hAnsi="仿宋_GB2312" w:eastAsia="仿宋_GB2312" w:cs="仿宋_GB2312"/>
          <w:b/>
          <w:sz w:val="24"/>
          <w:szCs w:val="24"/>
          <w:u w:val="single"/>
        </w:rPr>
      </w:pPr>
    </w:p>
    <w:p>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乙方单位全称</w:t>
      </w:r>
    </w:p>
    <w:p>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填写甲方所在县级行政区划，如“山东省济南市高新区/章丘区”等</w:t>
      </w:r>
    </w:p>
    <w:p>
      <w:pPr>
        <w:spacing w:line="360" w:lineRule="auto"/>
        <w:ind w:firstLine="2160" w:firstLineChars="900"/>
        <w:jc w:val="left"/>
        <w:rPr>
          <w:rFonts w:hint="eastAsia" w:ascii="仿宋_GB2312" w:hAnsi="仿宋_GB2312" w:eastAsia="仿宋_GB2312" w:cs="仿宋_GB2312"/>
          <w:bCs/>
          <w:sz w:val="24"/>
          <w:szCs w:val="24"/>
        </w:rPr>
      </w:pPr>
    </w:p>
    <w:p>
      <w:pPr>
        <w:spacing w:line="360" w:lineRule="auto"/>
        <w:ind w:firstLine="2160" w:firstLineChars="900"/>
        <w:jc w:val="left"/>
        <w:rPr>
          <w:rFonts w:hint="eastAsia" w:ascii="仿宋_GB2312" w:hAnsi="仿宋_GB2312" w:eastAsia="仿宋_GB2312" w:cs="仿宋_GB2312"/>
          <w:b/>
          <w:sz w:val="24"/>
          <w:szCs w:val="24"/>
          <w:u w:val="single"/>
        </w:rPr>
        <w:sectPr>
          <w:headerReference r:id="rId13" w:type="default"/>
          <w:footerReference r:id="rId14"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r>
        <w:rPr>
          <w:rFonts w:hint="eastAsia" w:ascii="仿宋_GB2312" w:hAnsi="仿宋_GB2312" w:eastAsia="仿宋_GB2312" w:cs="仿宋_GB2312"/>
          <w:b/>
          <w:sz w:val="24"/>
          <w:szCs w:val="24"/>
          <w:u w:val="single"/>
        </w:rPr>
        <w:t>按****年**月**日形式据实填写</w:t>
      </w:r>
    </w:p>
    <w:p>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不含税总价小写，数值，小数点后保留两位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合计税额小写，数值，小数点后保留两位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含税总价小写，数值，小数点后保留两位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据实选择，可填写“交钥匙方式”“指定地点交货”“自提”任一方式，其他情况请据实填写。</w:t>
      </w:r>
    </w:p>
    <w:p>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r>
        <w:rPr>
          <w:rFonts w:hint="eastAsia" w:ascii="仿宋_GB2312" w:eastAsia="仿宋_GB2312" w:hAnsiTheme="minorEastAsia" w:cstheme="minorEastAsia"/>
          <w:sz w:val="24"/>
          <w:szCs w:val="24"/>
        </w:rPr>
        <w:t xml:space="preserve">    </w:t>
      </w:r>
    </w:p>
    <w:p>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
    <w:p>
      <w:pPr>
        <w:pStyle w:val="12"/>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r>
        <w:rPr>
          <w:rFonts w:hint="eastAsia" w:ascii="仿宋_GB2312" w:eastAsia="仿宋_GB2312" w:hAnsiTheme="minorEastAsia" w:cstheme="minorEastAsia"/>
          <w:sz w:val="24"/>
          <w:szCs w:val="24"/>
        </w:rPr>
        <w:t>个日历日内安装调试完成。</w:t>
      </w:r>
    </w:p>
    <w:p>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甲方提供调试产品的件数，不需要的，此处填写“0”</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2.结算付款约定</w:t>
      </w:r>
    </w:p>
    <w:p>
      <w:pPr>
        <w:spacing w:line="360" w:lineRule="auto"/>
        <w:ind w:firstLine="480" w:firstLineChars="200"/>
        <w:rPr>
          <w:rFonts w:hint="eastAsia"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2.3.1</w:t>
      </w:r>
      <w:r>
        <w:rPr>
          <w:rFonts w:hint="eastAsia" w:ascii="仿宋_GB2312" w:hAnsi="黑体" w:eastAsia="仿宋_GB2312" w:cstheme="minorEastAsia"/>
          <w:b/>
          <w:bCs/>
          <w:sz w:val="24"/>
          <w:szCs w:val="24"/>
          <w:u w:val="single"/>
        </w:rPr>
        <w:t>填写第一笔付款的满足要件，如“设备全部到齐无质量问题”。若存在价款支付的收据、发票及财务审核条件与本条格式条款存有变动调整的，须在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第二笔付款的比例，数值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第二笔付款金额</w:t>
      </w:r>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第三笔付款的比例，数值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第三笔付款金额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3.生效条款</w:t>
      </w:r>
    </w:p>
    <w:p>
      <w:pPr>
        <w:spacing w:line="360" w:lineRule="auto"/>
        <w:ind w:firstLine="480" w:firstLineChars="200"/>
        <w:rPr>
          <w:rFonts w:hint="eastAsia"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4.特殊约定</w:t>
      </w:r>
    </w:p>
    <w:p>
      <w:pPr>
        <w:spacing w:line="360" w:lineRule="auto"/>
        <w:ind w:firstLine="434" w:firstLineChars="200"/>
        <w:rPr>
          <w:rFonts w:hint="eastAsia" w:ascii="仿宋_GB2312" w:hAnsi="黑体" w:eastAsia="仿宋_GB2312" w:cstheme="minorEastAsia"/>
          <w:sz w:val="24"/>
          <w:szCs w:val="24"/>
        </w:rPr>
      </w:pPr>
      <w:r>
        <w:rPr>
          <w:rFonts w:hint="eastAsia" w:ascii="仿宋_GB2312" w:hAnsi="仿宋_GB2312" w:eastAsia="仿宋_GB2312" w:cs="仿宋_GB2312"/>
          <w:b/>
          <w:bCs/>
          <w:w w:val="90"/>
          <w:sz w:val="24"/>
          <w:szCs w:val="24"/>
          <w:u w:val="single"/>
        </w:rPr>
        <w:t>特殊约定事项，据实填写：4.1                ;4.2               ;……。若无，</w:t>
      </w:r>
      <w:r>
        <w:rPr>
          <w:rFonts w:hint="eastAsia" w:ascii="仿宋_GB2312" w:eastAsia="仿宋_GB2312" w:hAnsiTheme="minorEastAsia" w:cstheme="minorEastAsia"/>
          <w:b/>
          <w:bCs/>
          <w:sz w:val="24"/>
          <w:szCs w:val="24"/>
          <w:u w:val="single"/>
        </w:rPr>
        <w:t>填写“无”。专用条款、通用条款中需进行修改的部分应在此处予以体现。</w:t>
      </w:r>
    </w:p>
    <w:p>
      <w:pPr>
        <w:spacing w:line="360" w:lineRule="auto"/>
        <w:rPr>
          <w:rFonts w:hint="eastAsia" w:ascii="宋体" w:hAnsi="宋体"/>
          <w:snapToGrid w:val="0"/>
          <w:kern w:val="0"/>
          <w:sz w:val="20"/>
          <w:szCs w:val="20"/>
          <w:lang w:eastAsia="zh-Hans"/>
        </w:rPr>
      </w:pPr>
    </w:p>
    <w:p>
      <w:pPr>
        <w:spacing w:line="360" w:lineRule="auto"/>
        <w:rPr>
          <w:rFonts w:hint="eastAsia" w:ascii="宋体" w:hAnsi="宋体"/>
          <w:snapToGrid w:val="0"/>
          <w:kern w:val="0"/>
          <w:sz w:val="20"/>
          <w:szCs w:val="20"/>
          <w:lang w:eastAsia="zh-Hans"/>
        </w:rPr>
      </w:pPr>
    </w:p>
    <w:p>
      <w:pPr>
        <w:spacing w:line="360" w:lineRule="auto"/>
        <w:rPr>
          <w:rFonts w:hint="eastAsia"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ind w:firstLine="480" w:firstLineChars="200"/>
        <w:rPr>
          <w:rFonts w:hint="eastAsia"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pPr>
        <w:ind w:firstLine="480" w:firstLineChars="200"/>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3"/>
        <w:tabs>
          <w:tab w:val="right" w:leader="dot" w:pos="9061"/>
        </w:tabs>
        <w:ind w:left="0" w:firstLine="480" w:firstLineChars="200"/>
        <w:jc w:val="both"/>
        <w:rPr>
          <w:rFonts w:hint="eastAsia" w:ascii="黑体" w:hAnsi="黑体" w:eastAsia="黑体" w:cs="黑体"/>
          <w:b w:val="0"/>
          <w:sz w:val="24"/>
          <w:szCs w:val="24"/>
        </w:rPr>
      </w:pPr>
      <w:bookmarkStart w:id="45" w:name="_Toc17619"/>
      <w:bookmarkStart w:id="46" w:name="_Toc11823"/>
      <w:bookmarkStart w:id="47" w:name="_Toc16330018"/>
      <w:bookmarkStart w:id="48" w:name="_Toc11930"/>
      <w:r>
        <w:rPr>
          <w:rFonts w:hint="eastAsia" w:ascii="黑体" w:hAnsi="黑体" w:eastAsia="黑体" w:cs="黑体"/>
          <w:b w:val="0"/>
          <w:sz w:val="24"/>
          <w:szCs w:val="24"/>
        </w:rPr>
        <w:t>1 合同设备</w:t>
      </w:r>
      <w:bookmarkEnd w:id="45"/>
      <w:bookmarkEnd w:id="46"/>
      <w:bookmarkEnd w:id="47"/>
      <w:bookmarkEnd w:id="48"/>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32510"/>
      <w:bookmarkStart w:id="50" w:name="_Toc22800"/>
      <w:bookmarkStart w:id="51" w:name="_Toc29026"/>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3"/>
        <w:tabs>
          <w:tab w:val="right" w:leader="dot" w:pos="9061"/>
        </w:tabs>
        <w:ind w:left="0" w:firstLine="480" w:firstLineChars="200"/>
        <w:jc w:val="both"/>
        <w:rPr>
          <w:rFonts w:hint="eastAsia" w:ascii="黑体" w:hAnsi="黑体" w:eastAsia="黑体" w:cs="黑体"/>
          <w:b w:val="0"/>
          <w:sz w:val="24"/>
          <w:szCs w:val="24"/>
        </w:rPr>
      </w:pPr>
      <w:bookmarkStart w:id="52" w:name="_Toc16330019"/>
      <w:r>
        <w:rPr>
          <w:rFonts w:hint="eastAsia" w:ascii="黑体" w:hAnsi="黑体" w:eastAsia="黑体" w:cs="黑体"/>
          <w:b w:val="0"/>
          <w:sz w:val="24"/>
          <w:szCs w:val="24"/>
        </w:rPr>
        <w:t>2 包装</w:t>
      </w:r>
      <w:bookmarkEnd w:id="49"/>
      <w:bookmarkEnd w:id="50"/>
      <w:bookmarkEnd w:id="51"/>
      <w:bookmarkEnd w:id="52"/>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3"/>
        <w:tabs>
          <w:tab w:val="right" w:leader="dot" w:pos="9061"/>
        </w:tabs>
        <w:ind w:left="0" w:firstLine="480" w:firstLineChars="200"/>
        <w:jc w:val="both"/>
        <w:rPr>
          <w:rFonts w:hint="eastAsia" w:ascii="黑体" w:hAnsi="黑体" w:eastAsia="黑体" w:cs="黑体"/>
          <w:b w:val="0"/>
          <w:sz w:val="24"/>
          <w:szCs w:val="24"/>
        </w:rPr>
      </w:pPr>
      <w:bookmarkStart w:id="53" w:name="_Toc16330020"/>
      <w:bookmarkStart w:id="54" w:name="_Toc27453"/>
      <w:bookmarkStart w:id="55" w:name="_Toc27144"/>
      <w:bookmarkStart w:id="56" w:name="_Toc2833"/>
      <w:r>
        <w:rPr>
          <w:rFonts w:hint="eastAsia" w:ascii="黑体" w:hAnsi="黑体" w:eastAsia="黑体" w:cs="黑体"/>
          <w:b w:val="0"/>
          <w:sz w:val="24"/>
          <w:szCs w:val="24"/>
        </w:rPr>
        <w:t>3 运输标记</w:t>
      </w:r>
      <w:bookmarkEnd w:id="53"/>
      <w:bookmarkEnd w:id="54"/>
      <w:bookmarkEnd w:id="55"/>
      <w:bookmarkEnd w:id="56"/>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ind w:left="0" w:firstLine="480" w:firstLineChars="200"/>
        <w:jc w:val="both"/>
        <w:rPr>
          <w:rFonts w:hint="eastAsia" w:ascii="黑体" w:hAnsi="黑体" w:eastAsia="黑体" w:cs="黑体"/>
          <w:b w:val="0"/>
          <w:sz w:val="24"/>
          <w:szCs w:val="24"/>
        </w:rPr>
      </w:pPr>
      <w:bookmarkStart w:id="57" w:name="_Toc16133"/>
      <w:bookmarkStart w:id="58" w:name="_Toc10630"/>
      <w:bookmarkStart w:id="59" w:name="_Toc7431"/>
      <w:bookmarkStart w:id="60" w:name="_Toc16330021"/>
      <w:r>
        <w:rPr>
          <w:rFonts w:hint="eastAsia" w:ascii="黑体" w:hAnsi="黑体" w:eastAsia="黑体" w:cs="黑体"/>
          <w:b w:val="0"/>
          <w:sz w:val="24"/>
          <w:szCs w:val="24"/>
        </w:rPr>
        <w:t>4 检验</w:t>
      </w:r>
      <w:bookmarkEnd w:id="57"/>
      <w:bookmarkEnd w:id="58"/>
      <w:bookmarkEnd w:id="59"/>
      <w:bookmarkEnd w:id="60"/>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3"/>
        <w:tabs>
          <w:tab w:val="right" w:leader="dot" w:pos="9061"/>
        </w:tabs>
        <w:ind w:left="0" w:firstLine="480" w:firstLineChars="200"/>
        <w:jc w:val="both"/>
        <w:rPr>
          <w:rFonts w:hint="eastAsia" w:ascii="黑体" w:hAnsi="黑体" w:eastAsia="黑体" w:cs="黑体"/>
          <w:b w:val="0"/>
          <w:sz w:val="24"/>
          <w:szCs w:val="24"/>
        </w:rPr>
      </w:pPr>
      <w:bookmarkStart w:id="61" w:name="_Toc19850"/>
      <w:bookmarkStart w:id="62" w:name="_Toc24467"/>
      <w:bookmarkStart w:id="63" w:name="_Toc11217"/>
      <w:bookmarkStart w:id="64" w:name="_Toc16330022"/>
      <w:r>
        <w:rPr>
          <w:rFonts w:hint="eastAsia" w:ascii="黑体" w:hAnsi="黑体" w:eastAsia="黑体" w:cs="黑体"/>
          <w:b w:val="0"/>
          <w:sz w:val="24"/>
          <w:szCs w:val="24"/>
        </w:rPr>
        <w:t>5 权利担保</w:t>
      </w:r>
      <w:bookmarkEnd w:id="61"/>
      <w:bookmarkEnd w:id="62"/>
      <w:bookmarkEnd w:id="63"/>
      <w:bookmarkEnd w:id="64"/>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ind w:left="0" w:firstLine="480" w:firstLineChars="200"/>
        <w:jc w:val="both"/>
        <w:rPr>
          <w:rFonts w:hint="eastAsia" w:ascii="黑体" w:hAnsi="黑体" w:eastAsia="黑体" w:cs="黑体"/>
          <w:b w:val="0"/>
          <w:sz w:val="24"/>
          <w:szCs w:val="24"/>
        </w:rPr>
      </w:pPr>
      <w:bookmarkStart w:id="65" w:name="_Toc16330023"/>
      <w:bookmarkStart w:id="66" w:name="_Toc27500"/>
      <w:bookmarkStart w:id="67" w:name="_Toc14809"/>
      <w:bookmarkStart w:id="68" w:name="_Toc11759"/>
      <w:r>
        <w:rPr>
          <w:rFonts w:hint="eastAsia" w:ascii="黑体" w:hAnsi="黑体" w:eastAsia="黑体" w:cs="黑体"/>
          <w:b w:val="0"/>
          <w:sz w:val="24"/>
          <w:szCs w:val="24"/>
        </w:rPr>
        <w:t>6 交货</w:t>
      </w:r>
      <w:bookmarkEnd w:id="65"/>
      <w:bookmarkEnd w:id="66"/>
      <w:bookmarkEnd w:id="67"/>
      <w:bookmarkEnd w:id="68"/>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ind w:left="0" w:firstLine="480" w:firstLineChars="200"/>
        <w:jc w:val="both"/>
        <w:rPr>
          <w:rFonts w:hint="eastAsia" w:ascii="黑体" w:hAnsi="黑体" w:eastAsia="黑体" w:cs="黑体"/>
          <w:b w:val="0"/>
          <w:sz w:val="24"/>
          <w:szCs w:val="24"/>
        </w:rPr>
      </w:pPr>
      <w:bookmarkStart w:id="69" w:name="_Toc25510"/>
      <w:bookmarkStart w:id="70" w:name="_Toc16330024"/>
      <w:bookmarkStart w:id="71" w:name="_Toc2984"/>
      <w:bookmarkStart w:id="72" w:name="_Toc8024"/>
      <w:r>
        <w:rPr>
          <w:rFonts w:hint="eastAsia" w:ascii="黑体" w:hAnsi="黑体" w:eastAsia="黑体" w:cs="黑体"/>
          <w:b w:val="0"/>
          <w:sz w:val="24"/>
          <w:szCs w:val="24"/>
        </w:rPr>
        <w:t>7 安装、调试</w:t>
      </w:r>
      <w:bookmarkEnd w:id="69"/>
      <w:bookmarkEnd w:id="70"/>
      <w:bookmarkEnd w:id="71"/>
      <w:bookmarkEnd w:id="72"/>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3"/>
        <w:tabs>
          <w:tab w:val="right" w:leader="dot" w:pos="9061"/>
        </w:tabs>
        <w:ind w:left="0" w:firstLine="480" w:firstLineChars="200"/>
        <w:jc w:val="both"/>
        <w:rPr>
          <w:rFonts w:hint="eastAsia" w:ascii="黑体" w:hAnsi="黑体" w:eastAsia="黑体" w:cs="黑体"/>
          <w:b w:val="0"/>
          <w:sz w:val="24"/>
          <w:szCs w:val="24"/>
        </w:rPr>
      </w:pPr>
      <w:bookmarkStart w:id="73" w:name="_Toc6350"/>
      <w:bookmarkStart w:id="74" w:name="_Toc16330025"/>
      <w:bookmarkStart w:id="75" w:name="_Toc14260"/>
      <w:bookmarkStart w:id="76" w:name="_Toc14098"/>
      <w:r>
        <w:rPr>
          <w:rFonts w:hint="eastAsia" w:ascii="黑体" w:hAnsi="黑体" w:eastAsia="黑体" w:cs="黑体"/>
          <w:b w:val="0"/>
          <w:sz w:val="24"/>
          <w:szCs w:val="24"/>
        </w:rPr>
        <w:t>8 价款与支付</w:t>
      </w:r>
      <w:bookmarkEnd w:id="73"/>
      <w:bookmarkEnd w:id="74"/>
      <w:bookmarkEnd w:id="75"/>
      <w:bookmarkEnd w:id="76"/>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3"/>
        <w:tabs>
          <w:tab w:val="right" w:leader="dot" w:pos="9061"/>
        </w:tabs>
        <w:ind w:left="0" w:firstLine="480" w:firstLineChars="200"/>
        <w:jc w:val="both"/>
        <w:rPr>
          <w:rFonts w:hint="eastAsia" w:ascii="黑体" w:hAnsi="黑体" w:eastAsia="黑体" w:cs="黑体"/>
          <w:b w:val="0"/>
          <w:sz w:val="24"/>
          <w:szCs w:val="24"/>
        </w:rPr>
      </w:pPr>
      <w:bookmarkStart w:id="77" w:name="_Toc16330026"/>
      <w:bookmarkStart w:id="78" w:name="_Toc24085"/>
      <w:bookmarkStart w:id="79" w:name="_Toc25708"/>
      <w:bookmarkStart w:id="80" w:name="_Toc6726"/>
      <w:r>
        <w:rPr>
          <w:rFonts w:hint="eastAsia" w:ascii="黑体" w:hAnsi="黑体" w:eastAsia="黑体" w:cs="黑体"/>
          <w:b w:val="0"/>
          <w:sz w:val="24"/>
          <w:szCs w:val="24"/>
        </w:rPr>
        <w:t>9 质量保证及售后服务</w:t>
      </w:r>
      <w:bookmarkEnd w:id="77"/>
      <w:bookmarkEnd w:id="78"/>
      <w:bookmarkEnd w:id="79"/>
      <w:bookmarkEnd w:id="80"/>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3"/>
        <w:tabs>
          <w:tab w:val="right" w:leader="dot" w:pos="9061"/>
        </w:tabs>
        <w:ind w:left="0" w:firstLine="480" w:firstLineChars="200"/>
        <w:jc w:val="both"/>
        <w:rPr>
          <w:rFonts w:hint="eastAsia" w:ascii="黑体" w:hAnsi="黑体" w:eastAsia="黑体" w:cs="黑体"/>
          <w:b w:val="0"/>
          <w:sz w:val="24"/>
          <w:szCs w:val="24"/>
        </w:rPr>
      </w:pPr>
      <w:bookmarkStart w:id="81" w:name="_Toc10359"/>
      <w:bookmarkStart w:id="82" w:name="_Toc15570"/>
      <w:bookmarkStart w:id="83" w:name="_Toc16330027"/>
      <w:bookmarkStart w:id="84" w:name="_Toc12927"/>
      <w:r>
        <w:rPr>
          <w:rFonts w:hint="eastAsia" w:ascii="黑体" w:hAnsi="黑体" w:eastAsia="黑体" w:cs="黑体"/>
          <w:b w:val="0"/>
          <w:sz w:val="24"/>
          <w:szCs w:val="24"/>
        </w:rPr>
        <w:t>10法定责任</w:t>
      </w:r>
      <w:bookmarkEnd w:id="81"/>
      <w:bookmarkEnd w:id="82"/>
      <w:bookmarkEnd w:id="83"/>
      <w:bookmarkEnd w:id="84"/>
      <w:r>
        <w:rPr>
          <w:rFonts w:hint="eastAsia" w:ascii="黑体" w:hAnsi="黑体" w:eastAsia="黑体" w:cs="黑体"/>
          <w:b w:val="0"/>
          <w:sz w:val="24"/>
          <w:szCs w:val="24"/>
        </w:rPr>
        <w:t>及合规责任</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eastAsia"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pPr>
        <w:pStyle w:val="3"/>
        <w:tabs>
          <w:tab w:val="right" w:leader="dot" w:pos="9061"/>
        </w:tabs>
        <w:ind w:left="0" w:firstLine="480" w:firstLineChars="200"/>
        <w:jc w:val="both"/>
        <w:rPr>
          <w:rFonts w:hint="eastAsia" w:ascii="黑体" w:hAnsi="黑体" w:eastAsia="黑体" w:cs="黑体"/>
          <w:b w:val="0"/>
          <w:sz w:val="24"/>
          <w:szCs w:val="24"/>
        </w:rPr>
      </w:pPr>
      <w:bookmarkStart w:id="85" w:name="_Toc16330028"/>
      <w:bookmarkStart w:id="86" w:name="_Toc27314"/>
      <w:bookmarkStart w:id="87" w:name="_Toc9708"/>
      <w:bookmarkStart w:id="88" w:name="_Toc30381"/>
      <w:r>
        <w:rPr>
          <w:rFonts w:hint="eastAsia" w:ascii="黑体" w:hAnsi="黑体" w:eastAsia="黑体" w:cs="黑体"/>
          <w:b w:val="0"/>
          <w:sz w:val="24"/>
          <w:szCs w:val="24"/>
        </w:rPr>
        <w:t>11 违约责任</w:t>
      </w:r>
      <w:bookmarkEnd w:id="85"/>
      <w:bookmarkEnd w:id="86"/>
      <w:bookmarkEnd w:id="87"/>
      <w:bookmarkEnd w:id="88"/>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3"/>
        <w:tabs>
          <w:tab w:val="right" w:leader="dot" w:pos="9061"/>
        </w:tabs>
        <w:ind w:left="0" w:firstLine="480" w:firstLineChars="200"/>
        <w:jc w:val="both"/>
        <w:rPr>
          <w:rFonts w:hint="eastAsia" w:ascii="黑体" w:hAnsi="黑体" w:eastAsia="黑体" w:cs="黑体"/>
          <w:b w:val="0"/>
          <w:sz w:val="24"/>
          <w:szCs w:val="24"/>
        </w:rPr>
      </w:pPr>
      <w:bookmarkStart w:id="89" w:name="_Toc31554"/>
      <w:bookmarkStart w:id="90" w:name="_Toc1827"/>
      <w:bookmarkStart w:id="91" w:name="_Toc16330029"/>
      <w:bookmarkStart w:id="92" w:name="_Toc9172"/>
      <w:r>
        <w:rPr>
          <w:rFonts w:hint="eastAsia" w:ascii="黑体" w:hAnsi="黑体" w:eastAsia="黑体" w:cs="黑体"/>
          <w:b w:val="0"/>
          <w:sz w:val="24"/>
          <w:szCs w:val="24"/>
        </w:rPr>
        <w:t>12 合同的终止与解除</w:t>
      </w:r>
      <w:bookmarkEnd w:id="89"/>
      <w:bookmarkEnd w:id="90"/>
      <w:bookmarkEnd w:id="91"/>
      <w:bookmarkEnd w:id="92"/>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3"/>
        <w:tabs>
          <w:tab w:val="right" w:leader="dot" w:pos="9061"/>
        </w:tabs>
        <w:ind w:left="0" w:firstLine="480" w:firstLineChars="200"/>
        <w:jc w:val="both"/>
        <w:rPr>
          <w:rFonts w:hint="eastAsia" w:ascii="黑体" w:hAnsi="黑体" w:eastAsia="黑体" w:cs="黑体"/>
          <w:b w:val="0"/>
          <w:sz w:val="24"/>
          <w:szCs w:val="24"/>
        </w:rPr>
      </w:pPr>
      <w:bookmarkStart w:id="93" w:name="_Toc16330030"/>
      <w:bookmarkStart w:id="94" w:name="_Toc8620"/>
      <w:bookmarkStart w:id="95" w:name="_Toc13671"/>
      <w:bookmarkStart w:id="96" w:name="_Toc31945"/>
      <w:r>
        <w:rPr>
          <w:rFonts w:hint="eastAsia" w:ascii="黑体" w:hAnsi="黑体" w:eastAsia="黑体" w:cs="黑体"/>
          <w:b w:val="0"/>
          <w:sz w:val="24"/>
          <w:szCs w:val="24"/>
        </w:rPr>
        <w:t>13 不可抗力</w:t>
      </w:r>
      <w:bookmarkEnd w:id="93"/>
      <w:bookmarkEnd w:id="94"/>
      <w:bookmarkEnd w:id="95"/>
      <w:bookmarkEnd w:id="96"/>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3"/>
        <w:tabs>
          <w:tab w:val="right" w:leader="dot" w:pos="9061"/>
        </w:tabs>
        <w:ind w:left="0" w:firstLine="480" w:firstLineChars="200"/>
        <w:jc w:val="both"/>
        <w:rPr>
          <w:rFonts w:hint="eastAsia" w:ascii="黑体" w:hAnsi="黑体" w:eastAsia="黑体" w:cs="黑体"/>
          <w:b w:val="0"/>
          <w:sz w:val="24"/>
          <w:szCs w:val="24"/>
        </w:rPr>
      </w:pPr>
      <w:bookmarkStart w:id="97" w:name="_Toc16330031"/>
      <w:bookmarkStart w:id="98" w:name="_Toc31243"/>
      <w:bookmarkStart w:id="99" w:name="_Toc637"/>
      <w:bookmarkStart w:id="100" w:name="_Toc30389"/>
      <w:r>
        <w:rPr>
          <w:rFonts w:hint="eastAsia" w:ascii="黑体" w:hAnsi="黑体" w:eastAsia="黑体" w:cs="黑体"/>
          <w:b w:val="0"/>
          <w:sz w:val="24"/>
          <w:szCs w:val="24"/>
        </w:rPr>
        <w:t>14 通讯</w:t>
      </w:r>
      <w:bookmarkEnd w:id="97"/>
      <w:bookmarkEnd w:id="98"/>
      <w:bookmarkEnd w:id="99"/>
      <w:bookmarkEnd w:id="100"/>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3"/>
        <w:tabs>
          <w:tab w:val="right" w:leader="dot" w:pos="9061"/>
        </w:tabs>
        <w:ind w:left="0" w:firstLine="480" w:firstLineChars="200"/>
        <w:jc w:val="both"/>
        <w:rPr>
          <w:rFonts w:hint="eastAsia" w:ascii="黑体" w:hAnsi="黑体" w:eastAsia="黑体" w:cs="黑体"/>
          <w:b w:val="0"/>
          <w:sz w:val="24"/>
          <w:szCs w:val="24"/>
        </w:rPr>
      </w:pPr>
      <w:bookmarkStart w:id="101" w:name="_Toc11290"/>
      <w:bookmarkStart w:id="102" w:name="_Toc12984"/>
      <w:bookmarkStart w:id="103" w:name="_Toc9915"/>
      <w:bookmarkStart w:id="104" w:name="_Toc16330032"/>
      <w:r>
        <w:rPr>
          <w:rFonts w:hint="eastAsia" w:ascii="黑体" w:hAnsi="黑体" w:eastAsia="黑体" w:cs="黑体"/>
          <w:b w:val="0"/>
          <w:sz w:val="24"/>
          <w:szCs w:val="24"/>
        </w:rPr>
        <w:t>15 适用法律及争议解决</w:t>
      </w:r>
      <w:bookmarkEnd w:id="101"/>
      <w:bookmarkEnd w:id="102"/>
      <w:bookmarkEnd w:id="103"/>
      <w:bookmarkEnd w:id="104"/>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ind w:left="0" w:firstLine="480" w:firstLineChars="200"/>
        <w:jc w:val="both"/>
        <w:rPr>
          <w:rFonts w:hint="eastAsia" w:ascii="黑体" w:hAnsi="黑体" w:eastAsia="黑体" w:cs="黑体"/>
          <w:b w:val="0"/>
          <w:sz w:val="24"/>
          <w:szCs w:val="24"/>
        </w:rPr>
      </w:pPr>
      <w:bookmarkStart w:id="105" w:name="_Toc16330033"/>
      <w:bookmarkStart w:id="106" w:name="_Toc18207"/>
      <w:bookmarkStart w:id="107" w:name="_Toc23765"/>
      <w:bookmarkStart w:id="108" w:name="_Toc23906"/>
      <w:r>
        <w:rPr>
          <w:rFonts w:hint="eastAsia" w:ascii="黑体" w:hAnsi="黑体" w:eastAsia="黑体" w:cs="黑体"/>
          <w:b w:val="0"/>
          <w:sz w:val="24"/>
          <w:szCs w:val="24"/>
        </w:rPr>
        <w:t>16 附件</w:t>
      </w:r>
      <w:bookmarkEnd w:id="105"/>
      <w:bookmarkEnd w:id="106"/>
      <w:bookmarkEnd w:id="107"/>
      <w:bookmarkEnd w:id="108"/>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3"/>
        <w:tabs>
          <w:tab w:val="right" w:leader="dot" w:pos="9061"/>
        </w:tabs>
        <w:ind w:left="0" w:firstLine="480" w:firstLineChars="200"/>
        <w:jc w:val="both"/>
        <w:rPr>
          <w:rFonts w:hint="eastAsia" w:ascii="黑体" w:hAnsi="黑体" w:eastAsia="黑体" w:cs="黑体"/>
          <w:b w:val="0"/>
          <w:sz w:val="24"/>
          <w:szCs w:val="24"/>
        </w:rPr>
      </w:pPr>
      <w:bookmarkStart w:id="109" w:name="_Toc27202"/>
      <w:bookmarkStart w:id="110" w:name="_Toc16330034"/>
      <w:bookmarkStart w:id="111" w:name="_Toc17656"/>
      <w:bookmarkStart w:id="112" w:name="_Toc31331"/>
      <w:r>
        <w:rPr>
          <w:rFonts w:hint="eastAsia" w:ascii="黑体" w:hAnsi="黑体" w:eastAsia="黑体" w:cs="黑体"/>
          <w:b w:val="0"/>
          <w:sz w:val="24"/>
          <w:szCs w:val="24"/>
        </w:rPr>
        <w:t>17 其他规定</w:t>
      </w:r>
      <w:bookmarkEnd w:id="109"/>
      <w:bookmarkEnd w:id="110"/>
      <w:bookmarkEnd w:id="111"/>
      <w:bookmarkEnd w:id="112"/>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hint="eastAsia" w:ascii="仿宋_GB2312" w:hAnsi="仿宋_GB2312" w:eastAsia="仿宋_GB2312" w:cs="仿宋_GB2312"/>
          <w:sz w:val="24"/>
          <w:szCs w:val="24"/>
        </w:rPr>
      </w:pPr>
      <w:bookmarkStart w:id="113" w:name="_Toc29136"/>
      <w:bookmarkStart w:id="114" w:name="_Toc19077"/>
      <w:bookmarkStart w:id="115" w:name="_Toc16330035"/>
      <w:bookmarkStart w:id="116"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18 签署事项</w:t>
      </w:r>
      <w:bookmarkEnd w:id="113"/>
      <w:bookmarkEnd w:id="114"/>
      <w:bookmarkEnd w:id="115"/>
      <w:bookmarkEnd w:id="116"/>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pPr>
        <w:rPr>
          <w:rFonts w:hint="eastAsia"/>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56"/>
        <w:gridCol w:w="790"/>
        <w:gridCol w:w="702"/>
        <w:gridCol w:w="1064"/>
        <w:gridCol w:w="1043"/>
        <w:gridCol w:w="976"/>
        <w:gridCol w:w="880"/>
        <w:gridCol w:w="995"/>
        <w:gridCol w:w="67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不含税</w:t>
            </w:r>
          </w:p>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含税</w:t>
            </w:r>
          </w:p>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pPr>
              <w:pStyle w:val="28"/>
              <w:spacing w:line="360" w:lineRule="auto"/>
              <w:ind w:left="0" w:firstLine="0"/>
              <w:jc w:val="center"/>
              <w:rPr>
                <w:rFonts w:hint="eastAsia"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pPr>
              <w:spacing w:line="360" w:lineRule="auto"/>
              <w:jc w:val="center"/>
              <w:rPr>
                <w:rFonts w:hint="eastAsia" w:ascii="仿宋_GB2312" w:eastAsia="仿宋_GB2312" w:hAnsiTheme="minorEastAsia" w:cstheme="minorEastAsia"/>
              </w:rPr>
            </w:pPr>
          </w:p>
        </w:tc>
        <w:tc>
          <w:tcPr>
            <w:tcW w:w="977" w:type="dxa"/>
            <w:vAlign w:val="center"/>
          </w:tcPr>
          <w:p>
            <w:pPr>
              <w:spacing w:line="360" w:lineRule="auto"/>
              <w:jc w:val="center"/>
              <w:rPr>
                <w:rFonts w:hint="eastAsia" w:ascii="仿宋_GB2312" w:eastAsia="仿宋_GB2312" w:hAnsiTheme="minorEastAsia" w:cstheme="minorEastAsia"/>
              </w:rPr>
            </w:pPr>
          </w:p>
        </w:tc>
        <w:tc>
          <w:tcPr>
            <w:tcW w:w="881" w:type="dxa"/>
            <w:vAlign w:val="center"/>
          </w:tcPr>
          <w:p>
            <w:pPr>
              <w:spacing w:line="360" w:lineRule="auto"/>
              <w:jc w:val="center"/>
              <w:rPr>
                <w:rFonts w:hint="eastAsia" w:ascii="仿宋_GB2312" w:eastAsia="仿宋_GB2312" w:hAnsiTheme="minorEastAsia" w:cstheme="minorEastAsia"/>
              </w:rPr>
            </w:pPr>
          </w:p>
        </w:tc>
        <w:tc>
          <w:tcPr>
            <w:tcW w:w="997" w:type="dxa"/>
            <w:vAlign w:val="center"/>
          </w:tcPr>
          <w:p>
            <w:pPr>
              <w:spacing w:line="360" w:lineRule="auto"/>
              <w:jc w:val="center"/>
              <w:rPr>
                <w:rFonts w:hint="eastAsia" w:ascii="仿宋_GB2312" w:eastAsia="仿宋_GB2312" w:hAnsiTheme="minorEastAsia" w:cstheme="minorEastAsia"/>
              </w:rPr>
            </w:pPr>
          </w:p>
        </w:tc>
        <w:tc>
          <w:tcPr>
            <w:tcW w:w="677" w:type="dxa"/>
            <w:vAlign w:val="center"/>
          </w:tcPr>
          <w:p>
            <w:pPr>
              <w:spacing w:line="360" w:lineRule="auto"/>
              <w:jc w:val="center"/>
              <w:rPr>
                <w:rFonts w:hint="eastAsia" w:ascii="仿宋_GB2312" w:eastAsia="仿宋_GB2312" w:hAnsiTheme="minorEastAsia" w:cstheme="minorEastAsia"/>
              </w:rPr>
            </w:pPr>
          </w:p>
        </w:tc>
        <w:tc>
          <w:tcPr>
            <w:tcW w:w="677" w:type="dxa"/>
            <w:vAlign w:val="center"/>
          </w:tcPr>
          <w:p>
            <w:pPr>
              <w:spacing w:line="360" w:lineRule="auto"/>
              <w:jc w:val="center"/>
              <w:rPr>
                <w:rFonts w:hint="eastAsia" w:ascii="仿宋_GB2312" w:eastAsia="仿宋_GB2312" w:hAnsiTheme="minorEastAsia" w:cstheme="minorEastAsia"/>
              </w:rPr>
            </w:pPr>
          </w:p>
        </w:tc>
      </w:tr>
      <w:bookmarkEnd w:id="43"/>
    </w:tbl>
    <w:p>
      <w:pPr>
        <w:pStyle w:val="3"/>
        <w:tabs>
          <w:tab w:val="right" w:leader="dot" w:pos="9061"/>
        </w:tabs>
        <w:ind w:left="0"/>
        <w:jc w:val="both"/>
        <w:rPr>
          <w:rFonts w:hint="eastAsia" w:asciiTheme="minorEastAsia" w:hAnsiTheme="minorEastAsia" w:eastAsiaTheme="minorEastAsia" w:cstheme="minorEastAsia"/>
          <w:sz w:val="20"/>
        </w:rPr>
      </w:pPr>
    </w:p>
    <w:p>
      <w:pPr>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wordWrap w:val="0"/>
        <w:ind w:right="480"/>
        <w:rPr>
          <w:rFonts w:hint="eastAsia" w:asciiTheme="minorEastAsia" w:hAnsiTheme="minorEastAsia" w:cstheme="minorEastAsia"/>
          <w:sz w:val="20"/>
          <w:szCs w:val="20"/>
        </w:rPr>
      </w:pPr>
    </w:p>
    <w:p>
      <w:pPr>
        <w:jc w:val="right"/>
        <w:rPr>
          <w:rFonts w:hint="eastAsia" w:ascii="楷体_GB2312" w:hAnsi="宋体" w:eastAsia="楷体_GB2312"/>
          <w:sz w:val="24"/>
        </w:rPr>
      </w:pPr>
      <w:bookmarkStart w:id="117" w:name="_Toc14341849"/>
    </w:p>
    <w:p>
      <w:pPr>
        <w:ind w:right="480"/>
        <w:jc w:val="center"/>
        <w:rPr>
          <w:rFonts w:hint="eastAsia"/>
          <w:sz w:val="24"/>
          <w:szCs w:val="24"/>
        </w:rPr>
      </w:pPr>
      <w:r>
        <w:rPr>
          <w:rFonts w:hint="eastAsia" w:ascii="楷体_GB2312" w:hAnsi="宋体" w:eastAsia="楷体_GB2312"/>
          <w:sz w:val="24"/>
        </w:rPr>
        <w:t xml:space="preserve">                                    </w:t>
      </w:r>
    </w:p>
    <w:bookmarkEnd w:id="117"/>
    <w:p>
      <w:pPr>
        <w:rPr>
          <w:rFonts w:hint="eastAsia" w:ascii="方正小标宋简体" w:hAnsi="方正小标宋简体" w:eastAsia="方正小标宋简体" w:cs="方正小标宋简体"/>
          <w:sz w:val="40"/>
          <w:szCs w:val="21"/>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spacing w:before="118"/>
        <w:ind w:right="2435"/>
        <w:jc w:val="center"/>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 xml:space="preserve">          廉洁诚信协议</w:t>
      </w:r>
    </w:p>
    <w:p>
      <w:pPr>
        <w:pStyle w:val="14"/>
        <w:spacing w:before="8" w:after="156"/>
        <w:rPr>
          <w:rFonts w:hint="eastAsia" w:ascii="楷体" w:hAnsi="楷体" w:eastAsia="楷体" w:cs="楷体"/>
          <w:sz w:val="44"/>
          <w:szCs w:val="28"/>
        </w:rPr>
      </w:pP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4"/>
        <w:spacing w:before="9" w:after="156"/>
        <w:rPr>
          <w:rFonts w:hint="eastAsia" w:ascii="楷体" w:hAnsi="楷体" w:eastAsia="楷体" w:cs="楷体"/>
          <w:sz w:val="40"/>
          <w:szCs w:val="28"/>
        </w:rPr>
      </w:pPr>
    </w:p>
    <w:p>
      <w:pPr>
        <w:pStyle w:val="14"/>
        <w:spacing w:before="9" w:after="156"/>
        <w:rPr>
          <w:rFonts w:hint="eastAsia" w:ascii="楷体" w:hAnsi="楷体" w:eastAsia="楷体" w:cs="楷体"/>
          <w:sz w:val="40"/>
          <w:szCs w:val="28"/>
        </w:rPr>
      </w:pPr>
    </w:p>
    <w:p>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4"/>
        <w:spacing w:after="156"/>
        <w:rPr>
          <w:rFonts w:hint="eastAsia" w:ascii="楷体" w:hAnsi="楷体" w:eastAsia="楷体" w:cs="楷体"/>
          <w:b/>
          <w:sz w:val="24"/>
          <w:szCs w:val="28"/>
        </w:rPr>
      </w:pPr>
    </w:p>
    <w:p>
      <w:pPr>
        <w:pStyle w:val="14"/>
        <w:spacing w:after="156"/>
        <w:rPr>
          <w:rFonts w:hint="eastAsia" w:ascii="楷体" w:hAnsi="楷体" w:eastAsia="楷体" w:cs="楷体"/>
          <w:b/>
          <w:sz w:val="24"/>
          <w:szCs w:val="28"/>
        </w:rPr>
      </w:pPr>
    </w:p>
    <w:p>
      <w:pPr>
        <w:pStyle w:val="14"/>
        <w:spacing w:after="156"/>
        <w:rPr>
          <w:rFonts w:hint="eastAsia" w:ascii="楷体" w:hAnsi="楷体" w:eastAsia="楷体" w:cs="楷体"/>
          <w:b/>
          <w:sz w:val="24"/>
          <w:szCs w:val="28"/>
        </w:rPr>
      </w:pPr>
    </w:p>
    <w:p>
      <w:pPr>
        <w:pStyle w:val="14"/>
        <w:spacing w:before="1"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pPr>
        <w:keepNext/>
        <w:keepLines/>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8"/>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8" w:name="_Toc353881012"/>
      <w:bookmarkStart w:id="119" w:name="_Toc212369550"/>
      <w:bookmarkStart w:id="120" w:name="_Toc639004"/>
      <w:bookmarkStart w:id="12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8"/>
      <w:bookmarkEnd w:id="119"/>
      <w:bookmarkEnd w:id="120"/>
      <w:bookmarkEnd w:id="121"/>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致：中国重汽集团济南卡车股份有限公司：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济南卡车制造公司</w:t>
      </w:r>
      <w:r>
        <w:rPr>
          <w:rFonts w:hint="eastAsia" w:ascii="宋体" w:hAnsi="宋体" w:eastAsia="宋体" w:cs="宋体"/>
          <w:sz w:val="24"/>
          <w:szCs w:val="24"/>
          <w:u w:val="single"/>
          <w:lang w:val="en-US" w:eastAsia="zh-CN"/>
        </w:rPr>
        <w:t>党家庄</w:t>
      </w:r>
      <w:r>
        <w:rPr>
          <w:rFonts w:hint="eastAsia" w:ascii="宋体" w:hAnsi="宋体" w:eastAsia="宋体" w:cs="宋体"/>
          <w:sz w:val="24"/>
          <w:szCs w:val="24"/>
          <w:u w:val="single"/>
        </w:rPr>
        <w:t>厂区</w:t>
      </w:r>
      <w:r>
        <w:rPr>
          <w:rFonts w:hint="eastAsia" w:ascii="宋体" w:hAnsi="宋体" w:eastAsia="宋体" w:cs="宋体"/>
          <w:sz w:val="24"/>
          <w:szCs w:val="24"/>
          <w:u w:val="single"/>
          <w:lang w:val="en-US" w:eastAsia="zh-CN"/>
        </w:rPr>
        <w:t>总三车间总装北线加固改造技改</w:t>
      </w:r>
      <w:r>
        <w:rPr>
          <w:rFonts w:hint="eastAsia" w:ascii="宋体" w:hAnsi="宋体" w:eastAsia="宋体" w:cs="宋体"/>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w:t>
      </w:r>
      <w:r>
        <w:rPr>
          <w:rFonts w:hint="eastAsia" w:ascii="宋体" w:hAnsi="宋体" w:eastAsia="宋体" w:cs="Times New Roman"/>
          <w:color w:val="000000"/>
          <w:sz w:val="24"/>
          <w:szCs w:val="24"/>
          <w:lang w:val="en-US" w:eastAsia="zh-CN"/>
        </w:rPr>
        <w:t>账</w:t>
      </w:r>
      <w:r>
        <w:rPr>
          <w:rFonts w:hint="eastAsia" w:ascii="宋体" w:hAnsi="宋体" w:eastAsia="宋体" w:cs="Times New Roman"/>
          <w:color w:val="000000"/>
          <w:sz w:val="24"/>
          <w:szCs w:val="24"/>
        </w:rPr>
        <w:t>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济南卡车制造公司党家庄厂区总三车间总装北线加固改造技改项目</w:t>
      </w:r>
      <w:r>
        <w:rPr>
          <w:rFonts w:hint="eastAsia" w:ascii="宋体" w:hAnsi="宋体" w:eastAsia="宋体" w:cs="Times New Roman"/>
          <w:color w:val="000000"/>
          <w:sz w:val="24"/>
          <w:szCs w:val="24"/>
        </w:rPr>
        <w:t>（</w:t>
      </w:r>
      <w:r>
        <w:rPr>
          <w:rFonts w:hint="eastAsia" w:ascii="宋体" w:hAnsi="宋体" w:eastAsia="宋体" w:cs="Times New Roman"/>
          <w:sz w:val="24"/>
          <w:szCs w:val="24"/>
          <w:highlight w:val="yellow"/>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济南卡车制造公司党家庄厂区总三车间总装北线加固改造技改项目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济南卡车制造公司党家庄厂区总三车间总装北线加固改造技改项目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宋体"/>
          <w:b/>
          <w:bCs/>
          <w:color w:val="000000"/>
          <w:sz w:val="24"/>
          <w:szCs w:val="24"/>
        </w:rPr>
      </w:pPr>
    </w:p>
    <w:p>
      <w:pPr>
        <w:keepNext/>
        <w:keepLines/>
        <w:outlineLvl w:val="2"/>
        <w:rPr>
          <w:rFonts w:hint="eastAsia" w:ascii="Times New Roman" w:hAnsi="Times New Roman" w:eastAsia="宋体" w:cs="宋体"/>
          <w:b/>
          <w:bCs/>
          <w:color w:val="000000"/>
          <w:sz w:val="24"/>
          <w:szCs w:val="24"/>
        </w:rPr>
      </w:pPr>
    </w:p>
    <w:p>
      <w:pPr>
        <w:keepNext/>
        <w:keepLines/>
        <w:outlineLvl w:val="2"/>
        <w:rPr>
          <w:rFonts w:hint="eastAsia" w:ascii="Times New Roman" w:hAnsi="Times New Roman" w:eastAsia="宋体" w:cs="宋体"/>
          <w:b/>
          <w:bCs/>
          <w:color w:val="000000"/>
          <w:sz w:val="24"/>
          <w:szCs w:val="24"/>
        </w:rPr>
      </w:pPr>
    </w:p>
    <w:p>
      <w:pPr>
        <w:keepNext/>
        <w:keepLines/>
        <w:outlineLvl w:val="2"/>
        <w:rPr>
          <w:rFonts w:hint="eastAsia" w:ascii="Times New Roman" w:hAnsi="Times New Roman" w:eastAsia="宋体" w:cs="宋体"/>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spacing w:line="360" w:lineRule="auto"/>
              <w:jc w:val="center"/>
              <w:rPr>
                <w:rFonts w:hint="eastAsia" w:ascii="宋体" w:hAnsi="宋体" w:eastAsia="宋体"/>
                <w:bCs/>
                <w:sz w:val="24"/>
                <w:szCs w:val="24"/>
              </w:rPr>
            </w:pPr>
          </w:p>
        </w:tc>
        <w:tc>
          <w:tcPr>
            <w:tcW w:w="2239" w:type="dxa"/>
            <w:vAlign w:val="center"/>
          </w:tcPr>
          <w:p>
            <w:pPr>
              <w:spacing w:line="360" w:lineRule="auto"/>
              <w:jc w:val="center"/>
              <w:rPr>
                <w:rFonts w:hint="eastAsia" w:ascii="Arial"/>
                <w:sz w:val="24"/>
                <w:szCs w:val="24"/>
              </w:rPr>
            </w:pPr>
          </w:p>
        </w:tc>
        <w:tc>
          <w:tcPr>
            <w:tcW w:w="1335" w:type="dxa"/>
            <w:vAlign w:val="center"/>
          </w:tcPr>
          <w:p>
            <w:pPr>
              <w:jc w:val="center"/>
              <w:textAlignment w:val="center"/>
              <w:rPr>
                <w:rFonts w:hint="eastAsia" w:ascii="Arial"/>
                <w:sz w:val="24"/>
                <w:szCs w:val="24"/>
              </w:rPr>
            </w:pPr>
          </w:p>
        </w:tc>
        <w:tc>
          <w:tcPr>
            <w:tcW w:w="1824" w:type="dxa"/>
            <w:vAlign w:val="center"/>
          </w:tcPr>
          <w:p>
            <w:pPr>
              <w:jc w:val="center"/>
              <w:rPr>
                <w:rFonts w:hint="eastAsia" w:ascii="Arial"/>
                <w:sz w:val="24"/>
                <w:szCs w:val="24"/>
              </w:rPr>
            </w:pPr>
          </w:p>
        </w:tc>
        <w:tc>
          <w:tcPr>
            <w:tcW w:w="2362" w:type="dxa"/>
            <w:tcBorders>
              <w:left w:val="single" w:color="000000" w:sz="4" w:space="0"/>
            </w:tcBorders>
            <w:vAlign w:val="center"/>
          </w:tcPr>
          <w:p>
            <w:pPr>
              <w:jc w:val="center"/>
              <w:rPr>
                <w:rFonts w:hint="eastAsia" w:ascii="Arial"/>
                <w:sz w:val="24"/>
                <w:szCs w:val="24"/>
              </w:rPr>
            </w:pPr>
          </w:p>
        </w:tc>
        <w:tc>
          <w:tcPr>
            <w:tcW w:w="1355" w:type="dxa"/>
          </w:tcPr>
          <w:p>
            <w:pPr>
              <w:rPr>
                <w:rFonts w:hint="eastAsia"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spacing w:line="360" w:lineRule="auto"/>
              <w:rPr>
                <w:rFonts w:hint="eastAsia" w:ascii="宋体" w:hAnsi="宋体" w:eastAsia="宋体"/>
                <w:bCs/>
                <w:sz w:val="24"/>
                <w:szCs w:val="24"/>
              </w:rPr>
            </w:pPr>
          </w:p>
        </w:tc>
        <w:tc>
          <w:tcPr>
            <w:tcW w:w="2239" w:type="dxa"/>
            <w:vAlign w:val="center"/>
          </w:tcPr>
          <w:p>
            <w:pPr>
              <w:spacing w:line="360" w:lineRule="auto"/>
              <w:jc w:val="center"/>
              <w:rPr>
                <w:rFonts w:hint="eastAsia" w:ascii="Arial"/>
                <w:sz w:val="24"/>
                <w:szCs w:val="24"/>
              </w:rPr>
            </w:pPr>
          </w:p>
        </w:tc>
        <w:tc>
          <w:tcPr>
            <w:tcW w:w="1335" w:type="dxa"/>
            <w:vAlign w:val="center"/>
          </w:tcPr>
          <w:p>
            <w:pPr>
              <w:jc w:val="center"/>
              <w:textAlignment w:val="center"/>
              <w:rPr>
                <w:rFonts w:hint="eastAsia" w:ascii="Arial"/>
                <w:sz w:val="24"/>
                <w:szCs w:val="24"/>
              </w:rPr>
            </w:pPr>
          </w:p>
        </w:tc>
        <w:tc>
          <w:tcPr>
            <w:tcW w:w="1824" w:type="dxa"/>
            <w:vAlign w:val="center"/>
          </w:tcPr>
          <w:p>
            <w:pPr>
              <w:jc w:val="center"/>
              <w:rPr>
                <w:rFonts w:hint="eastAsia" w:ascii="Arial"/>
                <w:sz w:val="24"/>
                <w:szCs w:val="24"/>
              </w:rPr>
            </w:pPr>
          </w:p>
        </w:tc>
        <w:tc>
          <w:tcPr>
            <w:tcW w:w="2362" w:type="dxa"/>
            <w:tcBorders>
              <w:left w:val="single" w:color="000000" w:sz="4" w:space="0"/>
            </w:tcBorders>
            <w:vAlign w:val="center"/>
          </w:tcPr>
          <w:p>
            <w:pPr>
              <w:jc w:val="center"/>
              <w:rPr>
                <w:rFonts w:hint="eastAsia" w:ascii="Arial"/>
                <w:sz w:val="24"/>
                <w:szCs w:val="24"/>
              </w:rPr>
            </w:pPr>
          </w:p>
        </w:tc>
        <w:tc>
          <w:tcPr>
            <w:tcW w:w="1355" w:type="dxa"/>
          </w:tcPr>
          <w:p>
            <w:pPr>
              <w:rPr>
                <w:rFonts w:hint="eastAsia"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238" w:type="dxa"/>
          </w:tcPr>
          <w:p>
            <w:pPr>
              <w:rPr>
                <w:rFonts w:hint="eastAsia" w:ascii="Arial"/>
              </w:rPr>
            </w:pPr>
            <w:r>
              <w:rPr>
                <w:rFonts w:hint="eastAsia" w:ascii="宋体" w:hAnsi="宋体" w:eastAsia="宋体" w:cs="宋体"/>
              </w:rPr>
              <w:t>以上投标设备不足之处请往下添加序号自行补充</w:t>
            </w:r>
          </w:p>
        </w:tc>
        <w:tc>
          <w:tcPr>
            <w:tcW w:w="2239" w:type="dxa"/>
          </w:tcPr>
          <w:p>
            <w:pPr>
              <w:rPr>
                <w:rFonts w:hint="eastAsia" w:ascii="Arial"/>
              </w:rPr>
            </w:pPr>
          </w:p>
        </w:tc>
        <w:tc>
          <w:tcPr>
            <w:tcW w:w="1335" w:type="dxa"/>
          </w:tcPr>
          <w:p>
            <w:pPr>
              <w:rPr>
                <w:rFonts w:hint="eastAsia" w:ascii="Arial"/>
              </w:rPr>
            </w:pPr>
          </w:p>
        </w:tc>
        <w:tc>
          <w:tcPr>
            <w:tcW w:w="1824" w:type="dxa"/>
          </w:tcPr>
          <w:p>
            <w:pPr>
              <w:rPr>
                <w:rFonts w:hint="eastAsia" w:ascii="Arial"/>
              </w:rPr>
            </w:pPr>
          </w:p>
        </w:tc>
        <w:tc>
          <w:tcPr>
            <w:tcW w:w="2362" w:type="dxa"/>
            <w:tcBorders>
              <w:left w:val="single" w:color="000000" w:sz="4" w:space="0"/>
            </w:tcBorders>
          </w:tcPr>
          <w:p>
            <w:pPr>
              <w:rPr>
                <w:rFonts w:hint="eastAsia" w:ascii="Arial"/>
              </w:rPr>
            </w:pPr>
          </w:p>
        </w:tc>
        <w:tc>
          <w:tcPr>
            <w:tcW w:w="135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hint="eastAsia"/>
        </w:r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济南卡车制造公司党家庄厂区总三车间总装北线加固改造技改项目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济南卡车制造公司党家庄厂区总三车间总装北线加固改造技改项目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济南卡车制造公司党家庄厂区总三车间总装北线加固改造技改项目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济南卡车制造公司党家庄厂区总三车间总装北线加固改造技改项目</w:t>
            </w:r>
          </w:p>
        </w:tc>
        <w:tc>
          <w:tcPr>
            <w:tcW w:w="883"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00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pPr>
              <w:jc w:val="center"/>
              <w:rPr>
                <w:rFonts w:ascii="Times New Roman" w:hAnsi="Times New Roman" w:eastAsia="宋体" w:cs="Times New Roman"/>
                <w:b/>
                <w:szCs w:val="20"/>
              </w:rPr>
            </w:pPr>
          </w:p>
        </w:tc>
        <w:tc>
          <w:tcPr>
            <w:tcW w:w="1261" w:type="dxa"/>
            <w:vAlign w:val="center"/>
          </w:tcPr>
          <w:p>
            <w:pPr>
              <w:jc w:val="center"/>
              <w:rPr>
                <w:rFonts w:ascii="Times New Roman" w:hAnsi="Times New Roman" w:eastAsia="宋体" w:cs="Times New Roman"/>
                <w:b/>
                <w:szCs w:val="20"/>
              </w:rPr>
            </w:pPr>
          </w:p>
        </w:tc>
        <w:tc>
          <w:tcPr>
            <w:tcW w:w="974" w:type="dxa"/>
            <w:vAlign w:val="center"/>
          </w:tcPr>
          <w:p>
            <w:pPr>
              <w:jc w:val="center"/>
              <w:rPr>
                <w:rFonts w:ascii="Times New Roman" w:hAnsi="Times New Roman" w:eastAsia="宋体" w:cs="Times New Roman"/>
                <w:b/>
                <w:szCs w:val="20"/>
              </w:rPr>
            </w:pPr>
          </w:p>
        </w:tc>
        <w:tc>
          <w:tcPr>
            <w:tcW w:w="950"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hint="eastAsia"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1921"/>
        <w:gridCol w:w="2385"/>
        <w:gridCol w:w="17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21"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38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717"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21"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38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7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更换15kW电机减速机</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更换5.5kW电机减速机</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电气系统配套更换</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加固地拖链、双板链线体中间骨架</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地拖链增加承载横梁</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检修地拖链链条行走轨道、链条返回轨道</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加固地拖链、双板链两侧地坑盖板及支架支撑</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加固地拖链和双板链驱动部分、涨紧部分</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更换双板链链板</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检修双板链承重轨道、返回轨道</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11</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更换地拖链420米轨道</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更换地拖链防护胶皮</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13</w:t>
            </w:r>
          </w:p>
        </w:tc>
        <w:tc>
          <w:tcPr>
            <w:tcW w:w="2238" w:type="dxa"/>
            <w:gridSpan w:val="2"/>
            <w:shd w:val="clear" w:color="auto" w:fill="auto"/>
            <w:vAlign w:val="center"/>
          </w:tcPr>
          <w:p>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更换地拖链、双板链滚轮轴承</w:t>
            </w:r>
          </w:p>
        </w:tc>
        <w:tc>
          <w:tcPr>
            <w:tcW w:w="2239" w:type="dxa"/>
            <w:vAlign w:val="center"/>
          </w:tcPr>
          <w:p>
            <w:pPr>
              <w:spacing w:line="360" w:lineRule="auto"/>
              <w:jc w:val="center"/>
              <w:rPr>
                <w:rFonts w:hint="eastAsia" w:ascii="仿宋" w:hAnsi="仿宋" w:eastAsia="仿宋"/>
                <w:sz w:val="22"/>
                <w:highlight w:val="none"/>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09" w:line="186"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14</w:t>
            </w:r>
          </w:p>
        </w:tc>
        <w:tc>
          <w:tcPr>
            <w:tcW w:w="2238" w:type="dxa"/>
            <w:gridSpan w:val="2"/>
            <w:shd w:val="clear" w:color="auto" w:fill="auto"/>
            <w:vAlign w:val="center"/>
          </w:tcPr>
          <w:p>
            <w:pPr>
              <w:spacing w:line="240" w:lineRule="auto"/>
              <w:jc w:val="left"/>
              <w:rPr>
                <w:rFonts w:hint="default" w:ascii="宋体" w:hAnsi="宋体" w:eastAsia="宋体" w:cstheme="minorBidi"/>
                <w:bCs/>
                <w:kern w:val="2"/>
                <w:sz w:val="21"/>
                <w:szCs w:val="21"/>
                <w:highlight w:val="none"/>
                <w:lang w:val="en-US" w:eastAsia="zh-CN" w:bidi="ar-SA"/>
              </w:rPr>
            </w:pPr>
            <w:r>
              <w:rPr>
                <w:rFonts w:hint="eastAsia" w:ascii="宋体" w:hAnsi="宋体" w:eastAsia="宋体" w:cstheme="minorBidi"/>
                <w:bCs/>
                <w:kern w:val="2"/>
                <w:sz w:val="21"/>
                <w:szCs w:val="21"/>
                <w:highlight w:val="none"/>
                <w:lang w:val="en-US" w:eastAsia="zh-CN" w:bidi="ar-SA"/>
              </w:rPr>
              <w:t>线体地下地坑照明设备</w:t>
            </w:r>
            <w:bookmarkStart w:id="122" w:name="_GoBack"/>
            <w:bookmarkEnd w:id="122"/>
          </w:p>
        </w:tc>
        <w:tc>
          <w:tcPr>
            <w:tcW w:w="2239" w:type="dxa"/>
            <w:vAlign w:val="center"/>
          </w:tcPr>
          <w:p>
            <w:pPr>
              <w:spacing w:line="360" w:lineRule="auto"/>
              <w:jc w:val="center"/>
              <w:rPr>
                <w:rFonts w:hint="eastAsia" w:ascii="仿宋" w:hAnsi="仿宋" w:eastAsia="仿宋"/>
                <w:sz w:val="22"/>
              </w:rPr>
            </w:pPr>
          </w:p>
        </w:tc>
        <w:tc>
          <w:tcPr>
            <w:tcW w:w="1120" w:type="dxa"/>
            <w:vAlign w:val="center"/>
          </w:tcPr>
          <w:p>
            <w:pPr>
              <w:jc w:val="center"/>
              <w:textAlignment w:val="center"/>
              <w:rPr>
                <w:rFonts w:hint="eastAsia" w:ascii="宋体" w:hAnsi="宋体" w:eastAsia="宋体" w:cs="宋体"/>
                <w:sz w:val="24"/>
                <w:szCs w:val="24"/>
                <w:highlight w:val="yellow"/>
              </w:rPr>
            </w:pPr>
          </w:p>
        </w:tc>
        <w:tc>
          <w:tcPr>
            <w:tcW w:w="1120" w:type="dxa"/>
            <w:vAlign w:val="center"/>
          </w:tcPr>
          <w:p>
            <w:pPr>
              <w:jc w:val="center"/>
              <w:rPr>
                <w:rFonts w:hint="eastAsia" w:ascii="宋体" w:hAnsi="宋体" w:eastAsia="宋体" w:cs="宋体"/>
                <w:sz w:val="24"/>
                <w:szCs w:val="24"/>
                <w:highlight w:val="yellow"/>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spacing w:line="360" w:lineRule="auto"/>
              <w:jc w:val="center"/>
              <w:rPr>
                <w:rFonts w:hint="eastAsia" w:ascii="仿宋" w:hAnsi="仿宋" w:eastAsia="仿宋"/>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238" w:type="dxa"/>
            <w:gridSpan w:val="2"/>
          </w:tcPr>
          <w:p>
            <w:pPr>
              <w:rPr>
                <w:rFonts w:hint="eastAsia" w:ascii="Arial"/>
              </w:rPr>
            </w:pPr>
            <w:r>
              <w:rPr>
                <w:rFonts w:hint="eastAsia" w:ascii="宋体" w:hAnsi="宋体" w:eastAsia="宋体" w:cs="宋体"/>
              </w:rPr>
              <w:t>以上投标设备不足之处请往下添加序号自行补充</w:t>
            </w:r>
          </w:p>
        </w:tc>
        <w:tc>
          <w:tcPr>
            <w:tcW w:w="2239" w:type="dxa"/>
          </w:tcPr>
          <w:p>
            <w:pPr>
              <w:rPr>
                <w:rFonts w:hint="eastAsia" w:ascii="Arial"/>
              </w:rPr>
            </w:pPr>
          </w:p>
        </w:tc>
        <w:tc>
          <w:tcPr>
            <w:tcW w:w="1120" w:type="dxa"/>
          </w:tcPr>
          <w:p>
            <w:pPr>
              <w:rPr>
                <w:rFonts w:hint="eastAsia" w:ascii="Arial"/>
              </w:rPr>
            </w:pPr>
          </w:p>
        </w:tc>
        <w:tc>
          <w:tcPr>
            <w:tcW w:w="1120" w:type="dxa"/>
          </w:tcPr>
          <w:p>
            <w:pPr>
              <w:rPr>
                <w:rFonts w:hint="eastAsia" w:ascii="Arial"/>
              </w:rPr>
            </w:pPr>
          </w:p>
        </w:tc>
        <w:tc>
          <w:tcPr>
            <w:tcW w:w="1682" w:type="dxa"/>
          </w:tcPr>
          <w:p>
            <w:pPr>
              <w:rPr>
                <w:rFonts w:hint="eastAsia" w:ascii="Arial"/>
              </w:rPr>
            </w:pPr>
          </w:p>
        </w:tc>
        <w:tc>
          <w:tcPr>
            <w:tcW w:w="1921" w:type="dxa"/>
            <w:tcBorders>
              <w:right w:val="single" w:color="000000" w:sz="4" w:space="0"/>
            </w:tcBorders>
          </w:tcPr>
          <w:p>
            <w:pPr>
              <w:rPr>
                <w:rFonts w:hint="eastAsia" w:ascii="Arial"/>
              </w:rPr>
            </w:pPr>
          </w:p>
        </w:tc>
        <w:tc>
          <w:tcPr>
            <w:tcW w:w="2385" w:type="dxa"/>
            <w:tcBorders>
              <w:left w:val="single" w:color="000000" w:sz="4" w:space="0"/>
            </w:tcBorders>
          </w:tcPr>
          <w:p>
            <w:pPr>
              <w:rPr>
                <w:rFonts w:hint="eastAsia" w:ascii="Arial"/>
              </w:rPr>
            </w:pPr>
          </w:p>
        </w:tc>
        <w:tc>
          <w:tcPr>
            <w:tcW w:w="17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hint="eastAsia" w:ascii="宋体" w:hAnsi="宋体" w:eastAsia="宋体" w:cs="宋体"/>
                <w:spacing w:val="-6"/>
                <w:szCs w:val="21"/>
              </w:rPr>
            </w:pPr>
          </w:p>
        </w:tc>
        <w:tc>
          <w:tcPr>
            <w:tcW w:w="9872" w:type="dxa"/>
            <w:gridSpan w:val="6"/>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385" w:type="dxa"/>
            <w:tcBorders>
              <w:left w:val="single" w:color="000000" w:sz="4" w:space="0"/>
            </w:tcBorders>
          </w:tcPr>
          <w:p>
            <w:pPr>
              <w:rPr>
                <w:rFonts w:hint="eastAsia" w:ascii="Arial"/>
              </w:rPr>
            </w:pPr>
          </w:p>
        </w:tc>
        <w:tc>
          <w:tcPr>
            <w:tcW w:w="1717"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zCs w:val="21"/>
                <w:highlight w:val="yellow"/>
              </w:rPr>
              <w:t>技术培训费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8"/>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hint="eastAsia"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济南卡车制造公司党家庄厂区总三车间总装北线加固改造技改项目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济南卡车制造公司党家庄厂区总三车间总装北线加固改造技改项目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济南卡车制造公司党家庄厂区总三车间总装北线加固改造技改项目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济南卡车制造公司</w:t>
            </w:r>
            <w:r>
              <w:rPr>
                <w:rFonts w:hint="eastAsia" w:ascii="宋体" w:hAnsi="宋体" w:eastAsia="宋体" w:cs="宋体"/>
                <w:sz w:val="24"/>
                <w:szCs w:val="24"/>
                <w:u w:val="single"/>
                <w:lang w:val="en-US" w:eastAsia="zh-CN"/>
              </w:rPr>
              <w:t>党家庄</w:t>
            </w:r>
            <w:r>
              <w:rPr>
                <w:rFonts w:hint="eastAsia" w:ascii="宋体" w:hAnsi="宋体" w:eastAsia="宋体" w:cs="宋体"/>
                <w:sz w:val="24"/>
                <w:szCs w:val="24"/>
                <w:u w:val="single"/>
              </w:rPr>
              <w:t>厂区</w:t>
            </w:r>
            <w:r>
              <w:rPr>
                <w:rFonts w:hint="eastAsia" w:ascii="宋体" w:hAnsi="宋体" w:eastAsia="宋体" w:cs="宋体"/>
                <w:sz w:val="24"/>
                <w:szCs w:val="24"/>
                <w:u w:val="single"/>
                <w:lang w:val="en-US" w:eastAsia="zh-CN"/>
              </w:rPr>
              <w:t>总三车间总装北线加固改造技改</w:t>
            </w:r>
            <w:r>
              <w:rPr>
                <w:rFonts w:hint="eastAsia" w:ascii="宋体" w:hAnsi="宋体" w:eastAsia="宋体" w:cs="宋体"/>
                <w:sz w:val="24"/>
                <w:szCs w:val="24"/>
                <w:u w:val="single"/>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rPr>
          <w:rFonts w:hint="eastAsia"/>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附件14评分标准</w:t>
      </w:r>
    </w:p>
    <w:p>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评审表（100分）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51"/>
        <w:gridCol w:w="639"/>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b/>
                <w:szCs w:val="21"/>
              </w:rPr>
            </w:pPr>
            <w:r>
              <w:rPr>
                <w:rFonts w:hint="eastAsia"/>
                <w:b/>
              </w:rPr>
              <w:t>评标因素</w:t>
            </w:r>
          </w:p>
        </w:tc>
        <w:tc>
          <w:tcPr>
            <w:tcW w:w="851"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b/>
                <w:szCs w:val="21"/>
              </w:rPr>
            </w:pPr>
            <w:r>
              <w:rPr>
                <w:rFonts w:hint="eastAsia"/>
                <w:b/>
              </w:rPr>
              <w:t>总分</w:t>
            </w:r>
          </w:p>
        </w:tc>
        <w:tc>
          <w:tcPr>
            <w:tcW w:w="639"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b/>
                <w:szCs w:val="21"/>
              </w:rPr>
            </w:pPr>
            <w:r>
              <w:rPr>
                <w:rFonts w:hint="eastAsia"/>
                <w:b/>
              </w:rPr>
              <w:t>最高</w:t>
            </w:r>
          </w:p>
          <w:p>
            <w:pPr>
              <w:spacing w:line="320" w:lineRule="exact"/>
              <w:ind w:right="34" w:rightChars="16"/>
              <w:jc w:val="center"/>
              <w:rPr>
                <w:rFonts w:hint="eastAsia"/>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jc w:val="center"/>
              <w:rPr>
                <w:rFonts w:hint="eastAsia" w:ascii="宋体" w:eastAsia="宋体"/>
              </w:rPr>
            </w:pPr>
            <w:r>
              <w:rPr>
                <w:rFonts w:hint="eastAsia" w:ascii="宋体"/>
              </w:rPr>
              <w:t>技术标</w:t>
            </w:r>
          </w:p>
        </w:tc>
        <w:tc>
          <w:tcPr>
            <w:tcW w:w="851" w:type="dxa"/>
            <w:vMerge w:val="restart"/>
            <w:tcBorders>
              <w:top w:val="single" w:color="auto" w:sz="4" w:space="0"/>
              <w:left w:val="single" w:color="auto" w:sz="4" w:space="0"/>
              <w:right w:val="single" w:color="auto" w:sz="4" w:space="0"/>
            </w:tcBorders>
            <w:vAlign w:val="center"/>
          </w:tcPr>
          <w:p>
            <w:pPr>
              <w:spacing w:line="440" w:lineRule="exact"/>
              <w:jc w:val="center"/>
              <w:rPr>
                <w:rFonts w:hint="eastAsia" w:ascii="宋体" w:eastAsia="宋体"/>
              </w:rPr>
            </w:pPr>
            <w:r>
              <w:rPr>
                <w:rFonts w:hint="eastAsia" w:ascii="宋体"/>
                <w:b/>
                <w:bCs/>
              </w:rPr>
              <w:t>100分（40%）</w:t>
            </w:r>
          </w:p>
        </w:tc>
        <w:tc>
          <w:tcPr>
            <w:tcW w:w="639" w:type="dxa"/>
            <w:tcBorders>
              <w:top w:val="single" w:color="auto" w:sz="4" w:space="0"/>
              <w:left w:val="single" w:color="auto" w:sz="4" w:space="0"/>
              <w:right w:val="single" w:color="auto" w:sz="4" w:space="0"/>
            </w:tcBorders>
            <w:vAlign w:val="center"/>
          </w:tcPr>
          <w:p>
            <w:pPr>
              <w:jc w:val="center"/>
              <w:rPr>
                <w:rFonts w:hint="eastAsia" w:ascii="宋体"/>
              </w:rPr>
            </w:pPr>
            <w:r>
              <w:rPr>
                <w:rFonts w:hint="eastAsia" w:ascii="宋体" w:hAnsi="宋体"/>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rPr>
            </w:pPr>
            <w:r>
              <w:rPr>
                <w:rFonts w:hint="eastAsia" w:ascii="宋体"/>
              </w:rPr>
              <w:t>60</w:t>
            </w:r>
          </w:p>
        </w:tc>
        <w:tc>
          <w:tcPr>
            <w:tcW w:w="6153" w:type="dxa"/>
            <w:tcBorders>
              <w:top w:val="single" w:color="auto" w:sz="4" w:space="0"/>
              <w:left w:val="single" w:color="auto" w:sz="4" w:space="0"/>
              <w:bottom w:val="single" w:color="auto" w:sz="4" w:space="0"/>
              <w:right w:val="single" w:color="auto" w:sz="4" w:space="0"/>
            </w:tcBorders>
            <w:vAlign w:val="center"/>
          </w:tcPr>
          <w:p>
            <w:pPr>
              <w:widowControl/>
              <w:jc w:val="left"/>
              <w:rPr>
                <w:rFonts w:ascii="Arial" w:hAnsi="Arial" w:cs="Arial"/>
                <w:kern w:val="0"/>
                <w:szCs w:val="21"/>
              </w:rPr>
            </w:pPr>
            <w:r>
              <w:rPr>
                <w:rFonts w:hint="eastAsia" w:ascii="Arial" w:hAnsi="Arial" w:cs="Arial"/>
                <w:kern w:val="0"/>
                <w:szCs w:val="21"/>
              </w:rPr>
              <w:t>（1）定制系统方案达到招标要求，设备主要部件或核心部件，具备自身技术优势，打分1-15分。</w:t>
            </w:r>
          </w:p>
          <w:p>
            <w:pPr>
              <w:widowControl/>
              <w:jc w:val="left"/>
              <w:rPr>
                <w:rFonts w:ascii="Arial" w:hAnsi="Arial" w:cs="Arial"/>
                <w:kern w:val="0"/>
                <w:szCs w:val="21"/>
              </w:rPr>
            </w:pPr>
            <w:r>
              <w:rPr>
                <w:rFonts w:hint="eastAsia" w:ascii="Arial" w:hAnsi="Arial" w:cs="Arial"/>
                <w:kern w:val="0"/>
                <w:szCs w:val="21"/>
              </w:rPr>
              <w:t>（2）达到招标要求的前提下，系统配置更加周全，其精度、参数、技术水平、可靠性等优势明显，打分1-15分。</w:t>
            </w:r>
          </w:p>
          <w:p>
            <w:pPr>
              <w:widowControl/>
              <w:jc w:val="left"/>
              <w:rPr>
                <w:rFonts w:ascii="Arial" w:hAnsi="Arial" w:cs="Arial"/>
                <w:kern w:val="0"/>
                <w:szCs w:val="21"/>
              </w:rPr>
            </w:pPr>
            <w:r>
              <w:rPr>
                <w:rFonts w:hint="eastAsia" w:ascii="Arial" w:hAnsi="Arial" w:cs="Arial"/>
                <w:kern w:val="0"/>
                <w:szCs w:val="21"/>
              </w:rPr>
              <w:t>（3）应具有专业化试验软件，数据处理有独到之处，系统开放程度高，打分1-15分。</w:t>
            </w:r>
          </w:p>
          <w:p>
            <w:pPr>
              <w:widowControl/>
              <w:jc w:val="left"/>
              <w:rPr>
                <w:rFonts w:ascii="Arial" w:hAnsi="Arial" w:cs="Arial"/>
                <w:kern w:val="0"/>
                <w:szCs w:val="21"/>
              </w:rPr>
            </w:pPr>
            <w:r>
              <w:rPr>
                <w:rFonts w:hint="eastAsia" w:ascii="Arial" w:hAnsi="Arial" w:cs="Arial"/>
                <w:kern w:val="0"/>
                <w:szCs w:val="21"/>
              </w:rPr>
              <w:t>（4）关键系统技术支持资料、数据处理说明、操作说明详细完整，打分1-15分。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hint="eastAsia" w:ascii="宋体"/>
              </w:rPr>
            </w:pPr>
          </w:p>
        </w:tc>
        <w:tc>
          <w:tcPr>
            <w:tcW w:w="851" w:type="dxa"/>
            <w:vMerge w:val="continue"/>
            <w:tcBorders>
              <w:left w:val="single" w:color="auto" w:sz="4" w:space="0"/>
              <w:right w:val="single" w:color="auto" w:sz="4" w:space="0"/>
            </w:tcBorders>
            <w:vAlign w:val="center"/>
          </w:tcPr>
          <w:p>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rPr>
            </w:pPr>
            <w:r>
              <w:rPr>
                <w:rFonts w:hint="eastAsia" w:ascii="宋体" w:hAnsi="宋体"/>
              </w:rPr>
              <w:t>质量保障</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eastAsia" w:ascii="宋体"/>
                <w:szCs w:val="21"/>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hint="eastAsia" w:ascii="Arial" w:hAnsi="Arial" w:cs="Arial"/>
                <w:kern w:val="0"/>
                <w:szCs w:val="21"/>
              </w:rPr>
              <w:t>由评标委员会成员独立进行客观、公正的评价，按照优、良、一般进行赋分，优得8-10分，良得5-8分，一般得1-5分。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hint="eastAsia" w:ascii="宋体"/>
              </w:rPr>
            </w:pPr>
          </w:p>
        </w:tc>
        <w:tc>
          <w:tcPr>
            <w:tcW w:w="851" w:type="dxa"/>
            <w:vMerge w:val="continue"/>
            <w:tcBorders>
              <w:left w:val="single" w:color="auto" w:sz="4" w:space="0"/>
              <w:right w:val="single" w:color="auto" w:sz="4" w:space="0"/>
            </w:tcBorders>
            <w:vAlign w:val="center"/>
          </w:tcPr>
          <w:p>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rPr>
            </w:pPr>
            <w:r>
              <w:rPr>
                <w:rFonts w:hint="eastAsia" w:ascii="宋体" w:hAnsi="宋体"/>
              </w:rPr>
              <w:t>业绩</w:t>
            </w:r>
          </w:p>
        </w:tc>
        <w:tc>
          <w:tcPr>
            <w:tcW w:w="650" w:type="dxa"/>
            <w:tcBorders>
              <w:top w:val="single" w:color="auto" w:sz="4" w:space="0"/>
              <w:left w:val="single" w:color="auto" w:sz="4" w:space="0"/>
              <w:bottom w:val="nil"/>
              <w:right w:val="single" w:color="auto" w:sz="4" w:space="0"/>
            </w:tcBorders>
            <w:vAlign w:val="center"/>
          </w:tcPr>
          <w:p>
            <w:pPr>
              <w:jc w:val="center"/>
              <w:rPr>
                <w:rFonts w:hint="eastAsia" w:ascii="宋体" w:eastAsia="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hint="eastAsia" w:ascii="Arial" w:hAnsi="Arial" w:cs="Arial"/>
                <w:kern w:val="0"/>
                <w:szCs w:val="21"/>
              </w:rPr>
              <w:t>由评标委员会成员独立进行客观、公正的评价，按照业绩数量进行赋分，相同业绩每一个得1分，类似业绩,每一个得1分。本条款得分最高10分。同类型业绩:投标人在2022年1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hint="eastAsia" w:ascii="宋体"/>
              </w:rPr>
            </w:pPr>
          </w:p>
        </w:tc>
        <w:tc>
          <w:tcPr>
            <w:tcW w:w="851" w:type="dxa"/>
            <w:vMerge w:val="continue"/>
            <w:tcBorders>
              <w:left w:val="single" w:color="auto" w:sz="4" w:space="0"/>
              <w:right w:val="single" w:color="auto" w:sz="4" w:space="0"/>
            </w:tcBorders>
            <w:vAlign w:val="center"/>
          </w:tcPr>
          <w:p>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rPr>
            </w:pPr>
            <w:r>
              <w:rPr>
                <w:rFonts w:hint="eastAsia" w:ascii="宋体" w:hAnsi="宋体"/>
              </w:rPr>
              <w:t>交货期</w:t>
            </w:r>
          </w:p>
        </w:tc>
        <w:tc>
          <w:tcPr>
            <w:tcW w:w="650" w:type="dxa"/>
            <w:tcBorders>
              <w:top w:val="single" w:color="auto" w:sz="4" w:space="0"/>
              <w:left w:val="single" w:color="auto" w:sz="4" w:space="0"/>
              <w:bottom w:val="nil"/>
              <w:right w:val="single" w:color="auto" w:sz="4" w:space="0"/>
            </w:tcBorders>
            <w:vAlign w:val="center"/>
          </w:tcPr>
          <w:p>
            <w:pPr>
              <w:jc w:val="center"/>
              <w:rPr>
                <w:rFonts w:hint="eastAsia"/>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hint="eastAsia" w:ascii="Arial" w:hAnsi="Arial" w:cs="Arial"/>
                <w:kern w:val="0"/>
                <w:szCs w:val="21"/>
              </w:rPr>
              <w:t>由评标委员会成员独立进行客观、公正的评价，按照到货周期进行赋分，到货期≤2个月得10分，2＜到货期≤3个月得5-9分，3＜到货期≤4个月得1-5分。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rPr>
            </w:pPr>
          </w:p>
        </w:tc>
        <w:tc>
          <w:tcPr>
            <w:tcW w:w="851"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rPr>
            </w:pPr>
            <w:r>
              <w:rPr>
                <w:rFonts w:hint="eastAsia" w:ascii="宋体" w:hAnsi="宋体"/>
              </w:rPr>
              <w:t>现场答疑</w:t>
            </w:r>
          </w:p>
        </w:tc>
        <w:tc>
          <w:tcPr>
            <w:tcW w:w="650" w:type="dxa"/>
            <w:tcBorders>
              <w:top w:val="single" w:color="auto" w:sz="4" w:space="0"/>
              <w:left w:val="single" w:color="auto" w:sz="4" w:space="0"/>
              <w:bottom w:val="nil"/>
              <w:right w:val="single" w:color="auto" w:sz="4" w:space="0"/>
            </w:tcBorders>
            <w:vAlign w:val="center"/>
          </w:tcPr>
          <w:p>
            <w:pPr>
              <w:jc w:val="center"/>
              <w:rPr>
                <w:rFonts w:hint="eastAsia" w:ascii="宋体"/>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hint="eastAsia" w:ascii="Arial" w:hAnsi="Arial" w:cs="Arial"/>
                <w:kern w:val="0"/>
                <w:szCs w:val="21"/>
              </w:rPr>
              <w:t>由评标委员会成员独立进行客观、公正的评价，针对投标人代表对方案、技术优势的讲解，以及就该项目难点对于评标专家现场提问的回答，打分1-10分。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eastAsia="宋体"/>
                <w:szCs w:val="21"/>
              </w:rPr>
            </w:pPr>
            <w:r>
              <w:rPr>
                <w:rFonts w:hint="eastAsia" w:ascii="宋体"/>
                <w:szCs w:val="21"/>
              </w:rPr>
              <w:t>商务标</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eastAsia="宋体"/>
                <w:b/>
                <w:szCs w:val="21"/>
              </w:rPr>
            </w:pPr>
            <w:r>
              <w:rPr>
                <w:rFonts w:hint="eastAsia" w:ascii="宋体"/>
                <w:b/>
                <w:szCs w:val="21"/>
              </w:rPr>
              <w:t>100分（60%）</w:t>
            </w:r>
          </w:p>
        </w:tc>
        <w:tc>
          <w:tcPr>
            <w:tcW w:w="6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b/>
                <w:szCs w:val="21"/>
              </w:rPr>
            </w:pPr>
            <w:r>
              <w:rPr>
                <w:rFonts w:hint="eastAsia" w:ascii="宋体" w:hAnsi="宋体"/>
              </w:rPr>
              <w:t>投标报价</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eastAsia" w:ascii="宋体" w:hAnsi="宋体" w:eastAsia="宋体"/>
              </w:rPr>
            </w:pPr>
            <w:r>
              <w:rPr>
                <w:rFonts w:hint="eastAsia" w:ascii="宋体" w:hAnsi="宋体"/>
              </w:rPr>
              <w:t>100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pPr>
              <w:tabs>
                <w:tab w:val="left" w:pos="7854"/>
              </w:tabs>
              <w:spacing w:line="280" w:lineRule="exact"/>
              <w:rPr>
                <w:rFonts w:hint="eastAsia"/>
                <w:highlight w:val="yellow"/>
              </w:rPr>
            </w:pPr>
            <w:r>
              <w:rPr>
                <w:rFonts w:ascii="Arial" w:hAnsi="Arial" w:cs="Arial"/>
                <w:kern w:val="0"/>
                <w:szCs w:val="21"/>
              </w:rPr>
              <w:t>2.评标价格均以元（RMB）为单位计算，百分率、得分值小数点后保留二位，第三位四舍五入。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hint="eastAsia" w:ascii="宋体"/>
                <w:szCs w:val="21"/>
              </w:rPr>
            </w:pPr>
            <w:r>
              <w:rPr>
                <w:rFonts w:hint="eastAsia" w:ascii="宋体" w:hAnsi="宋体"/>
              </w:rPr>
              <w:t>备注：</w:t>
            </w:r>
          </w:p>
          <w:p>
            <w:pPr>
              <w:rPr>
                <w:rFonts w:hint="eastAsia" w:ascii="宋体"/>
              </w:rPr>
            </w:pPr>
            <w:r>
              <w:rPr>
                <w:rFonts w:hint="eastAsia" w:ascii="宋体" w:hAnsi="宋体"/>
              </w:rPr>
              <w:t>1、通过初审者为有效投标。</w:t>
            </w:r>
          </w:p>
          <w:p>
            <w:pPr>
              <w:rPr>
                <w:rFonts w:hint="eastAsia" w:ascii="宋体" w:eastAsia="宋体"/>
                <w:b/>
                <w:bCs/>
                <w:color w:val="FF0000"/>
                <w:sz w:val="18"/>
                <w:szCs w:val="18"/>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pPr>
              <w:rPr>
                <w:rFonts w:hint="eastAsia" w:ascii="宋体" w:hAnsi="宋体"/>
              </w:rPr>
            </w:pPr>
            <w:r>
              <w:rPr>
                <w:rFonts w:hint="eastAsia" w:ascii="宋体" w:hAnsi="宋体"/>
              </w:rPr>
              <w:t>3、评委打分超过得分界限或未按本方法赋分时，该评委的打分按废票处理。</w:t>
            </w:r>
          </w:p>
          <w:p>
            <w:pPr>
              <w:rPr>
                <w:rFonts w:hint="eastAsia"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18"/>
        <w:outlineLvl w:val="2"/>
        <w:rPr>
          <w:rFonts w:hint="eastAsia" w:hAnsi="宋体" w:eastAsia="宋体" w:cs="宋体"/>
          <w:b/>
          <w:bCs/>
          <w:color w:val="000000"/>
          <w:sz w:val="24"/>
          <w:szCs w:val="24"/>
        </w:rPr>
      </w:pPr>
    </w:p>
    <w:p>
      <w:pPr>
        <w:pStyle w:val="18"/>
        <w:outlineLvl w:val="2"/>
        <w:rPr>
          <w:rFonts w:hint="eastAsia" w:hAnsi="宋体" w:eastAsia="宋体" w:cs="宋体"/>
          <w:b/>
          <w:bCs/>
          <w:color w:val="000000"/>
          <w:sz w:val="24"/>
          <w:szCs w:val="24"/>
        </w:rPr>
      </w:pPr>
    </w:p>
    <w:p>
      <w:pPr>
        <w:pStyle w:val="18"/>
        <w:outlineLvl w:val="2"/>
        <w:rPr>
          <w:rFonts w:hint="eastAsia" w:hAnsi="宋体" w:eastAsia="宋体" w:cs="宋体"/>
          <w:b/>
          <w:bCs/>
          <w:color w:val="000000"/>
          <w:sz w:val="24"/>
          <w:szCs w:val="24"/>
        </w:rPr>
      </w:pPr>
    </w:p>
    <w:p>
      <w:pPr>
        <w:pStyle w:val="18"/>
        <w:outlineLvl w:val="2"/>
        <w:rPr>
          <w:rFonts w:hint="eastAsia" w:hAnsi="宋体" w:eastAsia="宋体" w:cs="宋体"/>
          <w:b/>
          <w:bCs/>
          <w:color w:val="000000"/>
          <w:sz w:val="24"/>
          <w:szCs w:val="24"/>
        </w:rPr>
      </w:pPr>
    </w:p>
    <w:p>
      <w:pPr>
        <w:pStyle w:val="18"/>
        <w:outlineLvl w:val="2"/>
        <w:rPr>
          <w:rFonts w:hint="eastAsia" w:hAnsi="宋体" w:eastAsia="宋体" w:cs="宋体"/>
          <w:b/>
          <w:bCs/>
          <w:color w:val="000000"/>
          <w:sz w:val="24"/>
          <w:szCs w:val="24"/>
        </w:rPr>
      </w:pPr>
    </w:p>
    <w:p>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18"/>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7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7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7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8"/>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76"/>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77"/>
                    <a:stretch>
                      <a:fillRect/>
                    </a:stretch>
                  </pic:blipFill>
                  <pic:spPr>
                    <a:xfrm>
                      <a:off x="0" y="0"/>
                      <a:ext cx="5760085" cy="2820042"/>
                    </a:xfrm>
                    <a:prstGeom prst="rect">
                      <a:avLst/>
                    </a:prstGeom>
                  </pic:spPr>
                </pic:pic>
              </a:graphicData>
            </a:graphic>
          </wp:inline>
        </w:drawing>
      </w:r>
    </w:p>
    <w:p>
      <w:pPr>
        <w:pStyle w:val="18"/>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8"/>
      </w:pPr>
      <w:r>
        <w:rPr>
          <w:rFonts w:hint="eastAsia" w:hAnsi="宋体" w:eastAsia="宋体" w:cs="宋体"/>
          <w:b/>
          <w:bCs/>
          <w:color w:val="000000"/>
          <w:sz w:val="24"/>
          <w:szCs w:val="28"/>
          <w:highlight w:val="yellow"/>
        </w:rPr>
        <w:t>2.配套能力“供货类别”填“工艺设备”，业务主管部门选择“工艺工匠研究院”。</w:t>
      </w:r>
    </w:p>
    <w:p>
      <w:pPr>
        <w:pStyle w:val="18"/>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pPr>
    </w:p>
    <w:p>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7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7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8"/>
      </w:pPr>
      <w:r>
        <w:rPr>
          <w:rFonts w:hint="eastAsia" w:hAnsi="宋体" w:eastAsia="宋体" w:cs="宋体"/>
          <w:color w:val="000000"/>
          <w:sz w:val="24"/>
          <w:szCs w:val="28"/>
          <w:highlight w:val="yellow"/>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8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8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8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83"/>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6A9D8D-5FE5-4A46-8FC6-3DCD377A8316}"/>
  </w:font>
  <w:font w:name="黑体">
    <w:panose1 w:val="02010609060101010101"/>
    <w:charset w:val="86"/>
    <w:family w:val="auto"/>
    <w:pitch w:val="default"/>
    <w:sig w:usb0="800002BF" w:usb1="38CF7CFA" w:usb2="00000016" w:usb3="00000000" w:csb0="00040001" w:csb1="00000000"/>
    <w:embedRegular r:id="rId2" w:fontKey="{3B30244C-0C90-4CD6-98FA-7BF582610C9E}"/>
  </w:font>
  <w:font w:name="Courier New">
    <w:panose1 w:val="02070309020205020404"/>
    <w:charset w:val="01"/>
    <w:family w:val="modern"/>
    <w:pitch w:val="default"/>
    <w:sig w:usb0="E0002EFF" w:usb1="C0007843" w:usb2="00000009" w:usb3="00000000" w:csb0="400001FF" w:csb1="FFFF0000"/>
    <w:embedRegular r:id="rId3" w:fontKey="{D27EF301-2CBF-4952-B5FC-3E12ABC8B47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3CD4E06-DDF3-4B45-8F01-3728FB232E57}"/>
  </w:font>
  <w:font w:name="等线">
    <w:panose1 w:val="02010600030101010101"/>
    <w:charset w:val="86"/>
    <w:family w:val="auto"/>
    <w:pitch w:val="default"/>
    <w:sig w:usb0="A00002BF" w:usb1="38CF7CFA" w:usb2="00000016" w:usb3="00000000" w:csb0="0004000F" w:csb1="00000000"/>
    <w:embedRegular r:id="rId5" w:fontKey="{64D5C703-DDC8-4BA5-AFE1-C6A23AD247E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6" w:fontKey="{A1D54D44-B50D-4ADD-A788-A0E9DCD544FB}"/>
  </w:font>
  <w:font w:name="仿宋_GB2312">
    <w:altName w:val="仿宋"/>
    <w:panose1 w:val="00000000000000000000"/>
    <w:charset w:val="86"/>
    <w:family w:val="modern"/>
    <w:pitch w:val="default"/>
    <w:sig w:usb0="00000000" w:usb1="00000000" w:usb2="00000000" w:usb3="00000000" w:csb0="00040000" w:csb1="00000000"/>
    <w:embedRegular r:id="rId7" w:fontKey="{A0767526-BA97-4216-94EB-46671B16C865}"/>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8" w:fontKey="{EF726E5B-493F-4A79-9C2C-3B9BCA554CBA}"/>
  </w:font>
  <w:font w:name="华文仿宋">
    <w:panose1 w:val="02010600040101010101"/>
    <w:charset w:val="86"/>
    <w:family w:val="auto"/>
    <w:pitch w:val="default"/>
    <w:sig w:usb0="00000287" w:usb1="080F0000" w:usb2="00000000" w:usb3="00000000" w:csb0="0004009F" w:csb1="DFD70000"/>
    <w:embedRegular r:id="rId9" w:fontKey="{94866799-348B-4369-B107-0CA6215440B6}"/>
  </w:font>
  <w:font w:name="方正小标宋简体">
    <w:panose1 w:val="02000000000000000000"/>
    <w:charset w:val="86"/>
    <w:family w:val="script"/>
    <w:pitch w:val="default"/>
    <w:sig w:usb0="A00002BF" w:usb1="184F6CFA" w:usb2="00000012" w:usb3="00000000" w:csb0="00040001" w:csb1="00000000"/>
    <w:embedRegular r:id="rId10" w:fontKey="{38D353A6-E684-48AF-B43A-840E02DB9A87}"/>
  </w:font>
  <w:font w:name="楷体">
    <w:panose1 w:val="02010609060101010101"/>
    <w:charset w:val="86"/>
    <w:family w:val="modern"/>
    <w:pitch w:val="default"/>
    <w:sig w:usb0="800002BF" w:usb1="38CF7CFA" w:usb2="00000016" w:usb3="00000000" w:csb0="00040001" w:csb1="00000000"/>
    <w:embedRegular r:id="rId11" w:fontKey="{227C94A3-C36C-46EC-9497-7B1EBA17CA6C}"/>
  </w:font>
  <w:font w:name="Wingdings 2">
    <w:panose1 w:val="05020102010507070707"/>
    <w:charset w:val="02"/>
    <w:family w:val="roman"/>
    <w:pitch w:val="default"/>
    <w:sig w:usb0="00000000" w:usb1="00000000" w:usb2="00000000" w:usb3="00000000" w:csb0="80000000" w:csb1="00000000"/>
    <w:embedRegular r:id="rId12" w:fontKey="{F6E9E934-7377-4DA3-BDE8-2421EF2000DC}"/>
  </w:font>
  <w:font w:name="??">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1VaEz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T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Vh9CwL&#10;W/1oeYSO8ni7OgTImVSOonRKoDvxgOFLfeoXJU73n+cU9fT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1VaEzAgAAZA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7b3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7b30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2140uAgAAV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p9teNLgIAAFcEAAAOAAAAAAAAAAEAIAAAAB8BAABkcnMvZTJvRG9jLnhtbFBLBQYAAAAA&#10;BgAGAFkBAAC/BQAAAAA=&#10;">
              <v:fill on="f" focussize="0,0"/>
              <v:stroke on="f" weight="0.5pt"/>
              <v:imagedata o:title=""/>
              <o:lock v:ext="edit" aspectratio="f"/>
              <v:textbox inset="0mm,0mm,0mm,0mm" style="mso-fit-shape-to-text:t;">
                <w:txbxContent>
                  <w:p>
                    <w:pPr>
                      <w:pStyle w:val="23"/>
                      <w:rPr>
                        <w:rFonts w:hint="eastAsia"/>
                      </w:rPr>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c48UtAgAAV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hGazLGz01vII&#10;HcXzdnkIELDVNYrSKdFrhXZrK9OPRuznP/dt1OPvY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1c48UtAgAAVg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pPr>
                      <w:pStyle w:val="23"/>
                      <w:rPr>
                        <w:rFonts w:hint="eastAsia"/>
                      </w:rPr>
                    </w:pPr>
                  </w:p>
                </w:txbxContent>
              </v:textbox>
            </v:shape>
          </w:pict>
        </mc:Fallback>
      </mc:AlternateContent>
    </w:r>
  </w:p>
  <w:p>
    <w:pPr>
      <w:pStyle w:val="23"/>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DbvMtAgAAVg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yDbvMtAgAAVg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IHTgt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TKI+rfUzhD1YBIburenQNcO5x2Gk3VVOxS8IEfih7vGirugC4fHSdDKd5nBx+IYN8LPH&#10;69b58E4YRaJRUIfyJVXZYeNDHzqExGzarBspUwmlJm1Br6/e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gIHTgtAgAAVg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pPr>
                      <w:pStyle w:val="23"/>
                      <w:rPr>
                        <w:rFonts w:hint="eastAsia"/>
                      </w:rPr>
                    </w:pPr>
                  </w:p>
                </w:txbxContent>
              </v:textbox>
            </v:shape>
          </w:pict>
        </mc:Fallback>
      </mc:AlternateContent>
    </w:r>
  </w:p>
  <w:p>
    <w:pPr>
      <w:pStyle w:val="2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rPr>
    </w:pPr>
  </w:p>
  <w:p>
    <w:pPr>
      <w:pStyle w:val="24"/>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rPr>
    </w:pPr>
  </w:p>
  <w:p>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A14D0"/>
    <w:multiLevelType w:val="singleLevel"/>
    <w:tmpl w:val="9D0A14D0"/>
    <w:lvl w:ilvl="0" w:tentative="0">
      <w:start w:val="5"/>
      <w:numFmt w:val="chineseCounting"/>
      <w:suff w:val="space"/>
      <w:lvlText w:val="第%1章"/>
      <w:lvlJc w:val="left"/>
      <w:rPr>
        <w:rFonts w:hint="eastAsia"/>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8BAE70E"/>
    <w:multiLevelType w:val="singleLevel"/>
    <w:tmpl w:val="A8BAE70E"/>
    <w:lvl w:ilvl="0" w:tentative="0">
      <w:start w:val="1"/>
      <w:numFmt w:val="bullet"/>
      <w:lvlText w:val=""/>
      <w:lvlJc w:val="left"/>
      <w:pPr>
        <w:ind w:left="420" w:hanging="420"/>
      </w:pPr>
      <w:rPr>
        <w:rFonts w:hint="default" w:ascii="Wingdings" w:hAnsi="Wingdings"/>
      </w:rPr>
    </w:lvl>
  </w:abstractNum>
  <w:abstractNum w:abstractNumId="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6882CE3"/>
    <w:multiLevelType w:val="multilevel"/>
    <w:tmpl w:val="06882CE3"/>
    <w:lvl w:ilvl="0" w:tentative="0">
      <w:start w:val="1"/>
      <w:numFmt w:val="decimal"/>
      <w:pStyle w:val="16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8">
    <w:nsid w:val="446AE577"/>
    <w:multiLevelType w:val="singleLevel"/>
    <w:tmpl w:val="446AE577"/>
    <w:lvl w:ilvl="0" w:tentative="0">
      <w:start w:val="1"/>
      <w:numFmt w:val="bullet"/>
      <w:lvlText w:val=""/>
      <w:lvlJc w:val="left"/>
      <w:pPr>
        <w:ind w:left="420" w:hanging="420"/>
      </w:pPr>
      <w:rPr>
        <w:rFonts w:hint="default" w:ascii="Wingdings" w:hAnsi="Wingdings"/>
      </w:rPr>
    </w:lvl>
  </w:abstractNum>
  <w:abstractNum w:abstractNumId="9">
    <w:nsid w:val="6415197C"/>
    <w:multiLevelType w:val="singleLevel"/>
    <w:tmpl w:val="6415197C"/>
    <w:lvl w:ilvl="0" w:tentative="0">
      <w:start w:val="1"/>
      <w:numFmt w:val="decimal"/>
      <w:suff w:val="nothing"/>
      <w:lvlText w:val="%1．"/>
      <w:lvlJc w:val="left"/>
      <w:pPr>
        <w:ind w:left="0" w:firstLine="400"/>
      </w:pPr>
      <w:rPr>
        <w:rFonts w:hint="default"/>
      </w:rPr>
    </w:lvl>
  </w:abstractNum>
  <w:abstractNum w:abstractNumId="10">
    <w:nsid w:val="646260FA"/>
    <w:multiLevelType w:val="multilevel"/>
    <w:tmpl w:val="646260FA"/>
    <w:lvl w:ilvl="0" w:tentative="0">
      <w:start w:val="1"/>
      <w:numFmt w:val="decimal"/>
      <w:pStyle w:val="15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56A6EAE"/>
    <w:multiLevelType w:val="multilevel"/>
    <w:tmpl w:val="656A6EAE"/>
    <w:lvl w:ilvl="0" w:tentative="0">
      <w:start w:val="1"/>
      <w:numFmt w:val="chineseCountingThousand"/>
      <w:pStyle w:val="16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10"/>
  </w:num>
  <w:num w:numId="3">
    <w:abstractNumId w:val="4"/>
  </w:num>
  <w:num w:numId="4">
    <w:abstractNumId w:val="11"/>
  </w:num>
  <w:num w:numId="5">
    <w:abstractNumId w:val="12"/>
  </w:num>
  <w:num w:numId="6">
    <w:abstractNumId w:val="1"/>
  </w:num>
  <w:num w:numId="7">
    <w:abstractNumId w:val="13"/>
  </w:num>
  <w:num w:numId="8">
    <w:abstractNumId w:val="6"/>
  </w:num>
  <w:num w:numId="9">
    <w:abstractNumId w:val="2"/>
  </w:num>
  <w:num w:numId="10">
    <w:abstractNumId w:val="8"/>
  </w:num>
  <w:num w:numId="11">
    <w:abstractNumId w:val="5"/>
  </w:num>
  <w:num w:numId="12">
    <w:abstractNumId w:val="9"/>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340E"/>
    <w:rsid w:val="00036836"/>
    <w:rsid w:val="00047097"/>
    <w:rsid w:val="0005777A"/>
    <w:rsid w:val="00065382"/>
    <w:rsid w:val="00080223"/>
    <w:rsid w:val="000A5309"/>
    <w:rsid w:val="000D6544"/>
    <w:rsid w:val="000D6A51"/>
    <w:rsid w:val="000F45A3"/>
    <w:rsid w:val="001C1EE3"/>
    <w:rsid w:val="001C713C"/>
    <w:rsid w:val="001D75B9"/>
    <w:rsid w:val="00200F05"/>
    <w:rsid w:val="00201505"/>
    <w:rsid w:val="00220056"/>
    <w:rsid w:val="002626ED"/>
    <w:rsid w:val="00265A40"/>
    <w:rsid w:val="00282FDE"/>
    <w:rsid w:val="0029130A"/>
    <w:rsid w:val="003A4540"/>
    <w:rsid w:val="003B4D7D"/>
    <w:rsid w:val="003E0AB3"/>
    <w:rsid w:val="003F4954"/>
    <w:rsid w:val="00401C42"/>
    <w:rsid w:val="004076DE"/>
    <w:rsid w:val="00460AFB"/>
    <w:rsid w:val="00470130"/>
    <w:rsid w:val="00483B0A"/>
    <w:rsid w:val="004B5126"/>
    <w:rsid w:val="004C6FB1"/>
    <w:rsid w:val="004F7838"/>
    <w:rsid w:val="00503391"/>
    <w:rsid w:val="00552960"/>
    <w:rsid w:val="0056018A"/>
    <w:rsid w:val="00567344"/>
    <w:rsid w:val="005829DC"/>
    <w:rsid w:val="005C0B4E"/>
    <w:rsid w:val="005C421F"/>
    <w:rsid w:val="005E20BB"/>
    <w:rsid w:val="005F16F0"/>
    <w:rsid w:val="0065185D"/>
    <w:rsid w:val="00680629"/>
    <w:rsid w:val="00686C52"/>
    <w:rsid w:val="006F1414"/>
    <w:rsid w:val="007432BF"/>
    <w:rsid w:val="007525BF"/>
    <w:rsid w:val="00757DF0"/>
    <w:rsid w:val="007800DC"/>
    <w:rsid w:val="007838AA"/>
    <w:rsid w:val="00783D5E"/>
    <w:rsid w:val="00785FD6"/>
    <w:rsid w:val="007B212D"/>
    <w:rsid w:val="00806A61"/>
    <w:rsid w:val="00810733"/>
    <w:rsid w:val="00824BFD"/>
    <w:rsid w:val="008453B3"/>
    <w:rsid w:val="008951DA"/>
    <w:rsid w:val="008D3B56"/>
    <w:rsid w:val="008D5CEF"/>
    <w:rsid w:val="009360F9"/>
    <w:rsid w:val="00964F00"/>
    <w:rsid w:val="009B511E"/>
    <w:rsid w:val="009E0F5E"/>
    <w:rsid w:val="00A21EB2"/>
    <w:rsid w:val="00A31561"/>
    <w:rsid w:val="00A42B17"/>
    <w:rsid w:val="00A54E95"/>
    <w:rsid w:val="00A64E43"/>
    <w:rsid w:val="00A80564"/>
    <w:rsid w:val="00A960B2"/>
    <w:rsid w:val="00AE6633"/>
    <w:rsid w:val="00B01FF1"/>
    <w:rsid w:val="00B72516"/>
    <w:rsid w:val="00B92C97"/>
    <w:rsid w:val="00BA3C70"/>
    <w:rsid w:val="00BB4E42"/>
    <w:rsid w:val="00BF0E19"/>
    <w:rsid w:val="00C01073"/>
    <w:rsid w:val="00C7536C"/>
    <w:rsid w:val="00C855F6"/>
    <w:rsid w:val="00C92F53"/>
    <w:rsid w:val="00CD5223"/>
    <w:rsid w:val="00CE4E0B"/>
    <w:rsid w:val="00CE5010"/>
    <w:rsid w:val="00CE6E17"/>
    <w:rsid w:val="00D0528A"/>
    <w:rsid w:val="00D11B37"/>
    <w:rsid w:val="00D408EF"/>
    <w:rsid w:val="00D506B7"/>
    <w:rsid w:val="00D5145C"/>
    <w:rsid w:val="00D64DAE"/>
    <w:rsid w:val="00D729A1"/>
    <w:rsid w:val="00D81BAB"/>
    <w:rsid w:val="00DB5225"/>
    <w:rsid w:val="00DD1E5E"/>
    <w:rsid w:val="00DE6417"/>
    <w:rsid w:val="00E16182"/>
    <w:rsid w:val="00E1627A"/>
    <w:rsid w:val="00E34C35"/>
    <w:rsid w:val="00E650A8"/>
    <w:rsid w:val="00E70F69"/>
    <w:rsid w:val="00E8160A"/>
    <w:rsid w:val="00E878B4"/>
    <w:rsid w:val="00EB355F"/>
    <w:rsid w:val="00EB3D00"/>
    <w:rsid w:val="00F71720"/>
    <w:rsid w:val="00FE040F"/>
    <w:rsid w:val="00FE42B3"/>
    <w:rsid w:val="00FF1C92"/>
    <w:rsid w:val="012B4701"/>
    <w:rsid w:val="014832F2"/>
    <w:rsid w:val="014D51C1"/>
    <w:rsid w:val="01714809"/>
    <w:rsid w:val="01C52478"/>
    <w:rsid w:val="025C7FF6"/>
    <w:rsid w:val="027408EE"/>
    <w:rsid w:val="02963F39"/>
    <w:rsid w:val="02B3095A"/>
    <w:rsid w:val="02BA7274"/>
    <w:rsid w:val="02C32E43"/>
    <w:rsid w:val="03251978"/>
    <w:rsid w:val="0325718A"/>
    <w:rsid w:val="03366E54"/>
    <w:rsid w:val="03AF786B"/>
    <w:rsid w:val="03D802AA"/>
    <w:rsid w:val="042921B6"/>
    <w:rsid w:val="043B72BB"/>
    <w:rsid w:val="04450729"/>
    <w:rsid w:val="04461EC1"/>
    <w:rsid w:val="04504B3F"/>
    <w:rsid w:val="04AD02B8"/>
    <w:rsid w:val="04DE51C8"/>
    <w:rsid w:val="04DF17D4"/>
    <w:rsid w:val="050E1C4C"/>
    <w:rsid w:val="05412745"/>
    <w:rsid w:val="05424E5C"/>
    <w:rsid w:val="05491761"/>
    <w:rsid w:val="055C1AD8"/>
    <w:rsid w:val="05A351AD"/>
    <w:rsid w:val="05C82B50"/>
    <w:rsid w:val="05F35BCE"/>
    <w:rsid w:val="05F4028C"/>
    <w:rsid w:val="05F9748A"/>
    <w:rsid w:val="06266F78"/>
    <w:rsid w:val="063E7B7A"/>
    <w:rsid w:val="06582413"/>
    <w:rsid w:val="067E33B8"/>
    <w:rsid w:val="06E82FCB"/>
    <w:rsid w:val="06F34B95"/>
    <w:rsid w:val="06F91350"/>
    <w:rsid w:val="072909E1"/>
    <w:rsid w:val="07463CDF"/>
    <w:rsid w:val="07571DAC"/>
    <w:rsid w:val="07646254"/>
    <w:rsid w:val="07C25EE2"/>
    <w:rsid w:val="084859A3"/>
    <w:rsid w:val="085D4FCE"/>
    <w:rsid w:val="08DD171B"/>
    <w:rsid w:val="08E64121"/>
    <w:rsid w:val="08EC7F1C"/>
    <w:rsid w:val="090D588C"/>
    <w:rsid w:val="091B712C"/>
    <w:rsid w:val="0942017F"/>
    <w:rsid w:val="09BA1FBB"/>
    <w:rsid w:val="09CB139F"/>
    <w:rsid w:val="09FB7366"/>
    <w:rsid w:val="0A0106F5"/>
    <w:rsid w:val="0A08601B"/>
    <w:rsid w:val="0A0E456B"/>
    <w:rsid w:val="0A112AB7"/>
    <w:rsid w:val="0A4E5482"/>
    <w:rsid w:val="0AAA504A"/>
    <w:rsid w:val="0AB06448"/>
    <w:rsid w:val="0AD71BC7"/>
    <w:rsid w:val="0AF420EB"/>
    <w:rsid w:val="0B2B2BF5"/>
    <w:rsid w:val="0B2F3908"/>
    <w:rsid w:val="0B3F6206"/>
    <w:rsid w:val="0B6E15DE"/>
    <w:rsid w:val="0B6E45C2"/>
    <w:rsid w:val="0BDE0CED"/>
    <w:rsid w:val="0BE12DB6"/>
    <w:rsid w:val="0BFC6504"/>
    <w:rsid w:val="0BFE75F6"/>
    <w:rsid w:val="0C345AD1"/>
    <w:rsid w:val="0C626CE4"/>
    <w:rsid w:val="0C7D6B81"/>
    <w:rsid w:val="0D0C2B7B"/>
    <w:rsid w:val="0D1424ED"/>
    <w:rsid w:val="0D395D2F"/>
    <w:rsid w:val="0D9308F8"/>
    <w:rsid w:val="0DE76C3D"/>
    <w:rsid w:val="0E1A1D85"/>
    <w:rsid w:val="0E3C6988"/>
    <w:rsid w:val="0E750568"/>
    <w:rsid w:val="0E9C3C97"/>
    <w:rsid w:val="0EEA1A9A"/>
    <w:rsid w:val="0EEC7E92"/>
    <w:rsid w:val="0F2D7A80"/>
    <w:rsid w:val="0F4277E5"/>
    <w:rsid w:val="0F4C36B0"/>
    <w:rsid w:val="0F4C5227"/>
    <w:rsid w:val="0F684B57"/>
    <w:rsid w:val="0FA75561"/>
    <w:rsid w:val="0FB104C7"/>
    <w:rsid w:val="0FB83603"/>
    <w:rsid w:val="0FCA77F1"/>
    <w:rsid w:val="0FCC70AF"/>
    <w:rsid w:val="0FCD5DCC"/>
    <w:rsid w:val="10043197"/>
    <w:rsid w:val="10270545"/>
    <w:rsid w:val="103409DF"/>
    <w:rsid w:val="10444021"/>
    <w:rsid w:val="108A1D4B"/>
    <w:rsid w:val="10A10111"/>
    <w:rsid w:val="10A17FC7"/>
    <w:rsid w:val="10BE093E"/>
    <w:rsid w:val="10E20BD8"/>
    <w:rsid w:val="110C7DC7"/>
    <w:rsid w:val="111B0FE9"/>
    <w:rsid w:val="112C77F4"/>
    <w:rsid w:val="114755AB"/>
    <w:rsid w:val="115F67A8"/>
    <w:rsid w:val="116C0D19"/>
    <w:rsid w:val="119604A6"/>
    <w:rsid w:val="119A7465"/>
    <w:rsid w:val="11C07DA5"/>
    <w:rsid w:val="11C2491E"/>
    <w:rsid w:val="11F36B75"/>
    <w:rsid w:val="12491386"/>
    <w:rsid w:val="12751983"/>
    <w:rsid w:val="12887F77"/>
    <w:rsid w:val="12E60579"/>
    <w:rsid w:val="12E66E96"/>
    <w:rsid w:val="12EB0F02"/>
    <w:rsid w:val="13695B36"/>
    <w:rsid w:val="1372609F"/>
    <w:rsid w:val="13D73572"/>
    <w:rsid w:val="13F476B4"/>
    <w:rsid w:val="14504752"/>
    <w:rsid w:val="145A6A37"/>
    <w:rsid w:val="1467440F"/>
    <w:rsid w:val="153955DC"/>
    <w:rsid w:val="15400323"/>
    <w:rsid w:val="15433A9B"/>
    <w:rsid w:val="154C4F1A"/>
    <w:rsid w:val="159A7EFC"/>
    <w:rsid w:val="15A93017"/>
    <w:rsid w:val="15CF64A5"/>
    <w:rsid w:val="15FC2F04"/>
    <w:rsid w:val="16181FAC"/>
    <w:rsid w:val="168756A0"/>
    <w:rsid w:val="16F94849"/>
    <w:rsid w:val="17045E51"/>
    <w:rsid w:val="172011D4"/>
    <w:rsid w:val="17252C3B"/>
    <w:rsid w:val="172E12A5"/>
    <w:rsid w:val="173F0A2E"/>
    <w:rsid w:val="17770BC2"/>
    <w:rsid w:val="17860E2F"/>
    <w:rsid w:val="17A119AA"/>
    <w:rsid w:val="180100EF"/>
    <w:rsid w:val="18586F2B"/>
    <w:rsid w:val="18C2221E"/>
    <w:rsid w:val="191368C6"/>
    <w:rsid w:val="19442DF9"/>
    <w:rsid w:val="195C6AAA"/>
    <w:rsid w:val="19A766B9"/>
    <w:rsid w:val="19CE76BA"/>
    <w:rsid w:val="19F26070"/>
    <w:rsid w:val="19F97C8B"/>
    <w:rsid w:val="1A1523CE"/>
    <w:rsid w:val="1A6A6939"/>
    <w:rsid w:val="1AA730BD"/>
    <w:rsid w:val="1AC05546"/>
    <w:rsid w:val="1AD501AD"/>
    <w:rsid w:val="1AE4302E"/>
    <w:rsid w:val="1B333D5D"/>
    <w:rsid w:val="1B587618"/>
    <w:rsid w:val="1B5F19C7"/>
    <w:rsid w:val="1B7D6926"/>
    <w:rsid w:val="1BB50A0A"/>
    <w:rsid w:val="1BF67E9C"/>
    <w:rsid w:val="1C1C709B"/>
    <w:rsid w:val="1C4F6795"/>
    <w:rsid w:val="1C812956"/>
    <w:rsid w:val="1C8D1CB8"/>
    <w:rsid w:val="1C9F6814"/>
    <w:rsid w:val="1CCB626F"/>
    <w:rsid w:val="1D1F0356"/>
    <w:rsid w:val="1D5C514E"/>
    <w:rsid w:val="1D865D14"/>
    <w:rsid w:val="1D8705EC"/>
    <w:rsid w:val="1D8E41CF"/>
    <w:rsid w:val="1D954DCE"/>
    <w:rsid w:val="1DD872E4"/>
    <w:rsid w:val="1DEC0E7D"/>
    <w:rsid w:val="1E43150B"/>
    <w:rsid w:val="1EA93E80"/>
    <w:rsid w:val="1ED33FB6"/>
    <w:rsid w:val="1EE81332"/>
    <w:rsid w:val="1F32415A"/>
    <w:rsid w:val="1F542F9A"/>
    <w:rsid w:val="1F702632"/>
    <w:rsid w:val="1F7E2174"/>
    <w:rsid w:val="1FDC6454"/>
    <w:rsid w:val="20107567"/>
    <w:rsid w:val="204A0286"/>
    <w:rsid w:val="20807C50"/>
    <w:rsid w:val="20AB56C6"/>
    <w:rsid w:val="21547789"/>
    <w:rsid w:val="2176507C"/>
    <w:rsid w:val="21BE35AF"/>
    <w:rsid w:val="21C11174"/>
    <w:rsid w:val="21CF2D45"/>
    <w:rsid w:val="22244B28"/>
    <w:rsid w:val="22467FD4"/>
    <w:rsid w:val="229451FD"/>
    <w:rsid w:val="22A12DB6"/>
    <w:rsid w:val="22DB012E"/>
    <w:rsid w:val="230A01C2"/>
    <w:rsid w:val="236356D1"/>
    <w:rsid w:val="23A91C83"/>
    <w:rsid w:val="23C962E8"/>
    <w:rsid w:val="245F02C4"/>
    <w:rsid w:val="247E4FED"/>
    <w:rsid w:val="24AD78E0"/>
    <w:rsid w:val="24B30BE8"/>
    <w:rsid w:val="24E34060"/>
    <w:rsid w:val="25396B3D"/>
    <w:rsid w:val="253A0491"/>
    <w:rsid w:val="253D72D8"/>
    <w:rsid w:val="254E0478"/>
    <w:rsid w:val="25E036B2"/>
    <w:rsid w:val="25E9082A"/>
    <w:rsid w:val="25F42473"/>
    <w:rsid w:val="269C17B8"/>
    <w:rsid w:val="26AF2D79"/>
    <w:rsid w:val="26B34B91"/>
    <w:rsid w:val="26FC4F31"/>
    <w:rsid w:val="270D66E8"/>
    <w:rsid w:val="27514612"/>
    <w:rsid w:val="278B0DAB"/>
    <w:rsid w:val="279C6B0E"/>
    <w:rsid w:val="27A64735"/>
    <w:rsid w:val="27AB1F74"/>
    <w:rsid w:val="27CC4DF2"/>
    <w:rsid w:val="281146AF"/>
    <w:rsid w:val="281864F2"/>
    <w:rsid w:val="286903EF"/>
    <w:rsid w:val="287F5DD3"/>
    <w:rsid w:val="288047CB"/>
    <w:rsid w:val="289E62FA"/>
    <w:rsid w:val="28FD6E90"/>
    <w:rsid w:val="291E2CA6"/>
    <w:rsid w:val="29331862"/>
    <w:rsid w:val="2944442E"/>
    <w:rsid w:val="299741EC"/>
    <w:rsid w:val="299E147F"/>
    <w:rsid w:val="29C32A87"/>
    <w:rsid w:val="29CF26DC"/>
    <w:rsid w:val="29DD1DDA"/>
    <w:rsid w:val="2A1C5DA0"/>
    <w:rsid w:val="2A200D39"/>
    <w:rsid w:val="2A280AB9"/>
    <w:rsid w:val="2A507EFF"/>
    <w:rsid w:val="2A56745F"/>
    <w:rsid w:val="2ADC05A4"/>
    <w:rsid w:val="2AEF2177"/>
    <w:rsid w:val="2B146D62"/>
    <w:rsid w:val="2B2015AF"/>
    <w:rsid w:val="2B532EC3"/>
    <w:rsid w:val="2B6F0D7F"/>
    <w:rsid w:val="2B8716BD"/>
    <w:rsid w:val="2B8B76FF"/>
    <w:rsid w:val="2B9C641C"/>
    <w:rsid w:val="2BC44A9D"/>
    <w:rsid w:val="2BD5034F"/>
    <w:rsid w:val="2C863A37"/>
    <w:rsid w:val="2C924AE7"/>
    <w:rsid w:val="2D025012"/>
    <w:rsid w:val="2D363D1B"/>
    <w:rsid w:val="2D3C353B"/>
    <w:rsid w:val="2D4178F0"/>
    <w:rsid w:val="2D7711AA"/>
    <w:rsid w:val="2D7D58EB"/>
    <w:rsid w:val="2DA45D22"/>
    <w:rsid w:val="2DAE631A"/>
    <w:rsid w:val="2DBA41D2"/>
    <w:rsid w:val="2DCB4D0E"/>
    <w:rsid w:val="2DD877E0"/>
    <w:rsid w:val="2DE616C9"/>
    <w:rsid w:val="2DE801DF"/>
    <w:rsid w:val="2DFC2451"/>
    <w:rsid w:val="2E3422F8"/>
    <w:rsid w:val="2E3D3A4F"/>
    <w:rsid w:val="2E3D68D2"/>
    <w:rsid w:val="2E440A2C"/>
    <w:rsid w:val="2E4E3659"/>
    <w:rsid w:val="2E6E566D"/>
    <w:rsid w:val="2E7F188E"/>
    <w:rsid w:val="2EA91D49"/>
    <w:rsid w:val="2EBC0905"/>
    <w:rsid w:val="2EC73739"/>
    <w:rsid w:val="2EFB1B0E"/>
    <w:rsid w:val="2F343775"/>
    <w:rsid w:val="2F5107A8"/>
    <w:rsid w:val="2F5C684F"/>
    <w:rsid w:val="2F63756E"/>
    <w:rsid w:val="2F922AC9"/>
    <w:rsid w:val="2FE6553A"/>
    <w:rsid w:val="300119B8"/>
    <w:rsid w:val="307776D1"/>
    <w:rsid w:val="307A16E8"/>
    <w:rsid w:val="30862574"/>
    <w:rsid w:val="309D1AAC"/>
    <w:rsid w:val="30AD52F3"/>
    <w:rsid w:val="30B631E1"/>
    <w:rsid w:val="30B7454F"/>
    <w:rsid w:val="311933AA"/>
    <w:rsid w:val="317D15BB"/>
    <w:rsid w:val="31CC144A"/>
    <w:rsid w:val="31D07E6C"/>
    <w:rsid w:val="323F65DA"/>
    <w:rsid w:val="32412074"/>
    <w:rsid w:val="328944B3"/>
    <w:rsid w:val="328A70AC"/>
    <w:rsid w:val="32DE0199"/>
    <w:rsid w:val="333C2963"/>
    <w:rsid w:val="335B2774"/>
    <w:rsid w:val="33A4642E"/>
    <w:rsid w:val="33CD3272"/>
    <w:rsid w:val="33D4039C"/>
    <w:rsid w:val="33D47E05"/>
    <w:rsid w:val="33DF460E"/>
    <w:rsid w:val="33E13F2F"/>
    <w:rsid w:val="33FE2213"/>
    <w:rsid w:val="3413677D"/>
    <w:rsid w:val="342B544B"/>
    <w:rsid w:val="34396D55"/>
    <w:rsid w:val="345E036E"/>
    <w:rsid w:val="34673F86"/>
    <w:rsid w:val="34712C0C"/>
    <w:rsid w:val="34C47852"/>
    <w:rsid w:val="34DE1E4F"/>
    <w:rsid w:val="34F07DB1"/>
    <w:rsid w:val="35700359"/>
    <w:rsid w:val="357E6FD1"/>
    <w:rsid w:val="35881347"/>
    <w:rsid w:val="359009FB"/>
    <w:rsid w:val="35AB1391"/>
    <w:rsid w:val="35D354B8"/>
    <w:rsid w:val="35D4025C"/>
    <w:rsid w:val="35E84393"/>
    <w:rsid w:val="362666BC"/>
    <w:rsid w:val="363646D4"/>
    <w:rsid w:val="366B28CE"/>
    <w:rsid w:val="368A6B11"/>
    <w:rsid w:val="36C66E7F"/>
    <w:rsid w:val="36F44712"/>
    <w:rsid w:val="36F75A66"/>
    <w:rsid w:val="37085B1F"/>
    <w:rsid w:val="372E04CB"/>
    <w:rsid w:val="385B709E"/>
    <w:rsid w:val="38C56C0D"/>
    <w:rsid w:val="38E070F2"/>
    <w:rsid w:val="38FA1FA9"/>
    <w:rsid w:val="390D33AB"/>
    <w:rsid w:val="391E6D06"/>
    <w:rsid w:val="39573D9E"/>
    <w:rsid w:val="39FC7BE4"/>
    <w:rsid w:val="3A074847"/>
    <w:rsid w:val="3A830B2E"/>
    <w:rsid w:val="3A8F1281"/>
    <w:rsid w:val="3AA90FE6"/>
    <w:rsid w:val="3AA9318F"/>
    <w:rsid w:val="3AB62DA0"/>
    <w:rsid w:val="3AE67BC0"/>
    <w:rsid w:val="3B057828"/>
    <w:rsid w:val="3B69577B"/>
    <w:rsid w:val="3B702D85"/>
    <w:rsid w:val="3B7D3FD5"/>
    <w:rsid w:val="3B823DDF"/>
    <w:rsid w:val="3B937018"/>
    <w:rsid w:val="3BD827B4"/>
    <w:rsid w:val="3C237ED3"/>
    <w:rsid w:val="3C363894"/>
    <w:rsid w:val="3C4D2D59"/>
    <w:rsid w:val="3CAA596A"/>
    <w:rsid w:val="3CAF1D22"/>
    <w:rsid w:val="3CB1587B"/>
    <w:rsid w:val="3CB735F2"/>
    <w:rsid w:val="3CC1773F"/>
    <w:rsid w:val="3D186684"/>
    <w:rsid w:val="3D260E6E"/>
    <w:rsid w:val="3D363C36"/>
    <w:rsid w:val="3D4E5423"/>
    <w:rsid w:val="3D8B2178"/>
    <w:rsid w:val="3DB34909"/>
    <w:rsid w:val="3DD115F5"/>
    <w:rsid w:val="3DE435F0"/>
    <w:rsid w:val="3DE5122C"/>
    <w:rsid w:val="3DF37E53"/>
    <w:rsid w:val="3ED26DE9"/>
    <w:rsid w:val="3EED17D0"/>
    <w:rsid w:val="3F0C0304"/>
    <w:rsid w:val="3F774839"/>
    <w:rsid w:val="3F7C1A35"/>
    <w:rsid w:val="3FA17495"/>
    <w:rsid w:val="3FBD02CF"/>
    <w:rsid w:val="3FEC147E"/>
    <w:rsid w:val="3FED7DE8"/>
    <w:rsid w:val="40376375"/>
    <w:rsid w:val="412732B7"/>
    <w:rsid w:val="4127791F"/>
    <w:rsid w:val="41281794"/>
    <w:rsid w:val="413C1FDF"/>
    <w:rsid w:val="41550CE1"/>
    <w:rsid w:val="41620A86"/>
    <w:rsid w:val="41806A69"/>
    <w:rsid w:val="41B0259C"/>
    <w:rsid w:val="41B77686"/>
    <w:rsid w:val="41BC6F1C"/>
    <w:rsid w:val="41EF2363"/>
    <w:rsid w:val="41F77860"/>
    <w:rsid w:val="424A4B98"/>
    <w:rsid w:val="4253528A"/>
    <w:rsid w:val="42581D3A"/>
    <w:rsid w:val="428E23A1"/>
    <w:rsid w:val="42960004"/>
    <w:rsid w:val="42ED2EA4"/>
    <w:rsid w:val="42F6649D"/>
    <w:rsid w:val="42FE0080"/>
    <w:rsid w:val="431E5168"/>
    <w:rsid w:val="43315D2E"/>
    <w:rsid w:val="43670C99"/>
    <w:rsid w:val="43824A1C"/>
    <w:rsid w:val="4385126E"/>
    <w:rsid w:val="43D110E1"/>
    <w:rsid w:val="43E873C9"/>
    <w:rsid w:val="448700C8"/>
    <w:rsid w:val="44905B1F"/>
    <w:rsid w:val="45316885"/>
    <w:rsid w:val="45A95EE9"/>
    <w:rsid w:val="45B71E2A"/>
    <w:rsid w:val="45FB0F21"/>
    <w:rsid w:val="46167166"/>
    <w:rsid w:val="4636719A"/>
    <w:rsid w:val="46571F90"/>
    <w:rsid w:val="465859F2"/>
    <w:rsid w:val="46726CED"/>
    <w:rsid w:val="46D34989"/>
    <w:rsid w:val="47200EE3"/>
    <w:rsid w:val="472156FC"/>
    <w:rsid w:val="472703A0"/>
    <w:rsid w:val="47435AC2"/>
    <w:rsid w:val="47544B78"/>
    <w:rsid w:val="47587AF7"/>
    <w:rsid w:val="47745A86"/>
    <w:rsid w:val="47E239AC"/>
    <w:rsid w:val="480F4B73"/>
    <w:rsid w:val="4832167C"/>
    <w:rsid w:val="485446B7"/>
    <w:rsid w:val="487974BD"/>
    <w:rsid w:val="48B31B80"/>
    <w:rsid w:val="48DB38E3"/>
    <w:rsid w:val="48E06023"/>
    <w:rsid w:val="49001B5E"/>
    <w:rsid w:val="49376DB0"/>
    <w:rsid w:val="497A0274"/>
    <w:rsid w:val="49804BB7"/>
    <w:rsid w:val="49826DCB"/>
    <w:rsid w:val="499013E7"/>
    <w:rsid w:val="49A22843"/>
    <w:rsid w:val="49C8088A"/>
    <w:rsid w:val="49F70BF1"/>
    <w:rsid w:val="4A0F6D68"/>
    <w:rsid w:val="4A233384"/>
    <w:rsid w:val="4A301C93"/>
    <w:rsid w:val="4A3302AB"/>
    <w:rsid w:val="4A572A17"/>
    <w:rsid w:val="4A6F2535"/>
    <w:rsid w:val="4AC85D49"/>
    <w:rsid w:val="4AE308A9"/>
    <w:rsid w:val="4B005D50"/>
    <w:rsid w:val="4B260F2D"/>
    <w:rsid w:val="4B524331"/>
    <w:rsid w:val="4B8B54A8"/>
    <w:rsid w:val="4B9049B6"/>
    <w:rsid w:val="4B9A1456"/>
    <w:rsid w:val="4BA32C82"/>
    <w:rsid w:val="4BE70627"/>
    <w:rsid w:val="4C0A5AE1"/>
    <w:rsid w:val="4C130AB8"/>
    <w:rsid w:val="4C5A284D"/>
    <w:rsid w:val="4C5C0673"/>
    <w:rsid w:val="4CB370E9"/>
    <w:rsid w:val="4CB96B43"/>
    <w:rsid w:val="4CC24BEA"/>
    <w:rsid w:val="4CC75FCC"/>
    <w:rsid w:val="4CC87A5E"/>
    <w:rsid w:val="4CD63947"/>
    <w:rsid w:val="4CE9702B"/>
    <w:rsid w:val="4CEF2847"/>
    <w:rsid w:val="4CF957AB"/>
    <w:rsid w:val="4CFC49F4"/>
    <w:rsid w:val="4D073D73"/>
    <w:rsid w:val="4D1D2091"/>
    <w:rsid w:val="4D1E27BA"/>
    <w:rsid w:val="4D23574A"/>
    <w:rsid w:val="4D270EF8"/>
    <w:rsid w:val="4D4C4DB0"/>
    <w:rsid w:val="4D7322D5"/>
    <w:rsid w:val="4DD7034C"/>
    <w:rsid w:val="4DE312CB"/>
    <w:rsid w:val="4DF3347D"/>
    <w:rsid w:val="4DF5318E"/>
    <w:rsid w:val="4E1F4862"/>
    <w:rsid w:val="4E2E4393"/>
    <w:rsid w:val="4E535EF2"/>
    <w:rsid w:val="4EBC37FC"/>
    <w:rsid w:val="4F08773C"/>
    <w:rsid w:val="4F102B4E"/>
    <w:rsid w:val="4F1634D1"/>
    <w:rsid w:val="4F31409F"/>
    <w:rsid w:val="4F5543EF"/>
    <w:rsid w:val="4F5E670E"/>
    <w:rsid w:val="4F6576AF"/>
    <w:rsid w:val="4F846A83"/>
    <w:rsid w:val="4F965516"/>
    <w:rsid w:val="50070E2C"/>
    <w:rsid w:val="501112F3"/>
    <w:rsid w:val="504B57F2"/>
    <w:rsid w:val="50560FE4"/>
    <w:rsid w:val="50681F00"/>
    <w:rsid w:val="50C5433A"/>
    <w:rsid w:val="50C62BC7"/>
    <w:rsid w:val="50DA1528"/>
    <w:rsid w:val="50F72A66"/>
    <w:rsid w:val="5123368C"/>
    <w:rsid w:val="5130747C"/>
    <w:rsid w:val="515C765A"/>
    <w:rsid w:val="51905BB3"/>
    <w:rsid w:val="51946FCB"/>
    <w:rsid w:val="51DD796B"/>
    <w:rsid w:val="51DF373B"/>
    <w:rsid w:val="52241ACF"/>
    <w:rsid w:val="522E682E"/>
    <w:rsid w:val="52386AB2"/>
    <w:rsid w:val="5282410D"/>
    <w:rsid w:val="5283536B"/>
    <w:rsid w:val="529E42FF"/>
    <w:rsid w:val="52EF4CB5"/>
    <w:rsid w:val="52F959F0"/>
    <w:rsid w:val="5302488E"/>
    <w:rsid w:val="53136173"/>
    <w:rsid w:val="5321205D"/>
    <w:rsid w:val="534B12B7"/>
    <w:rsid w:val="539A4AC7"/>
    <w:rsid w:val="542631B6"/>
    <w:rsid w:val="5447483C"/>
    <w:rsid w:val="545E2895"/>
    <w:rsid w:val="54942CAE"/>
    <w:rsid w:val="54A61722"/>
    <w:rsid w:val="54B31FAF"/>
    <w:rsid w:val="54C211D8"/>
    <w:rsid w:val="54E97446"/>
    <w:rsid w:val="55190137"/>
    <w:rsid w:val="551F3E29"/>
    <w:rsid w:val="55282405"/>
    <w:rsid w:val="552A4EB4"/>
    <w:rsid w:val="55326D63"/>
    <w:rsid w:val="555D1A10"/>
    <w:rsid w:val="55C42C77"/>
    <w:rsid w:val="55FC1D03"/>
    <w:rsid w:val="566C5F63"/>
    <w:rsid w:val="56907552"/>
    <w:rsid w:val="56AC4A78"/>
    <w:rsid w:val="56DB16B9"/>
    <w:rsid w:val="577A3463"/>
    <w:rsid w:val="57AC4DC9"/>
    <w:rsid w:val="57F967AD"/>
    <w:rsid w:val="57FE314A"/>
    <w:rsid w:val="58052975"/>
    <w:rsid w:val="584D1A65"/>
    <w:rsid w:val="584F5C44"/>
    <w:rsid w:val="58504D6C"/>
    <w:rsid w:val="58615BB3"/>
    <w:rsid w:val="588717C9"/>
    <w:rsid w:val="58D43874"/>
    <w:rsid w:val="58D72319"/>
    <w:rsid w:val="58E525CA"/>
    <w:rsid w:val="58E55347"/>
    <w:rsid w:val="58EE7372"/>
    <w:rsid w:val="593C217C"/>
    <w:rsid w:val="593D045A"/>
    <w:rsid w:val="5960739E"/>
    <w:rsid w:val="597460CF"/>
    <w:rsid w:val="597676DD"/>
    <w:rsid w:val="59896D0A"/>
    <w:rsid w:val="59B72684"/>
    <w:rsid w:val="5A264C20"/>
    <w:rsid w:val="5A295A8C"/>
    <w:rsid w:val="5A3D61AC"/>
    <w:rsid w:val="5A9579AE"/>
    <w:rsid w:val="5AC468CD"/>
    <w:rsid w:val="5B006DDE"/>
    <w:rsid w:val="5B342B9A"/>
    <w:rsid w:val="5B5953B0"/>
    <w:rsid w:val="5B630802"/>
    <w:rsid w:val="5B807F68"/>
    <w:rsid w:val="5BA72CE5"/>
    <w:rsid w:val="5C034D53"/>
    <w:rsid w:val="5CBA0D39"/>
    <w:rsid w:val="5CC81D66"/>
    <w:rsid w:val="5D6509CD"/>
    <w:rsid w:val="5D722852"/>
    <w:rsid w:val="5E1D6F56"/>
    <w:rsid w:val="5E52187F"/>
    <w:rsid w:val="5E6A13CD"/>
    <w:rsid w:val="5E705D15"/>
    <w:rsid w:val="5E887B9F"/>
    <w:rsid w:val="5E93326C"/>
    <w:rsid w:val="5E9F1A7A"/>
    <w:rsid w:val="5EAF3818"/>
    <w:rsid w:val="5EB9022B"/>
    <w:rsid w:val="5EFB4BA4"/>
    <w:rsid w:val="5EFE2597"/>
    <w:rsid w:val="5F025452"/>
    <w:rsid w:val="5F5F46B5"/>
    <w:rsid w:val="5F6762C1"/>
    <w:rsid w:val="5FB25360"/>
    <w:rsid w:val="5FBA3CC0"/>
    <w:rsid w:val="5FD90D61"/>
    <w:rsid w:val="60177697"/>
    <w:rsid w:val="602329DB"/>
    <w:rsid w:val="604845A1"/>
    <w:rsid w:val="60534C73"/>
    <w:rsid w:val="607777D6"/>
    <w:rsid w:val="609A56B8"/>
    <w:rsid w:val="60BC76A1"/>
    <w:rsid w:val="60F0637F"/>
    <w:rsid w:val="610B7637"/>
    <w:rsid w:val="612279BA"/>
    <w:rsid w:val="615F5624"/>
    <w:rsid w:val="61786FF4"/>
    <w:rsid w:val="619A6E2E"/>
    <w:rsid w:val="61CB78FE"/>
    <w:rsid w:val="61D215CF"/>
    <w:rsid w:val="620D6AF3"/>
    <w:rsid w:val="62593D9F"/>
    <w:rsid w:val="625C563D"/>
    <w:rsid w:val="626A1704"/>
    <w:rsid w:val="627921C2"/>
    <w:rsid w:val="62892D3E"/>
    <w:rsid w:val="62B362C8"/>
    <w:rsid w:val="62C1330E"/>
    <w:rsid w:val="62C3746A"/>
    <w:rsid w:val="62D60F4C"/>
    <w:rsid w:val="6317611A"/>
    <w:rsid w:val="6342085E"/>
    <w:rsid w:val="636F415C"/>
    <w:rsid w:val="63910B10"/>
    <w:rsid w:val="63D22876"/>
    <w:rsid w:val="641B511C"/>
    <w:rsid w:val="64917820"/>
    <w:rsid w:val="64AA1CC5"/>
    <w:rsid w:val="64C90280"/>
    <w:rsid w:val="6528341F"/>
    <w:rsid w:val="656B2909"/>
    <w:rsid w:val="65A3045D"/>
    <w:rsid w:val="65AF2651"/>
    <w:rsid w:val="65D97752"/>
    <w:rsid w:val="65E25E59"/>
    <w:rsid w:val="66307F76"/>
    <w:rsid w:val="664F617E"/>
    <w:rsid w:val="66580EAF"/>
    <w:rsid w:val="66694D0D"/>
    <w:rsid w:val="667B4472"/>
    <w:rsid w:val="66F041A8"/>
    <w:rsid w:val="6721178A"/>
    <w:rsid w:val="6739399A"/>
    <w:rsid w:val="673F39DE"/>
    <w:rsid w:val="674C5D22"/>
    <w:rsid w:val="67663AF8"/>
    <w:rsid w:val="67762CFD"/>
    <w:rsid w:val="677A678D"/>
    <w:rsid w:val="6798432F"/>
    <w:rsid w:val="67AA2321"/>
    <w:rsid w:val="67EA64CC"/>
    <w:rsid w:val="68011379"/>
    <w:rsid w:val="681E1720"/>
    <w:rsid w:val="68252C37"/>
    <w:rsid w:val="68817BAC"/>
    <w:rsid w:val="689A5E59"/>
    <w:rsid w:val="68A94E70"/>
    <w:rsid w:val="68EE72DF"/>
    <w:rsid w:val="690B4C92"/>
    <w:rsid w:val="69356906"/>
    <w:rsid w:val="69485FEA"/>
    <w:rsid w:val="69676EB0"/>
    <w:rsid w:val="69677DC0"/>
    <w:rsid w:val="69937EC7"/>
    <w:rsid w:val="69D64558"/>
    <w:rsid w:val="69E3623E"/>
    <w:rsid w:val="6A042548"/>
    <w:rsid w:val="6A471EFD"/>
    <w:rsid w:val="6A771BC9"/>
    <w:rsid w:val="6A9D5B77"/>
    <w:rsid w:val="6AB57116"/>
    <w:rsid w:val="6AC22461"/>
    <w:rsid w:val="6B17424A"/>
    <w:rsid w:val="6B2218FA"/>
    <w:rsid w:val="6B686C59"/>
    <w:rsid w:val="6B691672"/>
    <w:rsid w:val="6B7804E7"/>
    <w:rsid w:val="6BE97F42"/>
    <w:rsid w:val="6C2063E9"/>
    <w:rsid w:val="6C5E6A51"/>
    <w:rsid w:val="6C6513C3"/>
    <w:rsid w:val="6C6720CF"/>
    <w:rsid w:val="6C737CFB"/>
    <w:rsid w:val="6C744268"/>
    <w:rsid w:val="6C7B02B3"/>
    <w:rsid w:val="6C913746"/>
    <w:rsid w:val="6CD62D03"/>
    <w:rsid w:val="6CD97FB6"/>
    <w:rsid w:val="6CDD60A6"/>
    <w:rsid w:val="6D0E5050"/>
    <w:rsid w:val="6D1E3C1B"/>
    <w:rsid w:val="6D4B22B8"/>
    <w:rsid w:val="6D930013"/>
    <w:rsid w:val="6DA265FA"/>
    <w:rsid w:val="6DFB5D0A"/>
    <w:rsid w:val="6E1A1656"/>
    <w:rsid w:val="6E231DD6"/>
    <w:rsid w:val="6E2F17D2"/>
    <w:rsid w:val="6E4F6056"/>
    <w:rsid w:val="6E512505"/>
    <w:rsid w:val="6E5A5288"/>
    <w:rsid w:val="6EE013EE"/>
    <w:rsid w:val="6EE079F1"/>
    <w:rsid w:val="6EE42C42"/>
    <w:rsid w:val="6EEA4439"/>
    <w:rsid w:val="6EF8183A"/>
    <w:rsid w:val="6F240921"/>
    <w:rsid w:val="6F363766"/>
    <w:rsid w:val="6F46175D"/>
    <w:rsid w:val="6F7F7CB0"/>
    <w:rsid w:val="6FE0165C"/>
    <w:rsid w:val="6FE10C44"/>
    <w:rsid w:val="70222744"/>
    <w:rsid w:val="706D25DF"/>
    <w:rsid w:val="706D2B21"/>
    <w:rsid w:val="707B1384"/>
    <w:rsid w:val="70857A34"/>
    <w:rsid w:val="70985D3C"/>
    <w:rsid w:val="70A65682"/>
    <w:rsid w:val="71047C73"/>
    <w:rsid w:val="7109004F"/>
    <w:rsid w:val="71103167"/>
    <w:rsid w:val="712E56F7"/>
    <w:rsid w:val="716875CD"/>
    <w:rsid w:val="71691ABB"/>
    <w:rsid w:val="71AE1AEA"/>
    <w:rsid w:val="71CF3B6C"/>
    <w:rsid w:val="71F80F33"/>
    <w:rsid w:val="721056AE"/>
    <w:rsid w:val="722922C6"/>
    <w:rsid w:val="727176A7"/>
    <w:rsid w:val="7295497F"/>
    <w:rsid w:val="72CB03A1"/>
    <w:rsid w:val="732D4B5D"/>
    <w:rsid w:val="73393C88"/>
    <w:rsid w:val="7362513F"/>
    <w:rsid w:val="73771D49"/>
    <w:rsid w:val="739D70A1"/>
    <w:rsid w:val="73A1354E"/>
    <w:rsid w:val="73E035D5"/>
    <w:rsid w:val="74024296"/>
    <w:rsid w:val="743D0241"/>
    <w:rsid w:val="74A11E7D"/>
    <w:rsid w:val="74D228C5"/>
    <w:rsid w:val="7550071B"/>
    <w:rsid w:val="75590B0A"/>
    <w:rsid w:val="756D0349"/>
    <w:rsid w:val="7582279F"/>
    <w:rsid w:val="75843EB5"/>
    <w:rsid w:val="75895B4A"/>
    <w:rsid w:val="75912FA2"/>
    <w:rsid w:val="75BB71AF"/>
    <w:rsid w:val="75F01962"/>
    <w:rsid w:val="760E19DF"/>
    <w:rsid w:val="764E52E0"/>
    <w:rsid w:val="76557F3E"/>
    <w:rsid w:val="76676A53"/>
    <w:rsid w:val="76944574"/>
    <w:rsid w:val="76A3294D"/>
    <w:rsid w:val="76B620A1"/>
    <w:rsid w:val="76B7642D"/>
    <w:rsid w:val="76C92425"/>
    <w:rsid w:val="76D61240"/>
    <w:rsid w:val="76D766A5"/>
    <w:rsid w:val="76F20814"/>
    <w:rsid w:val="76F92565"/>
    <w:rsid w:val="77462524"/>
    <w:rsid w:val="77501DCD"/>
    <w:rsid w:val="77565681"/>
    <w:rsid w:val="779A6594"/>
    <w:rsid w:val="77A21064"/>
    <w:rsid w:val="77E34EB2"/>
    <w:rsid w:val="781564B8"/>
    <w:rsid w:val="78224ACF"/>
    <w:rsid w:val="7883406B"/>
    <w:rsid w:val="78CD6DCC"/>
    <w:rsid w:val="78D07CAF"/>
    <w:rsid w:val="78DE12D7"/>
    <w:rsid w:val="78FB4D34"/>
    <w:rsid w:val="79210683"/>
    <w:rsid w:val="799C3465"/>
    <w:rsid w:val="79B14EC4"/>
    <w:rsid w:val="7A025270"/>
    <w:rsid w:val="7A141937"/>
    <w:rsid w:val="7A2A6B4A"/>
    <w:rsid w:val="7A681070"/>
    <w:rsid w:val="7A860C7C"/>
    <w:rsid w:val="7A9F7D20"/>
    <w:rsid w:val="7AB879FE"/>
    <w:rsid w:val="7AF4245F"/>
    <w:rsid w:val="7B3264DD"/>
    <w:rsid w:val="7B81188A"/>
    <w:rsid w:val="7B9E2902"/>
    <w:rsid w:val="7BAC424F"/>
    <w:rsid w:val="7BC854E2"/>
    <w:rsid w:val="7C0562EC"/>
    <w:rsid w:val="7C067A45"/>
    <w:rsid w:val="7C0D2ED7"/>
    <w:rsid w:val="7C1C072C"/>
    <w:rsid w:val="7C27683F"/>
    <w:rsid w:val="7C8141C6"/>
    <w:rsid w:val="7CB14B4D"/>
    <w:rsid w:val="7CE208B6"/>
    <w:rsid w:val="7CF26969"/>
    <w:rsid w:val="7D25523C"/>
    <w:rsid w:val="7DB23041"/>
    <w:rsid w:val="7E5F7809"/>
    <w:rsid w:val="7ED56C53"/>
    <w:rsid w:val="7EEA1BAF"/>
    <w:rsid w:val="7F4909C9"/>
    <w:rsid w:val="7F5460D4"/>
    <w:rsid w:val="7F552892"/>
    <w:rsid w:val="7FFD3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139"/>
    <w:qFormat/>
    <w:uiPriority w:val="9"/>
    <w:pPr>
      <w:keepNext/>
      <w:keepLines/>
      <w:jc w:val="center"/>
      <w:outlineLvl w:val="0"/>
    </w:pPr>
    <w:rPr>
      <w:b/>
      <w:bCs/>
      <w:kern w:val="44"/>
      <w:sz w:val="36"/>
      <w:szCs w:val="44"/>
    </w:rPr>
  </w:style>
  <w:style w:type="paragraph" w:styleId="2">
    <w:name w:val="heading 2"/>
    <w:basedOn w:val="1"/>
    <w:next w:val="1"/>
    <w:link w:val="14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1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14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14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link w:val="14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14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146"/>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147"/>
    <w:qFormat/>
    <w:uiPriority w:val="0"/>
    <w:pPr>
      <w:ind w:left="100" w:leftChars="2500"/>
    </w:pPr>
    <w:rPr>
      <w:sz w:val="24"/>
    </w:rPr>
  </w:style>
  <w:style w:type="paragraph" w:styleId="21">
    <w:name w:val="Body Text Indent 2"/>
    <w:basedOn w:val="1"/>
    <w:link w:val="148"/>
    <w:qFormat/>
    <w:uiPriority w:val="0"/>
    <w:pPr>
      <w:spacing w:after="120" w:line="480" w:lineRule="auto"/>
      <w:ind w:left="420" w:leftChars="200"/>
    </w:pPr>
  </w:style>
  <w:style w:type="paragraph" w:styleId="22">
    <w:name w:val="Balloon Text"/>
    <w:basedOn w:val="1"/>
    <w:link w:val="149"/>
    <w:qFormat/>
    <w:uiPriority w:val="0"/>
    <w:rPr>
      <w:sz w:val="18"/>
    </w:rPr>
  </w:style>
  <w:style w:type="paragraph" w:styleId="23">
    <w:name w:val="footer"/>
    <w:basedOn w:val="1"/>
    <w:link w:val="150"/>
    <w:qFormat/>
    <w:uiPriority w:val="99"/>
    <w:pPr>
      <w:tabs>
        <w:tab w:val="center" w:pos="4153"/>
        <w:tab w:val="right" w:pos="8306"/>
      </w:tabs>
      <w:snapToGrid w:val="0"/>
      <w:jc w:val="left"/>
    </w:pPr>
    <w:rPr>
      <w:sz w:val="18"/>
    </w:rPr>
  </w:style>
  <w:style w:type="paragraph" w:styleId="24">
    <w:name w:val="header"/>
    <w:basedOn w:val="1"/>
    <w:link w:val="1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152"/>
    <w:qFormat/>
    <w:uiPriority w:val="0"/>
    <w:pPr>
      <w:spacing w:after="120"/>
      <w:ind w:left="420" w:leftChars="200"/>
    </w:pPr>
    <w:rPr>
      <w:sz w:val="16"/>
    </w:rPr>
  </w:style>
  <w:style w:type="paragraph" w:styleId="31">
    <w:name w:val="index 9"/>
    <w:basedOn w:val="1"/>
    <w:next w:val="1"/>
    <w:semiHidden/>
    <w:unhideWhenUsed/>
    <w:qFormat/>
    <w:uiPriority w:val="99"/>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15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1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qFormat/>
    <w:uiPriority w:val="9"/>
    <w:rPr>
      <w:rFonts w:ascii="Calibri" w:hAnsi="Calibri" w:eastAsia="宋体" w:cs="Times New Roman"/>
      <w:b/>
      <w:bCs/>
      <w:kern w:val="44"/>
      <w:sz w:val="36"/>
      <w:szCs w:val="44"/>
    </w:rPr>
  </w:style>
  <w:style w:type="character" w:customStyle="1" w:styleId="50">
    <w:name w:val="标题 2 字符"/>
    <w:basedOn w:val="41"/>
    <w:qFormat/>
    <w:uiPriority w:val="9"/>
    <w:rPr>
      <w:rFonts w:ascii="Arial" w:hAnsi="Arial" w:eastAsia="宋体" w:cs="Times New Roman"/>
      <w:b/>
      <w:bCs/>
      <w:sz w:val="24"/>
      <w:szCs w:val="32"/>
    </w:rPr>
  </w:style>
  <w:style w:type="character" w:customStyle="1" w:styleId="51">
    <w:name w:val="标题 3 字符"/>
    <w:basedOn w:val="41"/>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qFormat/>
    <w:locked/>
    <w:uiPriority w:val="0"/>
  </w:style>
  <w:style w:type="character" w:customStyle="1" w:styleId="54">
    <w:name w:val="批注主题 字符"/>
    <w:qFormat/>
    <w:locked/>
    <w:uiPriority w:val="0"/>
    <w:rPr>
      <w:b/>
    </w:rPr>
  </w:style>
  <w:style w:type="character" w:customStyle="1" w:styleId="55">
    <w:name w:val="正文文本缩进 3 字符"/>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qFormat/>
    <w:locked/>
    <w:uiPriority w:val="0"/>
  </w:style>
  <w:style w:type="character" w:customStyle="1" w:styleId="64">
    <w:name w:val="标题 字符"/>
    <w:qFormat/>
    <w:locked/>
    <w:uiPriority w:val="0"/>
    <w:rPr>
      <w:rFonts w:ascii="Arial" w:hAnsi="Arial"/>
      <w:b/>
      <w:sz w:val="32"/>
    </w:rPr>
  </w:style>
  <w:style w:type="character" w:customStyle="1" w:styleId="65">
    <w:name w:val="日期 字符"/>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qFormat/>
    <w:locked/>
    <w:uiPriority w:val="0"/>
    <w:rPr>
      <w:rFonts w:ascii="宋体" w:hAnsi="Courier New"/>
    </w:rPr>
  </w:style>
  <w:style w:type="character" w:customStyle="1" w:styleId="75">
    <w:name w:val="页脚 字符"/>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line="300" w:lineRule="auto"/>
    </w:pPr>
    <w:rPr>
      <w:rFonts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character" w:customStyle="1" w:styleId="139">
    <w:name w:val="标题 1 字符1"/>
    <w:basedOn w:val="41"/>
    <w:link w:val="3"/>
    <w:qFormat/>
    <w:uiPriority w:val="9"/>
    <w:rPr>
      <w:rFonts w:ascii="Calibri" w:hAnsi="Calibri" w:eastAsia="宋体" w:cs="Times New Roman"/>
      <w:b/>
      <w:bCs/>
      <w:kern w:val="44"/>
      <w:sz w:val="36"/>
      <w:szCs w:val="44"/>
    </w:rPr>
  </w:style>
  <w:style w:type="character" w:customStyle="1" w:styleId="140">
    <w:name w:val="标题 2 字符1"/>
    <w:basedOn w:val="41"/>
    <w:link w:val="2"/>
    <w:qFormat/>
    <w:uiPriority w:val="9"/>
    <w:rPr>
      <w:rFonts w:ascii="Arial" w:hAnsi="Arial" w:eastAsia="宋体" w:cs="Times New Roman"/>
      <w:b/>
      <w:bCs/>
      <w:sz w:val="24"/>
      <w:szCs w:val="32"/>
    </w:rPr>
  </w:style>
  <w:style w:type="character" w:customStyle="1" w:styleId="141">
    <w:name w:val="标题 3 字符1"/>
    <w:basedOn w:val="41"/>
    <w:link w:val="5"/>
    <w:semiHidden/>
    <w:qFormat/>
    <w:uiPriority w:val="9"/>
    <w:rPr>
      <w:rFonts w:ascii="Calibri" w:hAnsi="Calibri" w:eastAsia="宋体" w:cs="Times New Roman"/>
      <w:b/>
      <w:bCs/>
      <w:sz w:val="32"/>
      <w:szCs w:val="32"/>
    </w:rPr>
  </w:style>
  <w:style w:type="character" w:customStyle="1" w:styleId="142">
    <w:name w:val="文档结构图 字符2"/>
    <w:link w:val="10"/>
    <w:qFormat/>
    <w:locked/>
    <w:uiPriority w:val="0"/>
    <w:rPr>
      <w:rFonts w:ascii="Times New Roman" w:hAnsi="Times New Roman" w:eastAsia="宋体" w:cs="Times New Roman"/>
      <w:sz w:val="24"/>
      <w:shd w:val="clear" w:color="auto" w:fill="000080"/>
    </w:rPr>
  </w:style>
  <w:style w:type="character" w:customStyle="1" w:styleId="143">
    <w:name w:val="批注文字 字符2"/>
    <w:link w:val="12"/>
    <w:qFormat/>
    <w:locked/>
    <w:uiPriority w:val="0"/>
    <w:rPr>
      <w:rFonts w:ascii="Times New Roman" w:hAnsi="Times New Roman" w:eastAsia="宋体" w:cs="Times New Roman"/>
    </w:rPr>
  </w:style>
  <w:style w:type="character" w:customStyle="1" w:styleId="144">
    <w:name w:val="正文文本 字符1"/>
    <w:basedOn w:val="41"/>
    <w:link w:val="14"/>
    <w:qFormat/>
    <w:uiPriority w:val="99"/>
    <w:rPr>
      <w:rFonts w:ascii="Calibri" w:hAnsi="Calibri" w:eastAsia="新宋体" w:cs="Times New Roman"/>
      <w:szCs w:val="21"/>
    </w:rPr>
  </w:style>
  <w:style w:type="character" w:customStyle="1" w:styleId="145">
    <w:name w:val="正文文本缩进 字符1"/>
    <w:basedOn w:val="41"/>
    <w:link w:val="15"/>
    <w:qFormat/>
    <w:uiPriority w:val="99"/>
    <w:rPr>
      <w:rFonts w:ascii="Calibri" w:hAnsi="Calibri" w:eastAsia="宋体" w:cs="Times New Roman"/>
      <w:szCs w:val="20"/>
    </w:rPr>
  </w:style>
  <w:style w:type="character" w:customStyle="1" w:styleId="146">
    <w:name w:val="纯文本 字符2"/>
    <w:link w:val="18"/>
    <w:qFormat/>
    <w:locked/>
    <w:uiPriority w:val="0"/>
    <w:rPr>
      <w:rFonts w:ascii="宋体" w:hAnsi="Courier New" w:eastAsia="宋体" w:cs="Times New Roman"/>
    </w:rPr>
  </w:style>
  <w:style w:type="character" w:customStyle="1" w:styleId="147">
    <w:name w:val="日期 字符2"/>
    <w:link w:val="20"/>
    <w:qFormat/>
    <w:locked/>
    <w:uiPriority w:val="0"/>
    <w:rPr>
      <w:rFonts w:ascii="Times New Roman" w:hAnsi="Times New Roman" w:eastAsia="宋体" w:cs="Times New Roman"/>
      <w:sz w:val="24"/>
    </w:rPr>
  </w:style>
  <w:style w:type="character" w:customStyle="1" w:styleId="148">
    <w:name w:val="正文文本缩进 2 字符2"/>
    <w:link w:val="21"/>
    <w:qFormat/>
    <w:locked/>
    <w:uiPriority w:val="0"/>
    <w:rPr>
      <w:rFonts w:ascii="Times New Roman" w:hAnsi="Times New Roman" w:eastAsia="宋体" w:cs="Times New Roman"/>
    </w:rPr>
  </w:style>
  <w:style w:type="character" w:customStyle="1" w:styleId="149">
    <w:name w:val="批注框文本 字符2"/>
    <w:link w:val="22"/>
    <w:qFormat/>
    <w:locked/>
    <w:uiPriority w:val="0"/>
    <w:rPr>
      <w:rFonts w:ascii="Times New Roman" w:hAnsi="Times New Roman" w:eastAsia="宋体" w:cs="Times New Roman"/>
      <w:sz w:val="18"/>
    </w:rPr>
  </w:style>
  <w:style w:type="character" w:customStyle="1" w:styleId="150">
    <w:name w:val="页脚 字符2"/>
    <w:link w:val="23"/>
    <w:qFormat/>
    <w:locked/>
    <w:uiPriority w:val="99"/>
    <w:rPr>
      <w:rFonts w:ascii="Times New Roman" w:hAnsi="Times New Roman" w:eastAsia="宋体" w:cs="Times New Roman"/>
      <w:sz w:val="18"/>
    </w:rPr>
  </w:style>
  <w:style w:type="character" w:customStyle="1" w:styleId="151">
    <w:name w:val="页眉 字符2"/>
    <w:link w:val="24"/>
    <w:qFormat/>
    <w:locked/>
    <w:uiPriority w:val="0"/>
    <w:rPr>
      <w:rFonts w:ascii="Times New Roman" w:hAnsi="Times New Roman" w:eastAsia="宋体" w:cs="Times New Roman"/>
      <w:sz w:val="18"/>
    </w:rPr>
  </w:style>
  <w:style w:type="character" w:customStyle="1" w:styleId="152">
    <w:name w:val="正文文本缩进 3 字符2"/>
    <w:link w:val="30"/>
    <w:qFormat/>
    <w:locked/>
    <w:uiPriority w:val="0"/>
    <w:rPr>
      <w:rFonts w:ascii="Times New Roman" w:hAnsi="Times New Roman" w:eastAsia="宋体" w:cs="Times New Roman"/>
      <w:sz w:val="16"/>
    </w:rPr>
  </w:style>
  <w:style w:type="character" w:customStyle="1" w:styleId="153">
    <w:name w:val="标题 字符2"/>
    <w:link w:val="36"/>
    <w:qFormat/>
    <w:locked/>
    <w:uiPriority w:val="0"/>
    <w:rPr>
      <w:rFonts w:ascii="Arial" w:hAnsi="Arial" w:eastAsia="宋体" w:cs="Times New Roman"/>
      <w:b/>
      <w:sz w:val="32"/>
    </w:rPr>
  </w:style>
  <w:style w:type="character" w:customStyle="1" w:styleId="154">
    <w:name w:val="批注主题 字符2"/>
    <w:link w:val="37"/>
    <w:qFormat/>
    <w:locked/>
    <w:uiPriority w:val="0"/>
    <w:rPr>
      <w:rFonts w:ascii="Times New Roman" w:hAnsi="Times New Roman" w:eastAsia="宋体" w:cs="Times New Roman"/>
      <w:b/>
    </w:rPr>
  </w:style>
  <w:style w:type="paragraph" w:customStyle="1" w:styleId="155">
    <w:name w:val="修订1"/>
    <w:semiHidden/>
    <w:qFormat/>
    <w:uiPriority w:val="99"/>
    <w:rPr>
      <w:rFonts w:ascii="等线" w:hAnsi="等线" w:eastAsia="等线" w:cs="Times New Roman"/>
      <w:kern w:val="2"/>
      <w:sz w:val="21"/>
      <w:szCs w:val="22"/>
      <w:lang w:val="en-US" w:eastAsia="zh-CN" w:bidi="ar-SA"/>
    </w:rPr>
  </w:style>
  <w:style w:type="paragraph" w:customStyle="1" w:styleId="156">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5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58">
    <w:name w:val="正文表标题"/>
    <w:next w:val="15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59">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60">
    <w:name w:val="Table Text"/>
    <w:basedOn w:val="1"/>
    <w:semiHidden/>
    <w:qFormat/>
    <w:uiPriority w:val="0"/>
    <w:rPr>
      <w:rFonts w:ascii="宋体" w:hAnsi="宋体" w:eastAsia="宋体" w:cs="宋体"/>
      <w:sz w:val="24"/>
      <w:szCs w:val="24"/>
      <w:lang w:eastAsia="en-US"/>
    </w:rPr>
  </w:style>
  <w:style w:type="paragraph" w:customStyle="1" w:styleId="161">
    <w:name w:val="（4）级标题"/>
    <w:basedOn w:val="18"/>
    <w:qFormat/>
    <w:uiPriority w:val="8"/>
    <w:pPr>
      <w:numPr>
        <w:ilvl w:val="0"/>
        <w:numId w:val="3"/>
      </w:numPr>
      <w:spacing w:line="360" w:lineRule="auto"/>
      <w:outlineLvl w:val="4"/>
    </w:pPr>
  </w:style>
  <w:style w:type="paragraph" w:customStyle="1" w:styleId="162">
    <w:name w:val="一级标题"/>
    <w:basedOn w:val="18"/>
    <w:qFormat/>
    <w:uiPriority w:val="1"/>
    <w:pPr>
      <w:numPr>
        <w:ilvl w:val="0"/>
        <w:numId w:val="4"/>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38.png"/><Relationship Id="rId82" Type="http://schemas.openxmlformats.org/officeDocument/2006/relationships/image" Target="media/image37.png"/><Relationship Id="rId81" Type="http://schemas.openxmlformats.org/officeDocument/2006/relationships/image" Target="media/image36.png"/><Relationship Id="rId80" Type="http://schemas.openxmlformats.org/officeDocument/2006/relationships/image" Target="media/image35.png"/><Relationship Id="rId8" Type="http://schemas.openxmlformats.org/officeDocument/2006/relationships/footer" Target="footer4.xml"/><Relationship Id="rId79" Type="http://schemas.openxmlformats.org/officeDocument/2006/relationships/image" Target="media/image34.png"/><Relationship Id="rId78" Type="http://schemas.openxmlformats.org/officeDocument/2006/relationships/image" Target="media/image33.png"/><Relationship Id="rId77" Type="http://schemas.openxmlformats.org/officeDocument/2006/relationships/image" Target="media/image32.png"/><Relationship Id="rId76" Type="http://schemas.openxmlformats.org/officeDocument/2006/relationships/image" Target="media/image31.png"/><Relationship Id="rId75" Type="http://schemas.openxmlformats.org/officeDocument/2006/relationships/image" Target="media/image30.png"/><Relationship Id="rId74" Type="http://schemas.openxmlformats.org/officeDocument/2006/relationships/image" Target="media/image29.png"/><Relationship Id="rId73" Type="http://schemas.openxmlformats.org/officeDocument/2006/relationships/image" Target="media/image28.png"/><Relationship Id="rId72" Type="http://schemas.openxmlformats.org/officeDocument/2006/relationships/image" Target="media/image27.png"/><Relationship Id="rId71" Type="http://schemas.openxmlformats.org/officeDocument/2006/relationships/image" Target="media/image26.png"/><Relationship Id="rId70" Type="http://schemas.openxmlformats.org/officeDocument/2006/relationships/image" Target="media/image25.png"/><Relationship Id="rId7" Type="http://schemas.openxmlformats.org/officeDocument/2006/relationships/header" Target="header2.xml"/><Relationship Id="rId69" Type="http://schemas.openxmlformats.org/officeDocument/2006/relationships/image" Target="media/image24.png"/><Relationship Id="rId68" Type="http://schemas.openxmlformats.org/officeDocument/2006/relationships/image" Target="media/image23.png"/><Relationship Id="rId67" Type="http://schemas.openxmlformats.org/officeDocument/2006/relationships/image" Target="media/image22.png"/><Relationship Id="rId66" Type="http://schemas.openxmlformats.org/officeDocument/2006/relationships/image" Target="media/image21.png"/><Relationship Id="rId65" Type="http://schemas.openxmlformats.org/officeDocument/2006/relationships/image" Target="media/image20.png"/><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2338</Words>
  <Characters>2531</Characters>
  <Lines>1801</Lines>
  <Paragraphs>1806</Paragraphs>
  <TotalTime>1</TotalTime>
  <ScaleCrop>false</ScaleCrop>
  <LinksUpToDate>false</LinksUpToDate>
  <CharactersWithSpaces>2588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玛琪朵</cp:lastModifiedBy>
  <cp:lastPrinted>2022-07-01T03:19:00Z</cp:lastPrinted>
  <dcterms:modified xsi:type="dcterms:W3CDTF">2026-07-16T01:39:43Z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eyJoZGlkIjoiNTU0NjFkNjJjMTE0ZjAxMTUwMzQ3NGY5YmUxOTc2YjciLCJ1c2VySWQiOiI2MTE0ODQxNTgifQ==</vt:lpwstr>
  </property>
</Properties>
</file>