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880" w:lineRule="exact"/>
        <w:jc w:val="center"/>
        <w:textAlignment w:val="auto"/>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pPr>
        <w:keepNext w:val="0"/>
        <w:keepLines w:val="0"/>
        <w:pageBreakBefore w:val="0"/>
        <w:widowControl w:val="0"/>
        <w:kinsoku/>
        <w:wordWrap/>
        <w:overflowPunct/>
        <w:topLinePunct w:val="0"/>
        <w:autoSpaceDE/>
        <w:autoSpaceDN/>
        <w:bidi w:val="0"/>
        <w:adjustRightInd/>
        <w:snapToGrid/>
        <w:spacing w:line="880" w:lineRule="exact"/>
        <w:jc w:val="center"/>
        <w:textAlignment w:val="auto"/>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eastAsia="zh-CN"/>
        </w:rPr>
        <w:t>驱动电机轴电测试仪器配件项目</w:t>
      </w:r>
      <w:r>
        <w:rPr>
          <w:rFonts w:hint="eastAsia" w:ascii="宋体" w:hAnsi="宋体" w:cs="宋体"/>
          <w:b/>
          <w:bCs/>
          <w:color w:val="000000"/>
          <w:spacing w:val="-8"/>
          <w:sz w:val="48"/>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880" w:lineRule="exact"/>
        <w:jc w:val="center"/>
        <w:textAlignment w:val="auto"/>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 xml:space="preserve">招标项目 </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108"/>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108"/>
        <w:rPr>
          <w:rFonts w:hint="eastAsia" w:ascii="宋体" w:hAnsi="宋体" w:eastAsia="宋体" w:cs="宋体"/>
        </w:rPr>
      </w:pPr>
      <w:r>
        <w:rPr>
          <w:rFonts w:hint="eastAsia" w:ascii="宋体" w:hAnsi="宋体" w:eastAsia="宋体" w:cs="宋体"/>
        </w:rPr>
        <w:t>第一</w:t>
      </w:r>
      <w:r>
        <w:rPr>
          <w:rFonts w:hint="eastAsia" w:ascii="宋体" w:hAnsi="宋体" w:eastAsia="宋体" w:cs="宋体"/>
          <w:lang w:val="en-US" w:eastAsia="zh-CN"/>
        </w:rPr>
        <w:t>部分</w:t>
      </w:r>
      <w:r>
        <w:rPr>
          <w:rFonts w:hint="eastAsia" w:ascii="宋体" w:hAnsi="宋体" w:eastAsia="宋体" w:cs="宋体"/>
        </w:rPr>
        <w:t xml:space="preserve">  招标公告</w:t>
      </w:r>
    </w:p>
    <w:p>
      <w:pPr>
        <w:pStyle w:val="127"/>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u w:val="single"/>
          <w:lang w:val="en-US" w:eastAsia="zh-CN"/>
        </w:rPr>
        <w:t xml:space="preserve"> 驱动电机轴电测试仪器配件</w:t>
      </w:r>
    </w:p>
    <w:p>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采购形式编号： </w:t>
      </w:r>
    </w:p>
    <w:bookmarkEnd w:id="0"/>
    <w:p>
      <w:pPr>
        <w:pStyle w:val="127"/>
        <w:rPr>
          <w:rFonts w:hint="eastAsia" w:ascii="宋体" w:hAnsi="宋体" w:eastAsia="宋体" w:cs="宋体"/>
        </w:rPr>
      </w:pPr>
      <w:r>
        <w:rPr>
          <w:rFonts w:hint="eastAsia" w:ascii="宋体" w:hAnsi="宋体" w:eastAsia="宋体" w:cs="宋体"/>
        </w:rPr>
        <w:t>二、招标内容及形式</w:t>
      </w:r>
    </w:p>
    <w:p>
      <w:pPr>
        <w:pStyle w:val="44"/>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1、招标内容：</w:t>
      </w:r>
      <w:r>
        <w:rPr>
          <w:rFonts w:hint="eastAsia" w:hAnsi="宋体" w:cs="宋体"/>
          <w:color w:val="000000"/>
          <w:sz w:val="24"/>
          <w:szCs w:val="24"/>
          <w:lang w:val="en-US" w:eastAsia="zh-CN"/>
        </w:rPr>
        <w:t>驱动电机轴电测试仪器配件</w:t>
      </w:r>
      <w:r>
        <w:rPr>
          <w:rFonts w:hint="eastAsia" w:hAnsi="宋体" w:cs="宋体"/>
          <w:lang w:eastAsia="zh-CN"/>
        </w:rPr>
        <w:t>。</w:t>
      </w:r>
      <w:r>
        <w:rPr>
          <w:rFonts w:hint="eastAsia" w:hAnsi="宋体" w:cs="宋体"/>
          <w:color w:val="000000"/>
          <w:sz w:val="24"/>
          <w:szCs w:val="24"/>
          <w:lang w:val="en-US" w:eastAsia="zh-CN"/>
        </w:rPr>
        <w:t xml:space="preserve"> </w:t>
      </w:r>
    </w:p>
    <w:p>
      <w:pPr>
        <w:pStyle w:val="44"/>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ascii="宋体" w:hAnsi="宋体" w:eastAsia="宋体" w:cs="宋体"/>
          <w:color w:val="000000"/>
          <w:sz w:val="24"/>
          <w:szCs w:val="24"/>
          <w:lang w:val="en-US" w:eastAsia="zh-CN"/>
        </w:rPr>
        <w:t>公开招标</w:t>
      </w:r>
      <w:r>
        <w:rPr>
          <w:rFonts w:hint="eastAsia" w:ascii="宋体" w:hAnsi="宋体" w:eastAsia="宋体" w:cs="宋体"/>
          <w:color w:val="000000"/>
          <w:sz w:val="24"/>
          <w:szCs w:val="24"/>
        </w:rPr>
        <w:t>。</w:t>
      </w:r>
    </w:p>
    <w:p>
      <w:pPr>
        <w:pStyle w:val="44"/>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127"/>
        <w:rPr>
          <w:rFonts w:hint="eastAsia" w:ascii="宋体" w:hAnsi="宋体" w:eastAsia="宋体" w:cs="宋体"/>
        </w:rPr>
      </w:pPr>
      <w:r>
        <w:rPr>
          <w:rFonts w:hint="eastAsia" w:ascii="宋体" w:hAnsi="宋体" w:eastAsia="宋体" w:cs="宋体"/>
        </w:rPr>
        <w:t>三、项目概况与招标范围</w:t>
      </w:r>
    </w:p>
    <w:p>
      <w:pPr>
        <w:pStyle w:val="44"/>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hAnsi="宋体" w:cs="宋体"/>
          <w:color w:val="000000"/>
          <w:sz w:val="24"/>
          <w:szCs w:val="24"/>
          <w:lang w:val="en-US" w:eastAsia="zh-CN"/>
        </w:rPr>
        <w:t>驱动电机轴电测试仪器配件</w:t>
      </w:r>
      <w:r>
        <w:rPr>
          <w:rFonts w:hint="eastAsia" w:ascii="宋体" w:hAnsi="宋体" w:eastAsia="宋体" w:cs="宋体"/>
          <w:color w:val="000000"/>
          <w:sz w:val="24"/>
          <w:szCs w:val="24"/>
        </w:rPr>
        <w:t>。</w:t>
      </w:r>
    </w:p>
    <w:p>
      <w:pPr>
        <w:pStyle w:val="44"/>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w:t>
      </w:r>
      <w:r>
        <w:rPr>
          <w:rFonts w:hint="eastAsia" w:hAnsi="宋体" w:cs="宋体"/>
          <w:color w:val="000000"/>
          <w:sz w:val="24"/>
          <w:szCs w:val="24"/>
          <w:lang w:val="en-US" w:eastAsia="zh-CN"/>
        </w:rPr>
        <w:t>济南市莱芜区口镇重汽新能源产品试验检测中心。</w:t>
      </w:r>
    </w:p>
    <w:p>
      <w:pPr>
        <w:pStyle w:val="44"/>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125"/>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pPr>
        <w:pStyle w:val="125"/>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8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129"/>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129"/>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129"/>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129"/>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129"/>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pPr>
              <w:pStyle w:val="129"/>
              <w:jc w:val="center"/>
              <w:rPr>
                <w:rFonts w:hint="eastAsia" w:ascii="宋体" w:hAnsi="宋体" w:eastAsia="宋体" w:cs="宋体"/>
                <w:b w:val="0"/>
              </w:rPr>
            </w:pPr>
            <w:r>
              <w:rPr>
                <w:rFonts w:hint="eastAsia" w:ascii="宋体" w:hAnsi="宋体" w:eastAsia="宋体" w:cs="宋体"/>
                <w:b w:val="0"/>
                <w:lang w:val="en-US" w:eastAsia="zh-CN"/>
              </w:rPr>
              <w:t>驱动电机轴电测试仪器配件</w:t>
            </w:r>
          </w:p>
        </w:tc>
        <w:tc>
          <w:tcPr>
            <w:tcW w:w="775" w:type="pct"/>
            <w:tcBorders>
              <w:top w:val="single" w:color="auto" w:sz="4" w:space="0"/>
              <w:left w:val="single" w:color="auto" w:sz="4" w:space="0"/>
              <w:bottom w:val="single" w:color="auto" w:sz="4" w:space="0"/>
              <w:right w:val="single" w:color="auto" w:sz="4" w:space="0"/>
            </w:tcBorders>
            <w:vAlign w:val="center"/>
          </w:tcPr>
          <w:p>
            <w:pPr>
              <w:pStyle w:val="129"/>
              <w:jc w:val="center"/>
              <w:rPr>
                <w:rFonts w:hint="eastAsia" w:ascii="宋体" w:hAnsi="宋体" w:eastAsia="宋体" w:cs="宋体"/>
                <w:b w:val="0"/>
              </w:rPr>
            </w:pPr>
            <w:r>
              <w:rPr>
                <w:rFonts w:hint="eastAsia" w:ascii="宋体" w:hAnsi="宋体" w:eastAsia="宋体" w:cs="宋体"/>
                <w:b w:val="0"/>
                <w:lang w:val="en-US" w:eastAsia="zh-CN"/>
              </w:rPr>
              <w:t>闭</w:t>
            </w:r>
            <w:r>
              <w:rPr>
                <w:rFonts w:hint="eastAsia" w:ascii="宋体" w:hAnsi="宋体" w:eastAsia="宋体" w:cs="宋体"/>
                <w:b w:val="0"/>
              </w:rPr>
              <w:t>口合同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30"/>
              <w:rPr>
                <w:rFonts w:hint="default" w:eastAsia="宋体"/>
                <w:lang w:val="en-US" w:eastAsia="zh-CN"/>
              </w:rPr>
            </w:pPr>
            <w:r>
              <w:rPr>
                <w:rFonts w:hint="eastAsia" w:eastAsia="宋体"/>
                <w:lang w:val="en-US" w:eastAsia="zh-CN"/>
              </w:rPr>
              <w:t>1.</w:t>
            </w:r>
            <w:r>
              <w:rPr>
                <w:rFonts w:hint="default" w:eastAsia="宋体"/>
                <w:lang w:val="en-US" w:eastAsia="zh-CN"/>
              </w:rPr>
              <w:t>设备验收合格后，中标人提交金额为合同价款</w:t>
            </w:r>
            <w:r>
              <w:rPr>
                <w:rFonts w:hint="eastAsia" w:eastAsia="宋体"/>
                <w:lang w:val="en-US" w:eastAsia="zh-CN"/>
              </w:rPr>
              <w:t>9</w:t>
            </w:r>
            <w:r>
              <w:rPr>
                <w:rFonts w:hint="default" w:eastAsia="宋体"/>
                <w:lang w:val="en-US" w:eastAsia="zh-CN"/>
              </w:rPr>
              <w:t>0%的收据并提供合同价款</w:t>
            </w:r>
            <w:r>
              <w:rPr>
                <w:rFonts w:hint="eastAsia" w:eastAsia="宋体"/>
                <w:lang w:val="en-US" w:eastAsia="zh-CN"/>
              </w:rPr>
              <w:t>10</w:t>
            </w:r>
            <w:r>
              <w:rPr>
                <w:rFonts w:hint="default" w:eastAsia="宋体"/>
                <w:lang w:val="en-US" w:eastAsia="zh-CN"/>
              </w:rPr>
              <w:t>0%的增值税专用发票（含复印件二份），经招标人依照财务制度审核通过后30日支付；</w:t>
            </w:r>
          </w:p>
          <w:p>
            <w:pPr>
              <w:pStyle w:val="30"/>
              <w:rPr>
                <w:rFonts w:hint="eastAsia" w:ascii="宋体" w:hAnsi="宋体" w:eastAsia="宋体" w:cs="宋体"/>
                <w:b w:val="0"/>
              </w:rPr>
            </w:pPr>
            <w:r>
              <w:rPr>
                <w:rFonts w:hint="eastAsia" w:eastAsia="宋体"/>
                <w:lang w:val="en-US" w:eastAsia="zh-CN"/>
              </w:rPr>
              <w:t>2.</w:t>
            </w:r>
            <w:r>
              <w:rPr>
                <w:rFonts w:hint="default" w:eastAsia="宋体"/>
                <w:lang w:val="en-US" w:eastAsia="zh-CN"/>
              </w:rPr>
              <w:t>合同总价款的10%作为本合同约定设备的质量保证金，质量保证金在质量保证期内不计利息。质保期届满后支付。</w:t>
            </w:r>
          </w:p>
        </w:tc>
        <w:tc>
          <w:tcPr>
            <w:tcW w:w="951" w:type="pct"/>
            <w:tcBorders>
              <w:top w:val="single" w:color="auto" w:sz="4" w:space="0"/>
              <w:left w:val="single" w:color="auto" w:sz="4" w:space="0"/>
              <w:bottom w:val="single" w:color="auto" w:sz="4" w:space="0"/>
              <w:right w:val="single" w:color="auto" w:sz="4" w:space="0"/>
            </w:tcBorders>
            <w:vAlign w:val="center"/>
          </w:tcPr>
          <w:p>
            <w:pPr>
              <w:pStyle w:val="129"/>
              <w:jc w:val="center"/>
              <w:rPr>
                <w:rFonts w:hint="default" w:ascii="宋体" w:hAnsi="宋体" w:eastAsia="宋体" w:cs="宋体"/>
                <w:b w:val="0"/>
                <w:lang w:val="en-US" w:eastAsia="zh-CN"/>
              </w:rPr>
            </w:pPr>
            <w:r>
              <w:rPr>
                <w:rFonts w:hint="eastAsia" w:ascii="宋体" w:hAnsi="宋体" w:eastAsia="宋体" w:cs="宋体"/>
                <w:b w:val="0"/>
                <w:lang w:val="en-US" w:eastAsia="zh-CN"/>
              </w:rPr>
              <w:t>验收款90%、质保金10%</w:t>
            </w:r>
          </w:p>
        </w:tc>
      </w:tr>
    </w:tbl>
    <w:p>
      <w:pPr>
        <w:pStyle w:val="127"/>
        <w:rPr>
          <w:rFonts w:hint="eastAsia" w:ascii="宋体" w:hAnsi="宋体" w:eastAsia="宋体" w:cs="宋体"/>
        </w:rPr>
      </w:pPr>
      <w:r>
        <w:rPr>
          <w:rFonts w:hint="eastAsia" w:ascii="宋体" w:hAnsi="宋体" w:eastAsia="宋体" w:cs="宋体"/>
        </w:rPr>
        <w:t>四、投标说明</w:t>
      </w:r>
    </w:p>
    <w:p>
      <w:pPr>
        <w:pStyle w:val="135"/>
        <w:ind w:firstLine="480"/>
        <w:rPr>
          <w:rFonts w:hint="eastAsia" w:ascii="宋体" w:hAnsi="宋体" w:eastAsia="宋体" w:cs="宋体"/>
        </w:rPr>
      </w:pPr>
      <w:r>
        <w:rPr>
          <w:rFonts w:hint="eastAsia" w:ascii="宋体" w:hAnsi="宋体" w:eastAsia="宋体" w:cs="宋体"/>
        </w:rPr>
        <w:t>1、报名方式</w:t>
      </w:r>
    </w:p>
    <w:p>
      <w:pPr>
        <w:pStyle w:val="125"/>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125"/>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125"/>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125"/>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125"/>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125"/>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pPr>
        <w:pStyle w:val="125"/>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131"/>
        <w:ind w:firstLine="480"/>
        <w:rPr>
          <w:rFonts w:hint="eastAsia" w:ascii="宋体" w:hAnsi="宋体" w:eastAsia="宋体" w:cs="宋体"/>
        </w:rPr>
      </w:pPr>
      <w:r>
        <w:rPr>
          <w:rFonts w:hint="eastAsia" w:ascii="宋体" w:hAnsi="宋体" w:eastAsia="宋体" w:cs="宋体"/>
        </w:rPr>
        <w:t>2、投标条件</w:t>
      </w:r>
    </w:p>
    <w:p>
      <w:pPr>
        <w:pStyle w:val="44"/>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color w:val="000000"/>
          <w:sz w:val="24"/>
          <w:szCs w:val="24"/>
          <w:highlight w:val="yellow"/>
          <w:lang w:val="en-US" w:eastAsia="zh-CN"/>
        </w:rPr>
        <w:t>5</w:t>
      </w:r>
      <w:r>
        <w:rPr>
          <w:rFonts w:hint="eastAsia" w:ascii="宋体" w:hAnsi="宋体" w:eastAsia="宋体" w:cs="宋体"/>
          <w:color w:val="000000"/>
          <w:sz w:val="24"/>
          <w:szCs w:val="24"/>
          <w:highlight w:val="yellow"/>
        </w:rPr>
        <w:t>00万</w:t>
      </w:r>
      <w:r>
        <w:rPr>
          <w:rFonts w:hint="eastAsia" w:ascii="宋体" w:hAnsi="宋体" w:eastAsia="宋体" w:cs="宋体"/>
          <w:color w:val="000000"/>
          <w:sz w:val="24"/>
          <w:szCs w:val="24"/>
        </w:rPr>
        <w:t>人民币（或等值其他货币）；公司成立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pPr>
        <w:pStyle w:val="44"/>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44"/>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44"/>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44"/>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44"/>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44"/>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44"/>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pPr>
        <w:pStyle w:val="44"/>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44"/>
        <w:numPr>
          <w:ilvl w:val="0"/>
          <w:numId w:val="10"/>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44"/>
        <w:numPr>
          <w:ilvl w:val="0"/>
          <w:numId w:val="10"/>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pPr>
        <w:pStyle w:val="125"/>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131"/>
        <w:ind w:firstLine="480"/>
        <w:rPr>
          <w:rFonts w:hint="eastAsia" w:ascii="宋体" w:hAnsi="宋体" w:eastAsia="宋体" w:cs="宋体"/>
        </w:rPr>
      </w:pPr>
      <w:r>
        <w:rPr>
          <w:rFonts w:hint="eastAsia" w:ascii="宋体" w:hAnsi="宋体" w:eastAsia="宋体" w:cs="宋体"/>
        </w:rPr>
        <w:t>3、报价</w:t>
      </w:r>
    </w:p>
    <w:p>
      <w:pPr>
        <w:pStyle w:val="44"/>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125"/>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125"/>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135"/>
        <w:ind w:firstLine="480"/>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5000</w:t>
      </w:r>
      <w:r>
        <w:rPr>
          <w:rFonts w:hint="eastAsia" w:ascii="宋体" w:hAnsi="宋体" w:eastAsia="宋体" w:cs="宋体"/>
          <w:color w:val="000000"/>
          <w:kern w:val="2"/>
          <w:sz w:val="24"/>
          <w:szCs w:val="24"/>
          <w:highlight w:val="none"/>
          <w:lang w:val="en-US" w:eastAsia="zh-CN" w:bidi="ar-SA"/>
        </w:rPr>
        <w:t>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1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1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1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11"/>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131"/>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125"/>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131"/>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125"/>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125"/>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131"/>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125"/>
        <w:pageBreakBefore w:val="0"/>
        <w:kinsoku/>
        <w:overflowPunct/>
        <w:topLinePunct w:val="0"/>
        <w:autoSpaceDE/>
        <w:autoSpaceDN/>
        <w:bidi w:val="0"/>
        <w:ind w:firstLine="197"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125"/>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pPr>
        <w:pStyle w:val="125"/>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125"/>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pPr>
        <w:pStyle w:val="125"/>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pPr>
        <w:pStyle w:val="125"/>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125"/>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pPr>
        <w:pStyle w:val="125"/>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pPr>
        <w:pStyle w:val="131"/>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125"/>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127"/>
        <w:rPr>
          <w:rFonts w:hint="eastAsia" w:ascii="宋体" w:hAnsi="宋体" w:eastAsia="宋体" w:cs="宋体"/>
        </w:rPr>
      </w:pPr>
      <w:r>
        <w:rPr>
          <w:rFonts w:hint="eastAsia" w:ascii="宋体" w:hAnsi="宋体" w:eastAsia="宋体" w:cs="宋体"/>
        </w:rPr>
        <w:t>五、议程安排</w:t>
      </w:r>
    </w:p>
    <w:p>
      <w:pPr>
        <w:pStyle w:val="131"/>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pPr>
        <w:pStyle w:val="131"/>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 xml:space="preserve"> </w:t>
      </w:r>
      <w:r>
        <w:rPr>
          <w:rFonts w:hint="default" w:ascii="宋体" w:hAnsi="宋体" w:cs="宋体"/>
          <w:b w:val="0"/>
          <w:color w:val="auto"/>
          <w:highlight w:val="none"/>
          <w:lang w:eastAsia="zh-CN"/>
          <w:woUserID w:val="1"/>
        </w:rPr>
        <w:t>7</w:t>
      </w:r>
      <w:r>
        <w:rPr>
          <w:rFonts w:hint="eastAsia" w:ascii="宋体" w:hAnsi="宋体" w:eastAsia="宋体" w:cs="宋体"/>
          <w:b w:val="0"/>
          <w:color w:val="auto"/>
          <w:highlight w:val="none"/>
          <w:lang w:val="en-US" w:eastAsia="zh-CN"/>
        </w:rPr>
        <w:t xml:space="preserve"> </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 xml:space="preserve"> </w:t>
      </w:r>
      <w:r>
        <w:rPr>
          <w:rFonts w:hint="default" w:ascii="宋体" w:hAnsi="宋体" w:cs="宋体"/>
          <w:b w:val="0"/>
          <w:color w:val="auto"/>
          <w:highlight w:val="none"/>
          <w:lang w:eastAsia="zh-CN"/>
          <w:woUserID w:val="1"/>
        </w:rPr>
        <w:t>14</w:t>
      </w:r>
      <w:r>
        <w:rPr>
          <w:rFonts w:hint="eastAsia" w:ascii="宋体" w:hAnsi="宋体" w:eastAsia="宋体" w:cs="宋体"/>
          <w:b w:val="0"/>
          <w:color w:val="auto"/>
          <w:highlight w:val="none"/>
          <w:lang w:val="en-US" w:eastAsia="zh-CN"/>
        </w:rPr>
        <w:t xml:space="preserve"> </w:t>
      </w:r>
      <w:r>
        <w:rPr>
          <w:rFonts w:hint="eastAsia" w:ascii="宋体" w:hAnsi="宋体" w:eastAsia="宋体" w:cs="宋体"/>
          <w:b w:val="0"/>
          <w:color w:val="auto"/>
          <w:highlight w:val="none"/>
        </w:rPr>
        <w:t>日（周</w:t>
      </w:r>
      <w:r>
        <w:rPr>
          <w:rFonts w:hint="default" w:ascii="宋体" w:hAnsi="宋体" w:cs="宋体"/>
          <w:b w:val="0"/>
          <w:color w:val="auto"/>
          <w:highlight w:val="none"/>
          <w:woUserID w:val="1"/>
        </w:rPr>
        <w:t>二</w:t>
      </w:r>
      <w:r>
        <w:rPr>
          <w:rFonts w:hint="eastAsia" w:ascii="宋体" w:hAnsi="宋体" w:eastAsia="宋体" w:cs="宋体"/>
          <w:b w:val="0"/>
          <w:color w:val="auto"/>
          <w:highlight w:val="none"/>
        </w:rPr>
        <w:t>）</w:t>
      </w:r>
    </w:p>
    <w:p>
      <w:pPr>
        <w:pStyle w:val="125"/>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default" w:cs="宋体"/>
          <w:b/>
          <w:bCs/>
          <w:color w:val="000000"/>
          <w:kern w:val="2"/>
          <w:sz w:val="24"/>
          <w:szCs w:val="24"/>
          <w:lang w:eastAsia="zh-CN" w:bidi="ar-SA"/>
          <w:woUserID w:val="1"/>
        </w:rPr>
        <w:t>2026</w:t>
      </w:r>
      <w:r>
        <w:rPr>
          <w:rFonts w:hint="eastAsia" w:eastAsia="宋体" w:cs="宋体"/>
          <w:b/>
          <w:bCs/>
          <w:color w:val="000000"/>
          <w:kern w:val="2"/>
          <w:sz w:val="24"/>
          <w:szCs w:val="24"/>
          <w:lang w:val="en-US" w:eastAsia="zh-CN" w:bidi="ar-SA"/>
        </w:rPr>
        <w:t>年</w:t>
      </w:r>
      <w:r>
        <w:rPr>
          <w:rFonts w:hint="default" w:cs="宋体"/>
          <w:b/>
          <w:bCs/>
          <w:color w:val="000000"/>
          <w:kern w:val="2"/>
          <w:sz w:val="24"/>
          <w:szCs w:val="24"/>
          <w:lang w:eastAsia="zh-CN" w:bidi="ar-SA"/>
          <w:woUserID w:val="1"/>
        </w:rPr>
        <w:t>7</w:t>
      </w:r>
      <w:r>
        <w:rPr>
          <w:rFonts w:hint="eastAsia" w:eastAsia="宋体" w:cs="宋体"/>
          <w:b/>
          <w:bCs/>
          <w:color w:val="000000"/>
          <w:kern w:val="2"/>
          <w:sz w:val="24"/>
          <w:szCs w:val="24"/>
          <w:lang w:val="en-US" w:eastAsia="zh-CN" w:bidi="ar-SA"/>
        </w:rPr>
        <w:t>月</w:t>
      </w:r>
      <w:r>
        <w:rPr>
          <w:rFonts w:hint="default" w:cs="宋体"/>
          <w:b/>
          <w:bCs/>
          <w:color w:val="000000"/>
          <w:kern w:val="2"/>
          <w:sz w:val="24"/>
          <w:szCs w:val="24"/>
          <w:lang w:eastAsia="zh-CN" w:bidi="ar-SA"/>
          <w:woUserID w:val="1"/>
        </w:rPr>
        <w:t>18</w:t>
      </w:r>
      <w:r>
        <w:rPr>
          <w:rFonts w:hint="eastAsia" w:eastAsia="宋体" w:cs="宋体"/>
          <w:b/>
          <w:bCs/>
          <w:color w:val="000000"/>
          <w:kern w:val="2"/>
          <w:sz w:val="24"/>
          <w:szCs w:val="24"/>
          <w:lang w:val="en-US" w:eastAsia="zh-CN" w:bidi="ar-SA"/>
        </w:rPr>
        <w:t>日（周</w:t>
      </w:r>
      <w:r>
        <w:rPr>
          <w:rFonts w:hint="default" w:cs="宋体"/>
          <w:b/>
          <w:bCs/>
          <w:color w:val="000000"/>
          <w:kern w:val="2"/>
          <w:sz w:val="24"/>
          <w:szCs w:val="24"/>
          <w:lang w:eastAsia="zh-CN" w:bidi="ar-SA"/>
          <w:woUserID w:val="1"/>
        </w:rPr>
        <w:t>一</w:t>
      </w:r>
      <w:r>
        <w:rPr>
          <w:rFonts w:hint="eastAsia" w:eastAsia="宋体" w:cs="宋体"/>
          <w:b/>
          <w:bCs/>
          <w:color w:val="000000"/>
          <w:kern w:val="2"/>
          <w:sz w:val="24"/>
          <w:szCs w:val="24"/>
          <w:lang w:val="en-US" w:eastAsia="zh-CN" w:bidi="ar-SA"/>
        </w:rPr>
        <w:t>）17:00:00（时间精确到秒）</w:t>
      </w:r>
    </w:p>
    <w:p>
      <w:pPr>
        <w:pStyle w:val="125"/>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default" w:cs="宋体"/>
          <w:b/>
          <w:bCs/>
          <w:color w:val="000000"/>
          <w:kern w:val="2"/>
          <w:sz w:val="24"/>
          <w:szCs w:val="24"/>
          <w:lang w:eastAsia="zh-CN" w:bidi="ar-SA"/>
          <w:woUserID w:val="1"/>
        </w:rPr>
        <w:t>2026</w:t>
      </w:r>
      <w:r>
        <w:rPr>
          <w:rFonts w:hint="eastAsia" w:eastAsia="宋体" w:cs="宋体"/>
          <w:b/>
          <w:bCs/>
          <w:color w:val="000000"/>
          <w:kern w:val="2"/>
          <w:sz w:val="24"/>
          <w:szCs w:val="24"/>
          <w:lang w:val="en-US" w:eastAsia="zh-CN" w:bidi="ar-SA"/>
        </w:rPr>
        <w:t xml:space="preserve">年 </w:t>
      </w:r>
      <w:r>
        <w:rPr>
          <w:rFonts w:hint="default" w:cs="宋体"/>
          <w:b/>
          <w:bCs/>
          <w:color w:val="000000"/>
          <w:kern w:val="2"/>
          <w:sz w:val="24"/>
          <w:szCs w:val="24"/>
          <w:lang w:eastAsia="zh-CN" w:bidi="ar-SA"/>
          <w:woUserID w:val="1"/>
        </w:rPr>
        <w:t>7</w:t>
      </w:r>
      <w:r>
        <w:rPr>
          <w:rFonts w:hint="eastAsia" w:eastAsia="宋体" w:cs="宋体"/>
          <w:b/>
          <w:bCs/>
          <w:color w:val="000000"/>
          <w:kern w:val="2"/>
          <w:sz w:val="24"/>
          <w:szCs w:val="24"/>
          <w:lang w:val="en-US" w:eastAsia="zh-CN" w:bidi="ar-SA"/>
        </w:rPr>
        <w:t>月</w:t>
      </w:r>
      <w:r>
        <w:rPr>
          <w:rFonts w:hint="default" w:cs="宋体"/>
          <w:b/>
          <w:bCs/>
          <w:color w:val="000000"/>
          <w:kern w:val="2"/>
          <w:sz w:val="24"/>
          <w:szCs w:val="24"/>
          <w:lang w:eastAsia="zh-CN" w:bidi="ar-SA"/>
          <w:woUserID w:val="1"/>
        </w:rPr>
        <w:t>24</w:t>
      </w:r>
      <w:r>
        <w:rPr>
          <w:rFonts w:hint="eastAsia" w:eastAsia="宋体" w:cs="宋体"/>
          <w:b/>
          <w:bCs/>
          <w:color w:val="000000"/>
          <w:kern w:val="2"/>
          <w:sz w:val="24"/>
          <w:szCs w:val="24"/>
          <w:lang w:val="en-US" w:eastAsia="zh-CN" w:bidi="ar-SA"/>
        </w:rPr>
        <w:t>日（周</w:t>
      </w:r>
      <w:r>
        <w:rPr>
          <w:rFonts w:hint="default" w:cs="宋体"/>
          <w:b/>
          <w:bCs/>
          <w:color w:val="000000"/>
          <w:kern w:val="2"/>
          <w:sz w:val="24"/>
          <w:szCs w:val="24"/>
          <w:lang w:eastAsia="zh-CN" w:bidi="ar-SA"/>
          <w:woUserID w:val="1"/>
        </w:rPr>
        <w:t>五</w:t>
      </w:r>
      <w:r>
        <w:rPr>
          <w:rFonts w:hint="eastAsia" w:eastAsia="宋体" w:cs="宋体"/>
          <w:b/>
          <w:bCs/>
          <w:color w:val="000000"/>
          <w:kern w:val="2"/>
          <w:sz w:val="24"/>
          <w:szCs w:val="24"/>
          <w:lang w:val="en-US" w:eastAsia="zh-CN" w:bidi="ar-SA"/>
        </w:rPr>
        <w:t>）</w:t>
      </w:r>
      <w:r>
        <w:rPr>
          <w:rFonts w:hint="default" w:cs="宋体"/>
          <w:b/>
          <w:bCs/>
          <w:color w:val="000000"/>
          <w:kern w:val="2"/>
          <w:sz w:val="24"/>
          <w:szCs w:val="24"/>
          <w:lang w:eastAsia="zh-CN" w:bidi="ar-SA"/>
          <w:woUserID w:val="1"/>
        </w:rPr>
        <w:t>1</w:t>
      </w:r>
      <w:r>
        <w:rPr>
          <w:rFonts w:hint="default" w:cs="宋体"/>
          <w:b/>
          <w:bCs/>
          <w:color w:val="000000"/>
          <w:kern w:val="2"/>
          <w:sz w:val="24"/>
          <w:szCs w:val="24"/>
          <w:lang w:eastAsia="zh-CN" w:bidi="ar-SA"/>
          <w:woUserID w:val="1"/>
        </w:rPr>
        <w:t>4</w:t>
      </w:r>
      <w:r>
        <w:rPr>
          <w:rFonts w:hint="eastAsia" w:eastAsia="宋体" w:cs="宋体"/>
          <w:b/>
          <w:bCs/>
          <w:color w:val="000000"/>
          <w:kern w:val="2"/>
          <w:sz w:val="24"/>
          <w:szCs w:val="24"/>
          <w:lang w:val="en-US" w:eastAsia="zh-CN" w:bidi="ar-SA"/>
        </w:rPr>
        <w:t>:</w:t>
      </w:r>
      <w:r>
        <w:rPr>
          <w:rFonts w:hint="default" w:cs="宋体"/>
          <w:b/>
          <w:bCs/>
          <w:color w:val="000000"/>
          <w:kern w:val="2"/>
          <w:sz w:val="24"/>
          <w:szCs w:val="24"/>
          <w:lang w:eastAsia="zh-CN" w:bidi="ar-SA"/>
          <w:woUserID w:val="1"/>
        </w:rPr>
        <w:t>0</w:t>
      </w:r>
      <w:r>
        <w:rPr>
          <w:rFonts w:hint="eastAsia" w:eastAsia="宋体" w:cs="宋体"/>
          <w:b/>
          <w:bCs/>
          <w:color w:val="000000"/>
          <w:kern w:val="2"/>
          <w:sz w:val="24"/>
          <w:szCs w:val="24"/>
          <w:lang w:val="en-US" w:eastAsia="zh-CN" w:bidi="ar-SA"/>
        </w:rPr>
        <w:t>0:00（时间精确到秒）</w:t>
      </w:r>
    </w:p>
    <w:p>
      <w:pPr>
        <w:pStyle w:val="131"/>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2、发布招标方式：</w:t>
      </w:r>
    </w:p>
    <w:p>
      <w:pPr>
        <w:pStyle w:val="131"/>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hAnsi="宋体" w:eastAsia="宋体" w:cs="宋体"/>
          <w:b w:val="0"/>
        </w:rPr>
      </w:pPr>
      <w:r>
        <w:rPr>
          <w:rFonts w:hint="eastAsia" w:ascii="宋体" w:hAnsi="宋体" w:eastAsia="宋体" w:cs="宋体"/>
        </w:rPr>
        <w:t>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pPr>
        <w:pStyle w:val="125"/>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125"/>
        <w:ind w:firstLine="480"/>
        <w:outlineLvl w:val="2"/>
        <w:rPr>
          <w:rFonts w:hint="eastAsia" w:ascii="宋体" w:hAnsi="宋体" w:eastAsia="宋体" w:cs="宋体"/>
          <w:b/>
          <w:bCs/>
        </w:rPr>
      </w:pPr>
      <w:r>
        <w:rPr>
          <w:rFonts w:hint="eastAsia" w:ascii="宋体" w:hAnsi="宋体" w:eastAsia="宋体" w:cs="宋体"/>
          <w:b/>
          <w:bCs/>
        </w:rPr>
        <w:t>3、踏勘现场时间：</w:t>
      </w:r>
    </w:p>
    <w:p>
      <w:pPr>
        <w:pStyle w:val="125"/>
        <w:ind w:firstLine="480"/>
        <w:outlineLvl w:val="9"/>
        <w:rPr>
          <w:rFonts w:hint="eastAsia" w:ascii="宋体" w:hAnsi="宋体" w:eastAsia="宋体" w:cs="宋体"/>
          <w:b/>
        </w:rPr>
      </w:pPr>
      <w:r>
        <w:rPr>
          <w:rFonts w:hint="eastAsia" w:ascii="宋体" w:hAnsi="宋体" w:eastAsia="宋体" w:cs="宋体"/>
          <w:bCs/>
        </w:rPr>
        <w:t>截止202</w:t>
      </w:r>
      <w:r>
        <w:rPr>
          <w:rFonts w:hint="default" w:cs="宋体"/>
          <w:bCs/>
          <w:woUserID w:val="1"/>
        </w:rPr>
        <w:t>6</w:t>
      </w:r>
      <w:r>
        <w:rPr>
          <w:rFonts w:hint="eastAsia" w:ascii="宋体" w:hAnsi="宋体" w:eastAsia="宋体" w:cs="宋体"/>
          <w:bCs/>
        </w:rPr>
        <w:t>年</w:t>
      </w:r>
      <w:r>
        <w:rPr>
          <w:rFonts w:hint="default" w:cs="宋体"/>
          <w:bCs/>
          <w:woUserID w:val="1"/>
        </w:rPr>
        <w:t>7</w:t>
      </w:r>
      <w:r>
        <w:rPr>
          <w:rFonts w:hint="eastAsia" w:ascii="宋体" w:hAnsi="宋体" w:eastAsia="宋体" w:cs="宋体"/>
          <w:bCs/>
        </w:rPr>
        <w:t>月</w:t>
      </w:r>
      <w:r>
        <w:rPr>
          <w:rFonts w:hint="default" w:cs="宋体"/>
          <w:bCs/>
          <w:woUserID w:val="1"/>
        </w:rPr>
        <w:t>23</w:t>
      </w:r>
      <w:r>
        <w:rPr>
          <w:rFonts w:hint="eastAsia" w:ascii="宋体" w:hAnsi="宋体" w:eastAsia="宋体" w:cs="宋体"/>
          <w:bCs/>
        </w:rPr>
        <w:t>日</w:t>
      </w:r>
      <w:r>
        <w:rPr>
          <w:rFonts w:hint="eastAsia" w:ascii="宋体" w:hAnsi="宋体" w:eastAsia="宋体" w:cs="宋体"/>
        </w:rPr>
        <w:t>（周</w:t>
      </w:r>
      <w:r>
        <w:rPr>
          <w:rFonts w:hint="default" w:cs="宋体"/>
          <w:woUserID w:val="1"/>
        </w:rPr>
        <w:t>四</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131"/>
        <w:ind w:firstLine="480"/>
        <w:rPr>
          <w:rFonts w:hint="eastAsia" w:ascii="宋体" w:hAnsi="宋体" w:eastAsia="宋体" w:cs="宋体"/>
        </w:rPr>
      </w:pPr>
      <w:r>
        <w:rPr>
          <w:rFonts w:hint="eastAsia" w:ascii="宋体" w:hAnsi="宋体" w:eastAsia="宋体" w:cs="宋体"/>
        </w:rPr>
        <w:t>4、技术答疑</w:t>
      </w:r>
    </w:p>
    <w:p>
      <w:pPr>
        <w:pStyle w:val="125"/>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Cs/>
          <w:woUserID w:val="1"/>
        </w:rPr>
        <w:t>202</w:t>
      </w:r>
      <w:r>
        <w:rPr>
          <w:rFonts w:hint="default" w:cs="宋体"/>
          <w:bCs/>
          <w:woUserID w:val="1"/>
        </w:rPr>
        <w:t>6</w:t>
      </w:r>
      <w:r>
        <w:rPr>
          <w:rFonts w:hint="eastAsia" w:ascii="宋体" w:hAnsi="宋体" w:eastAsia="宋体" w:cs="宋体"/>
          <w:bCs/>
          <w:woUserID w:val="1"/>
        </w:rPr>
        <w:t>年</w:t>
      </w:r>
      <w:r>
        <w:rPr>
          <w:rFonts w:hint="default" w:cs="宋体"/>
          <w:bCs/>
          <w:woUserID w:val="1"/>
        </w:rPr>
        <w:t>7</w:t>
      </w:r>
      <w:r>
        <w:rPr>
          <w:rFonts w:hint="eastAsia" w:ascii="宋体" w:hAnsi="宋体" w:eastAsia="宋体" w:cs="宋体"/>
          <w:bCs/>
          <w:woUserID w:val="1"/>
        </w:rPr>
        <w:t>月</w:t>
      </w:r>
      <w:r>
        <w:rPr>
          <w:rFonts w:hint="default" w:cs="宋体"/>
          <w:bCs/>
          <w:woUserID w:val="1"/>
        </w:rPr>
        <w:t>23</w:t>
      </w:r>
      <w:r>
        <w:rPr>
          <w:rFonts w:hint="eastAsia" w:ascii="宋体" w:hAnsi="宋体" w:eastAsia="宋体" w:cs="宋体"/>
          <w:bCs/>
          <w:woUserID w:val="1"/>
        </w:rPr>
        <w:t>日</w:t>
      </w:r>
      <w:r>
        <w:rPr>
          <w:rFonts w:hint="eastAsia" w:ascii="宋体" w:hAnsi="宋体" w:eastAsia="宋体" w:cs="宋体"/>
          <w:woUserID w:val="1"/>
        </w:rPr>
        <w:t>（周</w:t>
      </w:r>
      <w:r>
        <w:rPr>
          <w:rFonts w:hint="default" w:cs="宋体"/>
          <w:woUserID w:val="1"/>
        </w:rPr>
        <w:t>四</w:t>
      </w:r>
      <w:r>
        <w:rPr>
          <w:rFonts w:hint="eastAsia" w:ascii="宋体" w:hAnsi="宋体" w:eastAsia="宋体" w:cs="宋体"/>
          <w:woUserID w:val="1"/>
        </w:rPr>
        <w:t>）</w:t>
      </w:r>
      <w:r>
        <w:rPr>
          <w:rFonts w:hint="eastAsia" w:ascii="宋体" w:hAnsi="宋体" w:eastAsia="宋体" w:cs="宋体"/>
        </w:rPr>
        <w:t>下午17点前，逾期不受理</w:t>
      </w:r>
    </w:p>
    <w:p>
      <w:pPr>
        <w:pStyle w:val="125"/>
        <w:ind w:firstLine="480"/>
        <w:rPr>
          <w:rFonts w:hint="eastAsia" w:ascii="宋体" w:hAnsi="宋体" w:eastAsia="宋体" w:cs="宋体"/>
        </w:rPr>
      </w:pPr>
      <w:r>
        <w:rPr>
          <w:rFonts w:hint="eastAsia" w:ascii="宋体" w:hAnsi="宋体" w:eastAsia="宋体" w:cs="宋体"/>
        </w:rPr>
        <w:t>答疑方式：书面及邮件</w:t>
      </w:r>
    </w:p>
    <w:p>
      <w:pPr>
        <w:pStyle w:val="125"/>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 xml:space="preserve"> </w:t>
      </w:r>
      <w:r>
        <w:rPr>
          <w:rFonts w:hint="eastAsia" w:cs="宋体"/>
          <w:lang w:val="en-US" w:eastAsia="zh-CN"/>
        </w:rPr>
        <w:t>刘东升</w:t>
      </w:r>
      <w:r>
        <w:rPr>
          <w:rFonts w:hint="eastAsia" w:eastAsia="宋体" w:cs="宋体"/>
          <w:lang w:val="en-US" w:eastAsia="zh-CN"/>
        </w:rPr>
        <w:t xml:space="preserve"> </w:t>
      </w:r>
    </w:p>
    <w:p>
      <w:pPr>
        <w:pStyle w:val="125"/>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 xml:space="preserve"> </w:t>
      </w:r>
      <w:r>
        <w:rPr>
          <w:rFonts w:hint="eastAsia" w:cs="宋体"/>
          <w:lang w:val="en-US" w:eastAsia="zh-CN"/>
        </w:rPr>
        <w:t>13505408802</w:t>
      </w:r>
    </w:p>
    <w:p>
      <w:pPr>
        <w:pStyle w:val="125"/>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 xml:space="preserve"> </w:t>
      </w:r>
      <w:r>
        <w:rPr>
          <w:rFonts w:hint="eastAsia" w:cs="宋体"/>
          <w:lang w:val="en-US" w:eastAsia="zh-CN"/>
        </w:rPr>
        <w:t>liudongsheng1@sinotruk.com</w:t>
      </w:r>
    </w:p>
    <w:p>
      <w:pPr>
        <w:pStyle w:val="131"/>
        <w:ind w:firstLine="480"/>
        <w:rPr>
          <w:rFonts w:hint="eastAsia" w:ascii="宋体" w:hAnsi="宋体" w:eastAsia="宋体" w:cs="宋体"/>
        </w:rPr>
      </w:pPr>
      <w:r>
        <w:rPr>
          <w:rFonts w:hint="eastAsia" w:ascii="宋体" w:hAnsi="宋体" w:eastAsia="宋体" w:cs="宋体"/>
        </w:rPr>
        <w:t>5、商务答疑</w:t>
      </w:r>
    </w:p>
    <w:p>
      <w:pPr>
        <w:pStyle w:val="125"/>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125"/>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125"/>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125"/>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131"/>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pPr>
        <w:pStyle w:val="127"/>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131"/>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pPr>
        <w:pStyle w:val="44"/>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rPr>
        <w:t>202</w:t>
      </w:r>
      <w:r>
        <w:rPr>
          <w:rFonts w:hint="eastAsia" w:hAnsi="宋体" w:cs="宋体"/>
          <w:color w:val="000000"/>
          <w:sz w:val="24"/>
          <w:szCs w:val="24"/>
          <w:highlight w:val="cyan"/>
          <w:lang w:val="en-US" w:eastAsia="zh-CN"/>
        </w:rPr>
        <w:t>6</w:t>
      </w:r>
      <w:r>
        <w:rPr>
          <w:rFonts w:hint="eastAsia" w:ascii="宋体" w:hAnsi="宋体" w:eastAsia="宋体" w:cs="宋体"/>
          <w:color w:val="000000"/>
          <w:sz w:val="24"/>
          <w:szCs w:val="24"/>
          <w:highlight w:val="cyan"/>
        </w:rPr>
        <w:t>年</w:t>
      </w:r>
      <w:r>
        <w:rPr>
          <w:rFonts w:hint="eastAsia" w:ascii="宋体" w:hAnsi="宋体" w:eastAsia="宋体" w:cs="宋体"/>
          <w:color w:val="000000"/>
          <w:sz w:val="24"/>
          <w:szCs w:val="24"/>
          <w:highlight w:val="cyan"/>
          <w:lang w:val="en-US" w:eastAsia="zh-CN"/>
        </w:rPr>
        <w:t xml:space="preserve"> </w:t>
      </w:r>
      <w:r>
        <w:rPr>
          <w:rFonts w:hint="default" w:hAnsi="宋体" w:cs="宋体"/>
          <w:color w:val="000000"/>
          <w:sz w:val="24"/>
          <w:szCs w:val="24"/>
          <w:highlight w:val="cyan"/>
          <w:lang w:eastAsia="zh-CN"/>
          <w:woUserID w:val="1"/>
        </w:rPr>
        <w:t>7</w:t>
      </w:r>
      <w:r>
        <w:rPr>
          <w:rFonts w:hint="eastAsia" w:ascii="宋体" w:hAnsi="宋体" w:eastAsia="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月</w:t>
      </w:r>
      <w:r>
        <w:rPr>
          <w:rFonts w:hint="eastAsia" w:ascii="宋体" w:hAnsi="宋体" w:eastAsia="宋体" w:cs="宋体"/>
          <w:color w:val="000000"/>
          <w:sz w:val="24"/>
          <w:szCs w:val="24"/>
          <w:highlight w:val="cyan"/>
          <w:lang w:val="en-US" w:eastAsia="zh-CN"/>
        </w:rPr>
        <w:t xml:space="preserve"> </w:t>
      </w:r>
      <w:r>
        <w:rPr>
          <w:rFonts w:hint="default" w:hAnsi="宋体" w:cs="宋体"/>
          <w:color w:val="000000"/>
          <w:sz w:val="24"/>
          <w:szCs w:val="24"/>
          <w:highlight w:val="cyan"/>
          <w:lang w:eastAsia="zh-CN"/>
          <w:woUserID w:val="1"/>
        </w:rPr>
        <w:t>24</w:t>
      </w:r>
      <w:r>
        <w:rPr>
          <w:rFonts w:hint="eastAsia" w:ascii="宋体" w:hAnsi="宋体" w:eastAsia="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日（周</w:t>
      </w:r>
      <w:r>
        <w:rPr>
          <w:rFonts w:hint="default" w:hAnsi="宋体" w:cs="宋体"/>
          <w:color w:val="000000"/>
          <w:sz w:val="24"/>
          <w:szCs w:val="24"/>
          <w:highlight w:val="cyan"/>
          <w:woUserID w:val="1"/>
        </w:rPr>
        <w:t>五</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highlight w:val="cyan"/>
          <w:lang w:val="en-US" w:eastAsia="zh-CN"/>
        </w:rPr>
        <w:t>下</w:t>
      </w:r>
      <w:r>
        <w:rPr>
          <w:rFonts w:hint="eastAsia" w:ascii="宋体" w:hAnsi="宋体" w:eastAsia="宋体" w:cs="宋体"/>
          <w:color w:val="000000"/>
          <w:sz w:val="24"/>
          <w:szCs w:val="24"/>
          <w:highlight w:val="cyan"/>
        </w:rPr>
        <w:t>午</w:t>
      </w:r>
      <w:r>
        <w:rPr>
          <w:rFonts w:hint="default" w:hAnsi="宋体" w:cs="宋体"/>
          <w:color w:val="000000"/>
          <w:sz w:val="24"/>
          <w:szCs w:val="24"/>
          <w:highlight w:val="cyan"/>
          <w:woUserID w:val="1"/>
        </w:rPr>
        <w:t>2</w:t>
      </w:r>
      <w:r>
        <w:rPr>
          <w:rFonts w:hint="eastAsia" w:ascii="宋体" w:hAnsi="宋体" w:eastAsia="宋体" w:cs="宋体"/>
          <w:color w:val="000000"/>
          <w:sz w:val="24"/>
          <w:szCs w:val="24"/>
          <w:highlight w:val="cyan"/>
        </w:rPr>
        <w:t>：</w:t>
      </w:r>
      <w:r>
        <w:rPr>
          <w:rFonts w:hint="default" w:hAnsi="宋体" w:cs="宋体"/>
          <w:color w:val="000000"/>
          <w:sz w:val="24"/>
          <w:szCs w:val="24"/>
          <w:highlight w:val="cyan"/>
          <w:woUserID w:val="1"/>
        </w:rPr>
        <w:t>00</w:t>
      </w:r>
      <w:bookmarkStart w:id="121" w:name="_GoBack"/>
      <w:bookmarkEnd w:id="121"/>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rPr>
        <w:t>若有变动另行通知。</w:t>
      </w:r>
    </w:p>
    <w:p>
      <w:pPr>
        <w:pStyle w:val="131"/>
        <w:ind w:firstLine="480"/>
        <w:rPr>
          <w:rFonts w:hint="eastAsia" w:ascii="宋体" w:hAnsi="宋体" w:eastAsia="宋体" w:cs="宋体"/>
        </w:rPr>
      </w:pPr>
      <w:r>
        <w:rPr>
          <w:rFonts w:hint="eastAsia" w:ascii="宋体" w:hAnsi="宋体" w:eastAsia="宋体" w:cs="宋体"/>
        </w:rPr>
        <w:t>8、开标方式</w:t>
      </w:r>
    </w:p>
    <w:p>
      <w:pPr>
        <w:pStyle w:val="44"/>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44"/>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131"/>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125"/>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125"/>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44"/>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127"/>
        <w:rPr>
          <w:rFonts w:hint="eastAsia" w:ascii="宋体" w:hAnsi="宋体" w:eastAsia="宋体" w:cs="宋体"/>
        </w:rPr>
      </w:pPr>
      <w:r>
        <w:rPr>
          <w:rFonts w:hint="eastAsia" w:ascii="宋体" w:hAnsi="宋体" w:eastAsia="宋体" w:cs="宋体"/>
        </w:rPr>
        <w:t>六、评标规则</w:t>
      </w:r>
    </w:p>
    <w:p>
      <w:pPr>
        <w:pStyle w:val="44"/>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125"/>
        <w:ind w:firstLine="482"/>
        <w:rPr>
          <w:rFonts w:hint="eastAsia" w:ascii="宋体" w:hAnsi="宋体" w:eastAsia="宋体" w:cs="宋体"/>
          <w:b/>
          <w:highlight w:val="yellow"/>
        </w:rPr>
      </w:pPr>
      <w:r>
        <w:rPr>
          <w:rFonts w:hint="eastAsia" w:ascii="宋体" w:hAnsi="宋体" w:eastAsia="宋体" w:cs="宋体"/>
          <w:b/>
          <w:highlight w:val="yellow"/>
        </w:rPr>
        <w:t>评标流程：</w:t>
      </w:r>
    </w:p>
    <w:p>
      <w:pPr>
        <w:pStyle w:val="44"/>
        <w:ind w:firstLine="480"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numPr>
          <w:ilvl w:val="0"/>
          <w:numId w:val="12"/>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1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pPr>
        <w:numPr>
          <w:ilvl w:val="0"/>
          <w:numId w:val="13"/>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14"/>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yellow"/>
          <w:lang w:val="en-US" w:eastAsia="zh-CN"/>
        </w:rPr>
        <w:t>随后</w:t>
      </w:r>
      <w:r>
        <w:rPr>
          <w:rFonts w:hint="eastAsia" w:ascii="宋体" w:hAnsi="宋体" w:eastAsia="宋体" w:cs="宋体"/>
          <w:b/>
          <w:sz w:val="24"/>
          <w:szCs w:val="24"/>
          <w:highlight w:val="yellow"/>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15"/>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pPr>
        <w:pStyle w:val="125"/>
        <w:ind w:firstLine="480"/>
        <w:rPr>
          <w:rFonts w:hint="eastAsia" w:ascii="宋体" w:hAnsi="宋体" w:eastAsia="宋体" w:cs="宋体"/>
        </w:rPr>
      </w:pPr>
      <w:r>
        <w:rPr>
          <w:rFonts w:hint="eastAsia" w:ascii="宋体" w:hAnsi="宋体" w:eastAsia="宋体" w:cs="宋体"/>
        </w:rPr>
        <w:t>2、中标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44"/>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pPr>
        <w:pStyle w:val="44"/>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127"/>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125"/>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44"/>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125"/>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44"/>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pPr>
        <w:pStyle w:val="125"/>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44"/>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127"/>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44"/>
        <w:spacing w:line="360" w:lineRule="auto"/>
        <w:ind w:firstLine="538"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125"/>
        <w:ind w:firstLine="0" w:firstLineChars="0"/>
        <w:rPr>
          <w:rFonts w:hint="eastAsia" w:ascii="宋体" w:hAnsi="宋体" w:eastAsia="宋体" w:cs="宋体"/>
        </w:rPr>
      </w:pPr>
    </w:p>
    <w:p>
      <w:pPr>
        <w:pStyle w:val="125"/>
        <w:ind w:firstLine="0" w:firstLineChars="0"/>
        <w:rPr>
          <w:rFonts w:hint="eastAsia" w:ascii="宋体" w:hAnsi="宋体" w:eastAsia="宋体" w:cs="宋体"/>
        </w:rPr>
      </w:pPr>
    </w:p>
    <w:p>
      <w:pPr>
        <w:pStyle w:val="125"/>
        <w:ind w:firstLine="0" w:firstLineChars="0"/>
        <w:rPr>
          <w:rFonts w:hint="eastAsia" w:ascii="宋体" w:hAnsi="宋体" w:eastAsia="宋体" w:cs="宋体"/>
        </w:rPr>
        <w:sectPr>
          <w:footerReference r:id="rId8" w:type="first"/>
          <w:footerReference r:id="rId7" w:type="default"/>
          <w:pgSz w:w="11906" w:h="16838"/>
          <w:pgMar w:top="1588" w:right="1418" w:bottom="1134" w:left="1418" w:header="851" w:footer="992" w:gutter="0"/>
          <w:pgNumType w:fmt="decimal" w:start="1"/>
          <w:cols w:space="720" w:num="1"/>
          <w:titlePg/>
          <w:docGrid w:type="lines" w:linePitch="312" w:charSpace="0"/>
        </w:sectPr>
      </w:pPr>
    </w:p>
    <w:p>
      <w:pPr>
        <w:pStyle w:val="131"/>
        <w:ind w:firstLine="480"/>
        <w:rPr>
          <w:rFonts w:hint="eastAsia" w:ascii="宋体" w:hAnsi="宋体" w:eastAsia="宋体" w:cs="宋体"/>
        </w:rPr>
      </w:pPr>
      <w:r>
        <w:rPr>
          <w:rFonts w:hint="eastAsia" w:ascii="宋体" w:hAnsi="宋体" w:eastAsia="宋体" w:cs="宋体"/>
        </w:rPr>
        <w:t>附件1</w:t>
      </w:r>
      <w:bookmarkStart w:id="6" w:name="_Toc353881012"/>
      <w:bookmarkStart w:id="7" w:name="_Toc212369550"/>
      <w:bookmarkStart w:id="8" w:name="_Toc25811"/>
      <w:bookmarkStart w:id="9" w:name="_Toc639004"/>
      <w:r>
        <w:rPr>
          <w:rFonts w:hint="eastAsia" w:ascii="宋体" w:hAnsi="宋体" w:eastAsia="宋体" w:cs="宋体"/>
        </w:rPr>
        <w:t xml:space="preserve"> 投标函</w:t>
      </w:r>
      <w:bookmarkEnd w:id="6"/>
      <w:bookmarkEnd w:id="7"/>
      <w:bookmarkEnd w:id="8"/>
      <w:bookmarkEnd w:id="9"/>
    </w:p>
    <w:p>
      <w:pPr>
        <w:pStyle w:val="125"/>
        <w:ind w:firstLine="480"/>
        <w:rPr>
          <w:rFonts w:hint="eastAsia" w:ascii="宋体" w:hAnsi="宋体" w:eastAsia="宋体" w:cs="宋体"/>
        </w:rPr>
      </w:pPr>
      <w:r>
        <w:rPr>
          <w:rFonts w:hint="eastAsia" w:ascii="宋体" w:hAnsi="宋体" w:eastAsia="宋体" w:cs="宋体"/>
        </w:rPr>
        <w:t>致：中国重汽集团济南动力有限公司：</w:t>
      </w:r>
    </w:p>
    <w:p>
      <w:pPr>
        <w:pStyle w:val="125"/>
        <w:ind w:firstLine="480"/>
        <w:rPr>
          <w:rFonts w:hint="eastAsia" w:ascii="宋体" w:hAnsi="宋体" w:eastAsia="宋体" w:cs="宋体"/>
        </w:rPr>
      </w:pPr>
      <w:r>
        <w:rPr>
          <w:rFonts w:hint="eastAsia" w:ascii="宋体" w:hAnsi="宋体" w:eastAsia="宋体" w:cs="宋体"/>
        </w:rPr>
        <w:t>根据贵方</w:t>
      </w:r>
      <w:r>
        <w:rPr>
          <w:rFonts w:hint="eastAsia" w:ascii="宋体" w:hAnsi="宋体" w:eastAsia="宋体" w:cs="宋体"/>
          <w:b/>
          <w:bCs/>
          <w:snapToGrid w:val="0"/>
          <w:kern w:val="0"/>
          <w:u w:val="single"/>
        </w:rPr>
        <w:t xml:space="preserve"> </w:t>
      </w:r>
      <w:r>
        <w:rPr>
          <w:rFonts w:hint="eastAsia" w:ascii="宋体" w:hAnsi="宋体" w:eastAsia="宋体" w:cs="宋体"/>
          <w:b/>
          <w:bCs/>
          <w:snapToGrid w:val="0"/>
          <w:kern w:val="0"/>
          <w:u w:val="single"/>
          <w:lang w:eastAsia="zh-CN"/>
        </w:rPr>
        <w:t>驱动电机轴电测试仪器配件项目</w:t>
      </w:r>
      <w:r>
        <w:rPr>
          <w:rFonts w:hint="eastAsia" w:ascii="宋体" w:hAnsi="宋体" w:eastAsia="宋体" w:cs="宋体"/>
          <w:b/>
          <w:bCs/>
          <w:snapToGrid w:val="0"/>
          <w:kern w:val="0"/>
          <w:u w:val="single"/>
        </w:rPr>
        <w:t xml:space="preserve">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125"/>
        <w:ind w:firstLine="480"/>
        <w:rPr>
          <w:rFonts w:hint="eastAsia" w:ascii="宋体" w:hAnsi="宋体" w:eastAsia="宋体" w:cs="宋体"/>
        </w:rPr>
      </w:pPr>
      <w:r>
        <w:rPr>
          <w:rFonts w:hint="eastAsia" w:ascii="宋体" w:hAnsi="宋体" w:eastAsia="宋体" w:cs="宋体"/>
        </w:rPr>
        <w:t>据此函，签字代表宣布同意如下：</w:t>
      </w:r>
    </w:p>
    <w:p>
      <w:pPr>
        <w:pStyle w:val="125"/>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125"/>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125"/>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125"/>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125"/>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125"/>
        <w:ind w:firstLine="480"/>
        <w:rPr>
          <w:rFonts w:hint="eastAsia" w:ascii="宋体" w:hAnsi="宋体" w:eastAsia="宋体" w:cs="宋体"/>
        </w:rPr>
      </w:pPr>
      <w:r>
        <w:rPr>
          <w:rFonts w:hint="eastAsia" w:ascii="宋体" w:hAnsi="宋体" w:eastAsia="宋体" w:cs="宋体"/>
        </w:rPr>
        <w:t>6、与本投标有关的一切正式往来信函请寄：</w:t>
      </w:r>
    </w:p>
    <w:p>
      <w:pPr>
        <w:pStyle w:val="125"/>
        <w:ind w:firstLine="480"/>
        <w:rPr>
          <w:rFonts w:hint="eastAsia" w:ascii="宋体" w:hAnsi="宋体" w:eastAsia="宋体" w:cs="宋体"/>
        </w:rPr>
      </w:pPr>
      <w:r>
        <w:rPr>
          <w:rFonts w:hint="eastAsia" w:ascii="宋体" w:hAnsi="宋体" w:eastAsia="宋体" w:cs="宋体"/>
        </w:rPr>
        <w:t xml:space="preserve">地址：                             </w:t>
      </w:r>
    </w:p>
    <w:p>
      <w:pPr>
        <w:pStyle w:val="125"/>
        <w:ind w:firstLine="480"/>
        <w:rPr>
          <w:rFonts w:hint="eastAsia" w:ascii="宋体" w:hAnsi="宋体" w:eastAsia="宋体" w:cs="宋体"/>
        </w:rPr>
      </w:pPr>
      <w:r>
        <w:rPr>
          <w:rFonts w:hint="eastAsia" w:ascii="宋体" w:hAnsi="宋体" w:eastAsia="宋体" w:cs="宋体"/>
        </w:rPr>
        <w:t xml:space="preserve">邮编：        </w:t>
      </w:r>
    </w:p>
    <w:p>
      <w:pPr>
        <w:pStyle w:val="125"/>
        <w:ind w:firstLine="480"/>
        <w:rPr>
          <w:rFonts w:hint="eastAsia" w:ascii="宋体" w:hAnsi="宋体" w:eastAsia="宋体" w:cs="宋体"/>
        </w:rPr>
      </w:pPr>
      <w:r>
        <w:rPr>
          <w:rFonts w:hint="eastAsia" w:ascii="宋体" w:hAnsi="宋体" w:eastAsia="宋体" w:cs="宋体"/>
        </w:rPr>
        <w:t xml:space="preserve">电话：        传真：                   </w:t>
      </w:r>
    </w:p>
    <w:p>
      <w:pPr>
        <w:pStyle w:val="125"/>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125"/>
        <w:ind w:firstLine="480"/>
        <w:rPr>
          <w:rFonts w:hint="eastAsia" w:ascii="宋体" w:hAnsi="宋体" w:eastAsia="宋体" w:cs="宋体"/>
        </w:rPr>
      </w:pPr>
      <w:r>
        <w:rPr>
          <w:rFonts w:hint="eastAsia" w:ascii="宋体" w:hAnsi="宋体" w:eastAsia="宋体" w:cs="宋体"/>
        </w:rPr>
        <w:t xml:space="preserve">开户银行：                   </w:t>
      </w:r>
    </w:p>
    <w:p>
      <w:pPr>
        <w:pStyle w:val="125"/>
        <w:ind w:firstLine="480"/>
        <w:rPr>
          <w:rFonts w:hint="eastAsia" w:ascii="宋体" w:hAnsi="宋体" w:eastAsia="宋体" w:cs="宋体"/>
        </w:rPr>
      </w:pPr>
      <w:r>
        <w:rPr>
          <w:rFonts w:hint="eastAsia" w:ascii="宋体" w:hAnsi="宋体" w:eastAsia="宋体" w:cs="宋体"/>
        </w:rPr>
        <w:t>银行帐号：</w:t>
      </w:r>
    </w:p>
    <w:p>
      <w:pPr>
        <w:pStyle w:val="125"/>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125"/>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125"/>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127"/>
        <w:rPr>
          <w:rFonts w:hint="eastAsia" w:ascii="宋体" w:hAnsi="宋体" w:eastAsia="宋体" w:cs="宋体"/>
        </w:rPr>
        <w:sectPr>
          <w:pgSz w:w="11906" w:h="16838"/>
          <w:pgMar w:top="1588" w:right="1418" w:bottom="1134" w:left="1418" w:header="851" w:footer="992" w:gutter="0"/>
          <w:pgNumType w:fmt="decimal"/>
          <w:cols w:space="720" w:num="1"/>
          <w:titlePg/>
          <w:docGrid w:type="lines" w:linePitch="312" w:charSpace="0"/>
        </w:sectPr>
      </w:pPr>
    </w:p>
    <w:p>
      <w:pPr>
        <w:pStyle w:val="131"/>
        <w:ind w:firstLine="480"/>
        <w:rPr>
          <w:rFonts w:hint="eastAsia" w:ascii="宋体" w:hAnsi="宋体" w:eastAsia="宋体" w:cs="宋体"/>
        </w:rPr>
      </w:pPr>
      <w:r>
        <w:rPr>
          <w:rFonts w:hint="eastAsia" w:ascii="宋体" w:hAnsi="宋体" w:eastAsia="宋体" w:cs="宋体"/>
        </w:rPr>
        <w:t>附件2 法定代表人授权委托书</w:t>
      </w:r>
    </w:p>
    <w:p>
      <w:pPr>
        <w:pStyle w:val="35"/>
        <w:adjustRightInd w:val="0"/>
        <w:snapToGrid w:val="0"/>
        <w:spacing w:before="93" w:beforeLines="30" w:line="240" w:lineRule="exact"/>
        <w:jc w:val="center"/>
        <w:rPr>
          <w:rFonts w:hint="eastAsia" w:ascii="宋体" w:hAnsi="宋体" w:eastAsia="宋体" w:cs="宋体"/>
          <w:sz w:val="24"/>
        </w:rPr>
      </w:pPr>
    </w:p>
    <w:p>
      <w:pPr>
        <w:pStyle w:val="125"/>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125"/>
        <w:ind w:firstLine="480"/>
        <w:rPr>
          <w:rFonts w:hint="eastAsia" w:ascii="宋体" w:hAnsi="宋体" w:eastAsia="宋体" w:cs="宋体"/>
        </w:rPr>
      </w:pPr>
      <w:r>
        <w:rPr>
          <w:rFonts w:hint="eastAsia" w:ascii="宋体" w:hAnsi="宋体" w:eastAsia="宋体" w:cs="宋体"/>
        </w:rPr>
        <w:t>全权代表无转委权。特此委托。</w:t>
      </w:r>
    </w:p>
    <w:tbl>
      <w:tblPr>
        <w:tblStyle w:val="8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125"/>
        <w:ind w:firstLine="480"/>
        <w:rPr>
          <w:rFonts w:hint="eastAsia" w:ascii="宋体" w:hAnsi="宋体" w:eastAsia="宋体" w:cs="宋体"/>
        </w:rPr>
      </w:pPr>
      <w:r>
        <w:rPr>
          <w:rFonts w:hint="eastAsia" w:ascii="宋体" w:hAnsi="宋体" w:eastAsia="宋体" w:cs="宋体"/>
        </w:rPr>
        <w:t>全权代表姓名：            性别：          年龄：</w:t>
      </w:r>
    </w:p>
    <w:p>
      <w:pPr>
        <w:pStyle w:val="125"/>
        <w:ind w:firstLine="480"/>
        <w:rPr>
          <w:rFonts w:hint="eastAsia" w:ascii="宋体" w:hAnsi="宋体" w:eastAsia="宋体" w:cs="宋体"/>
        </w:rPr>
      </w:pPr>
      <w:r>
        <w:rPr>
          <w:rFonts w:hint="eastAsia" w:ascii="宋体" w:hAnsi="宋体" w:eastAsia="宋体" w:cs="宋体"/>
        </w:rPr>
        <w:t>单位：                    部门：          职务：</w:t>
      </w:r>
    </w:p>
    <w:p>
      <w:pPr>
        <w:pStyle w:val="125"/>
        <w:ind w:firstLine="480"/>
        <w:rPr>
          <w:rFonts w:hint="eastAsia" w:ascii="宋体" w:hAnsi="宋体" w:eastAsia="宋体" w:cs="宋体"/>
        </w:rPr>
      </w:pPr>
      <w:r>
        <w:rPr>
          <w:rFonts w:hint="eastAsia" w:ascii="宋体" w:hAnsi="宋体" w:eastAsia="宋体" w:cs="宋体"/>
        </w:rPr>
        <w:t xml:space="preserve">法定代表人签字或盖章                          </w:t>
      </w:r>
    </w:p>
    <w:p>
      <w:pPr>
        <w:pStyle w:val="125"/>
        <w:ind w:firstLine="480"/>
        <w:rPr>
          <w:rFonts w:hint="eastAsia" w:ascii="宋体" w:hAnsi="宋体" w:eastAsia="宋体" w:cs="宋体"/>
        </w:rPr>
      </w:pPr>
      <w:r>
        <w:rPr>
          <w:rFonts w:hint="eastAsia" w:ascii="宋体" w:hAnsi="宋体" w:eastAsia="宋体" w:cs="宋体"/>
        </w:rPr>
        <w:t xml:space="preserve">被授权人签字  </w:t>
      </w:r>
    </w:p>
    <w:p>
      <w:pPr>
        <w:pStyle w:val="125"/>
        <w:ind w:firstLine="480"/>
        <w:rPr>
          <w:rFonts w:hint="eastAsia" w:ascii="宋体" w:hAnsi="宋体" w:eastAsia="宋体" w:cs="宋体"/>
        </w:rPr>
      </w:pPr>
      <w:r>
        <w:rPr>
          <w:rFonts w:hint="eastAsia" w:ascii="宋体" w:hAnsi="宋体" w:eastAsia="宋体" w:cs="宋体"/>
        </w:rPr>
        <w:t xml:space="preserve">被授权人电话：                          </w:t>
      </w:r>
    </w:p>
    <w:p>
      <w:pPr>
        <w:pStyle w:val="125"/>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decimal"/>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sz w:val="24"/>
          <w:szCs w:val="24"/>
          <w:u w:val="single"/>
          <w:lang w:eastAsia="zh-CN"/>
        </w:rPr>
        <w:t>驱动电机轴电测试仪器配件项目</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10" w:type="first"/>
          <w:footerReference r:id="rId9"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color w:val="000000"/>
          <w:sz w:val="24"/>
          <w:szCs w:val="24"/>
        </w:rPr>
        <w:t>日  期：       年    月    日</w:t>
      </w:r>
    </w:p>
    <w:p>
      <w:pPr>
        <w:pStyle w:val="131"/>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125"/>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lang w:eastAsia="zh-CN"/>
        </w:rPr>
        <w:t>驱动电机轴电测试仪器配件项目</w:t>
      </w:r>
      <w:r>
        <w:rPr>
          <w:rFonts w:hint="eastAsia" w:ascii="宋体" w:hAnsi="宋体" w:eastAsia="宋体" w:cs="宋体"/>
        </w:rPr>
        <w:t xml:space="preserve">                                                           </w:t>
      </w:r>
    </w:p>
    <w:tbl>
      <w:tblPr>
        <w:tblStyle w:val="8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3533"/>
        <w:gridCol w:w="2473"/>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129"/>
              <w:rPr>
                <w:rFonts w:hint="eastAsia" w:ascii="宋体" w:hAnsi="宋体" w:eastAsia="宋体" w:cs="宋体"/>
              </w:rPr>
            </w:pPr>
            <w:r>
              <w:rPr>
                <w:rFonts w:hint="eastAsia" w:ascii="宋体" w:hAnsi="宋体" w:eastAsia="宋体" w:cs="宋体"/>
              </w:rPr>
              <w:t>序号</w:t>
            </w:r>
          </w:p>
        </w:tc>
        <w:tc>
          <w:tcPr>
            <w:tcW w:w="1903" w:type="pct"/>
            <w:vAlign w:val="center"/>
          </w:tcPr>
          <w:p>
            <w:pPr>
              <w:pStyle w:val="129"/>
              <w:rPr>
                <w:rFonts w:hint="eastAsia" w:ascii="宋体" w:hAnsi="宋体" w:eastAsia="宋体" w:cs="宋体"/>
              </w:rPr>
            </w:pPr>
            <w:r>
              <w:rPr>
                <w:rFonts w:hint="eastAsia" w:ascii="宋体" w:hAnsi="宋体" w:eastAsia="宋体" w:cs="宋体"/>
              </w:rPr>
              <w:t>招标要求</w:t>
            </w:r>
          </w:p>
        </w:tc>
        <w:tc>
          <w:tcPr>
            <w:tcW w:w="1332" w:type="pct"/>
            <w:vAlign w:val="center"/>
          </w:tcPr>
          <w:p>
            <w:pPr>
              <w:pStyle w:val="129"/>
              <w:rPr>
                <w:rFonts w:hint="eastAsia" w:ascii="宋体" w:hAnsi="宋体" w:eastAsia="宋体" w:cs="宋体"/>
              </w:rPr>
            </w:pPr>
            <w:r>
              <w:rPr>
                <w:rFonts w:hint="eastAsia" w:ascii="宋体" w:hAnsi="宋体" w:eastAsia="宋体" w:cs="宋体"/>
              </w:rPr>
              <w:t>响应规格</w:t>
            </w:r>
          </w:p>
        </w:tc>
        <w:tc>
          <w:tcPr>
            <w:tcW w:w="888" w:type="pct"/>
            <w:vAlign w:val="center"/>
          </w:tcPr>
          <w:p>
            <w:pPr>
              <w:pStyle w:val="129"/>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129"/>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1903" w:type="pct"/>
            <w:vAlign w:val="center"/>
          </w:tcPr>
          <w:p>
            <w:pPr>
              <w:pStyle w:val="129"/>
              <w:jc w:val="left"/>
              <w:rPr>
                <w:rFonts w:hint="eastAsia"/>
                <w:sz w:val="21"/>
                <w:szCs w:val="21"/>
                <w:vertAlign w:val="baseline"/>
                <w:lang w:val="en-US" w:eastAsia="zh-CN"/>
              </w:rPr>
            </w:pPr>
            <w:r>
              <w:rPr>
                <w:rFonts w:hint="eastAsia"/>
                <w:sz w:val="21"/>
                <w:szCs w:val="21"/>
                <w:vertAlign w:val="baseline"/>
                <w:lang w:val="en-US" w:eastAsia="zh-CN"/>
              </w:rPr>
              <w:t>高压差分探头：</w:t>
            </w:r>
          </w:p>
          <w:p>
            <w:pPr>
              <w:pStyle w:val="129"/>
              <w:jc w:val="left"/>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1.带宽：不小于70MHz；</w:t>
            </w:r>
          </w:p>
          <w:p>
            <w:pPr>
              <w:pStyle w:val="129"/>
              <w:jc w:val="left"/>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2.上升时间：≤5ns；</w:t>
            </w:r>
          </w:p>
          <w:p>
            <w:pPr>
              <w:pStyle w:val="129"/>
              <w:jc w:val="left"/>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3.衰减：100:1 / 1000:1；</w:t>
            </w:r>
          </w:p>
          <w:p>
            <w:pPr>
              <w:pStyle w:val="129"/>
              <w:jc w:val="left"/>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4.最大差分电压：±7000V；</w:t>
            </w:r>
          </w:p>
          <w:p>
            <w:pPr>
              <w:pStyle w:val="129"/>
              <w:jc w:val="left"/>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5.输入阻抗：1MΩ；</w:t>
            </w:r>
          </w:p>
          <w:p>
            <w:pPr>
              <w:pStyle w:val="129"/>
              <w:jc w:val="left"/>
              <w:rPr>
                <w:rFonts w:hint="eastAsia"/>
                <w:sz w:val="21"/>
                <w:szCs w:val="21"/>
                <w:vertAlign w:val="baseline"/>
                <w:lang w:val="en-US" w:eastAsia="zh-CN"/>
              </w:rPr>
            </w:pPr>
            <w:r>
              <w:rPr>
                <w:rFonts w:hint="eastAsia" w:ascii="宋体" w:hAnsi="宋体" w:eastAsia="宋体" w:cs="宋体"/>
                <w:b w:val="0"/>
                <w:bCs/>
                <w:sz w:val="21"/>
                <w:szCs w:val="21"/>
                <w:vertAlign w:val="baseline"/>
                <w:lang w:val="en-US" w:eastAsia="zh-CN"/>
              </w:rPr>
              <w:t>6.接口：BNC。</w:t>
            </w:r>
          </w:p>
        </w:tc>
        <w:tc>
          <w:tcPr>
            <w:tcW w:w="1332" w:type="pct"/>
            <w:vAlign w:val="center"/>
          </w:tcPr>
          <w:p>
            <w:pPr>
              <w:pStyle w:val="129"/>
              <w:jc w:val="left"/>
              <w:rPr>
                <w:rFonts w:hint="eastAsia" w:ascii="宋体" w:hAnsi="宋体" w:eastAsia="宋体" w:cs="宋体"/>
                <w:sz w:val="24"/>
              </w:rPr>
            </w:pPr>
          </w:p>
        </w:tc>
        <w:tc>
          <w:tcPr>
            <w:tcW w:w="888" w:type="pct"/>
            <w:vAlign w:val="center"/>
          </w:tcPr>
          <w:p>
            <w:pPr>
              <w:pStyle w:val="129"/>
              <w:jc w:val="left"/>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129"/>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1903" w:type="pct"/>
            <w:vAlign w:val="center"/>
          </w:tcPr>
          <w:p>
            <w:pPr>
              <w:pStyle w:val="129"/>
              <w:jc w:val="left"/>
              <w:rPr>
                <w:rFonts w:hint="eastAsia" w:ascii="宋体" w:hAnsi="宋体" w:cs="宋体"/>
                <w:sz w:val="24"/>
                <w:lang w:val="en-US" w:eastAsia="zh-CN"/>
              </w:rPr>
            </w:pPr>
            <w:r>
              <w:rPr>
                <w:rFonts w:hint="eastAsia" w:ascii="宋体" w:hAnsi="宋体" w:cs="宋体"/>
                <w:sz w:val="24"/>
                <w:lang w:val="en-US" w:eastAsia="zh-CN"/>
              </w:rPr>
              <w:t>电流探头：</w:t>
            </w:r>
          </w:p>
          <w:p>
            <w:pPr>
              <w:pStyle w:val="129"/>
              <w:jc w:val="left"/>
              <w:rPr>
                <w:rFonts w:hint="default" w:ascii="宋体" w:hAnsi="宋体" w:cs="宋体"/>
                <w:b w:val="0"/>
                <w:bCs/>
                <w:sz w:val="21"/>
                <w:szCs w:val="21"/>
                <w:lang w:val="en-US" w:eastAsia="zh-CN"/>
              </w:rPr>
            </w:pPr>
            <w:r>
              <w:rPr>
                <w:rFonts w:hint="default" w:ascii="宋体" w:hAnsi="宋体" w:cs="宋体"/>
                <w:b w:val="0"/>
                <w:bCs/>
                <w:sz w:val="21"/>
                <w:szCs w:val="21"/>
                <w:lang w:val="en-US" w:eastAsia="zh-CN"/>
              </w:rPr>
              <w:t>1.带宽（-3dB）：DC～100MHz；</w:t>
            </w:r>
          </w:p>
          <w:p>
            <w:pPr>
              <w:pStyle w:val="129"/>
              <w:jc w:val="left"/>
              <w:rPr>
                <w:rFonts w:hint="default" w:ascii="宋体" w:hAnsi="宋体" w:cs="宋体"/>
                <w:b w:val="0"/>
                <w:bCs/>
                <w:sz w:val="21"/>
                <w:szCs w:val="21"/>
                <w:lang w:val="en-US" w:eastAsia="zh-CN"/>
              </w:rPr>
            </w:pPr>
            <w:r>
              <w:rPr>
                <w:rFonts w:hint="default" w:ascii="宋体" w:hAnsi="宋体" w:cs="宋体"/>
                <w:b w:val="0"/>
                <w:bCs/>
                <w:sz w:val="21"/>
                <w:szCs w:val="21"/>
                <w:lang w:val="en-US" w:eastAsia="zh-CN"/>
              </w:rPr>
              <w:t>2.上升时间：≤3.5ns；</w:t>
            </w:r>
          </w:p>
          <w:p>
            <w:pPr>
              <w:pStyle w:val="129"/>
              <w:jc w:val="left"/>
              <w:rPr>
                <w:rFonts w:hint="default" w:ascii="宋体" w:hAnsi="宋体" w:cs="宋体"/>
                <w:b w:val="0"/>
                <w:bCs/>
                <w:sz w:val="21"/>
                <w:szCs w:val="21"/>
                <w:lang w:val="en-US" w:eastAsia="zh-CN"/>
              </w:rPr>
            </w:pPr>
            <w:r>
              <w:rPr>
                <w:rFonts w:hint="default" w:ascii="宋体" w:hAnsi="宋体" w:cs="宋体"/>
                <w:b w:val="0"/>
                <w:bCs/>
                <w:sz w:val="21"/>
                <w:szCs w:val="21"/>
                <w:lang w:val="en-US" w:eastAsia="zh-CN"/>
              </w:rPr>
              <w:t>3.最大连续电流：不小于30A rms；</w:t>
            </w:r>
          </w:p>
          <w:p>
            <w:pPr>
              <w:pStyle w:val="129"/>
              <w:jc w:val="left"/>
              <w:rPr>
                <w:rFonts w:hint="default" w:ascii="宋体" w:hAnsi="宋体" w:cs="宋体"/>
                <w:b w:val="0"/>
                <w:bCs/>
                <w:sz w:val="21"/>
                <w:szCs w:val="21"/>
                <w:lang w:val="en-US" w:eastAsia="zh-CN"/>
              </w:rPr>
            </w:pPr>
            <w:r>
              <w:rPr>
                <w:rFonts w:hint="default" w:ascii="宋体" w:hAnsi="宋体" w:cs="宋体"/>
                <w:b w:val="0"/>
                <w:bCs/>
                <w:sz w:val="21"/>
                <w:szCs w:val="21"/>
                <w:lang w:val="en-US" w:eastAsia="zh-CN"/>
              </w:rPr>
              <w:t>4.最大峰值电流（短时）：不小于50A peak；</w:t>
            </w:r>
          </w:p>
          <w:p>
            <w:pPr>
              <w:pStyle w:val="129"/>
              <w:jc w:val="left"/>
              <w:rPr>
                <w:rFonts w:hint="default" w:ascii="宋体" w:hAnsi="宋体" w:cs="宋体"/>
                <w:b w:val="0"/>
                <w:bCs/>
                <w:sz w:val="21"/>
                <w:szCs w:val="21"/>
                <w:lang w:val="en-US" w:eastAsia="zh-CN"/>
              </w:rPr>
            </w:pPr>
            <w:r>
              <w:rPr>
                <w:rFonts w:hint="default" w:ascii="宋体" w:hAnsi="宋体" w:cs="宋体"/>
                <w:b w:val="0"/>
                <w:bCs/>
                <w:sz w:val="21"/>
                <w:szCs w:val="21"/>
                <w:lang w:val="en-US" w:eastAsia="zh-CN"/>
              </w:rPr>
              <w:t>5.输出电压比：0.1V/A（10：1）；</w:t>
            </w:r>
          </w:p>
          <w:p>
            <w:pPr>
              <w:pStyle w:val="129"/>
              <w:jc w:val="left"/>
              <w:rPr>
                <w:rFonts w:hint="default" w:ascii="宋体" w:hAnsi="宋体" w:cs="宋体"/>
                <w:b w:val="0"/>
                <w:bCs/>
                <w:sz w:val="21"/>
                <w:szCs w:val="21"/>
                <w:lang w:val="en-US" w:eastAsia="zh-CN"/>
              </w:rPr>
            </w:pPr>
            <w:r>
              <w:rPr>
                <w:rFonts w:hint="default" w:ascii="宋体" w:hAnsi="宋体" w:cs="宋体"/>
                <w:b w:val="0"/>
                <w:bCs/>
                <w:sz w:val="21"/>
                <w:szCs w:val="21"/>
                <w:lang w:val="en-US" w:eastAsia="zh-CN"/>
              </w:rPr>
              <w:t>6.配备外接电源；</w:t>
            </w:r>
          </w:p>
          <w:p>
            <w:pPr>
              <w:pStyle w:val="129"/>
              <w:jc w:val="left"/>
              <w:rPr>
                <w:rFonts w:hint="default" w:ascii="宋体" w:hAnsi="宋体" w:cs="宋体"/>
                <w:b w:val="0"/>
                <w:bCs/>
                <w:sz w:val="21"/>
                <w:szCs w:val="21"/>
                <w:lang w:val="en-US" w:eastAsia="zh-CN"/>
              </w:rPr>
            </w:pPr>
            <w:r>
              <w:rPr>
                <w:rFonts w:hint="default" w:ascii="宋体" w:hAnsi="宋体" w:cs="宋体"/>
                <w:b w:val="0"/>
                <w:bCs/>
                <w:sz w:val="21"/>
                <w:szCs w:val="21"/>
                <w:lang w:val="en-US" w:eastAsia="zh-CN"/>
              </w:rPr>
              <w:t>7.输入阻抗：1MΩ；</w:t>
            </w:r>
          </w:p>
          <w:p>
            <w:pPr>
              <w:pStyle w:val="129"/>
              <w:jc w:val="left"/>
              <w:rPr>
                <w:rFonts w:hint="default" w:ascii="宋体" w:hAnsi="宋体" w:cs="宋体"/>
                <w:sz w:val="24"/>
                <w:lang w:val="en-US" w:eastAsia="zh-CN"/>
              </w:rPr>
            </w:pPr>
            <w:r>
              <w:rPr>
                <w:rFonts w:hint="default" w:ascii="宋体" w:hAnsi="宋体" w:cs="宋体"/>
                <w:b w:val="0"/>
                <w:bCs/>
                <w:sz w:val="21"/>
                <w:szCs w:val="21"/>
                <w:lang w:val="en-US" w:eastAsia="zh-CN"/>
              </w:rPr>
              <w:t>8.接口：BNC。</w:t>
            </w:r>
          </w:p>
        </w:tc>
        <w:tc>
          <w:tcPr>
            <w:tcW w:w="1332" w:type="pct"/>
            <w:vAlign w:val="center"/>
          </w:tcPr>
          <w:p>
            <w:pPr>
              <w:pStyle w:val="129"/>
              <w:jc w:val="left"/>
              <w:rPr>
                <w:rFonts w:hint="eastAsia" w:ascii="宋体" w:hAnsi="宋体" w:eastAsia="宋体" w:cs="宋体"/>
                <w:sz w:val="24"/>
              </w:rPr>
            </w:pPr>
          </w:p>
        </w:tc>
        <w:tc>
          <w:tcPr>
            <w:tcW w:w="888" w:type="pct"/>
            <w:vAlign w:val="center"/>
          </w:tcPr>
          <w:p>
            <w:pPr>
              <w:pStyle w:val="129"/>
              <w:jc w:val="left"/>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129"/>
              <w:jc w:val="center"/>
              <w:rPr>
                <w:rFonts w:hint="eastAsia" w:ascii="宋体" w:hAnsi="宋体" w:eastAsia="宋体" w:cs="宋体"/>
                <w:sz w:val="24"/>
              </w:rPr>
            </w:pPr>
          </w:p>
        </w:tc>
        <w:tc>
          <w:tcPr>
            <w:tcW w:w="1903" w:type="pct"/>
            <w:vAlign w:val="center"/>
          </w:tcPr>
          <w:p>
            <w:pPr>
              <w:pStyle w:val="129"/>
              <w:jc w:val="center"/>
              <w:rPr>
                <w:rFonts w:hint="eastAsia" w:ascii="宋体" w:hAnsi="宋体" w:eastAsia="宋体" w:cs="宋体"/>
                <w:sz w:val="24"/>
              </w:rPr>
            </w:pPr>
          </w:p>
        </w:tc>
        <w:tc>
          <w:tcPr>
            <w:tcW w:w="1332" w:type="pct"/>
            <w:vAlign w:val="center"/>
          </w:tcPr>
          <w:p>
            <w:pPr>
              <w:pStyle w:val="129"/>
              <w:jc w:val="center"/>
              <w:rPr>
                <w:rFonts w:hint="eastAsia" w:ascii="宋体" w:hAnsi="宋体" w:eastAsia="宋体" w:cs="宋体"/>
                <w:sz w:val="24"/>
              </w:rPr>
            </w:pPr>
          </w:p>
        </w:tc>
        <w:tc>
          <w:tcPr>
            <w:tcW w:w="888" w:type="pct"/>
            <w:vAlign w:val="center"/>
          </w:tcPr>
          <w:p>
            <w:pPr>
              <w:pStyle w:val="129"/>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875" w:type="pct"/>
            <w:vAlign w:val="center"/>
          </w:tcPr>
          <w:p>
            <w:pPr>
              <w:pStyle w:val="129"/>
              <w:jc w:val="center"/>
              <w:rPr>
                <w:rFonts w:hint="eastAsia" w:ascii="宋体" w:hAnsi="宋体" w:eastAsia="宋体" w:cs="宋体"/>
                <w:sz w:val="24"/>
              </w:rPr>
            </w:pPr>
          </w:p>
        </w:tc>
        <w:tc>
          <w:tcPr>
            <w:tcW w:w="1903" w:type="pct"/>
            <w:vAlign w:val="center"/>
          </w:tcPr>
          <w:p>
            <w:pPr>
              <w:pStyle w:val="129"/>
              <w:jc w:val="center"/>
              <w:rPr>
                <w:rFonts w:hint="eastAsia" w:ascii="宋体" w:hAnsi="宋体" w:eastAsia="宋体" w:cs="宋体"/>
                <w:sz w:val="24"/>
              </w:rPr>
            </w:pPr>
          </w:p>
        </w:tc>
        <w:tc>
          <w:tcPr>
            <w:tcW w:w="1332" w:type="pct"/>
            <w:vAlign w:val="center"/>
          </w:tcPr>
          <w:p>
            <w:pPr>
              <w:pStyle w:val="129"/>
              <w:jc w:val="center"/>
              <w:rPr>
                <w:rFonts w:hint="eastAsia" w:ascii="宋体" w:hAnsi="宋体" w:eastAsia="宋体" w:cs="宋体"/>
                <w:sz w:val="24"/>
              </w:rPr>
            </w:pPr>
          </w:p>
        </w:tc>
        <w:tc>
          <w:tcPr>
            <w:tcW w:w="888" w:type="pct"/>
            <w:vAlign w:val="center"/>
          </w:tcPr>
          <w:p>
            <w:pPr>
              <w:pStyle w:val="129"/>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129"/>
              <w:rPr>
                <w:rFonts w:hint="eastAsia" w:ascii="宋体" w:hAnsi="宋体" w:eastAsia="宋体" w:cs="宋体"/>
                <w:sz w:val="24"/>
              </w:rPr>
            </w:pPr>
          </w:p>
        </w:tc>
        <w:tc>
          <w:tcPr>
            <w:tcW w:w="1903" w:type="pct"/>
          </w:tcPr>
          <w:p>
            <w:pPr>
              <w:pStyle w:val="129"/>
              <w:rPr>
                <w:rFonts w:hint="eastAsia" w:ascii="宋体" w:hAnsi="宋体" w:eastAsia="宋体" w:cs="宋体"/>
                <w:sz w:val="24"/>
              </w:rPr>
            </w:pPr>
          </w:p>
        </w:tc>
        <w:tc>
          <w:tcPr>
            <w:tcW w:w="1332" w:type="pct"/>
          </w:tcPr>
          <w:p>
            <w:pPr>
              <w:pStyle w:val="129"/>
              <w:rPr>
                <w:rFonts w:hint="eastAsia" w:ascii="宋体" w:hAnsi="宋体" w:eastAsia="宋体" w:cs="宋体"/>
                <w:sz w:val="24"/>
              </w:rPr>
            </w:pPr>
          </w:p>
        </w:tc>
        <w:tc>
          <w:tcPr>
            <w:tcW w:w="888" w:type="pct"/>
          </w:tcPr>
          <w:p>
            <w:pPr>
              <w:pStyle w:val="129"/>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129"/>
              <w:rPr>
                <w:rFonts w:hint="eastAsia" w:ascii="宋体" w:hAnsi="宋体" w:eastAsia="宋体" w:cs="宋体"/>
                <w:sz w:val="24"/>
              </w:rPr>
            </w:pPr>
          </w:p>
        </w:tc>
        <w:tc>
          <w:tcPr>
            <w:tcW w:w="1903" w:type="pct"/>
          </w:tcPr>
          <w:p>
            <w:pPr>
              <w:pStyle w:val="129"/>
              <w:rPr>
                <w:rFonts w:hint="eastAsia" w:ascii="宋体" w:hAnsi="宋体" w:eastAsia="宋体" w:cs="宋体"/>
                <w:sz w:val="24"/>
              </w:rPr>
            </w:pPr>
          </w:p>
        </w:tc>
        <w:tc>
          <w:tcPr>
            <w:tcW w:w="1332" w:type="pct"/>
          </w:tcPr>
          <w:p>
            <w:pPr>
              <w:pStyle w:val="129"/>
              <w:rPr>
                <w:rFonts w:hint="eastAsia" w:ascii="宋体" w:hAnsi="宋体" w:eastAsia="宋体" w:cs="宋体"/>
                <w:sz w:val="24"/>
              </w:rPr>
            </w:pPr>
          </w:p>
        </w:tc>
        <w:tc>
          <w:tcPr>
            <w:tcW w:w="888" w:type="pct"/>
          </w:tcPr>
          <w:p>
            <w:pPr>
              <w:pStyle w:val="129"/>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129"/>
              <w:rPr>
                <w:rFonts w:hint="eastAsia" w:ascii="宋体" w:hAnsi="宋体" w:eastAsia="宋体" w:cs="宋体"/>
                <w:sz w:val="24"/>
              </w:rPr>
            </w:pPr>
          </w:p>
        </w:tc>
        <w:tc>
          <w:tcPr>
            <w:tcW w:w="1903" w:type="pct"/>
          </w:tcPr>
          <w:p>
            <w:pPr>
              <w:pStyle w:val="129"/>
              <w:rPr>
                <w:rFonts w:hint="eastAsia" w:ascii="宋体" w:hAnsi="宋体" w:eastAsia="宋体" w:cs="宋体"/>
                <w:sz w:val="24"/>
              </w:rPr>
            </w:pPr>
          </w:p>
        </w:tc>
        <w:tc>
          <w:tcPr>
            <w:tcW w:w="1332" w:type="pct"/>
          </w:tcPr>
          <w:p>
            <w:pPr>
              <w:pStyle w:val="129"/>
              <w:rPr>
                <w:rFonts w:hint="eastAsia" w:ascii="宋体" w:hAnsi="宋体" w:eastAsia="宋体" w:cs="宋体"/>
                <w:sz w:val="24"/>
              </w:rPr>
            </w:pPr>
          </w:p>
        </w:tc>
        <w:tc>
          <w:tcPr>
            <w:tcW w:w="888" w:type="pct"/>
          </w:tcPr>
          <w:p>
            <w:pPr>
              <w:pStyle w:val="129"/>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pPr>
              <w:pStyle w:val="129"/>
              <w:rPr>
                <w:rFonts w:hint="eastAsia" w:ascii="宋体" w:hAnsi="宋体" w:eastAsia="宋体" w:cs="宋体"/>
                <w:sz w:val="24"/>
              </w:rPr>
            </w:pPr>
          </w:p>
        </w:tc>
        <w:tc>
          <w:tcPr>
            <w:tcW w:w="1903" w:type="pct"/>
          </w:tcPr>
          <w:p>
            <w:pPr>
              <w:pStyle w:val="129"/>
              <w:rPr>
                <w:rFonts w:hint="eastAsia" w:ascii="宋体" w:hAnsi="宋体" w:eastAsia="宋体" w:cs="宋体"/>
                <w:sz w:val="24"/>
              </w:rPr>
            </w:pPr>
          </w:p>
        </w:tc>
        <w:tc>
          <w:tcPr>
            <w:tcW w:w="1332" w:type="pct"/>
          </w:tcPr>
          <w:p>
            <w:pPr>
              <w:pStyle w:val="129"/>
              <w:rPr>
                <w:rFonts w:hint="eastAsia" w:ascii="宋体" w:hAnsi="宋体" w:eastAsia="宋体" w:cs="宋体"/>
                <w:sz w:val="24"/>
              </w:rPr>
            </w:pPr>
          </w:p>
        </w:tc>
        <w:tc>
          <w:tcPr>
            <w:tcW w:w="888" w:type="pct"/>
          </w:tcPr>
          <w:p>
            <w:pPr>
              <w:pStyle w:val="129"/>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129"/>
              <w:rPr>
                <w:rFonts w:hint="eastAsia" w:ascii="宋体" w:hAnsi="宋体" w:eastAsia="宋体" w:cs="宋体"/>
                <w:sz w:val="24"/>
              </w:rPr>
            </w:pPr>
          </w:p>
        </w:tc>
        <w:tc>
          <w:tcPr>
            <w:tcW w:w="1903" w:type="pct"/>
          </w:tcPr>
          <w:p>
            <w:pPr>
              <w:pStyle w:val="129"/>
              <w:rPr>
                <w:rFonts w:hint="eastAsia" w:ascii="宋体" w:hAnsi="宋体" w:eastAsia="宋体" w:cs="宋体"/>
                <w:sz w:val="24"/>
              </w:rPr>
            </w:pPr>
          </w:p>
        </w:tc>
        <w:tc>
          <w:tcPr>
            <w:tcW w:w="1332" w:type="pct"/>
          </w:tcPr>
          <w:p>
            <w:pPr>
              <w:pStyle w:val="129"/>
              <w:rPr>
                <w:rFonts w:hint="eastAsia" w:ascii="宋体" w:hAnsi="宋体" w:eastAsia="宋体" w:cs="宋体"/>
                <w:sz w:val="24"/>
              </w:rPr>
            </w:pPr>
          </w:p>
        </w:tc>
        <w:tc>
          <w:tcPr>
            <w:tcW w:w="888" w:type="pct"/>
          </w:tcPr>
          <w:p>
            <w:pPr>
              <w:pStyle w:val="129"/>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pPr>
              <w:pStyle w:val="129"/>
              <w:rPr>
                <w:rFonts w:hint="eastAsia" w:ascii="宋体" w:hAnsi="宋体" w:eastAsia="宋体" w:cs="宋体"/>
                <w:sz w:val="24"/>
              </w:rPr>
            </w:pPr>
          </w:p>
        </w:tc>
        <w:tc>
          <w:tcPr>
            <w:tcW w:w="1903" w:type="pct"/>
          </w:tcPr>
          <w:p>
            <w:pPr>
              <w:pStyle w:val="129"/>
              <w:rPr>
                <w:rFonts w:hint="eastAsia" w:ascii="宋体" w:hAnsi="宋体" w:eastAsia="宋体" w:cs="宋体"/>
                <w:sz w:val="24"/>
              </w:rPr>
            </w:pPr>
          </w:p>
        </w:tc>
        <w:tc>
          <w:tcPr>
            <w:tcW w:w="1332" w:type="pct"/>
          </w:tcPr>
          <w:p>
            <w:pPr>
              <w:pStyle w:val="129"/>
              <w:rPr>
                <w:rFonts w:hint="eastAsia" w:ascii="宋体" w:hAnsi="宋体" w:eastAsia="宋体" w:cs="宋体"/>
                <w:sz w:val="24"/>
              </w:rPr>
            </w:pPr>
          </w:p>
        </w:tc>
        <w:tc>
          <w:tcPr>
            <w:tcW w:w="888" w:type="pct"/>
          </w:tcPr>
          <w:p>
            <w:pPr>
              <w:pStyle w:val="129"/>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decimal"/>
          <w:cols w:space="720" w:num="1"/>
          <w:titlePg/>
          <w:docGrid w:type="lines" w:linePitch="312" w:charSpace="0"/>
        </w:sectPr>
      </w:pPr>
    </w:p>
    <w:p>
      <w:pPr>
        <w:pStyle w:val="131"/>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125"/>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lang w:eastAsia="zh-CN"/>
        </w:rPr>
        <w:t>驱动电机轴电测试仪器配件项目</w:t>
      </w:r>
    </w:p>
    <w:tbl>
      <w:tblPr>
        <w:tblStyle w:val="8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66"/>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66"/>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66"/>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66"/>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66"/>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66"/>
              <w:jc w:val="center"/>
              <w:rPr>
                <w:rFonts w:hint="eastAsia" w:ascii="宋体" w:hAnsi="宋体" w:eastAsia="宋体" w:cs="宋体"/>
                <w:b/>
                <w:szCs w:val="21"/>
              </w:rPr>
            </w:pPr>
            <w:r>
              <w:rPr>
                <w:rFonts w:hint="eastAsia" w:ascii="宋体" w:hAnsi="宋体" w:eastAsia="宋体" w:cs="宋体"/>
                <w:b/>
                <w:szCs w:val="21"/>
              </w:rPr>
              <w:t>联系人及</w:t>
            </w:r>
          </w:p>
          <w:p>
            <w:pPr>
              <w:pStyle w:val="66"/>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66"/>
              <w:rPr>
                <w:rFonts w:hint="eastAsia" w:ascii="宋体" w:hAnsi="宋体" w:eastAsia="宋体" w:cs="宋体"/>
                <w:b/>
              </w:rPr>
            </w:pPr>
          </w:p>
        </w:tc>
        <w:tc>
          <w:tcPr>
            <w:tcW w:w="1264" w:type="pct"/>
          </w:tcPr>
          <w:p>
            <w:pPr>
              <w:pStyle w:val="66"/>
              <w:rPr>
                <w:rFonts w:hint="eastAsia" w:ascii="宋体" w:hAnsi="宋体" w:eastAsia="宋体" w:cs="宋体"/>
                <w:b/>
              </w:rPr>
            </w:pPr>
          </w:p>
        </w:tc>
        <w:tc>
          <w:tcPr>
            <w:tcW w:w="1144" w:type="pct"/>
          </w:tcPr>
          <w:p>
            <w:pPr>
              <w:pStyle w:val="66"/>
              <w:rPr>
                <w:rFonts w:hint="eastAsia" w:ascii="宋体" w:hAnsi="宋体" w:eastAsia="宋体" w:cs="宋体"/>
                <w:b/>
              </w:rPr>
            </w:pPr>
          </w:p>
        </w:tc>
        <w:tc>
          <w:tcPr>
            <w:tcW w:w="688" w:type="pct"/>
          </w:tcPr>
          <w:p>
            <w:pPr>
              <w:pStyle w:val="66"/>
              <w:rPr>
                <w:rFonts w:hint="eastAsia" w:ascii="宋体" w:hAnsi="宋体" w:eastAsia="宋体" w:cs="宋体"/>
                <w:b/>
              </w:rPr>
            </w:pPr>
          </w:p>
        </w:tc>
        <w:tc>
          <w:tcPr>
            <w:tcW w:w="611" w:type="pct"/>
          </w:tcPr>
          <w:p>
            <w:pPr>
              <w:pStyle w:val="66"/>
              <w:rPr>
                <w:rFonts w:hint="eastAsia" w:ascii="宋体" w:hAnsi="宋体" w:eastAsia="宋体" w:cs="宋体"/>
                <w:b/>
              </w:rPr>
            </w:pPr>
          </w:p>
        </w:tc>
        <w:tc>
          <w:tcPr>
            <w:tcW w:w="819" w:type="pct"/>
          </w:tcPr>
          <w:p>
            <w:pPr>
              <w:pStyle w:val="66"/>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decimal"/>
          <w:cols w:space="720" w:num="1"/>
          <w:titlePg/>
          <w:docGrid w:type="lines" w:linePitch="312" w:charSpace="0"/>
        </w:sectPr>
      </w:pPr>
    </w:p>
    <w:p>
      <w:pPr>
        <w:pStyle w:val="131"/>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r>
        <w:rPr>
          <w:rFonts w:hint="eastAsia" w:ascii="宋体" w:hAnsi="宋体"/>
          <w:sz w:val="24"/>
          <w:szCs w:val="24"/>
          <w:u w:val="single"/>
          <w:lang w:eastAsia="zh-CN"/>
        </w:rPr>
        <w:t>驱动电机轴电测试仪器配件项目</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decimal"/>
          <w:cols w:space="720" w:num="1"/>
          <w:titlePg/>
          <w:docGrid w:type="lines" w:linePitch="312" w:charSpace="0"/>
        </w:sectPr>
      </w:pPr>
    </w:p>
    <w:p>
      <w:pPr>
        <w:pStyle w:val="131"/>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125"/>
        <w:ind w:firstLine="480"/>
        <w:rPr>
          <w:rFonts w:hint="eastAsia" w:ascii="宋体" w:hAnsi="宋体" w:eastAsia="宋体" w:cs="宋体"/>
          <w:b/>
        </w:rPr>
      </w:pPr>
      <w:r>
        <w:rPr>
          <w:rFonts w:hint="eastAsia" w:ascii="宋体" w:hAnsi="宋体" w:eastAsia="宋体" w:cs="宋体"/>
          <w:b/>
        </w:rPr>
        <w:t>《开标一览表》单独封存，以备唱标使用</w:t>
      </w:r>
    </w:p>
    <w:p>
      <w:pPr>
        <w:pStyle w:val="125"/>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lang w:eastAsia="zh-CN"/>
        </w:rPr>
        <w:t>驱动电机轴电测试仪器配件项目</w:t>
      </w:r>
    </w:p>
    <w:tbl>
      <w:tblPr>
        <w:tblStyle w:val="82"/>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4"/>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pPr>
              <w:pStyle w:val="129"/>
              <w:rPr>
                <w:rFonts w:hint="eastAsia" w:ascii="宋体" w:hAnsi="宋体" w:eastAsia="宋体" w:cs="宋体"/>
                <w:lang w:val="en-US" w:eastAsia="zh-CN"/>
              </w:rPr>
            </w:pPr>
            <w:r>
              <w:rPr>
                <w:rFonts w:hint="eastAsia" w:ascii="宋体" w:hAnsi="宋体" w:eastAsia="宋体" w:cs="宋体"/>
                <w:lang w:val="en-US" w:eastAsia="zh-CN"/>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pPr>
              <w:pStyle w:val="129"/>
              <w:rPr>
                <w:rFonts w:hint="eastAsia" w:ascii="宋体" w:hAnsi="宋体" w:eastAsia="宋体" w:cs="宋体"/>
              </w:rPr>
            </w:pPr>
            <w:r>
              <w:rPr>
                <w:rFonts w:hint="eastAsia" w:ascii="宋体" w:hAnsi="宋体" w:eastAsia="宋体" w:cs="宋体"/>
              </w:rPr>
              <w:t>序号</w:t>
            </w:r>
          </w:p>
        </w:tc>
        <w:tc>
          <w:tcPr>
            <w:tcW w:w="751" w:type="pct"/>
            <w:vAlign w:val="center"/>
          </w:tcPr>
          <w:p>
            <w:pPr>
              <w:pStyle w:val="129"/>
              <w:rPr>
                <w:rFonts w:hint="eastAsia" w:ascii="宋体" w:hAnsi="宋体" w:eastAsia="宋体" w:cs="宋体"/>
              </w:rPr>
            </w:pPr>
            <w:r>
              <w:rPr>
                <w:rFonts w:hint="eastAsia" w:ascii="宋体" w:hAnsi="宋体" w:eastAsia="宋体" w:cs="宋体"/>
              </w:rPr>
              <w:t>项目名称</w:t>
            </w:r>
          </w:p>
        </w:tc>
        <w:tc>
          <w:tcPr>
            <w:tcW w:w="614" w:type="pct"/>
            <w:vAlign w:val="center"/>
          </w:tcPr>
          <w:p>
            <w:pPr>
              <w:pStyle w:val="129"/>
              <w:rPr>
                <w:rFonts w:hint="eastAsia" w:ascii="宋体" w:hAnsi="宋体" w:eastAsia="宋体" w:cs="宋体"/>
              </w:rPr>
            </w:pPr>
            <w:r>
              <w:rPr>
                <w:rFonts w:hint="eastAsia" w:ascii="宋体" w:hAnsi="宋体" w:eastAsia="宋体" w:cs="宋体"/>
              </w:rPr>
              <w:t>投标总价</w:t>
            </w:r>
          </w:p>
          <w:p>
            <w:pPr>
              <w:pStyle w:val="129"/>
              <w:rPr>
                <w:rFonts w:hint="eastAsia" w:ascii="宋体" w:hAnsi="宋体" w:eastAsia="宋体" w:cs="宋体"/>
              </w:rPr>
            </w:pPr>
            <w:r>
              <w:rPr>
                <w:rFonts w:hint="eastAsia" w:ascii="宋体" w:hAnsi="宋体" w:eastAsia="宋体" w:cs="宋体"/>
              </w:rPr>
              <w:t>（元）</w:t>
            </w:r>
          </w:p>
        </w:tc>
        <w:tc>
          <w:tcPr>
            <w:tcW w:w="381" w:type="pct"/>
            <w:vAlign w:val="center"/>
          </w:tcPr>
          <w:p>
            <w:pPr>
              <w:pStyle w:val="129"/>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pPr>
              <w:pStyle w:val="129"/>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pPr>
              <w:pStyle w:val="129"/>
              <w:rPr>
                <w:rFonts w:hint="eastAsia" w:ascii="宋体" w:hAnsi="宋体" w:eastAsia="宋体" w:cs="宋体"/>
              </w:rPr>
            </w:pPr>
            <w:r>
              <w:rPr>
                <w:rFonts w:hint="eastAsia" w:ascii="宋体" w:hAnsi="宋体" w:eastAsia="宋体" w:cs="宋体"/>
              </w:rPr>
              <w:t>质保期</w:t>
            </w:r>
          </w:p>
          <w:p>
            <w:pPr>
              <w:pStyle w:val="129"/>
              <w:rPr>
                <w:rFonts w:hint="eastAsia" w:ascii="宋体" w:hAnsi="宋体" w:eastAsia="宋体" w:cs="宋体"/>
              </w:rPr>
            </w:pPr>
            <w:r>
              <w:rPr>
                <w:rFonts w:hint="eastAsia" w:ascii="宋体" w:hAnsi="宋体" w:eastAsia="宋体" w:cs="宋体"/>
              </w:rPr>
              <w:t>（若有）</w:t>
            </w:r>
          </w:p>
        </w:tc>
        <w:tc>
          <w:tcPr>
            <w:tcW w:w="831" w:type="pct"/>
            <w:vAlign w:val="center"/>
          </w:tcPr>
          <w:p>
            <w:pPr>
              <w:pStyle w:val="129"/>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pPr>
              <w:pStyle w:val="129"/>
              <w:rPr>
                <w:rFonts w:hint="eastAsia"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pPr>
              <w:pStyle w:val="129"/>
              <w:rPr>
                <w:rFonts w:hint="eastAsia" w:ascii="宋体" w:hAnsi="宋体" w:eastAsia="宋体" w:cs="宋体"/>
              </w:rPr>
            </w:pPr>
            <w:r>
              <w:rPr>
                <w:rFonts w:hint="eastAsia" w:ascii="宋体" w:hAnsi="宋体" w:eastAsia="宋体" w:cs="宋体"/>
              </w:rPr>
              <w:t>1</w:t>
            </w:r>
          </w:p>
        </w:tc>
        <w:tc>
          <w:tcPr>
            <w:tcW w:w="751" w:type="pct"/>
            <w:vAlign w:val="center"/>
          </w:tcPr>
          <w:p>
            <w:pPr>
              <w:pStyle w:val="129"/>
              <w:rPr>
                <w:rFonts w:hint="eastAsia" w:ascii="宋体" w:hAnsi="宋体" w:eastAsia="宋体" w:cs="宋体"/>
              </w:rPr>
            </w:pPr>
            <w:r>
              <w:rPr>
                <w:rFonts w:hint="eastAsia" w:ascii="宋体" w:hAnsi="宋体" w:eastAsia="宋体" w:cs="宋体"/>
              </w:rPr>
              <w:t>驱动电机轴电测试仪器配件</w:t>
            </w:r>
          </w:p>
        </w:tc>
        <w:tc>
          <w:tcPr>
            <w:tcW w:w="614" w:type="pct"/>
            <w:vAlign w:val="center"/>
          </w:tcPr>
          <w:p>
            <w:pPr>
              <w:pStyle w:val="129"/>
              <w:rPr>
                <w:rFonts w:hint="eastAsia" w:ascii="宋体" w:hAnsi="宋体" w:eastAsia="宋体" w:cs="宋体"/>
              </w:rPr>
            </w:pPr>
          </w:p>
        </w:tc>
        <w:tc>
          <w:tcPr>
            <w:tcW w:w="381" w:type="pct"/>
            <w:vAlign w:val="center"/>
          </w:tcPr>
          <w:p>
            <w:pPr>
              <w:pStyle w:val="129"/>
              <w:rPr>
                <w:rFonts w:hint="eastAsia" w:ascii="宋体" w:hAnsi="宋体" w:eastAsia="宋体" w:cs="宋体"/>
              </w:rPr>
            </w:pPr>
          </w:p>
        </w:tc>
        <w:tc>
          <w:tcPr>
            <w:tcW w:w="363" w:type="pct"/>
            <w:vAlign w:val="center"/>
          </w:tcPr>
          <w:p>
            <w:pPr>
              <w:pStyle w:val="129"/>
              <w:rPr>
                <w:rFonts w:hint="eastAsia" w:ascii="宋体" w:hAnsi="宋体" w:eastAsia="宋体" w:cs="宋体"/>
              </w:rPr>
            </w:pPr>
          </w:p>
        </w:tc>
        <w:tc>
          <w:tcPr>
            <w:tcW w:w="650" w:type="pct"/>
            <w:vAlign w:val="center"/>
          </w:tcPr>
          <w:p>
            <w:pPr>
              <w:pStyle w:val="129"/>
              <w:rPr>
                <w:rFonts w:hint="eastAsia" w:ascii="宋体" w:hAnsi="宋体" w:eastAsia="宋体" w:cs="宋体"/>
              </w:rPr>
            </w:pPr>
          </w:p>
        </w:tc>
        <w:tc>
          <w:tcPr>
            <w:tcW w:w="831" w:type="pct"/>
            <w:vAlign w:val="center"/>
          </w:tcPr>
          <w:p>
            <w:pPr>
              <w:pStyle w:val="129"/>
              <w:rPr>
                <w:rFonts w:hint="eastAsia" w:ascii="宋体" w:hAnsi="宋体" w:eastAsia="宋体" w:cs="宋体"/>
              </w:rPr>
            </w:pPr>
          </w:p>
        </w:tc>
        <w:tc>
          <w:tcPr>
            <w:tcW w:w="1109" w:type="pct"/>
            <w:vAlign w:val="center"/>
          </w:tcPr>
          <w:p>
            <w:pPr>
              <w:pStyle w:val="129"/>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pPr>
              <w:pStyle w:val="129"/>
              <w:rPr>
                <w:rFonts w:hint="eastAsia" w:ascii="宋体" w:hAnsi="宋体" w:eastAsia="宋体" w:cs="宋体"/>
              </w:rPr>
            </w:pPr>
            <w:r>
              <w:rPr>
                <w:rFonts w:hint="eastAsia" w:ascii="宋体" w:hAnsi="宋体" w:eastAsia="宋体" w:cs="宋体"/>
              </w:rPr>
              <w:t>2</w:t>
            </w:r>
          </w:p>
        </w:tc>
        <w:tc>
          <w:tcPr>
            <w:tcW w:w="751" w:type="pct"/>
            <w:vAlign w:val="center"/>
          </w:tcPr>
          <w:p>
            <w:pPr>
              <w:pStyle w:val="129"/>
              <w:rPr>
                <w:rFonts w:hint="eastAsia" w:ascii="宋体" w:hAnsi="宋体" w:eastAsia="宋体" w:cs="宋体"/>
              </w:rPr>
            </w:pPr>
            <w:r>
              <w:rPr>
                <w:rFonts w:hint="eastAsia" w:ascii="宋体" w:hAnsi="宋体" w:eastAsia="宋体" w:cs="宋体"/>
              </w:rPr>
              <w:t>合计</w:t>
            </w:r>
          </w:p>
        </w:tc>
        <w:tc>
          <w:tcPr>
            <w:tcW w:w="3951" w:type="pct"/>
            <w:gridSpan w:val="6"/>
            <w:vAlign w:val="center"/>
          </w:tcPr>
          <w:p>
            <w:pPr>
              <w:pStyle w:val="129"/>
              <w:rPr>
                <w:rFonts w:hint="eastAsia" w:ascii="宋体" w:hAnsi="宋体" w:eastAsia="宋体" w:cs="宋体"/>
              </w:rPr>
            </w:pPr>
          </w:p>
        </w:tc>
      </w:tr>
    </w:tbl>
    <w:p>
      <w:pPr>
        <w:pStyle w:val="125"/>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decimal"/>
          <w:cols w:space="720" w:num="1"/>
          <w:titlePg/>
          <w:docGrid w:type="lines" w:linePitch="312" w:charSpace="0"/>
        </w:sectPr>
      </w:pPr>
    </w:p>
    <w:p>
      <w:pPr>
        <w:pStyle w:val="131"/>
        <w:ind w:firstLine="480"/>
        <w:rPr>
          <w:rFonts w:hint="eastAsia" w:ascii="宋体" w:hAnsi="宋体" w:eastAsia="宋体" w:cs="宋体"/>
        </w:rPr>
      </w:pPr>
      <w:bookmarkStart w:id="10" w:name="_Toc353881017"/>
      <w:bookmarkStart w:id="11" w:name="_Toc26556"/>
      <w:bookmarkStart w:id="12" w:name="_Toc639008"/>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pPr>
        <w:pStyle w:val="125"/>
        <w:ind w:firstLine="480"/>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lang w:eastAsia="zh-CN"/>
        </w:rPr>
        <w:t>驱动电机轴电测试仪器配件项目</w:t>
      </w:r>
    </w:p>
    <w:tbl>
      <w:tblPr>
        <w:tblStyle w:val="82"/>
        <w:tblW w:w="8995" w:type="dxa"/>
        <w:tblInd w:w="0" w:type="dxa"/>
        <w:tblLayout w:type="fixed"/>
        <w:tblCellMar>
          <w:top w:w="0" w:type="dxa"/>
          <w:left w:w="108" w:type="dxa"/>
          <w:bottom w:w="0" w:type="dxa"/>
          <w:right w:w="108" w:type="dxa"/>
        </w:tblCellMar>
      </w:tblPr>
      <w:tblGrid>
        <w:gridCol w:w="949"/>
        <w:gridCol w:w="1804"/>
        <w:gridCol w:w="1356"/>
        <w:gridCol w:w="744"/>
        <w:gridCol w:w="816"/>
        <w:gridCol w:w="1260"/>
        <w:gridCol w:w="1486"/>
        <w:gridCol w:w="580"/>
      </w:tblGrid>
      <w:tr>
        <w:tblPrEx>
          <w:tblCellMar>
            <w:top w:w="0" w:type="dxa"/>
            <w:left w:w="108" w:type="dxa"/>
            <w:bottom w:w="0" w:type="dxa"/>
            <w:right w:w="108" w:type="dxa"/>
          </w:tblCellMar>
        </w:tblPrEx>
        <w:trPr>
          <w:trHeight w:val="608"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1</w:t>
            </w: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rPr>
              <w:t>高压差分探头</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2</w:t>
            </w: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rPr>
              <w:t>电流探头</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40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bl>
    <w:p>
      <w:pPr>
        <w:pStyle w:val="125"/>
        <w:ind w:left="0" w:leftChars="0" w:firstLine="0" w:firstLineChars="0"/>
        <w:rPr>
          <w:rFonts w:hint="eastAsia" w:ascii="宋体" w:hAnsi="宋体" w:eastAsia="宋体" w:cs="宋体"/>
          <w:b/>
        </w:rPr>
      </w:pPr>
    </w:p>
    <w:p>
      <w:pPr>
        <w:pStyle w:val="125"/>
        <w:ind w:firstLine="480"/>
        <w:rPr>
          <w:rFonts w:hint="eastAsia" w:ascii="宋体" w:hAnsi="宋体" w:eastAsia="宋体" w:cs="宋体"/>
          <w:b/>
        </w:rPr>
      </w:pPr>
      <w:r>
        <w:rPr>
          <w:rFonts w:hint="eastAsia" w:ascii="宋体" w:hAnsi="宋体" w:eastAsia="宋体" w:cs="宋体"/>
          <w:b/>
        </w:rPr>
        <w:t>注：</w:t>
      </w:r>
    </w:p>
    <w:p>
      <w:pPr>
        <w:pStyle w:val="125"/>
        <w:ind w:firstLine="480"/>
        <w:rPr>
          <w:rFonts w:hint="eastAsia" w:ascii="宋体" w:hAnsi="宋体" w:eastAsia="宋体" w:cs="宋体"/>
          <w:b/>
        </w:rPr>
      </w:pPr>
      <w:r>
        <w:rPr>
          <w:rFonts w:hint="eastAsia" w:ascii="宋体" w:hAnsi="宋体" w:eastAsia="宋体" w:cs="宋体"/>
          <w:b/>
        </w:rPr>
        <w:t>1、选购件不包括在本报价表内，应另附纸分项单报。</w:t>
      </w:r>
    </w:p>
    <w:p>
      <w:pPr>
        <w:pStyle w:val="125"/>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pPr>
        <w:pStyle w:val="125"/>
        <w:ind w:firstLine="480"/>
        <w:rPr>
          <w:rFonts w:hint="eastAsia" w:ascii="宋体" w:hAnsi="宋体" w:eastAsia="宋体" w:cs="宋体"/>
          <w:b/>
        </w:rPr>
      </w:pPr>
      <w:r>
        <w:rPr>
          <w:rFonts w:hint="eastAsia" w:ascii="宋体" w:hAnsi="宋体" w:eastAsia="宋体" w:cs="宋体"/>
          <w:b/>
        </w:rPr>
        <w:t>3、需写明含税价、不含税价格、税率。</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szCs w:val="22"/>
        </w:rPr>
        <w:sectPr>
          <w:pgSz w:w="11906" w:h="16838"/>
          <w:pgMar w:top="1588" w:right="1418" w:bottom="1134" w:left="1418" w:header="851" w:footer="992" w:gutter="0"/>
          <w:pgNumType w:fmt="decimal"/>
          <w:cols w:space="720" w:num="1"/>
          <w:titlePg/>
          <w:docGrid w:type="lines" w:linePitch="312" w:charSpace="0"/>
        </w:sectPr>
      </w:pPr>
    </w:p>
    <w:p>
      <w:pPr>
        <w:pStyle w:val="131"/>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82"/>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r>
              <w:rPr>
                <w:rFonts w:hint="eastAsia" w:ascii="宋体" w:hAnsi="宋体" w:eastAsia="宋体" w:cs="宋体"/>
              </w:rPr>
              <w:t>是否偏离</w:t>
            </w:r>
          </w:p>
          <w:p>
            <w:pPr>
              <w:pStyle w:val="129"/>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pPr>
              <w:pStyle w:val="129"/>
              <w:jc w:val="left"/>
              <w:rPr>
                <w:rFonts w:hint="eastAsia" w:ascii="宋体" w:hAnsi="宋体" w:eastAsia="宋体" w:cs="宋体"/>
                <w:b w:val="0"/>
                <w:bCs/>
              </w:rPr>
            </w:pPr>
            <w:r>
              <w:rPr>
                <w:rFonts w:hint="eastAsia" w:ascii="宋体" w:hAnsi="宋体" w:eastAsia="宋体" w:cs="宋体"/>
                <w:b w:val="0"/>
                <w:bCs/>
              </w:rPr>
              <w:t>1.设备验收合格后，中标人提交金额为合同价款90%的收据并提供合同价款100%的增值税专用发票（含复印件二份），经招标人依照财务制度审核通过后30日支付；</w:t>
            </w:r>
          </w:p>
          <w:p>
            <w:pPr>
              <w:pStyle w:val="129"/>
              <w:jc w:val="left"/>
              <w:rPr>
                <w:rFonts w:hint="eastAsia" w:ascii="宋体" w:hAnsi="宋体" w:eastAsia="宋体" w:cs="宋体"/>
                <w:b w:val="0"/>
                <w:bCs/>
                <w:szCs w:val="21"/>
              </w:rPr>
            </w:pPr>
            <w:r>
              <w:rPr>
                <w:rFonts w:hint="eastAsia" w:ascii="宋体" w:hAnsi="宋体" w:eastAsia="宋体" w:cs="宋体"/>
                <w:b w:val="0"/>
                <w:bCs/>
              </w:rPr>
              <w:t>2.合同总价款的10%作为本合同约定设备的质量保证金，质量保证金在质量保证期内不计利息。质保期届满后支付。</w:t>
            </w:r>
          </w:p>
        </w:tc>
        <w:tc>
          <w:tcPr>
            <w:tcW w:w="1593" w:type="pct"/>
            <w:tcBorders>
              <w:top w:val="single" w:color="auto" w:sz="4" w:space="0"/>
              <w:left w:val="single" w:color="auto" w:sz="4" w:space="0"/>
              <w:bottom w:val="single" w:color="auto" w:sz="4" w:space="0"/>
              <w:right w:val="single" w:color="auto" w:sz="4" w:space="0"/>
            </w:tcBorders>
          </w:tcPr>
          <w:p>
            <w:pPr>
              <w:pStyle w:val="129"/>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129"/>
              <w:jc w:val="left"/>
              <w:rPr>
                <w:rFonts w:hint="eastAsia" w:ascii="宋体" w:hAnsi="宋体" w:eastAsia="宋体" w:cs="宋体"/>
                <w:b w:val="0"/>
                <w:bCs/>
              </w:rPr>
            </w:pPr>
            <w:r>
              <w:rPr>
                <w:rFonts w:hint="eastAsia" w:ascii="宋体" w:hAnsi="宋体" w:eastAsia="宋体" w:cs="宋体"/>
                <w:b w:val="0"/>
                <w:bCs/>
              </w:rPr>
              <w:t>1、全部供货范围内的设备、材料、零配件和工器具等，除合同特别约定外，其质保期均自终验收签字生效之日起24个月。</w:t>
            </w:r>
          </w:p>
          <w:p>
            <w:pPr>
              <w:pStyle w:val="129"/>
              <w:jc w:val="left"/>
              <w:rPr>
                <w:rFonts w:hint="eastAsia" w:ascii="宋体" w:hAnsi="宋体" w:eastAsia="宋体" w:cs="宋体"/>
                <w:b w:val="0"/>
                <w:bCs/>
              </w:rPr>
            </w:pPr>
            <w:r>
              <w:rPr>
                <w:rFonts w:hint="eastAsia" w:ascii="宋体" w:hAnsi="宋体" w:eastAsia="宋体" w:cs="宋体"/>
                <w:b w:val="0"/>
                <w:bCs/>
              </w:rPr>
              <w:t>2、自合同签定生效之日起，按</w:t>
            </w:r>
            <w:r>
              <w:rPr>
                <w:rFonts w:hint="eastAsia" w:ascii="宋体" w:hAnsi="宋体" w:eastAsia="宋体" w:cs="宋体"/>
                <w:b w:val="0"/>
                <w:bCs/>
                <w:lang w:val="en-US" w:eastAsia="zh-CN"/>
              </w:rPr>
              <w:t>6</w:t>
            </w:r>
            <w:r>
              <w:rPr>
                <w:rFonts w:hint="eastAsia" w:ascii="宋体" w:hAnsi="宋体" w:eastAsia="宋体" w:cs="宋体"/>
                <w:b w:val="0"/>
                <w:bCs/>
              </w:rPr>
              <w:t>0个日历日之内交货至供货地点。</w:t>
            </w:r>
          </w:p>
          <w:p>
            <w:pPr>
              <w:pStyle w:val="129"/>
              <w:jc w:val="left"/>
              <w:rPr>
                <w:rFonts w:hint="eastAsia" w:ascii="宋体" w:hAnsi="宋体" w:eastAsia="宋体" w:cs="宋体"/>
                <w:b w:val="0"/>
                <w:bCs/>
                <w:szCs w:val="21"/>
              </w:rPr>
            </w:pPr>
            <w:r>
              <w:rPr>
                <w:rFonts w:hint="eastAsia" w:ascii="宋体" w:hAnsi="宋体" w:eastAsia="宋体" w:cs="宋体"/>
                <w:b w:val="0"/>
                <w:bCs/>
              </w:rPr>
              <w:t>3、接续 5个日历日之内安装调试完毕。</w:t>
            </w:r>
          </w:p>
        </w:tc>
        <w:tc>
          <w:tcPr>
            <w:tcW w:w="1593"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szCs w:val="21"/>
              </w:rPr>
            </w:pPr>
          </w:p>
          <w:p>
            <w:pPr>
              <w:pStyle w:val="129"/>
              <w:rPr>
                <w:rFonts w:hint="eastAsia" w:ascii="宋体" w:hAnsi="宋体" w:eastAsia="宋体" w:cs="宋体"/>
                <w:szCs w:val="21"/>
              </w:rPr>
            </w:pPr>
          </w:p>
          <w:p>
            <w:pPr>
              <w:pStyle w:val="129"/>
              <w:rPr>
                <w:rFonts w:hint="eastAsia" w:ascii="宋体" w:hAnsi="宋体" w:eastAsia="宋体" w:cs="宋体"/>
                <w:szCs w:val="21"/>
              </w:rPr>
            </w:pPr>
          </w:p>
          <w:p>
            <w:pPr>
              <w:pStyle w:val="129"/>
              <w:rPr>
                <w:rFonts w:hint="eastAsia" w:ascii="宋体" w:hAnsi="宋体" w:eastAsia="宋体" w:cs="宋体"/>
                <w:szCs w:val="21"/>
              </w:rPr>
            </w:pPr>
          </w:p>
          <w:p>
            <w:pPr>
              <w:pStyle w:val="129"/>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p>
        </w:tc>
        <w:tc>
          <w:tcPr>
            <w:tcW w:w="1593"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129"/>
              <w:rPr>
                <w:rFonts w:hint="eastAsia" w:ascii="宋体" w:hAnsi="宋体" w:eastAsia="宋体" w:cs="宋体"/>
              </w:rPr>
            </w:pPr>
          </w:p>
        </w:tc>
      </w:tr>
    </w:tbl>
    <w:p>
      <w:pPr>
        <w:pStyle w:val="125"/>
        <w:ind w:firstLine="480"/>
        <w:rPr>
          <w:rFonts w:hint="eastAsia" w:ascii="宋体" w:hAnsi="宋体" w:eastAsia="宋体" w:cs="宋体"/>
        </w:rPr>
      </w:pPr>
      <w:r>
        <w:rPr>
          <w:rFonts w:hint="eastAsia" w:ascii="宋体" w:hAnsi="宋体" w:eastAsia="宋体" w:cs="宋体"/>
        </w:rPr>
        <w:t>投标人名称：                   授权代表签字：            日期：</w:t>
      </w:r>
    </w:p>
    <w:p>
      <w:pPr>
        <w:pStyle w:val="125"/>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decimal"/>
          <w:cols w:space="720" w:num="1"/>
          <w:titlePg/>
          <w:docGrid w:type="lines" w:linePitch="312" w:charSpace="0"/>
        </w:sectPr>
      </w:pPr>
    </w:p>
    <w:p>
      <w:pPr>
        <w:pStyle w:val="131"/>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125"/>
        <w:ind w:firstLine="480"/>
        <w:rPr>
          <w:rFonts w:hint="eastAsia" w:ascii="宋体" w:hAnsi="宋体" w:eastAsia="宋体" w:cs="宋体"/>
        </w:rPr>
      </w:pPr>
      <w:r>
        <w:rPr>
          <w:rFonts w:hint="eastAsia" w:ascii="宋体" w:hAnsi="宋体" w:eastAsia="宋体" w:cs="宋体"/>
        </w:rPr>
        <w:t>投标人：（盖章）</w:t>
      </w:r>
    </w:p>
    <w:p>
      <w:pPr>
        <w:pStyle w:val="125"/>
        <w:ind w:firstLine="480"/>
        <w:rPr>
          <w:rFonts w:hint="eastAsia" w:ascii="宋体" w:hAnsi="宋体" w:eastAsia="宋体" w:cs="宋体"/>
        </w:rPr>
      </w:pPr>
      <w:r>
        <w:rPr>
          <w:rFonts w:hint="eastAsia" w:ascii="宋体" w:hAnsi="宋体" w:eastAsia="宋体" w:cs="宋体"/>
        </w:rPr>
        <w:t>法定代表人（委托代理人）：（签字）</w:t>
      </w:r>
    </w:p>
    <w:p>
      <w:pPr>
        <w:pStyle w:val="125"/>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639013"/>
      <w:bookmarkStart w:id="14" w:name="_Toc353881022"/>
      <w:bookmarkStart w:id="15" w:name="_Toc9193"/>
    </w:p>
    <w:p>
      <w:pPr>
        <w:rPr>
          <w:rFonts w:hint="eastAsia" w:ascii="宋体" w:hAnsi="宋体" w:eastAsia="宋体" w:cs="宋体"/>
          <w:b/>
          <w:bCs/>
          <w:color w:val="000000"/>
          <w:sz w:val="28"/>
        </w:rPr>
        <w:sectPr>
          <w:pgSz w:w="11906" w:h="16838"/>
          <w:pgMar w:top="1588" w:right="1418" w:bottom="1134" w:left="1418" w:header="851" w:footer="992" w:gutter="0"/>
          <w:pgNumType w:fmt="decimal"/>
          <w:cols w:space="720" w:num="1"/>
          <w:titlePg/>
          <w:docGrid w:type="lines" w:linePitch="312" w:charSpace="0"/>
        </w:sectPr>
      </w:pPr>
    </w:p>
    <w:bookmarkEnd w:id="13"/>
    <w:bookmarkEnd w:id="14"/>
    <w:bookmarkEnd w:id="15"/>
    <w:p>
      <w:pPr>
        <w:pStyle w:val="131"/>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15535"/>
      <w:bookmarkStart w:id="18" w:name="_Toc353881023"/>
      <w:bookmarkStart w:id="19" w:name="_Toc639014"/>
      <w:bookmarkStart w:id="20" w:name="_Toc212369556"/>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125"/>
        <w:ind w:firstLine="480"/>
        <w:rPr>
          <w:rFonts w:hint="eastAsia" w:ascii="宋体" w:hAnsi="宋体" w:eastAsia="宋体" w:cs="宋体"/>
        </w:rPr>
      </w:pPr>
      <w:r>
        <w:rPr>
          <w:rFonts w:hint="eastAsia" w:ascii="宋体" w:hAnsi="宋体" w:eastAsia="宋体" w:cs="宋体"/>
        </w:rPr>
        <w:t>封面格式：</w:t>
      </w:r>
    </w:p>
    <w:tbl>
      <w:tblPr>
        <w:tblStyle w:val="8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129"/>
              <w:rPr>
                <w:rFonts w:hint="eastAsia" w:ascii="宋体" w:hAnsi="宋体" w:eastAsia="宋体" w:cs="宋体"/>
              </w:rPr>
            </w:pPr>
          </w:p>
          <w:p>
            <w:pPr>
              <w:pStyle w:val="129"/>
              <w:rPr>
                <w:rFonts w:hint="eastAsia" w:ascii="宋体" w:hAnsi="宋体" w:eastAsia="宋体" w:cs="宋体"/>
                <w:sz w:val="30"/>
                <w:szCs w:val="30"/>
              </w:rPr>
            </w:pPr>
            <w:r>
              <w:rPr>
                <w:rFonts w:hint="eastAsia" w:ascii="宋体" w:hAnsi="宋体" w:eastAsia="宋体" w:cs="宋体"/>
                <w:sz w:val="30"/>
                <w:szCs w:val="30"/>
              </w:rPr>
              <w:t>投标文件</w:t>
            </w:r>
          </w:p>
          <w:p>
            <w:pPr>
              <w:pStyle w:val="129"/>
              <w:jc w:val="both"/>
              <w:rPr>
                <w:rFonts w:hint="eastAsia" w:ascii="宋体" w:hAnsi="宋体" w:eastAsia="宋体" w:cs="宋体"/>
                <w:sz w:val="30"/>
                <w:szCs w:val="30"/>
              </w:rPr>
            </w:pPr>
          </w:p>
          <w:p>
            <w:pPr>
              <w:pStyle w:val="129"/>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129"/>
              <w:rPr>
                <w:rFonts w:hint="eastAsia" w:ascii="宋体" w:hAnsi="宋体" w:eastAsia="宋体" w:cs="宋体"/>
              </w:rPr>
            </w:pPr>
          </w:p>
          <w:p>
            <w:pPr>
              <w:pStyle w:val="129"/>
              <w:rPr>
                <w:rFonts w:hint="eastAsia" w:ascii="宋体" w:hAnsi="宋体" w:eastAsia="宋体" w:cs="宋体"/>
              </w:rPr>
            </w:pPr>
          </w:p>
          <w:p>
            <w:pPr>
              <w:pStyle w:val="129"/>
              <w:rPr>
                <w:rFonts w:hint="eastAsia" w:ascii="宋体" w:hAnsi="宋体" w:eastAsia="宋体" w:cs="宋体"/>
              </w:rPr>
            </w:pPr>
            <w:r>
              <w:rPr>
                <w:rFonts w:hint="eastAsia" w:ascii="宋体" w:hAnsi="宋体" w:eastAsia="宋体" w:cs="宋体"/>
              </w:rPr>
              <w:t>项目名称：</w:t>
            </w:r>
          </w:p>
          <w:p>
            <w:pPr>
              <w:pStyle w:val="129"/>
              <w:rPr>
                <w:rFonts w:hint="eastAsia" w:ascii="宋体" w:hAnsi="宋体" w:eastAsia="宋体" w:cs="宋体"/>
              </w:rPr>
            </w:pPr>
            <w:r>
              <w:rPr>
                <w:rFonts w:hint="eastAsia" w:ascii="宋体" w:hAnsi="宋体" w:eastAsia="宋体" w:cs="宋体"/>
              </w:rPr>
              <w:t>投标人名称（公章）：</w:t>
            </w:r>
          </w:p>
          <w:p>
            <w:pPr>
              <w:pStyle w:val="129"/>
              <w:rPr>
                <w:rFonts w:hint="eastAsia" w:ascii="宋体" w:hAnsi="宋体" w:eastAsia="宋体" w:cs="宋体"/>
              </w:rPr>
            </w:pPr>
            <w:r>
              <w:rPr>
                <w:rFonts w:hint="eastAsia" w:ascii="宋体" w:hAnsi="宋体" w:eastAsia="宋体" w:cs="宋体"/>
              </w:rPr>
              <w:t>地址：</w:t>
            </w:r>
          </w:p>
          <w:p>
            <w:pPr>
              <w:pStyle w:val="129"/>
              <w:rPr>
                <w:rFonts w:hint="eastAsia" w:ascii="宋体" w:hAnsi="宋体" w:eastAsia="宋体" w:cs="宋体"/>
              </w:rPr>
            </w:pPr>
            <w:r>
              <w:rPr>
                <w:rFonts w:hint="eastAsia" w:ascii="宋体" w:hAnsi="宋体" w:eastAsia="宋体" w:cs="宋体"/>
              </w:rPr>
              <w:t>授权代表电话：</w:t>
            </w:r>
          </w:p>
          <w:p>
            <w:pPr>
              <w:pStyle w:val="129"/>
              <w:rPr>
                <w:rFonts w:hint="eastAsia" w:ascii="宋体" w:hAnsi="宋体" w:eastAsia="宋体" w:cs="宋体"/>
              </w:rPr>
            </w:pPr>
            <w:r>
              <w:rPr>
                <w:rFonts w:hint="eastAsia" w:ascii="宋体" w:hAnsi="宋体" w:eastAsia="宋体" w:cs="宋体"/>
              </w:rPr>
              <w:t>传真：</w:t>
            </w:r>
          </w:p>
          <w:p>
            <w:pPr>
              <w:pStyle w:val="129"/>
              <w:rPr>
                <w:rFonts w:hint="eastAsia" w:ascii="宋体" w:hAnsi="宋体" w:eastAsia="宋体" w:cs="宋体"/>
              </w:rPr>
            </w:pPr>
          </w:p>
          <w:p>
            <w:pPr>
              <w:pStyle w:val="129"/>
              <w:rPr>
                <w:rFonts w:hint="eastAsia" w:ascii="宋体" w:hAnsi="宋体" w:eastAsia="宋体" w:cs="宋体"/>
              </w:rPr>
            </w:pPr>
          </w:p>
        </w:tc>
      </w:tr>
    </w:tbl>
    <w:p>
      <w:pPr>
        <w:pStyle w:val="125"/>
        <w:ind w:firstLine="480"/>
        <w:rPr>
          <w:rFonts w:hint="eastAsia" w:ascii="宋体" w:hAnsi="宋体" w:eastAsia="宋体" w:cs="宋体"/>
        </w:rPr>
      </w:pPr>
      <w:r>
        <w:rPr>
          <w:rFonts w:hint="eastAsia" w:ascii="宋体" w:hAnsi="宋体" w:eastAsia="宋体" w:cs="宋体"/>
        </w:rPr>
        <w:t>投标人名称：                   授权代表签字：                  日期</w:t>
      </w:r>
    </w:p>
    <w:p>
      <w:pPr>
        <w:pStyle w:val="108"/>
        <w:rPr>
          <w:rFonts w:hint="eastAsia" w:ascii="宋体" w:hAnsi="宋体" w:eastAsia="宋体" w:cs="宋体"/>
        </w:rPr>
        <w:sectPr>
          <w:headerReference r:id="rId11" w:type="default"/>
          <w:footerReference r:id="rId12" w:type="default"/>
          <w:pgSz w:w="11907" w:h="16840"/>
          <w:pgMar w:top="1785" w:right="1418" w:bottom="1418" w:left="1418" w:header="724" w:footer="851" w:gutter="0"/>
          <w:pgNumType w:fmt="decimal"/>
          <w:cols w:space="720" w:num="1"/>
          <w:docGrid w:linePitch="290" w:charSpace="-3931"/>
        </w:sectPr>
      </w:pPr>
    </w:p>
    <w:p>
      <w:pPr>
        <w:pStyle w:val="44"/>
        <w:ind w:firstLine="480"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635"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0"/>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635" b="698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1"/>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635" b="10795"/>
            <wp:docPr id="31" name="picture" descr="descript"/>
            <wp:cNvGraphicFramePr/>
            <a:graphic xmlns:a="http://schemas.openxmlformats.org/drawingml/2006/main">
              <a:graphicData uri="http://schemas.openxmlformats.org/drawingml/2006/picture">
                <pic:pic xmlns:pic="http://schemas.openxmlformats.org/drawingml/2006/picture">
                  <pic:nvPicPr>
                    <pic:cNvPr id="31" name="picture" descr="descript"/>
                    <pic:cNvPicPr/>
                  </pic:nvPicPr>
                  <pic:blipFill>
                    <a:blip r:embed="rId32"/>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635" b="12065"/>
            <wp:docPr id="35" name="picture" descr="descript"/>
            <wp:cNvGraphicFramePr/>
            <a:graphic xmlns:a="http://schemas.openxmlformats.org/drawingml/2006/main">
              <a:graphicData uri="http://schemas.openxmlformats.org/drawingml/2006/picture">
                <pic:pic xmlns:pic="http://schemas.openxmlformats.org/drawingml/2006/picture">
                  <pic:nvPicPr>
                    <pic:cNvPr id="35" name="picture" descr="descript"/>
                    <pic:cNvPicPr/>
                  </pic:nvPicPr>
                  <pic:blipFill>
                    <a:blip r:embed="rId33"/>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pPr>
        <w:spacing w:line="360" w:lineRule="auto"/>
        <w:rPr>
          <w:rFonts w:hint="eastAsia" w:ascii="宋体" w:hAnsi="宋体" w:eastAsia="宋体" w:cs="宋体"/>
          <w:sz w:val="24"/>
          <w:szCs w:val="28"/>
        </w:rPr>
      </w:pP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635" b="9525"/>
            <wp:docPr id="36"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a:blip r:embed="rId34"/>
                    <a:stretch>
                      <a:fillRect/>
                    </a:stretch>
                  </pic:blipFill>
                  <pic:spPr>
                    <a:xfrm>
                      <a:off x="0" y="0"/>
                      <a:ext cx="5760085" cy="2810122"/>
                    </a:xfrm>
                    <a:prstGeom prst="rect">
                      <a:avLst/>
                    </a:prstGeom>
                  </pic:spPr>
                </pic:pic>
              </a:graphicData>
            </a:graphic>
          </wp:inline>
        </w:drawing>
      </w:r>
    </w:p>
    <w:p>
      <w:pPr>
        <w:pStyle w:val="44"/>
        <w:rPr>
          <w:rFonts w:hint="eastAsia" w:ascii="宋体" w:hAnsi="宋体" w:eastAsia="宋体" w:cs="宋体"/>
        </w:rPr>
      </w:pPr>
      <w:r>
        <w:rPr>
          <w:rFonts w:hint="eastAsia" w:ascii="宋体" w:hAnsi="宋体" w:eastAsia="宋体" w:cs="宋体"/>
        </w:rPr>
        <w:drawing>
          <wp:inline distT="0" distB="0" distL="0" distR="0">
            <wp:extent cx="5760085" cy="2820035"/>
            <wp:effectExtent l="0" t="0" r="635" b="14605"/>
            <wp:docPr id="37" name="picture" descr="descript"/>
            <wp:cNvGraphicFramePr/>
            <a:graphic xmlns:a="http://schemas.openxmlformats.org/drawingml/2006/main">
              <a:graphicData uri="http://schemas.openxmlformats.org/drawingml/2006/picture">
                <pic:pic xmlns:pic="http://schemas.openxmlformats.org/drawingml/2006/picture">
                  <pic:nvPicPr>
                    <pic:cNvPr id="37" name="picture" descr="descript"/>
                    <pic:cNvPicPr/>
                  </pic:nvPicPr>
                  <pic:blipFill>
                    <a:blip r:embed="rId35"/>
                    <a:stretch>
                      <a:fillRect/>
                    </a:stretch>
                  </pic:blipFill>
                  <pic:spPr>
                    <a:xfrm>
                      <a:off x="0" y="0"/>
                      <a:ext cx="5760085" cy="2820042"/>
                    </a:xfrm>
                    <a:prstGeom prst="rect">
                      <a:avLst/>
                    </a:prstGeom>
                  </pic:spPr>
                </pic:pic>
              </a:graphicData>
            </a:graphic>
          </wp:inline>
        </w:drawing>
      </w:r>
    </w:p>
    <w:p>
      <w:pPr>
        <w:pStyle w:val="44"/>
        <w:rPr>
          <w:rFonts w:hint="eastAsia" w:hAnsi="宋体" w:cs="宋体"/>
          <w:b/>
          <w:bCs/>
          <w:sz w:val="24"/>
          <w:szCs w:val="28"/>
          <w:highlight w:val="yellow"/>
          <w:lang w:val="en-US" w:eastAsia="zh-CN"/>
        </w:rPr>
      </w:pPr>
    </w:p>
    <w:p>
      <w:pPr>
        <w:pStyle w:val="44"/>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pPr>
        <w:pStyle w:val="44"/>
        <w:numPr>
          <w:ilvl w:val="0"/>
          <w:numId w:val="16"/>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pPr>
        <w:pStyle w:val="44"/>
        <w:widowControl w:val="0"/>
        <w:numPr>
          <w:ilvl w:val="0"/>
          <w:numId w:val="16"/>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pPr>
        <w:pStyle w:val="44"/>
        <w:widowControl w:val="0"/>
        <w:numPr>
          <w:ilvl w:val="0"/>
          <w:numId w:val="16"/>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供货类别请选择：研发试验类设备（产品试验检测中心）。</w:t>
      </w:r>
    </w:p>
    <w:p>
      <w:pPr>
        <w:pStyle w:val="44"/>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pgNumType w:fmt="decimal"/>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pPr>
        <w:pStyle w:val="44"/>
        <w:ind w:firstLine="480"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93"/>
          <w:rFonts w:hint="eastAsia" w:ascii="宋体" w:hAnsi="宋体" w:cs="宋体"/>
          <w:sz w:val="24"/>
          <w:szCs w:val="24"/>
          <w:lang w:eastAsia="zh-CN"/>
        </w:rPr>
        <w:t>https</w:t>
      </w:r>
      <w:r>
        <w:rPr>
          <w:rStyle w:val="93"/>
          <w:rFonts w:hint="eastAsia" w:ascii="宋体" w:hAnsi="宋体" w:eastAsia="宋体" w:cs="宋体"/>
          <w:sz w:val="24"/>
          <w:szCs w:val="24"/>
        </w:rPr>
        <w:t>://ecaitong.sinotruk.com:8012/</w:t>
      </w:r>
      <w:r>
        <w:rPr>
          <w:rStyle w:val="93"/>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635" b="1270"/>
            <wp:docPr id="38" name="picture" descr="descript"/>
            <wp:cNvGraphicFramePr/>
            <a:graphic xmlns:a="http://schemas.openxmlformats.org/drawingml/2006/main">
              <a:graphicData uri="http://schemas.openxmlformats.org/drawingml/2006/picture">
                <pic:pic xmlns:pic="http://schemas.openxmlformats.org/drawingml/2006/picture">
                  <pic:nvPicPr>
                    <pic:cNvPr id="38" name="picture" descr="descript"/>
                    <pic:cNvPicPr/>
                  </pic:nvPicPr>
                  <pic:blipFill>
                    <a:blip r:embed="rId36"/>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635" b="8255"/>
            <wp:docPr id="39"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a:blip r:embed="rId37"/>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ind w:left="425" w:hanging="425"/>
        <w:outlineLvl w:val="9"/>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11430" b="13335"/>
            <wp:docPr id="40" name="picture" descr="descript"/>
            <wp:cNvGraphicFramePr/>
            <a:graphic xmlns:a="http://schemas.openxmlformats.org/drawingml/2006/main">
              <a:graphicData uri="http://schemas.openxmlformats.org/drawingml/2006/picture">
                <pic:pic xmlns:pic="http://schemas.openxmlformats.org/drawingml/2006/picture">
                  <pic:nvPicPr>
                    <pic:cNvPr id="40" name="picture" descr="descript"/>
                    <pic:cNvPicPr/>
                  </pic:nvPicPr>
                  <pic:blipFill>
                    <a:blip r:embed="rId38"/>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11430" b="381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39"/>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ind w:left="425" w:hanging="425"/>
        <w:outlineLvl w:val="9"/>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11430" b="635"/>
            <wp:docPr id="42"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a:blip r:embed="rId40"/>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635" b="9525"/>
            <wp:docPr id="43" name="picture" descr="descript"/>
            <wp:cNvGraphicFramePr/>
            <a:graphic xmlns:a="http://schemas.openxmlformats.org/drawingml/2006/main">
              <a:graphicData uri="http://schemas.openxmlformats.org/drawingml/2006/picture">
                <pic:pic xmlns:pic="http://schemas.openxmlformats.org/drawingml/2006/picture">
                  <pic:nvPicPr>
                    <pic:cNvPr id="43" name="picture" descr="descript"/>
                    <pic:cNvPicPr/>
                  </pic:nvPicPr>
                  <pic:blipFill>
                    <a:blip r:embed="rId41"/>
                    <a:stretch>
                      <a:fillRect/>
                    </a:stretch>
                  </pic:blipFill>
                  <pic:spPr>
                    <a:xfrm>
                      <a:off x="0" y="0"/>
                      <a:ext cx="5760085" cy="1956600"/>
                    </a:xfrm>
                    <a:prstGeom prst="rect">
                      <a:avLst/>
                    </a:prstGeom>
                  </pic:spPr>
                </pic:pic>
              </a:graphicData>
            </a:graphic>
          </wp:inline>
        </w:drawing>
      </w:r>
    </w:p>
    <w:p>
      <w:pPr>
        <w:pStyle w:val="44"/>
        <w:rPr>
          <w:rFonts w:hint="eastAsia" w:ascii="宋体" w:hAnsi="宋体" w:eastAsia="宋体" w:cs="宋体"/>
          <w:b/>
          <w:color w:val="000000"/>
          <w:sz w:val="24"/>
          <w:szCs w:val="24"/>
        </w:rPr>
      </w:pPr>
    </w:p>
    <w:p>
      <w:pPr>
        <w:pStyle w:val="108"/>
        <w:rPr>
          <w:rFonts w:hint="eastAsia" w:ascii="宋体" w:hAnsi="宋体" w:eastAsia="宋体" w:cs="宋体"/>
        </w:rPr>
        <w:sectPr>
          <w:pgSz w:w="11907" w:h="16840"/>
          <w:pgMar w:top="1785" w:right="1418" w:bottom="1418" w:left="1418" w:header="724" w:footer="851" w:gutter="0"/>
          <w:pgNumType w:fmt="decimal"/>
          <w:cols w:space="720" w:num="1"/>
          <w:docGrid w:linePitch="290" w:charSpace="-3931"/>
        </w:sectPr>
      </w:pPr>
    </w:p>
    <w:p>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pPr>
        <w:pStyle w:val="4"/>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tbl>
      <w:tblPr>
        <w:tblStyle w:val="82"/>
        <w:tblW w:w="47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552"/>
        <w:gridCol w:w="1812"/>
        <w:gridCol w:w="912"/>
        <w:gridCol w:w="4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428" w:type="pct"/>
            <w:vAlign w:val="center"/>
          </w:tcPr>
          <w:p>
            <w:pPr>
              <w:jc w:val="center"/>
            </w:pPr>
            <w:r>
              <w:rPr>
                <w:rFonts w:hint="eastAsia"/>
              </w:rPr>
              <w:t>评价类型</w:t>
            </w:r>
          </w:p>
        </w:tc>
        <w:tc>
          <w:tcPr>
            <w:tcW w:w="312" w:type="pct"/>
            <w:vAlign w:val="center"/>
          </w:tcPr>
          <w:p>
            <w:pPr>
              <w:jc w:val="center"/>
            </w:pPr>
            <w:r>
              <w:rPr>
                <w:rFonts w:hint="eastAsia"/>
              </w:rPr>
              <w:t>序号</w:t>
            </w:r>
          </w:p>
        </w:tc>
        <w:tc>
          <w:tcPr>
            <w:tcW w:w="1026" w:type="pct"/>
            <w:vAlign w:val="center"/>
          </w:tcPr>
          <w:p>
            <w:pPr>
              <w:jc w:val="center"/>
            </w:pPr>
            <w:r>
              <w:rPr>
                <w:rFonts w:hint="eastAsia"/>
              </w:rPr>
              <w:t>内</w:t>
            </w:r>
            <w:r>
              <w:t xml:space="preserve">   </w:t>
            </w:r>
            <w:r>
              <w:rPr>
                <w:rFonts w:hint="eastAsia"/>
              </w:rPr>
              <w:t>容</w:t>
            </w:r>
          </w:p>
        </w:tc>
        <w:tc>
          <w:tcPr>
            <w:tcW w:w="516" w:type="pct"/>
            <w:vAlign w:val="center"/>
          </w:tcPr>
          <w:p>
            <w:pPr>
              <w:jc w:val="center"/>
            </w:pPr>
            <w:r>
              <w:rPr>
                <w:rFonts w:hint="eastAsia"/>
              </w:rPr>
              <w:t>标准分</w:t>
            </w:r>
          </w:p>
        </w:tc>
        <w:tc>
          <w:tcPr>
            <w:tcW w:w="2715" w:type="pct"/>
            <w:vAlign w:val="center"/>
          </w:tcPr>
          <w:p>
            <w:pPr>
              <w:jc w:val="center"/>
            </w:pPr>
            <w:r>
              <w:rPr>
                <w:rFonts w:hint="eastAsia"/>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428" w:type="pct"/>
            <w:vMerge w:val="restart"/>
            <w:vAlign w:val="center"/>
          </w:tcPr>
          <w:p>
            <w:pPr>
              <w:tabs>
                <w:tab w:val="left" w:pos="13965"/>
              </w:tabs>
              <w:spacing w:line="360" w:lineRule="auto"/>
              <w:ind w:right="-6"/>
              <w:jc w:val="center"/>
              <w:rPr>
                <w:rFonts w:ascii="宋体" w:hAnsi="Times New Roman" w:eastAsia="宋体" w:cs="Times New Roman"/>
                <w:sz w:val="24"/>
                <w:szCs w:val="24"/>
              </w:rPr>
            </w:pPr>
            <w:r>
              <w:rPr>
                <w:rFonts w:hint="eastAsia" w:ascii="宋体" w:hAnsi="宋体" w:eastAsia="宋体" w:cs="Times New Roman"/>
                <w:sz w:val="24"/>
                <w:szCs w:val="24"/>
              </w:rPr>
              <w:t>技术</w:t>
            </w:r>
          </w:p>
          <w:p>
            <w:pPr>
              <w:tabs>
                <w:tab w:val="left" w:pos="13965"/>
              </w:tabs>
              <w:spacing w:line="360" w:lineRule="auto"/>
              <w:ind w:right="-6"/>
              <w:jc w:val="center"/>
              <w:rPr>
                <w:rFonts w:ascii="宋体" w:hAnsi="Times New Roman" w:eastAsia="宋体" w:cs="Times New Roman"/>
                <w:sz w:val="24"/>
                <w:szCs w:val="24"/>
              </w:rPr>
            </w:pPr>
            <w:r>
              <w:rPr>
                <w:rFonts w:hint="eastAsia" w:ascii="宋体" w:hAnsi="宋体" w:eastAsia="宋体" w:cs="Times New Roman"/>
                <w:sz w:val="24"/>
                <w:szCs w:val="24"/>
                <w:lang w:val="en-US" w:eastAsia="zh-CN"/>
              </w:rPr>
              <w:t>10</w:t>
            </w:r>
            <w:r>
              <w:rPr>
                <w:rFonts w:hint="eastAsia" w:ascii="宋体" w:hAnsi="宋体" w:eastAsia="宋体" w:cs="Times New Roman"/>
                <w:sz w:val="24"/>
                <w:szCs w:val="24"/>
              </w:rPr>
              <w:t>0分</w:t>
            </w:r>
          </w:p>
        </w:tc>
        <w:tc>
          <w:tcPr>
            <w:tcW w:w="552" w:type="dxa"/>
            <w:vAlign w:val="center"/>
          </w:tcPr>
          <w:p>
            <w:pPr>
              <w:tabs>
                <w:tab w:val="left" w:pos="13965"/>
              </w:tabs>
              <w:spacing w:line="420" w:lineRule="exact"/>
              <w:jc w:val="center"/>
              <w:rPr>
                <w:rFonts w:ascii="宋体" w:hAnsi="宋体" w:eastAsia="宋体" w:cs="Times New Roman"/>
                <w:sz w:val="24"/>
                <w:szCs w:val="24"/>
              </w:rPr>
            </w:pPr>
            <w:r>
              <w:rPr>
                <w:rFonts w:ascii="宋体" w:hAnsi="宋体" w:eastAsia="宋体" w:cs="Times New Roman"/>
                <w:sz w:val="24"/>
                <w:szCs w:val="24"/>
              </w:rPr>
              <w:t>1</w:t>
            </w:r>
          </w:p>
        </w:tc>
        <w:tc>
          <w:tcPr>
            <w:tcW w:w="1812" w:type="dxa"/>
            <w:vAlign w:val="center"/>
          </w:tcPr>
          <w:p>
            <w:pPr>
              <w:spacing w:line="420" w:lineRule="exact"/>
              <w:rPr>
                <w:rFonts w:ascii="宋体" w:hAnsi="Times New Roman" w:eastAsia="宋体" w:cs="Times New Roman"/>
                <w:sz w:val="24"/>
                <w:szCs w:val="24"/>
              </w:rPr>
            </w:pPr>
            <w:r>
              <w:rPr>
                <w:rFonts w:hint="eastAsia" w:ascii="宋体" w:hAnsi="宋体" w:eastAsia="宋体" w:cs="Times New Roman"/>
                <w:sz w:val="24"/>
                <w:szCs w:val="24"/>
              </w:rPr>
              <w:t>设备制造商同类型项目业绩，行业项目经验</w:t>
            </w:r>
            <w:r>
              <w:rPr>
                <w:rFonts w:hint="eastAsia" w:ascii="宋体" w:hAnsi="宋体" w:eastAsia="宋体" w:cs="Times New Roman"/>
                <w:sz w:val="24"/>
                <w:szCs w:val="24"/>
                <w:lang w:eastAsia="zh-CN"/>
              </w:rPr>
              <w:t>，</w:t>
            </w:r>
            <w:r>
              <w:rPr>
                <w:rFonts w:hint="eastAsia" w:ascii="宋体" w:hAnsi="宋体" w:eastAsia="宋体" w:cs="Times New Roman"/>
                <w:sz w:val="24"/>
                <w:szCs w:val="24"/>
              </w:rPr>
              <w:t>品牌市场认可度</w:t>
            </w:r>
          </w:p>
        </w:tc>
        <w:tc>
          <w:tcPr>
            <w:tcW w:w="912" w:type="dxa"/>
            <w:vAlign w:val="center"/>
          </w:tcPr>
          <w:p>
            <w:pPr>
              <w:tabs>
                <w:tab w:val="left" w:pos="13965"/>
              </w:tabs>
              <w:spacing w:line="42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10</w:t>
            </w:r>
          </w:p>
        </w:tc>
        <w:tc>
          <w:tcPr>
            <w:tcW w:w="4792" w:type="dxa"/>
            <w:vAlign w:val="center"/>
          </w:tcPr>
          <w:p>
            <w:pPr>
              <w:spacing w:line="420" w:lineRule="exact"/>
              <w:rPr>
                <w:rFonts w:ascii="宋体" w:hAnsi="宋体" w:eastAsia="宋体" w:cs="Times New Roman"/>
                <w:bCs/>
                <w:sz w:val="24"/>
                <w:szCs w:val="24"/>
              </w:rPr>
            </w:pPr>
            <w:r>
              <w:rPr>
                <w:rFonts w:hint="eastAsia" w:ascii="宋体" w:hAnsi="宋体" w:eastAsia="宋体" w:cs="Times New Roman"/>
                <w:bCs/>
                <w:sz w:val="24"/>
                <w:szCs w:val="24"/>
                <w:highlight w:val="none"/>
              </w:rPr>
              <w:t>由评标委员会成员独立进行客观、公正的评价，</w:t>
            </w:r>
            <w:r>
              <w:rPr>
                <w:rFonts w:hint="eastAsia" w:ascii="宋体" w:hAnsi="宋体" w:eastAsia="宋体" w:cs="Times New Roman"/>
                <w:bCs/>
                <w:sz w:val="24"/>
                <w:szCs w:val="24"/>
              </w:rPr>
              <w:t>按照优、良、一般进行赋分，优得</w:t>
            </w:r>
            <w:r>
              <w:rPr>
                <w:rFonts w:hint="eastAsia" w:ascii="宋体" w:hAnsi="宋体" w:eastAsia="宋体" w:cs="Times New Roman"/>
                <w:bCs/>
                <w:sz w:val="24"/>
                <w:szCs w:val="24"/>
                <w:lang w:val="en-US" w:eastAsia="zh-CN"/>
              </w:rPr>
              <w:t>10</w:t>
            </w:r>
            <w:r>
              <w:rPr>
                <w:rFonts w:hint="eastAsia" w:ascii="宋体" w:hAnsi="宋体" w:eastAsia="宋体" w:cs="Times New Roman"/>
                <w:bCs/>
                <w:sz w:val="24"/>
                <w:szCs w:val="24"/>
              </w:rPr>
              <w:t>分，良得</w:t>
            </w:r>
            <w:r>
              <w:rPr>
                <w:rFonts w:hint="eastAsia" w:ascii="宋体" w:hAnsi="宋体" w:eastAsia="宋体" w:cs="Times New Roman"/>
                <w:bCs/>
                <w:sz w:val="24"/>
                <w:szCs w:val="24"/>
                <w:lang w:val="en-US" w:eastAsia="zh-CN"/>
              </w:rPr>
              <w:t>8</w:t>
            </w:r>
            <w:r>
              <w:rPr>
                <w:rFonts w:hint="eastAsia" w:ascii="宋体" w:hAnsi="宋体" w:eastAsia="宋体" w:cs="Times New Roman"/>
                <w:bCs/>
                <w:sz w:val="24"/>
                <w:szCs w:val="24"/>
              </w:rPr>
              <w:t>分，一般得</w:t>
            </w:r>
            <w:r>
              <w:rPr>
                <w:rFonts w:hint="eastAsia" w:ascii="宋体" w:hAnsi="宋体" w:eastAsia="宋体" w:cs="Times New Roman"/>
                <w:bCs/>
                <w:sz w:val="24"/>
                <w:szCs w:val="24"/>
                <w:lang w:val="en-US" w:eastAsia="zh-CN"/>
              </w:rPr>
              <w:t>6</w:t>
            </w:r>
            <w:r>
              <w:rPr>
                <w:rFonts w:hint="eastAsia" w:ascii="宋体" w:hAnsi="宋体" w:eastAsia="宋体" w:cs="Times New Roman"/>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428" w:type="pct"/>
            <w:vMerge w:val="continue"/>
            <w:vAlign w:val="center"/>
          </w:tcPr>
          <w:p>
            <w:pPr>
              <w:spacing w:line="360" w:lineRule="auto"/>
              <w:jc w:val="center"/>
              <w:rPr>
                <w:rFonts w:ascii="宋体" w:hAnsi="Times New Roman" w:eastAsia="宋体" w:cs="Times New Roman"/>
                <w:sz w:val="24"/>
                <w:szCs w:val="24"/>
              </w:rPr>
            </w:pPr>
          </w:p>
        </w:tc>
        <w:tc>
          <w:tcPr>
            <w:tcW w:w="552" w:type="dxa"/>
            <w:vAlign w:val="center"/>
          </w:tcPr>
          <w:p>
            <w:pPr>
              <w:spacing w:line="420" w:lineRule="exact"/>
              <w:jc w:val="center"/>
              <w:rPr>
                <w:rFonts w:ascii="宋体" w:hAnsi="宋体" w:eastAsia="宋体" w:cs="Times New Roman"/>
                <w:sz w:val="24"/>
                <w:szCs w:val="24"/>
              </w:rPr>
            </w:pPr>
            <w:r>
              <w:rPr>
                <w:rFonts w:ascii="宋体" w:hAnsi="宋体" w:eastAsia="宋体" w:cs="Times New Roman"/>
                <w:sz w:val="24"/>
                <w:szCs w:val="24"/>
              </w:rPr>
              <w:t>2</w:t>
            </w:r>
          </w:p>
        </w:tc>
        <w:tc>
          <w:tcPr>
            <w:tcW w:w="1812" w:type="dxa"/>
            <w:vAlign w:val="center"/>
          </w:tcPr>
          <w:p>
            <w:pPr>
              <w:spacing w:line="420" w:lineRule="exact"/>
              <w:rPr>
                <w:rFonts w:ascii="宋体" w:hAnsi="Times New Roman" w:eastAsia="宋体" w:cs="Times New Roman"/>
                <w:bCs/>
                <w:sz w:val="24"/>
                <w:szCs w:val="24"/>
              </w:rPr>
            </w:pPr>
            <w:r>
              <w:rPr>
                <w:rFonts w:hint="eastAsia" w:ascii="宋体" w:hAnsi="宋体" w:eastAsia="宋体" w:cs="Times New Roman"/>
                <w:bCs/>
                <w:sz w:val="24"/>
                <w:szCs w:val="24"/>
              </w:rPr>
              <w:t>设备制造商装备制造能力、生产设备、加工工艺、完善程度</w:t>
            </w:r>
          </w:p>
        </w:tc>
        <w:tc>
          <w:tcPr>
            <w:tcW w:w="912" w:type="dxa"/>
            <w:vAlign w:val="center"/>
          </w:tcPr>
          <w:p>
            <w:pPr>
              <w:spacing w:line="42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20</w:t>
            </w:r>
          </w:p>
        </w:tc>
        <w:tc>
          <w:tcPr>
            <w:tcW w:w="4792" w:type="dxa"/>
            <w:vAlign w:val="center"/>
          </w:tcPr>
          <w:p>
            <w:pPr>
              <w:spacing w:line="420" w:lineRule="exact"/>
              <w:rPr>
                <w:rFonts w:ascii="宋体" w:hAnsi="Times New Roman" w:eastAsia="宋体" w:cs="Times New Roman"/>
                <w:sz w:val="24"/>
                <w:szCs w:val="24"/>
              </w:rPr>
            </w:pPr>
            <w:r>
              <w:rPr>
                <w:rFonts w:hint="eastAsia" w:ascii="宋体" w:hAnsi="宋体" w:eastAsia="宋体" w:cs="Times New Roman"/>
                <w:bCs/>
                <w:sz w:val="24"/>
                <w:szCs w:val="24"/>
              </w:rPr>
              <w:t>由评标委员会成员独立进行客观、公正的评价，按照优、良、一般进行赋分，优得</w:t>
            </w:r>
            <w:r>
              <w:rPr>
                <w:rFonts w:hint="eastAsia" w:ascii="宋体" w:hAnsi="宋体" w:eastAsia="宋体" w:cs="Times New Roman"/>
                <w:bCs/>
                <w:sz w:val="24"/>
                <w:szCs w:val="24"/>
                <w:lang w:val="en-US" w:eastAsia="zh-CN"/>
              </w:rPr>
              <w:t>20</w:t>
            </w:r>
            <w:r>
              <w:rPr>
                <w:rFonts w:hint="eastAsia" w:ascii="宋体" w:hAnsi="宋体" w:eastAsia="宋体" w:cs="Times New Roman"/>
                <w:bCs/>
                <w:sz w:val="24"/>
                <w:szCs w:val="24"/>
              </w:rPr>
              <w:t>分，良得</w:t>
            </w:r>
            <w:r>
              <w:rPr>
                <w:rFonts w:hint="eastAsia" w:ascii="宋体" w:hAnsi="宋体" w:eastAsia="宋体" w:cs="Times New Roman"/>
                <w:bCs/>
                <w:sz w:val="24"/>
                <w:szCs w:val="24"/>
                <w:lang w:val="en-US" w:eastAsia="zh-CN"/>
              </w:rPr>
              <w:t>15</w:t>
            </w:r>
            <w:r>
              <w:rPr>
                <w:rFonts w:hint="eastAsia" w:ascii="宋体" w:hAnsi="宋体" w:eastAsia="宋体" w:cs="Times New Roman"/>
                <w:bCs/>
                <w:sz w:val="24"/>
                <w:szCs w:val="24"/>
              </w:rPr>
              <w:t>分，一般得</w:t>
            </w:r>
            <w:r>
              <w:rPr>
                <w:rFonts w:hint="eastAsia" w:ascii="宋体" w:hAnsi="宋体" w:eastAsia="宋体" w:cs="Times New Roman"/>
                <w:bCs/>
                <w:sz w:val="24"/>
                <w:szCs w:val="24"/>
                <w:lang w:val="en-US" w:eastAsia="zh-CN"/>
              </w:rPr>
              <w:t>10</w:t>
            </w:r>
            <w:r>
              <w:rPr>
                <w:rFonts w:hint="eastAsia" w:ascii="宋体" w:hAnsi="宋体" w:eastAsia="宋体" w:cs="Times New Roman"/>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428" w:type="pct"/>
            <w:vMerge w:val="continue"/>
            <w:vAlign w:val="center"/>
          </w:tcPr>
          <w:p>
            <w:pPr>
              <w:spacing w:line="360" w:lineRule="auto"/>
              <w:jc w:val="center"/>
              <w:rPr>
                <w:rFonts w:ascii="宋体" w:hAnsi="Times New Roman" w:eastAsia="宋体" w:cs="Times New Roman"/>
                <w:sz w:val="24"/>
                <w:szCs w:val="24"/>
              </w:rPr>
            </w:pPr>
          </w:p>
        </w:tc>
        <w:tc>
          <w:tcPr>
            <w:tcW w:w="552" w:type="dxa"/>
            <w:vAlign w:val="center"/>
          </w:tcPr>
          <w:p>
            <w:pPr>
              <w:spacing w:line="420" w:lineRule="exact"/>
              <w:jc w:val="center"/>
              <w:rPr>
                <w:rFonts w:ascii="宋体" w:hAnsi="宋体" w:eastAsia="宋体" w:cs="Times New Roman"/>
                <w:sz w:val="24"/>
                <w:szCs w:val="24"/>
              </w:rPr>
            </w:pPr>
            <w:r>
              <w:rPr>
                <w:rFonts w:hint="eastAsia" w:ascii="宋体" w:hAnsi="宋体" w:eastAsia="宋体" w:cs="Times New Roman"/>
                <w:sz w:val="24"/>
                <w:szCs w:val="24"/>
              </w:rPr>
              <w:t>3</w:t>
            </w:r>
          </w:p>
        </w:tc>
        <w:tc>
          <w:tcPr>
            <w:tcW w:w="1812" w:type="dxa"/>
            <w:vAlign w:val="center"/>
          </w:tcPr>
          <w:p>
            <w:pPr>
              <w:spacing w:line="420" w:lineRule="exact"/>
              <w:rPr>
                <w:rFonts w:ascii="宋体" w:hAnsi="Times New Roman" w:eastAsia="宋体" w:cs="Times New Roman"/>
                <w:bCs/>
                <w:sz w:val="24"/>
                <w:szCs w:val="24"/>
              </w:rPr>
            </w:pPr>
            <w:r>
              <w:rPr>
                <w:rFonts w:hint="eastAsia" w:ascii="宋体" w:hAnsi="宋体" w:eastAsia="宋体" w:cs="Times New Roman"/>
                <w:bCs/>
                <w:color w:val="000000" w:themeColor="text1"/>
                <w:sz w:val="24"/>
                <w:szCs w:val="24"/>
                <w14:textFill>
                  <w14:solidFill>
                    <w14:schemeClr w14:val="tx1"/>
                  </w14:solidFill>
                </w14:textFill>
              </w:rPr>
              <w:t>产品方案技术先进、</w:t>
            </w:r>
            <w:r>
              <w:rPr>
                <w:rFonts w:hint="eastAsia" w:ascii="宋体" w:hAnsi="宋体" w:eastAsia="宋体" w:cs="Times New Roman"/>
                <w:bCs/>
                <w:color w:val="000000" w:themeColor="text1"/>
                <w:sz w:val="24"/>
                <w:szCs w:val="24"/>
                <w:lang w:val="en-US" w:eastAsia="zh-CN"/>
                <w14:textFill>
                  <w14:solidFill>
                    <w14:schemeClr w14:val="tx1"/>
                  </w14:solidFill>
                </w14:textFill>
              </w:rPr>
              <w:t>设备基础功能</w:t>
            </w:r>
            <w:r>
              <w:rPr>
                <w:rFonts w:hint="eastAsia" w:ascii="宋体" w:hAnsi="宋体" w:eastAsia="宋体" w:cs="Times New Roman"/>
                <w:bCs/>
                <w:color w:val="000000" w:themeColor="text1"/>
                <w:sz w:val="24"/>
                <w:szCs w:val="24"/>
                <w14:textFill>
                  <w14:solidFill>
                    <w14:schemeClr w14:val="tx1"/>
                  </w14:solidFill>
                </w14:textFill>
              </w:rPr>
              <w:t>，</w:t>
            </w:r>
            <w:r>
              <w:rPr>
                <w:rFonts w:hint="eastAsia" w:ascii="宋体" w:hAnsi="宋体" w:eastAsia="宋体" w:cs="Times New Roman"/>
                <w:bCs/>
                <w:color w:val="000000" w:themeColor="text1"/>
                <w:sz w:val="24"/>
                <w:szCs w:val="24"/>
                <w:lang w:val="en-US" w:eastAsia="zh-CN"/>
                <w14:textFill>
                  <w14:solidFill>
                    <w14:schemeClr w14:val="tx1"/>
                  </w14:solidFill>
                </w14:textFill>
              </w:rPr>
              <w:t>设备</w:t>
            </w:r>
            <w:r>
              <w:rPr>
                <w:rFonts w:hint="eastAsia" w:ascii="宋体" w:hAnsi="宋体" w:eastAsia="宋体" w:cs="Times New Roman"/>
                <w:bCs/>
                <w:color w:val="000000" w:themeColor="text1"/>
                <w:sz w:val="24"/>
                <w:szCs w:val="24"/>
                <w14:textFill>
                  <w14:solidFill>
                    <w14:schemeClr w14:val="tx1"/>
                  </w14:solidFill>
                </w14:textFill>
              </w:rPr>
              <w:t>主要核心</w:t>
            </w:r>
            <w:r>
              <w:rPr>
                <w:rFonts w:hint="eastAsia" w:ascii="宋体" w:hAnsi="宋体" w:eastAsia="宋体" w:cs="Times New Roman"/>
                <w:bCs/>
                <w:color w:val="000000" w:themeColor="text1"/>
                <w:sz w:val="24"/>
                <w:szCs w:val="24"/>
                <w:lang w:val="en-US" w:eastAsia="zh-CN"/>
                <w14:textFill>
                  <w14:solidFill>
                    <w14:schemeClr w14:val="tx1"/>
                  </w14:solidFill>
                </w14:textFill>
              </w:rPr>
              <w:t>零</w:t>
            </w:r>
            <w:r>
              <w:rPr>
                <w:rFonts w:hint="eastAsia" w:ascii="宋体" w:hAnsi="宋体" w:eastAsia="宋体" w:cs="Times New Roman"/>
                <w:bCs/>
                <w:color w:val="000000" w:themeColor="text1"/>
                <w:sz w:val="24"/>
                <w:szCs w:val="24"/>
                <w14:textFill>
                  <w14:solidFill>
                    <w14:schemeClr w14:val="tx1"/>
                  </w14:solidFill>
                </w14:textFill>
              </w:rPr>
              <w:t>部件，具备自身技术优势</w:t>
            </w:r>
          </w:p>
        </w:tc>
        <w:tc>
          <w:tcPr>
            <w:tcW w:w="912" w:type="dxa"/>
            <w:vAlign w:val="center"/>
          </w:tcPr>
          <w:p>
            <w:pPr>
              <w:spacing w:line="42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40</w:t>
            </w:r>
          </w:p>
        </w:tc>
        <w:tc>
          <w:tcPr>
            <w:tcW w:w="4792" w:type="dxa"/>
            <w:vAlign w:val="center"/>
          </w:tcPr>
          <w:p>
            <w:pPr>
              <w:spacing w:line="420" w:lineRule="exact"/>
              <w:rPr>
                <w:rFonts w:ascii="宋体" w:hAnsi="宋体" w:eastAsia="宋体" w:cs="Times New Roman"/>
                <w:sz w:val="24"/>
                <w:szCs w:val="24"/>
              </w:rPr>
            </w:pPr>
            <w:r>
              <w:rPr>
                <w:rFonts w:hint="eastAsia" w:ascii="宋体" w:hAnsi="宋体" w:eastAsia="宋体" w:cs="Times New Roman"/>
                <w:sz w:val="24"/>
                <w:szCs w:val="24"/>
              </w:rPr>
              <w:t>以下各项由评标委员会成员独立进行客观、公正的评价打分。</w:t>
            </w:r>
            <w:r>
              <w:rPr>
                <w:rFonts w:ascii="宋体" w:hAnsi="宋体" w:eastAsia="宋体" w:cs="Times New Roman"/>
                <w:sz w:val="24"/>
                <w:szCs w:val="24"/>
              </w:rPr>
              <w:t xml:space="preserve"> </w:t>
            </w:r>
          </w:p>
          <w:p>
            <w:pPr>
              <w:numPr>
                <w:ilvl w:val="0"/>
                <w:numId w:val="0"/>
              </w:numPr>
              <w:spacing w:line="420" w:lineRule="exact"/>
              <w:ind w:left="0" w:leftChars="0" w:firstLine="0" w:firstLineChars="0"/>
              <w:rPr>
                <w:rFonts w:ascii="宋体" w:hAnsi="Times New Roman" w:eastAsia="宋体" w:cs="Times New Roman"/>
                <w:sz w:val="24"/>
                <w:szCs w:val="24"/>
              </w:rPr>
            </w:pPr>
            <w:r>
              <w:rPr>
                <w:rFonts w:hint="eastAsia" w:ascii="宋体" w:hAnsi="宋体" w:eastAsia="宋体" w:cs="Times New Roman"/>
                <w:bCs/>
                <w:color w:val="000000" w:themeColor="text1"/>
                <w:sz w:val="24"/>
                <w:szCs w:val="24"/>
                <w14:textFill>
                  <w14:solidFill>
                    <w14:schemeClr w14:val="tx1"/>
                  </w14:solidFill>
                </w14:textFill>
              </w:rPr>
              <w:t>设备</w:t>
            </w:r>
            <w:r>
              <w:rPr>
                <w:rFonts w:hint="eastAsia" w:ascii="宋体" w:hAnsi="宋体" w:eastAsia="宋体" w:cs="Times New Roman"/>
                <w:bCs/>
                <w:color w:val="000000" w:themeColor="text1"/>
                <w:sz w:val="24"/>
                <w:szCs w:val="24"/>
                <w:lang w:val="en-US" w:eastAsia="zh-CN"/>
                <w14:textFill>
                  <w14:solidFill>
                    <w14:schemeClr w14:val="tx1"/>
                  </w14:solidFill>
                </w14:textFill>
              </w:rPr>
              <w:t>指标满足所有技术要求</w:t>
            </w:r>
            <w:r>
              <w:rPr>
                <w:rFonts w:hint="eastAsia" w:ascii="宋体" w:hAnsi="宋体" w:eastAsia="宋体" w:cs="Times New Roman"/>
                <w:bCs/>
                <w:color w:val="000000" w:themeColor="text1"/>
                <w:sz w:val="24"/>
                <w:szCs w:val="24"/>
                <w14:textFill>
                  <w14:solidFill>
                    <w14:schemeClr w14:val="tx1"/>
                  </w14:solidFill>
                </w14:textFill>
              </w:rPr>
              <w:t>，打分</w:t>
            </w:r>
            <w:r>
              <w:rPr>
                <w:rFonts w:ascii="宋体" w:hAnsi="宋体" w:eastAsia="宋体" w:cs="Times New Roman"/>
                <w:bCs/>
                <w:color w:val="000000" w:themeColor="text1"/>
                <w:sz w:val="24"/>
                <w:szCs w:val="24"/>
                <w14:textFill>
                  <w14:solidFill>
                    <w14:schemeClr w14:val="tx1"/>
                  </w14:solidFill>
                </w14:textFill>
              </w:rPr>
              <w:t>0-</w:t>
            </w:r>
            <w:r>
              <w:rPr>
                <w:rFonts w:hint="eastAsia" w:ascii="宋体" w:hAnsi="宋体" w:eastAsia="宋体" w:cs="Times New Roman"/>
                <w:bCs/>
                <w:color w:val="000000" w:themeColor="text1"/>
                <w:sz w:val="24"/>
                <w:szCs w:val="24"/>
                <w:lang w:val="en-US" w:eastAsia="zh-CN"/>
                <w14:textFill>
                  <w14:solidFill>
                    <w14:schemeClr w14:val="tx1"/>
                  </w14:solidFill>
                </w14:textFill>
              </w:rPr>
              <w:t>40</w:t>
            </w:r>
            <w:r>
              <w:rPr>
                <w:rFonts w:hint="eastAsia" w:ascii="宋体" w:hAnsi="宋体" w:eastAsia="宋体" w:cs="Times New Roman"/>
                <w:bCs/>
                <w:color w:val="000000" w:themeColor="text1"/>
                <w:sz w:val="24"/>
                <w:szCs w:val="24"/>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8" w:hRule="atLeast"/>
          <w:jc w:val="center"/>
        </w:trPr>
        <w:tc>
          <w:tcPr>
            <w:tcW w:w="428" w:type="pct"/>
            <w:vMerge w:val="continue"/>
            <w:vAlign w:val="center"/>
          </w:tcPr>
          <w:p>
            <w:pPr>
              <w:spacing w:line="360" w:lineRule="auto"/>
              <w:jc w:val="center"/>
              <w:rPr>
                <w:rFonts w:ascii="宋体" w:hAnsi="Times New Roman" w:eastAsia="宋体" w:cs="Times New Roman"/>
                <w:sz w:val="24"/>
                <w:szCs w:val="24"/>
              </w:rPr>
            </w:pPr>
          </w:p>
        </w:tc>
        <w:tc>
          <w:tcPr>
            <w:tcW w:w="552" w:type="dxa"/>
            <w:vAlign w:val="center"/>
          </w:tcPr>
          <w:p>
            <w:pPr>
              <w:spacing w:line="420" w:lineRule="exact"/>
              <w:jc w:val="center"/>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4</w:t>
            </w:r>
          </w:p>
        </w:tc>
        <w:tc>
          <w:tcPr>
            <w:tcW w:w="1812" w:type="dxa"/>
            <w:vAlign w:val="center"/>
          </w:tcPr>
          <w:p>
            <w:pPr>
              <w:spacing w:line="420" w:lineRule="exact"/>
              <w:rPr>
                <w:rFonts w:ascii="宋体" w:hAnsi="Times New Roman" w:eastAsia="宋体" w:cs="Times New Roman"/>
                <w:sz w:val="24"/>
                <w:szCs w:val="24"/>
              </w:rPr>
            </w:pPr>
            <w:r>
              <w:rPr>
                <w:rFonts w:hint="eastAsia" w:ascii="宋体" w:hAnsi="宋体" w:eastAsia="宋体" w:cs="Times New Roman"/>
                <w:bCs/>
                <w:sz w:val="24"/>
                <w:szCs w:val="24"/>
              </w:rPr>
              <w:t>技术偏离</w:t>
            </w:r>
          </w:p>
        </w:tc>
        <w:tc>
          <w:tcPr>
            <w:tcW w:w="912" w:type="dxa"/>
            <w:vAlign w:val="center"/>
          </w:tcPr>
          <w:p>
            <w:pPr>
              <w:spacing w:line="42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20</w:t>
            </w:r>
          </w:p>
        </w:tc>
        <w:tc>
          <w:tcPr>
            <w:tcW w:w="4792" w:type="dxa"/>
            <w:vAlign w:val="center"/>
          </w:tcPr>
          <w:p>
            <w:pPr>
              <w:spacing w:line="420" w:lineRule="exact"/>
              <w:jc w:val="left"/>
              <w:rPr>
                <w:rFonts w:ascii="宋体" w:hAnsi="Times New Roman" w:eastAsia="宋体" w:cs="Times New Roman"/>
                <w:bCs/>
                <w:sz w:val="24"/>
                <w:szCs w:val="24"/>
              </w:rPr>
            </w:pPr>
            <w:r>
              <w:rPr>
                <w:rFonts w:hint="eastAsia" w:ascii="宋体" w:hAnsi="宋体" w:eastAsia="宋体" w:cs="Times New Roman"/>
                <w:bCs/>
                <w:sz w:val="24"/>
                <w:szCs w:val="24"/>
              </w:rPr>
              <w:t>由评标委员会成员独立进行客观、公正的评价，根据各投标人的核心产品的配置参数、技术偏离情况，在满足我司技术基本要求的前提下偏离，无偏离得满分</w:t>
            </w:r>
            <w:r>
              <w:rPr>
                <w:rFonts w:hint="eastAsia" w:ascii="宋体" w:hAnsi="宋体" w:eastAsia="宋体" w:cs="Times New Roman"/>
                <w:bCs/>
                <w:sz w:val="24"/>
                <w:szCs w:val="24"/>
                <w:lang w:val="en-US" w:eastAsia="zh-CN"/>
              </w:rPr>
              <w:t>20</w:t>
            </w:r>
            <w:r>
              <w:rPr>
                <w:rFonts w:hint="eastAsia" w:ascii="宋体" w:hAnsi="宋体" w:eastAsia="宋体" w:cs="Times New Roman"/>
                <w:bCs/>
                <w:sz w:val="24"/>
                <w:szCs w:val="24"/>
              </w:rPr>
              <w:t>分，较大偏离每一项扣</w:t>
            </w:r>
            <w:r>
              <w:rPr>
                <w:rFonts w:hint="eastAsia" w:ascii="宋体" w:hAnsi="宋体" w:eastAsia="宋体" w:cs="Times New Roman"/>
                <w:bCs/>
                <w:sz w:val="24"/>
                <w:szCs w:val="24"/>
                <w:lang w:val="en-US" w:eastAsia="zh-CN"/>
              </w:rPr>
              <w:t>5</w:t>
            </w:r>
            <w:r>
              <w:rPr>
                <w:rFonts w:hint="eastAsia" w:ascii="宋体" w:hAnsi="宋体" w:eastAsia="宋体" w:cs="Times New Roman"/>
                <w:bCs/>
                <w:sz w:val="24"/>
                <w:szCs w:val="24"/>
              </w:rPr>
              <w:t>分，一般偏离每一项扣</w:t>
            </w:r>
            <w:r>
              <w:rPr>
                <w:rFonts w:hint="eastAsia" w:ascii="宋体" w:hAnsi="宋体" w:eastAsia="宋体" w:cs="Times New Roman"/>
                <w:bCs/>
                <w:sz w:val="24"/>
                <w:szCs w:val="24"/>
                <w:lang w:val="en-US" w:eastAsia="zh-CN"/>
              </w:rPr>
              <w:t>2</w:t>
            </w:r>
            <w:r>
              <w:rPr>
                <w:rFonts w:hint="eastAsia" w:ascii="宋体" w:hAnsi="宋体" w:eastAsia="宋体" w:cs="Times New Roman"/>
                <w:bCs/>
                <w:sz w:val="24"/>
                <w:szCs w:val="24"/>
              </w:rPr>
              <w:t>分，最低</w:t>
            </w:r>
            <w:r>
              <w:rPr>
                <w:rFonts w:ascii="宋体" w:hAnsi="Times New Roman" w:eastAsia="宋体" w:cs="Times New Roman"/>
                <w:bCs/>
                <w:sz w:val="24"/>
                <w:szCs w:val="24"/>
              </w:rPr>
              <w:t>0</w:t>
            </w:r>
            <w:r>
              <w:rPr>
                <w:rFonts w:hint="eastAsia" w:ascii="宋体" w:hAnsi="宋体" w:eastAsia="宋体" w:cs="Times New Roman"/>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428" w:type="pct"/>
            <w:vMerge w:val="continue"/>
            <w:vAlign w:val="center"/>
          </w:tcPr>
          <w:p>
            <w:pPr>
              <w:spacing w:line="360" w:lineRule="auto"/>
              <w:jc w:val="center"/>
              <w:rPr>
                <w:rFonts w:ascii="宋体" w:hAnsi="Times New Roman" w:eastAsia="宋体" w:cs="Times New Roman"/>
                <w:sz w:val="24"/>
                <w:szCs w:val="24"/>
              </w:rPr>
            </w:pPr>
          </w:p>
        </w:tc>
        <w:tc>
          <w:tcPr>
            <w:tcW w:w="552" w:type="dxa"/>
            <w:vAlign w:val="center"/>
          </w:tcPr>
          <w:p>
            <w:pPr>
              <w:spacing w:line="420" w:lineRule="exact"/>
              <w:jc w:val="center"/>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5</w:t>
            </w:r>
          </w:p>
        </w:tc>
        <w:tc>
          <w:tcPr>
            <w:tcW w:w="1812" w:type="dxa"/>
            <w:vAlign w:val="center"/>
          </w:tcPr>
          <w:p>
            <w:pPr>
              <w:spacing w:line="420" w:lineRule="exact"/>
              <w:rPr>
                <w:rFonts w:ascii="宋体" w:hAnsi="Times New Roman" w:eastAsia="宋体" w:cs="Times New Roman"/>
                <w:sz w:val="24"/>
                <w:szCs w:val="24"/>
              </w:rPr>
            </w:pPr>
            <w:r>
              <w:rPr>
                <w:rFonts w:hint="eastAsia" w:ascii="宋体" w:hAnsi="宋体" w:eastAsia="宋体" w:cs="Times New Roman"/>
                <w:sz w:val="24"/>
                <w:szCs w:val="24"/>
              </w:rPr>
              <w:t>培训服务：技术培训方案的科学性、合理性和可行性。</w:t>
            </w:r>
          </w:p>
        </w:tc>
        <w:tc>
          <w:tcPr>
            <w:tcW w:w="912" w:type="dxa"/>
            <w:vAlign w:val="center"/>
          </w:tcPr>
          <w:p>
            <w:pPr>
              <w:spacing w:line="42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5</w:t>
            </w:r>
          </w:p>
        </w:tc>
        <w:tc>
          <w:tcPr>
            <w:tcW w:w="4792" w:type="dxa"/>
            <w:vAlign w:val="center"/>
          </w:tcPr>
          <w:p>
            <w:pPr>
              <w:spacing w:line="420" w:lineRule="exact"/>
              <w:rPr>
                <w:rFonts w:ascii="宋体" w:hAnsi="Times New Roman" w:eastAsia="宋体" w:cs="Times New Roman"/>
                <w:bCs/>
                <w:sz w:val="24"/>
                <w:szCs w:val="24"/>
              </w:rPr>
            </w:pPr>
            <w:r>
              <w:rPr>
                <w:rFonts w:hint="eastAsia" w:ascii="宋体" w:hAnsi="宋体" w:eastAsia="宋体" w:cs="Times New Roman"/>
                <w:bCs/>
                <w:sz w:val="24"/>
                <w:szCs w:val="24"/>
              </w:rPr>
              <w:t>由评标委员会成员独立进行客观、公正的评价，按照优、良、一般进行赋分，优得</w:t>
            </w:r>
            <w:r>
              <w:rPr>
                <w:rFonts w:hint="eastAsia" w:ascii="宋体" w:hAnsi="宋体" w:eastAsia="宋体" w:cs="Times New Roman"/>
                <w:bCs/>
                <w:sz w:val="24"/>
                <w:szCs w:val="24"/>
                <w:lang w:val="en-US" w:eastAsia="zh-CN"/>
              </w:rPr>
              <w:t>5</w:t>
            </w:r>
            <w:r>
              <w:rPr>
                <w:rFonts w:hint="eastAsia" w:ascii="宋体" w:hAnsi="宋体" w:eastAsia="宋体" w:cs="Times New Roman"/>
                <w:bCs/>
                <w:sz w:val="24"/>
                <w:szCs w:val="24"/>
              </w:rPr>
              <w:t>分，良得</w:t>
            </w:r>
            <w:r>
              <w:rPr>
                <w:rFonts w:hint="eastAsia" w:ascii="宋体" w:hAnsi="宋体" w:eastAsia="宋体" w:cs="Times New Roman"/>
                <w:bCs/>
                <w:sz w:val="24"/>
                <w:szCs w:val="24"/>
                <w:lang w:val="en-US" w:eastAsia="zh-CN"/>
              </w:rPr>
              <w:t>3</w:t>
            </w:r>
            <w:r>
              <w:rPr>
                <w:rFonts w:hint="eastAsia" w:ascii="宋体" w:hAnsi="宋体" w:eastAsia="宋体" w:cs="Times New Roman"/>
                <w:bCs/>
                <w:sz w:val="24"/>
                <w:szCs w:val="24"/>
              </w:rPr>
              <w:t>分，一般得</w:t>
            </w:r>
            <w:r>
              <w:rPr>
                <w:rFonts w:hint="eastAsia" w:ascii="宋体" w:hAnsi="宋体" w:eastAsia="宋体" w:cs="Times New Roman"/>
                <w:bCs/>
                <w:sz w:val="24"/>
                <w:szCs w:val="24"/>
                <w:lang w:val="en-US" w:eastAsia="zh-CN"/>
              </w:rPr>
              <w:t>1</w:t>
            </w:r>
            <w:r>
              <w:rPr>
                <w:rFonts w:hint="eastAsia" w:ascii="宋体" w:hAnsi="宋体" w:eastAsia="宋体" w:cs="Times New Roman"/>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428" w:type="pct"/>
            <w:vMerge w:val="continue"/>
            <w:vAlign w:val="center"/>
          </w:tcPr>
          <w:p>
            <w:pPr>
              <w:spacing w:line="360" w:lineRule="auto"/>
              <w:jc w:val="center"/>
              <w:rPr>
                <w:rFonts w:ascii="宋体" w:hAnsi="Times New Roman" w:eastAsia="宋体" w:cs="Times New Roman"/>
                <w:sz w:val="24"/>
                <w:szCs w:val="24"/>
              </w:rPr>
            </w:pPr>
          </w:p>
        </w:tc>
        <w:tc>
          <w:tcPr>
            <w:tcW w:w="552" w:type="dxa"/>
            <w:vAlign w:val="center"/>
          </w:tcPr>
          <w:p>
            <w:pPr>
              <w:spacing w:line="420" w:lineRule="exact"/>
              <w:jc w:val="center"/>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6</w:t>
            </w:r>
          </w:p>
        </w:tc>
        <w:tc>
          <w:tcPr>
            <w:tcW w:w="1812" w:type="dxa"/>
            <w:vAlign w:val="center"/>
          </w:tcPr>
          <w:p>
            <w:pPr>
              <w:spacing w:line="420" w:lineRule="exact"/>
              <w:rPr>
                <w:rFonts w:hint="eastAsia" w:ascii="宋体" w:hAnsi="Times New Roman" w:eastAsia="宋体" w:cs="Times New Roman"/>
                <w:sz w:val="24"/>
                <w:szCs w:val="24"/>
                <w:lang w:eastAsia="zh-CN"/>
              </w:rPr>
            </w:pPr>
            <w:r>
              <w:rPr>
                <w:rFonts w:hint="eastAsia" w:ascii="宋体" w:hAnsi="宋体" w:eastAsia="宋体" w:cs="Times New Roman"/>
                <w:sz w:val="24"/>
                <w:szCs w:val="24"/>
              </w:rPr>
              <w:t>售后服务的承诺和具体的保证措施，承诺到现场的相应时间</w:t>
            </w:r>
            <w:r>
              <w:rPr>
                <w:rFonts w:hint="eastAsia" w:ascii="宋体" w:hAnsi="宋体" w:eastAsia="宋体" w:cs="Times New Roman"/>
                <w:sz w:val="24"/>
                <w:szCs w:val="24"/>
                <w:lang w:eastAsia="zh-CN"/>
              </w:rPr>
              <w:t>。</w:t>
            </w:r>
          </w:p>
        </w:tc>
        <w:tc>
          <w:tcPr>
            <w:tcW w:w="912" w:type="dxa"/>
            <w:vAlign w:val="center"/>
          </w:tcPr>
          <w:p>
            <w:pPr>
              <w:spacing w:line="420" w:lineRule="exact"/>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5</w:t>
            </w:r>
          </w:p>
        </w:tc>
        <w:tc>
          <w:tcPr>
            <w:tcW w:w="4792" w:type="dxa"/>
            <w:vAlign w:val="center"/>
          </w:tcPr>
          <w:p>
            <w:pPr>
              <w:spacing w:line="420" w:lineRule="exact"/>
              <w:rPr>
                <w:rFonts w:ascii="宋体" w:hAnsi="Times New Roman" w:eastAsia="宋体" w:cs="Times New Roman"/>
                <w:bCs/>
                <w:sz w:val="24"/>
                <w:szCs w:val="24"/>
              </w:rPr>
            </w:pPr>
            <w:r>
              <w:rPr>
                <w:rFonts w:hint="eastAsia" w:ascii="宋体" w:hAnsi="宋体" w:eastAsia="宋体" w:cs="Times New Roman"/>
                <w:bCs/>
                <w:sz w:val="24"/>
                <w:szCs w:val="24"/>
              </w:rPr>
              <w:t>由评标委员会成员独立进行客观、公正的评价，按照优、良、一般进行赋分，优得</w:t>
            </w:r>
            <w:r>
              <w:rPr>
                <w:rFonts w:hint="eastAsia" w:ascii="宋体" w:hAnsi="宋体" w:eastAsia="宋体" w:cs="Times New Roman"/>
                <w:bCs/>
                <w:sz w:val="24"/>
                <w:szCs w:val="24"/>
                <w:lang w:val="en-US" w:eastAsia="zh-CN"/>
              </w:rPr>
              <w:t>5</w:t>
            </w:r>
            <w:r>
              <w:rPr>
                <w:rFonts w:hint="eastAsia" w:ascii="宋体" w:hAnsi="宋体" w:eastAsia="宋体" w:cs="Times New Roman"/>
                <w:bCs/>
                <w:sz w:val="24"/>
                <w:szCs w:val="24"/>
              </w:rPr>
              <w:t>分，良得</w:t>
            </w:r>
            <w:r>
              <w:rPr>
                <w:rFonts w:hint="eastAsia" w:ascii="宋体" w:hAnsi="宋体" w:eastAsia="宋体" w:cs="Times New Roman"/>
                <w:bCs/>
                <w:sz w:val="24"/>
                <w:szCs w:val="24"/>
                <w:lang w:val="en-US" w:eastAsia="zh-CN"/>
              </w:rPr>
              <w:t>3</w:t>
            </w:r>
            <w:r>
              <w:rPr>
                <w:rFonts w:hint="eastAsia" w:ascii="宋体" w:hAnsi="宋体" w:eastAsia="宋体" w:cs="Times New Roman"/>
                <w:bCs/>
                <w:sz w:val="24"/>
                <w:szCs w:val="24"/>
              </w:rPr>
              <w:t>分，一般得1分。</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000000"/>
          <w:sz w:val="24"/>
          <w:szCs w:val="24"/>
        </w:rPr>
        <w:sectPr>
          <w:headerReference r:id="rId13" w:type="default"/>
          <w:footerReference r:id="rId15" w:type="default"/>
          <w:headerReference r:id="rId14" w:type="even"/>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b/>
          <w:bCs/>
          <w:color w:val="000000"/>
          <w:sz w:val="24"/>
          <w:szCs w:val="24"/>
        </w:rPr>
        <w:t>2、技术标根据评分办法进行打分，技术标评标小组推荐3家技术得分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p>
    <w:p>
      <w:pPr>
        <w:outlineLvl w:val="0"/>
        <w:rPr>
          <w:rFonts w:hint="eastAsia" w:ascii="宋体" w:hAnsi="宋体" w:eastAsia="宋体" w:cs="宋体"/>
          <w:sz w:val="30"/>
          <w:szCs w:val="30"/>
          <w:lang w:eastAsia="zh-CN"/>
        </w:rPr>
      </w:pPr>
      <w:r>
        <w:rPr>
          <w:rFonts w:hint="eastAsia" w:ascii="宋体" w:hAnsi="宋体" w:eastAsia="宋体" w:cs="宋体"/>
          <w:sz w:val="30"/>
          <w:szCs w:val="30"/>
        </w:rPr>
        <w:t>第二</w:t>
      </w:r>
      <w:r>
        <w:rPr>
          <w:rFonts w:hint="eastAsia" w:ascii="宋体" w:hAnsi="宋体" w:cs="宋体"/>
          <w:sz w:val="30"/>
          <w:szCs w:val="30"/>
          <w:lang w:val="en-US" w:eastAsia="zh-CN"/>
        </w:rPr>
        <w:t>部分</w:t>
      </w:r>
      <w:r>
        <w:rPr>
          <w:rFonts w:hint="eastAsia" w:ascii="宋体" w:hAnsi="宋体" w:eastAsia="宋体" w:cs="宋体"/>
          <w:sz w:val="30"/>
          <w:szCs w:val="30"/>
          <w:highlight w:val="none"/>
          <w:lang w:val="en-US" w:eastAsia="zh-CN"/>
        </w:rPr>
        <w:t xml:space="preserve"> </w:t>
      </w:r>
      <w:r>
        <w:rPr>
          <w:rFonts w:hint="eastAsia" w:ascii="宋体" w:hAnsi="宋体" w:eastAsia="宋体" w:cs="宋体"/>
          <w:sz w:val="30"/>
          <w:szCs w:val="30"/>
          <w:highlight w:val="none"/>
        </w:rPr>
        <w:t>技术</w:t>
      </w:r>
      <w:r>
        <w:rPr>
          <w:rFonts w:hint="eastAsia" w:ascii="宋体" w:hAnsi="宋体" w:cs="宋体"/>
          <w:sz w:val="30"/>
          <w:szCs w:val="30"/>
          <w:highlight w:val="none"/>
          <w:lang w:val="en-US" w:eastAsia="zh-CN"/>
        </w:rPr>
        <w:t>标书</w:t>
      </w:r>
    </w:p>
    <w:p>
      <w:pPr>
        <w:spacing w:line="880" w:lineRule="exact"/>
        <w:jc w:val="center"/>
        <w:rPr>
          <w:b/>
          <w:bCs/>
          <w:spacing w:val="-8"/>
          <w:sz w:val="48"/>
          <w:szCs w:val="44"/>
        </w:rPr>
      </w:pPr>
      <w:r>
        <w:rPr>
          <w:b/>
          <w:bCs/>
          <w:spacing w:val="-8"/>
          <w:sz w:val="48"/>
          <w:szCs w:val="44"/>
        </w:rPr>
        <w:t>中国重汽集团济南动力有限公司</w:t>
      </w:r>
    </w:p>
    <w:p>
      <w:pPr>
        <w:jc w:val="center"/>
        <w:rPr>
          <w:b/>
          <w:bCs/>
          <w:spacing w:val="-8"/>
          <w:sz w:val="48"/>
          <w:szCs w:val="44"/>
        </w:rPr>
      </w:pPr>
      <w:r>
        <w:rPr>
          <w:rFonts w:hint="eastAsia"/>
          <w:b/>
          <w:bCs/>
          <w:spacing w:val="-8"/>
          <w:sz w:val="48"/>
          <w:szCs w:val="44"/>
          <w:lang w:eastAsia="zh-CN"/>
        </w:rPr>
        <w:t>驱动电机轴电测试仪器配件</w:t>
      </w:r>
      <w:r>
        <w:rPr>
          <w:b/>
          <w:bCs/>
          <w:spacing w:val="-8"/>
          <w:sz w:val="48"/>
          <w:szCs w:val="44"/>
        </w:rPr>
        <w:t>招标项目</w:t>
      </w:r>
    </w:p>
    <w:p>
      <w:pPr>
        <w:jc w:val="right"/>
        <w:rPr>
          <w:sz w:val="28"/>
          <w:szCs w:val="28"/>
        </w:rPr>
      </w:pPr>
    </w:p>
    <w:p>
      <w:pPr>
        <w:jc w:val="right"/>
        <w:rPr>
          <w:sz w:val="28"/>
          <w:szCs w:val="28"/>
        </w:rPr>
      </w:pPr>
    </w:p>
    <w:p>
      <w:pPr>
        <w:jc w:val="center"/>
        <w:rPr>
          <w:rFonts w:ascii="宋体" w:hAnsi="宋体"/>
          <w:sz w:val="84"/>
          <w:szCs w:val="84"/>
        </w:rPr>
      </w:pPr>
      <w:r>
        <w:rPr>
          <w:rFonts w:hint="eastAsia" w:ascii="宋体" w:hAnsi="宋体"/>
          <w:sz w:val="84"/>
          <w:szCs w:val="84"/>
        </w:rPr>
        <w:t>技</w:t>
      </w:r>
    </w:p>
    <w:p>
      <w:pPr>
        <w:jc w:val="center"/>
        <w:rPr>
          <w:rFonts w:ascii="宋体" w:hAnsi="宋体"/>
          <w:sz w:val="84"/>
          <w:szCs w:val="84"/>
        </w:rPr>
      </w:pPr>
      <w:r>
        <w:rPr>
          <w:rFonts w:hint="eastAsia" w:ascii="宋体" w:hAnsi="宋体"/>
          <w:sz w:val="84"/>
          <w:szCs w:val="84"/>
        </w:rPr>
        <w:t>术</w:t>
      </w:r>
    </w:p>
    <w:p>
      <w:pPr>
        <w:jc w:val="center"/>
        <w:rPr>
          <w:rFonts w:ascii="宋体" w:hAnsi="宋体"/>
          <w:sz w:val="84"/>
          <w:szCs w:val="84"/>
        </w:rPr>
      </w:pPr>
      <w:r>
        <w:rPr>
          <w:rFonts w:hint="eastAsia" w:ascii="宋体" w:hAnsi="宋体"/>
          <w:sz w:val="84"/>
          <w:szCs w:val="84"/>
        </w:rPr>
        <w:t>标</w:t>
      </w:r>
    </w:p>
    <w:p>
      <w:pPr>
        <w:jc w:val="center"/>
        <w:rPr>
          <w:rFonts w:ascii="宋体" w:hAnsi="宋体"/>
          <w:sz w:val="72"/>
          <w:szCs w:val="72"/>
        </w:rPr>
      </w:pPr>
      <w:r>
        <w:rPr>
          <w:rFonts w:hint="eastAsia" w:ascii="宋体" w:hAnsi="宋体"/>
          <w:sz w:val="84"/>
          <w:szCs w:val="84"/>
        </w:rPr>
        <w:t>书</w:t>
      </w:r>
    </w:p>
    <w:p>
      <w:pPr>
        <w:ind w:firstLine="3300" w:firstLineChars="1100"/>
        <w:rPr>
          <w:sz w:val="30"/>
          <w:szCs w:val="30"/>
        </w:rPr>
      </w:pPr>
      <w:r>
        <w:rPr>
          <w:sz w:val="30"/>
          <w:szCs w:val="30"/>
        </w:rPr>
        <w:t>编制：</w:t>
      </w:r>
    </w:p>
    <w:p>
      <w:pPr>
        <w:rPr>
          <w:sz w:val="30"/>
          <w:szCs w:val="30"/>
        </w:rPr>
      </w:pPr>
      <w:r>
        <w:rPr>
          <w:rFonts w:hint="eastAsia"/>
          <w:sz w:val="30"/>
          <w:szCs w:val="30"/>
        </w:rPr>
        <w:t xml:space="preserve">                        </w:t>
      </w:r>
    </w:p>
    <w:p>
      <w:pPr>
        <w:ind w:firstLine="3300" w:firstLineChars="1100"/>
        <w:rPr>
          <w:sz w:val="30"/>
          <w:szCs w:val="30"/>
        </w:rPr>
      </w:pPr>
      <w:r>
        <w:rPr>
          <w:sz w:val="30"/>
          <w:szCs w:val="30"/>
        </w:rPr>
        <w:t xml:space="preserve">审核：  </w:t>
      </w:r>
    </w:p>
    <w:p>
      <w:pPr>
        <w:rPr>
          <w:sz w:val="30"/>
          <w:szCs w:val="30"/>
        </w:rPr>
      </w:pPr>
      <w:r>
        <w:rPr>
          <w:rFonts w:hint="eastAsia"/>
          <w:sz w:val="30"/>
          <w:szCs w:val="30"/>
        </w:rPr>
        <w:t xml:space="preserve">                       </w:t>
      </w:r>
    </w:p>
    <w:p>
      <w:pPr>
        <w:ind w:firstLine="3300" w:firstLineChars="1100"/>
        <w:rPr>
          <w:sz w:val="30"/>
          <w:szCs w:val="30"/>
        </w:rPr>
      </w:pPr>
      <w:r>
        <w:rPr>
          <w:sz w:val="30"/>
          <w:szCs w:val="30"/>
        </w:rPr>
        <w:t>批准：</w:t>
      </w:r>
    </w:p>
    <w:p>
      <w:pPr>
        <w:ind w:firstLine="3080" w:firstLineChars="1100"/>
        <w:rPr>
          <w:sz w:val="28"/>
          <w:szCs w:val="28"/>
        </w:rPr>
      </w:pPr>
    </w:p>
    <w:p>
      <w:pPr>
        <w:jc w:val="center"/>
        <w:rPr>
          <w:sz w:val="28"/>
          <w:szCs w:val="28"/>
        </w:rPr>
      </w:pPr>
      <w:r>
        <w:rPr>
          <w:sz w:val="28"/>
          <w:szCs w:val="28"/>
        </w:rPr>
        <w:t>招 标 人：中国重汽集团济南动力有限公司</w:t>
      </w:r>
    </w:p>
    <w:p>
      <w:pPr>
        <w:jc w:val="center"/>
        <w:rPr>
          <w:sz w:val="28"/>
          <w:szCs w:val="28"/>
        </w:rPr>
        <w:sectPr>
          <w:footerReference r:id="rId17" w:type="first"/>
          <w:footerReference r:id="rId16" w:type="default"/>
          <w:pgSz w:w="11906" w:h="16838"/>
          <w:pgMar w:top="1588" w:right="1418" w:bottom="1134" w:left="1418" w:header="851" w:footer="992" w:gutter="0"/>
          <w:pgNumType w:fmt="decimal"/>
          <w:cols w:space="720" w:num="1"/>
          <w:titlePg/>
          <w:docGrid w:type="lines" w:linePitch="312" w:charSpace="0"/>
        </w:sectPr>
      </w:pPr>
      <w:r>
        <w:rPr>
          <w:sz w:val="28"/>
          <w:szCs w:val="28"/>
        </w:rPr>
        <w:t>202</w:t>
      </w:r>
      <w:r>
        <w:rPr>
          <w:rFonts w:hint="eastAsia"/>
          <w:sz w:val="28"/>
          <w:szCs w:val="28"/>
          <w:lang w:val="en-US" w:eastAsia="zh-CN"/>
        </w:rPr>
        <w:t>6</w:t>
      </w:r>
      <w:r>
        <w:rPr>
          <w:sz w:val="28"/>
          <w:szCs w:val="28"/>
        </w:rPr>
        <w:t xml:space="preserve">年 </w:t>
      </w:r>
      <w:r>
        <w:rPr>
          <w:rFonts w:hint="eastAsia"/>
          <w:sz w:val="28"/>
          <w:szCs w:val="28"/>
          <w:lang w:val="en-US" w:eastAsia="zh-CN"/>
        </w:rPr>
        <w:t>6</w:t>
      </w:r>
      <w:r>
        <w:rPr>
          <w:rFonts w:hint="eastAsia"/>
          <w:sz w:val="28"/>
          <w:szCs w:val="28"/>
        </w:rPr>
        <w:t xml:space="preserve"> </w:t>
      </w:r>
      <w:r>
        <w:rPr>
          <w:sz w:val="28"/>
          <w:szCs w:val="28"/>
        </w:rPr>
        <w:t>月</w:t>
      </w:r>
      <w:bookmarkStart w:id="21" w:name="_Toc465187638"/>
      <w:bookmarkStart w:id="22" w:name="_Toc283814116"/>
    </w:p>
    <w:p>
      <w:pPr>
        <w:pStyle w:val="232"/>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zh-CN"/>
        </w:rPr>
        <w:t>目  录</w:t>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TOC \o "1-5" \h \z \u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_Toc14890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第一章 使用环境</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_Toc14890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_Toc51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第二章 采购货物概况</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_Toc51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2</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_Toc23662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第三章  技术要求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_Toc23662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_Toc16040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3.1 特别提示</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_Toc16040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_Toc28015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3.2 基本要求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_Toc28015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_Toc29225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3.3 执行标准</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_Toc29225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_Toc15483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3.4 货物需求一览表</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_Toc15483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_Toc28910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3.5 技术要求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_Toc28910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_Toc651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 xml:space="preserve">3.5.1 </w:t>
      </w:r>
      <w:r>
        <w:rPr>
          <w:rFonts w:hint="eastAsia" w:ascii="宋体" w:hAnsi="宋体" w:eastAsia="宋体" w:cs="宋体"/>
          <w:b w:val="0"/>
          <w:bCs w:val="0"/>
          <w:sz w:val="21"/>
          <w:szCs w:val="21"/>
          <w:lang w:eastAsia="zh-CN"/>
        </w:rPr>
        <w:t>驱动电机轴电测试仪器配件项目</w:t>
      </w:r>
      <w:r>
        <w:rPr>
          <w:rFonts w:hint="eastAsia" w:ascii="宋体" w:hAnsi="宋体" w:eastAsia="宋体" w:cs="宋体"/>
          <w:b w:val="0"/>
          <w:bCs w:val="0"/>
          <w:sz w:val="21"/>
          <w:szCs w:val="21"/>
        </w:rPr>
        <w:t>技术要求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_Toc651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1"/>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_Toc17730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3.5.1.1功能用途</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_Toc17730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1"/>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_Toc18727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3.5.1.2</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驱动电机轴电测试仪器配件项目</w:t>
      </w:r>
      <w:r>
        <w:rPr>
          <w:rFonts w:hint="eastAsia" w:ascii="宋体" w:hAnsi="宋体" w:eastAsia="宋体" w:cs="宋体"/>
          <w:b w:val="0"/>
          <w:bCs w:val="0"/>
          <w:sz w:val="21"/>
          <w:szCs w:val="21"/>
        </w:rPr>
        <w:t>配置要求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_Toc18727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1"/>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_Toc331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3.5.1.3</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驱动电机轴电测试仪器配件项目</w:t>
      </w:r>
      <w:r>
        <w:rPr>
          <w:rFonts w:hint="eastAsia" w:ascii="宋体" w:hAnsi="宋体" w:eastAsia="宋体" w:cs="宋体"/>
          <w:b w:val="0"/>
          <w:bCs w:val="0"/>
          <w:sz w:val="21"/>
          <w:szCs w:val="21"/>
        </w:rPr>
        <w:t>技术要求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_Toc331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_Toc21906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第四章  供货范围及供货方式</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_Toc21906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7</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_Toc18964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4.1 供货范围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_Toc18964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7</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_Toc8764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4.1.1 供货范围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_Toc8764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7</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_Toc7086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4.1.2 备品备件、易损件和专用耗材供货范围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_Toc7086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8</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_Toc195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4.1.3 技术资料供货范围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_Toc195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8</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_Toc6065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4.1.4 供货范围特别提示</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_Toc6065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_Toc4371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4.2 供货方式</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_Toc4371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_Toc30814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4.2.1 供货方式</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_Toc30814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_Toc24157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4.2.2 供货地点</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_Toc24157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_Toc22060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4.2.3 供货时间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_Toc22060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_Toc14598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4.2.4 包装</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_Toc14598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43"/>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_Toc6807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4.2.5 运输</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_Toc6807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10</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_Toc23733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第五章  质保期及售后服务</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_Toc23733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11</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_Toc4697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5.1 质保期及质保要求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_Toc4697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11</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_Toc11303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5.2 技术及培训服务</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_Toc11303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11</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_Toc25208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5.3 安装调试及验收服务</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_Toc25208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11</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_Toc22660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5.4 售后服务</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_Toc22660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12</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_Toc32469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5.5 其它服务</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_Toc32469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12</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_Toc14387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第六章  预验收和终验收</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_Toc14387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13</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_Toc30237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6.1验收依据和验收标准</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_Toc30237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13</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_Toc29061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6.2 检验</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_Toc29061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13</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_Toc17990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6.3 验收基本条件</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_Toc17990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13</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_Toc32705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第七章  投标技术文件一般要求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_Toc32705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16</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_Toc17928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7.1 技术文件一般内容要求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_Toc17928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16</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_Toc3392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7.2 技术文件中货物报价格式要求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_Toc3392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16</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_Toc21220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7.3 验收标准及内容要求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_Toc21220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17</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60"/>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_Toc13247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第八章  其它要求及说明</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_Toc13247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18</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_Toc12485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8.1 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_Toc12485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18</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74"/>
        <w:tabs>
          <w:tab w:val="right" w:leader="dot" w:pos="9070"/>
        </w:tabs>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fldChar w:fldCharType="begin"/>
      </w:r>
      <w:r>
        <w:rPr>
          <w:rFonts w:hint="eastAsia" w:ascii="宋体" w:hAnsi="宋体" w:eastAsia="宋体" w:cs="宋体"/>
          <w:b w:val="0"/>
          <w:bCs w:val="0"/>
          <w:sz w:val="21"/>
          <w:szCs w:val="21"/>
        </w:rPr>
        <w:instrText xml:space="preserve"> HYPERLINK \l _Toc31776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8.2 说明</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_Toc31776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18</w:t>
      </w:r>
      <w:r>
        <w:rPr>
          <w:rFonts w:hint="eastAsia" w:ascii="宋体" w:hAnsi="宋体" w:eastAsia="宋体" w:cs="宋体"/>
          <w:b w:val="0"/>
          <w:bCs w:val="0"/>
          <w:sz w:val="21"/>
          <w:szCs w:val="21"/>
        </w:rPr>
        <w:fldChar w:fldCharType="end"/>
      </w:r>
      <w:r>
        <w:rPr>
          <w:rFonts w:hint="eastAsia" w:ascii="宋体" w:hAnsi="宋体" w:eastAsia="宋体" w:cs="宋体"/>
          <w:b w:val="0"/>
          <w:bCs w:val="0"/>
          <w:color w:val="auto"/>
          <w:sz w:val="21"/>
          <w:szCs w:val="21"/>
        </w:rPr>
        <w:fldChar w:fldCharType="end"/>
      </w:r>
    </w:p>
    <w:p>
      <w:pPr>
        <w:pStyle w:val="232"/>
        <w:rPr>
          <w:rFonts w:ascii="宋体" w:hAnsi="宋体"/>
          <w:color w:val="auto"/>
          <w:sz w:val="21"/>
          <w:szCs w:val="21"/>
        </w:rPr>
        <w:sectPr>
          <w:headerReference r:id="rId18" w:type="first"/>
          <w:footerReference r:id="rId19" w:type="firs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b w:val="0"/>
          <w:bCs w:val="0"/>
          <w:color w:val="auto"/>
          <w:sz w:val="21"/>
          <w:szCs w:val="21"/>
        </w:rPr>
        <w:fldChar w:fldCharType="end"/>
      </w:r>
    </w:p>
    <w:bookmarkEnd w:id="21"/>
    <w:p>
      <w:pPr>
        <w:pStyle w:val="108"/>
        <w:outlineLvl w:val="1"/>
        <w:rPr>
          <w:color w:val="auto"/>
        </w:rPr>
      </w:pPr>
      <w:bookmarkStart w:id="23" w:name="_Toc130903423"/>
      <w:bookmarkStart w:id="24" w:name="_Toc2341219"/>
      <w:bookmarkStart w:id="25" w:name="_Toc14890"/>
      <w:r>
        <w:rPr>
          <w:rFonts w:hint="eastAsia"/>
          <w:color w:val="auto"/>
        </w:rPr>
        <w:t>第一章 使用环境</w:t>
      </w:r>
      <w:bookmarkEnd w:id="23"/>
      <w:bookmarkEnd w:id="24"/>
      <w:bookmarkEnd w:id="25"/>
    </w:p>
    <w:p>
      <w:pPr>
        <w:spacing w:line="420" w:lineRule="exact"/>
        <w:ind w:firstLine="480" w:firstLineChars="200"/>
        <w:rPr>
          <w:rFonts w:hint="eastAsia" w:ascii="宋体" w:hAnsi="宋体" w:eastAsia="黑体"/>
          <w:sz w:val="24"/>
          <w:szCs w:val="24"/>
          <w:u w:val="single"/>
          <w:lang w:eastAsia="zh-CN"/>
        </w:rPr>
      </w:pPr>
      <w:r>
        <w:rPr>
          <w:rFonts w:hint="eastAsia" w:ascii="黑体" w:hAnsi="宋体" w:eastAsia="黑体"/>
          <w:sz w:val="24"/>
          <w:szCs w:val="24"/>
        </w:rPr>
        <w:t>一、项目名称：</w:t>
      </w:r>
      <w:r>
        <w:rPr>
          <w:rFonts w:hint="eastAsia" w:ascii="宋体" w:hAnsi="宋体"/>
          <w:sz w:val="24"/>
          <w:szCs w:val="24"/>
          <w:u w:val="single"/>
          <w:lang w:eastAsia="zh-CN"/>
        </w:rPr>
        <w:t>驱动电机轴电测试仪器配件项目</w:t>
      </w:r>
    </w:p>
    <w:p>
      <w:pPr>
        <w:spacing w:line="420" w:lineRule="exact"/>
        <w:ind w:firstLine="480" w:firstLineChars="200"/>
        <w:rPr>
          <w:rFonts w:ascii="宋体"/>
          <w:sz w:val="24"/>
          <w:szCs w:val="24"/>
          <w:u w:val="single"/>
          <w:shd w:val="pct10" w:color="auto" w:fill="FFFFFF"/>
        </w:rPr>
      </w:pPr>
      <w:r>
        <w:rPr>
          <w:rFonts w:hint="eastAsia" w:ascii="黑体" w:hAnsi="宋体" w:eastAsia="黑体"/>
          <w:sz w:val="24"/>
          <w:szCs w:val="24"/>
        </w:rPr>
        <w:t>二、建设地点：</w:t>
      </w:r>
      <w:r>
        <w:rPr>
          <w:rFonts w:hint="eastAsia" w:ascii="宋体" w:hAnsi="宋体"/>
          <w:sz w:val="24"/>
          <w:szCs w:val="24"/>
          <w:u w:val="single"/>
        </w:rPr>
        <w:t>济南市莱芜区口镇重汽</w:t>
      </w:r>
      <w:r>
        <w:rPr>
          <w:rFonts w:hint="eastAsia" w:ascii="宋体" w:hAnsi="宋体" w:cs="宋体"/>
          <w:sz w:val="24"/>
          <w:szCs w:val="24"/>
          <w:u w:val="single"/>
        </w:rPr>
        <w:t>新能源产品试验检测中心</w:t>
      </w:r>
    </w:p>
    <w:p>
      <w:pPr>
        <w:spacing w:line="420" w:lineRule="exact"/>
        <w:ind w:firstLine="480" w:firstLineChars="200"/>
        <w:rPr>
          <w:rFonts w:ascii="宋体"/>
          <w:sz w:val="24"/>
          <w:szCs w:val="24"/>
          <w:shd w:val="pct10" w:color="auto" w:fill="FFFFFF"/>
        </w:rPr>
      </w:pPr>
      <w:r>
        <w:rPr>
          <w:rFonts w:hint="eastAsia" w:ascii="黑体" w:hAnsi="宋体" w:eastAsia="黑体"/>
          <w:sz w:val="24"/>
          <w:szCs w:val="24"/>
        </w:rPr>
        <w:t>三、使用地点：</w:t>
      </w:r>
      <w:r>
        <w:rPr>
          <w:rFonts w:hint="eastAsia" w:ascii="宋体" w:hAnsi="宋体"/>
          <w:sz w:val="24"/>
          <w:szCs w:val="24"/>
          <w:u w:val="single"/>
        </w:rPr>
        <w:t>济南市莱芜区口镇重汽</w:t>
      </w:r>
      <w:r>
        <w:rPr>
          <w:rFonts w:hint="eastAsia" w:ascii="宋体" w:hAnsi="宋体" w:cs="宋体"/>
          <w:sz w:val="24"/>
          <w:szCs w:val="24"/>
          <w:u w:val="single"/>
        </w:rPr>
        <w:t>新能源产品试验检测中心</w:t>
      </w:r>
    </w:p>
    <w:p>
      <w:pPr>
        <w:spacing w:line="420" w:lineRule="exact"/>
        <w:ind w:firstLine="480" w:firstLineChars="200"/>
        <w:rPr>
          <w:rFonts w:ascii="黑体" w:hAnsi="宋体" w:eastAsia="黑体"/>
          <w:sz w:val="24"/>
          <w:szCs w:val="24"/>
        </w:rPr>
      </w:pPr>
      <w:r>
        <w:rPr>
          <w:rFonts w:hint="eastAsia" w:ascii="黑体" w:hAnsi="宋体" w:eastAsia="黑体"/>
          <w:sz w:val="24"/>
          <w:szCs w:val="24"/>
        </w:rPr>
        <w:t>四、工作制度：</w:t>
      </w:r>
      <w:r>
        <w:rPr>
          <w:rFonts w:hint="eastAsia" w:ascii="宋体" w:hAnsi="宋体"/>
          <w:sz w:val="24"/>
          <w:szCs w:val="24"/>
        </w:rPr>
        <w:t>全年工作</w:t>
      </w:r>
      <w:r>
        <w:rPr>
          <w:rFonts w:ascii="宋体" w:hAnsi="宋体"/>
          <w:sz w:val="24"/>
          <w:szCs w:val="24"/>
          <w:u w:val="single"/>
        </w:rPr>
        <w:t>365</w:t>
      </w:r>
      <w:r>
        <w:rPr>
          <w:rFonts w:hint="eastAsia" w:ascii="宋体" w:hAnsi="宋体"/>
          <w:sz w:val="24"/>
          <w:szCs w:val="24"/>
        </w:rPr>
        <w:t>天、</w:t>
      </w:r>
      <w:r>
        <w:rPr>
          <w:rFonts w:hint="eastAsia" w:ascii="宋体" w:hAnsi="宋体"/>
          <w:sz w:val="24"/>
          <w:szCs w:val="24"/>
          <w:u w:val="single"/>
          <w:lang w:val="en-US" w:eastAsia="zh-CN"/>
        </w:rPr>
        <w:t>一</w:t>
      </w:r>
      <w:r>
        <w:rPr>
          <w:rFonts w:hint="eastAsia" w:ascii="宋体" w:hAnsi="宋体"/>
          <w:sz w:val="24"/>
          <w:szCs w:val="24"/>
        </w:rPr>
        <w:t>班制、设备年时基数</w:t>
      </w:r>
      <w:r>
        <w:rPr>
          <w:rFonts w:hint="eastAsia" w:ascii="宋体" w:hAnsi="宋体"/>
          <w:sz w:val="24"/>
          <w:szCs w:val="24"/>
          <w:u w:val="single"/>
          <w:lang w:val="en-US" w:eastAsia="zh-CN"/>
        </w:rPr>
        <w:t>2920</w:t>
      </w:r>
      <w:r>
        <w:rPr>
          <w:rFonts w:hint="eastAsia" w:ascii="宋体" w:hAnsi="宋体"/>
          <w:sz w:val="24"/>
          <w:szCs w:val="24"/>
        </w:rPr>
        <w:t>小时</w:t>
      </w:r>
    </w:p>
    <w:p>
      <w:pPr>
        <w:spacing w:line="420" w:lineRule="exact"/>
        <w:ind w:firstLine="480" w:firstLineChars="200"/>
        <w:rPr>
          <w:rFonts w:ascii="黑体" w:hAnsi="黑体" w:eastAsia="黑体"/>
          <w:sz w:val="24"/>
          <w:szCs w:val="24"/>
        </w:rPr>
      </w:pPr>
      <w:r>
        <w:rPr>
          <w:rFonts w:hint="eastAsia" w:ascii="黑体" w:hAnsi="黑体" w:eastAsia="黑体"/>
          <w:sz w:val="24"/>
          <w:szCs w:val="24"/>
        </w:rPr>
        <w:t>五、使用地点区域自然环境</w:t>
      </w:r>
    </w:p>
    <w:p>
      <w:pPr>
        <w:spacing w:line="420" w:lineRule="exact"/>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、海拔高度：</w:t>
      </w:r>
      <w:r>
        <w:rPr>
          <w:rFonts w:ascii="宋体" w:hAnsi="宋体"/>
          <w:bCs/>
          <w:sz w:val="24"/>
          <w:szCs w:val="24"/>
        </w:rPr>
        <w:t>1000m</w:t>
      </w:r>
      <w:r>
        <w:rPr>
          <w:rFonts w:hint="eastAsia" w:ascii="宋体" w:hAnsi="宋体"/>
          <w:bCs/>
          <w:sz w:val="24"/>
          <w:szCs w:val="24"/>
        </w:rPr>
        <w:t>以下。</w:t>
      </w:r>
    </w:p>
    <w:p>
      <w:pPr>
        <w:spacing w:line="420" w:lineRule="exact"/>
        <w:ind w:firstLine="480" w:firstLineChars="200"/>
        <w:rPr>
          <w:rFonts w:ascii="宋体"/>
          <w:sz w:val="24"/>
          <w:szCs w:val="24"/>
        </w:rPr>
      </w:pPr>
      <w:r>
        <w:rPr>
          <w:rFonts w:ascii="宋体" w:hAnsi="宋体"/>
          <w:bCs/>
          <w:sz w:val="24"/>
          <w:szCs w:val="24"/>
        </w:rPr>
        <w:t>2</w:t>
      </w:r>
      <w:r>
        <w:rPr>
          <w:rFonts w:hint="eastAsia" w:ascii="宋体" w:hAnsi="宋体"/>
          <w:bCs/>
          <w:sz w:val="24"/>
          <w:szCs w:val="24"/>
        </w:rPr>
        <w:t>、环境温度：室外极端最低温度</w:t>
      </w:r>
      <w:r>
        <w:rPr>
          <w:rFonts w:ascii="宋体" w:hAnsi="宋体"/>
          <w:bCs/>
          <w:sz w:val="24"/>
          <w:szCs w:val="24"/>
        </w:rPr>
        <w:t>-20</w:t>
      </w:r>
      <w:r>
        <w:rPr>
          <w:rFonts w:hint="eastAsia" w:ascii="宋体" w:hAnsi="宋体"/>
          <w:bCs/>
          <w:sz w:val="24"/>
          <w:szCs w:val="24"/>
        </w:rPr>
        <w:t>℃、极端最高温度</w:t>
      </w:r>
      <w:r>
        <w:rPr>
          <w:rFonts w:ascii="宋体" w:hAnsi="宋体"/>
          <w:bCs/>
          <w:sz w:val="24"/>
          <w:szCs w:val="24"/>
        </w:rPr>
        <w:t>45</w:t>
      </w:r>
      <w:r>
        <w:rPr>
          <w:rFonts w:hint="eastAsia" w:ascii="宋体" w:hAnsi="宋体"/>
          <w:bCs/>
          <w:sz w:val="24"/>
          <w:szCs w:val="24"/>
        </w:rPr>
        <w:t>℃，昼夜最大温差</w:t>
      </w:r>
      <w:r>
        <w:rPr>
          <w:rFonts w:ascii="宋体" w:hAnsi="宋体"/>
          <w:bCs/>
          <w:sz w:val="24"/>
          <w:szCs w:val="24"/>
        </w:rPr>
        <w:t>25</w:t>
      </w:r>
      <w:r>
        <w:rPr>
          <w:rFonts w:hint="eastAsia" w:ascii="宋体" w:hAnsi="宋体"/>
          <w:bCs/>
          <w:sz w:val="24"/>
          <w:szCs w:val="24"/>
        </w:rPr>
        <w:t>℃。</w:t>
      </w:r>
    </w:p>
    <w:p>
      <w:pPr>
        <w:spacing w:line="420" w:lineRule="exact"/>
        <w:ind w:firstLine="480" w:firstLineChars="200"/>
        <w:rPr>
          <w:rFonts w:ascii="宋体"/>
          <w:sz w:val="24"/>
          <w:szCs w:val="24"/>
        </w:rPr>
      </w:pPr>
      <w:r>
        <w:rPr>
          <w:rFonts w:ascii="宋体" w:hAnsi="宋体"/>
          <w:sz w:val="24"/>
          <w:szCs w:val="24"/>
        </w:rPr>
        <w:t>3</w:t>
      </w:r>
      <w:r>
        <w:rPr>
          <w:rFonts w:hint="eastAsia" w:ascii="宋体" w:hAnsi="宋体"/>
          <w:sz w:val="24"/>
          <w:szCs w:val="24"/>
        </w:rPr>
        <w:t>、相对湿度：年平均</w:t>
      </w:r>
      <w:r>
        <w:rPr>
          <w:rFonts w:ascii="宋体" w:hAnsi="宋体"/>
          <w:sz w:val="24"/>
          <w:szCs w:val="24"/>
        </w:rPr>
        <w:t>59%</w:t>
      </w:r>
      <w:r>
        <w:rPr>
          <w:rFonts w:hint="eastAsia" w:ascii="宋体" w:hAnsi="宋体"/>
          <w:sz w:val="24"/>
          <w:szCs w:val="24"/>
        </w:rPr>
        <w:t>，</w:t>
      </w:r>
      <w:r>
        <w:rPr>
          <w:rFonts w:hint="eastAsia" w:ascii="宋体" w:hAnsi="宋体"/>
          <w:bCs/>
          <w:sz w:val="24"/>
          <w:szCs w:val="24"/>
        </w:rPr>
        <w:t>最大</w:t>
      </w:r>
      <w:r>
        <w:rPr>
          <w:rFonts w:ascii="宋体" w:hAnsi="宋体"/>
          <w:bCs/>
          <w:sz w:val="24"/>
          <w:szCs w:val="24"/>
        </w:rPr>
        <w:t>95%</w:t>
      </w:r>
      <w:r>
        <w:rPr>
          <w:rFonts w:hint="eastAsia" w:ascii="宋体" w:hAnsi="宋体"/>
          <w:bCs/>
          <w:sz w:val="24"/>
          <w:szCs w:val="24"/>
        </w:rPr>
        <w:t>、最小</w:t>
      </w:r>
      <w:r>
        <w:rPr>
          <w:rFonts w:ascii="宋体" w:hAnsi="宋体"/>
          <w:bCs/>
          <w:sz w:val="24"/>
          <w:szCs w:val="24"/>
        </w:rPr>
        <w:t>15%</w:t>
      </w:r>
      <w:r>
        <w:rPr>
          <w:rFonts w:hint="eastAsia" w:ascii="宋体" w:hAnsi="宋体"/>
          <w:bCs/>
          <w:sz w:val="24"/>
          <w:szCs w:val="24"/>
        </w:rPr>
        <w:t>。</w:t>
      </w:r>
    </w:p>
    <w:p>
      <w:pPr>
        <w:spacing w:line="420" w:lineRule="exact"/>
        <w:ind w:firstLine="480" w:firstLineChars="200"/>
        <w:rPr>
          <w:rFonts w:ascii="宋体"/>
          <w:sz w:val="24"/>
          <w:szCs w:val="24"/>
        </w:rPr>
      </w:pPr>
      <w:r>
        <w:rPr>
          <w:rFonts w:ascii="宋体" w:hAnsi="宋体"/>
          <w:sz w:val="24"/>
          <w:szCs w:val="24"/>
        </w:rPr>
        <w:t>4</w:t>
      </w:r>
      <w:r>
        <w:rPr>
          <w:rFonts w:hint="eastAsia" w:ascii="宋体" w:hAnsi="宋体"/>
          <w:sz w:val="24"/>
          <w:szCs w:val="24"/>
        </w:rPr>
        <w:t>、地震设防烈度：七度。</w:t>
      </w:r>
    </w:p>
    <w:p>
      <w:pPr>
        <w:spacing w:line="420" w:lineRule="exact"/>
        <w:ind w:firstLine="480" w:firstLineChars="200"/>
        <w:rPr>
          <w:rFonts w:ascii="宋体"/>
          <w:sz w:val="24"/>
          <w:szCs w:val="24"/>
        </w:rPr>
      </w:pPr>
      <w:r>
        <w:rPr>
          <w:rFonts w:hint="eastAsia" w:ascii="黑体" w:hAnsi="宋体" w:eastAsia="黑体"/>
          <w:sz w:val="24"/>
          <w:szCs w:val="24"/>
        </w:rPr>
        <w:t>六、能源环境</w:t>
      </w:r>
    </w:p>
    <w:p>
      <w:pPr>
        <w:spacing w:line="42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、电力：中国制式，供电电压</w:t>
      </w:r>
      <w:r>
        <w:rPr>
          <w:rFonts w:ascii="宋体" w:hAnsi="宋体"/>
          <w:sz w:val="24"/>
          <w:szCs w:val="24"/>
        </w:rPr>
        <w:t>380V</w:t>
      </w:r>
      <w:r>
        <w:rPr>
          <w:rFonts w:hint="eastAsia" w:ascii="宋体" w:hAnsi="宋体"/>
          <w:sz w:val="24"/>
          <w:szCs w:val="24"/>
        </w:rPr>
        <w:t>±</w:t>
      </w:r>
      <w:r>
        <w:rPr>
          <w:rFonts w:ascii="宋体" w:hAnsi="宋体"/>
          <w:sz w:val="24"/>
          <w:szCs w:val="24"/>
        </w:rPr>
        <w:t>15%/220V</w:t>
      </w:r>
      <w:r>
        <w:rPr>
          <w:rFonts w:hint="eastAsia" w:ascii="宋体" w:hAnsi="宋体"/>
          <w:sz w:val="24"/>
          <w:szCs w:val="24"/>
        </w:rPr>
        <w:t>±</w:t>
      </w:r>
      <w:r>
        <w:rPr>
          <w:rFonts w:ascii="宋体" w:hAnsi="宋体"/>
          <w:sz w:val="24"/>
          <w:szCs w:val="24"/>
        </w:rPr>
        <w:t>15%</w:t>
      </w:r>
      <w:r>
        <w:rPr>
          <w:rFonts w:hint="eastAsia" w:ascii="宋体" w:hAnsi="宋体"/>
          <w:sz w:val="24"/>
          <w:szCs w:val="24"/>
        </w:rPr>
        <w:t>，</w:t>
      </w:r>
      <w:r>
        <w:rPr>
          <w:rFonts w:ascii="宋体" w:hAnsi="宋体"/>
          <w:sz w:val="24"/>
          <w:szCs w:val="24"/>
        </w:rPr>
        <w:t>50Hz</w:t>
      </w:r>
      <w:r>
        <w:rPr>
          <w:rFonts w:hint="eastAsia" w:ascii="宋体" w:hAnsi="宋体"/>
          <w:sz w:val="24"/>
          <w:szCs w:val="24"/>
        </w:rPr>
        <w:t>±2</w:t>
      </w:r>
      <w:r>
        <w:rPr>
          <w:rFonts w:ascii="宋体" w:hAnsi="宋体"/>
          <w:sz w:val="24"/>
          <w:szCs w:val="24"/>
        </w:rPr>
        <w:t>%</w:t>
      </w:r>
      <w:r>
        <w:rPr>
          <w:rFonts w:hint="eastAsia" w:ascii="宋体" w:hAnsi="宋体"/>
          <w:sz w:val="24"/>
          <w:szCs w:val="24"/>
        </w:rPr>
        <w:t>。</w:t>
      </w:r>
    </w:p>
    <w:p>
      <w:pPr>
        <w:spacing w:line="420" w:lineRule="exact"/>
        <w:ind w:firstLine="480" w:firstLineChars="200"/>
        <w:rPr>
          <w:rFonts w:ascii="宋体" w:hAnsi="宋体"/>
          <w:sz w:val="24"/>
          <w:szCs w:val="24"/>
        </w:rPr>
      </w:pPr>
      <w:r>
        <w:rPr>
          <w:rFonts w:hint="eastAsia" w:ascii="宋体" w:hAnsi="宋体"/>
          <w:sz w:val="24"/>
          <w:szCs w:val="24"/>
        </w:rPr>
        <w:t>2、给水：市政自来水。</w:t>
      </w: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spacing w:line="420" w:lineRule="exact"/>
        <w:ind w:firstLine="480" w:firstLineChars="200"/>
        <w:rPr>
          <w:rFonts w:ascii="宋体" w:hAnsi="宋体"/>
          <w:sz w:val="24"/>
          <w:szCs w:val="24"/>
        </w:rPr>
      </w:pPr>
    </w:p>
    <w:p>
      <w:pPr>
        <w:rPr>
          <w:rFonts w:ascii="宋体" w:hAnsi="宋体"/>
          <w:sz w:val="24"/>
          <w:szCs w:val="24"/>
        </w:rPr>
      </w:pPr>
    </w:p>
    <w:p>
      <w:pPr>
        <w:rPr>
          <w:rFonts w:ascii="宋体" w:hAnsi="宋体"/>
          <w:sz w:val="24"/>
          <w:szCs w:val="24"/>
        </w:rPr>
      </w:pPr>
    </w:p>
    <w:p>
      <w:pPr>
        <w:pStyle w:val="108"/>
        <w:outlineLvl w:val="1"/>
        <w:rPr>
          <w:b/>
          <w:color w:val="auto"/>
          <w:sz w:val="24"/>
        </w:rPr>
      </w:pPr>
      <w:bookmarkStart w:id="26" w:name="_Toc130903424"/>
      <w:bookmarkStart w:id="27" w:name="_Toc2341220"/>
      <w:bookmarkStart w:id="28" w:name="_Toc51"/>
      <w:bookmarkStart w:id="29" w:name="_Toc465187641"/>
      <w:r>
        <w:rPr>
          <w:rFonts w:hint="eastAsia"/>
          <w:color w:val="auto"/>
        </w:rPr>
        <w:t>第二章 采购货物概况</w:t>
      </w:r>
      <w:bookmarkEnd w:id="26"/>
      <w:bookmarkEnd w:id="27"/>
      <w:bookmarkEnd w:id="28"/>
    </w:p>
    <w:p>
      <w:pPr>
        <w:spacing w:line="420" w:lineRule="exact"/>
        <w:ind w:firstLine="480" w:firstLineChars="200"/>
        <w:rPr>
          <w:rFonts w:ascii="宋体"/>
          <w:sz w:val="24"/>
          <w:szCs w:val="24"/>
        </w:rPr>
      </w:pPr>
      <w:r>
        <w:rPr>
          <w:rFonts w:hint="eastAsia" w:ascii="黑体" w:hAnsi="黑体" w:eastAsia="黑体"/>
          <w:sz w:val="24"/>
          <w:szCs w:val="24"/>
        </w:rPr>
        <w:t>一、货物名称：</w:t>
      </w:r>
      <w:r>
        <w:rPr>
          <w:rFonts w:hint="eastAsia" w:ascii="宋体" w:hAnsi="宋体"/>
          <w:sz w:val="24"/>
          <w:szCs w:val="24"/>
          <w:u w:val="single"/>
          <w:lang w:eastAsia="zh-CN"/>
        </w:rPr>
        <w:t>驱动电机轴电测试仪器配件项目</w:t>
      </w:r>
      <w:r>
        <w:rPr>
          <w:rFonts w:hint="eastAsia" w:ascii="宋体" w:hAnsi="宋体"/>
          <w:sz w:val="24"/>
          <w:szCs w:val="24"/>
        </w:rPr>
        <w:t>（详见下表）</w:t>
      </w:r>
    </w:p>
    <w:p>
      <w:pPr>
        <w:spacing w:line="420" w:lineRule="exact"/>
        <w:ind w:firstLine="480" w:firstLineChars="200"/>
        <w:rPr>
          <w:rFonts w:ascii="宋体"/>
          <w:sz w:val="24"/>
          <w:szCs w:val="24"/>
        </w:rPr>
      </w:pPr>
      <w:r>
        <w:rPr>
          <w:rFonts w:hint="eastAsia" w:ascii="黑体" w:hAnsi="黑体" w:eastAsia="黑体"/>
          <w:sz w:val="24"/>
          <w:szCs w:val="24"/>
        </w:rPr>
        <w:t>二、货物数量：</w:t>
      </w:r>
      <w:r>
        <w:rPr>
          <w:rFonts w:hint="eastAsia" w:ascii="宋体" w:hAnsi="宋体"/>
          <w:sz w:val="24"/>
          <w:szCs w:val="24"/>
          <w:u w:val="single"/>
        </w:rPr>
        <w:t>一宗</w:t>
      </w:r>
      <w:r>
        <w:rPr>
          <w:rFonts w:hint="eastAsia" w:ascii="宋体" w:hAnsi="宋体"/>
          <w:sz w:val="24"/>
          <w:szCs w:val="24"/>
        </w:rPr>
        <w:t>（详见下表）</w:t>
      </w:r>
    </w:p>
    <w:p>
      <w:pPr>
        <w:spacing w:line="420" w:lineRule="exact"/>
        <w:ind w:firstLine="480" w:firstLineChars="200"/>
        <w:rPr>
          <w:rFonts w:ascii="宋体"/>
          <w:sz w:val="24"/>
          <w:szCs w:val="24"/>
          <w:u w:val="single"/>
        </w:rPr>
      </w:pPr>
      <w:r>
        <w:rPr>
          <w:rFonts w:hint="eastAsia" w:ascii="黑体" w:hAnsi="黑体" w:eastAsia="黑体"/>
          <w:sz w:val="24"/>
          <w:szCs w:val="24"/>
        </w:rPr>
        <w:t>三、分投分中：</w:t>
      </w:r>
      <w:r>
        <w:rPr>
          <w:rFonts w:hint="eastAsia" w:ascii="宋体" w:hAnsi="宋体"/>
          <w:sz w:val="24"/>
          <w:szCs w:val="24"/>
          <w:u w:val="single"/>
        </w:rPr>
        <w:t>不允许</w:t>
      </w:r>
    </w:p>
    <w:p>
      <w:pPr>
        <w:pStyle w:val="25"/>
        <w:spacing w:before="0" w:after="0"/>
        <w:jc w:val="center"/>
        <w:rPr>
          <w:rFonts w:ascii="宋体" w:hAnsi="宋体" w:eastAsia="宋体"/>
          <w:sz w:val="21"/>
          <w:szCs w:val="21"/>
        </w:rPr>
      </w:pPr>
      <w:bookmarkStart w:id="30" w:name="_Toc130911656"/>
      <w:r>
        <w:rPr>
          <w:rFonts w:hint="eastAsia" w:ascii="宋体" w:hAnsi="宋体" w:eastAsia="宋体"/>
          <w:sz w:val="21"/>
          <w:szCs w:val="21"/>
        </w:rPr>
        <w:t xml:space="preserve">表 </w:t>
      </w:r>
      <w:r>
        <w:rPr>
          <w:rFonts w:ascii="宋体" w:hAnsi="宋体" w:eastAsia="宋体"/>
          <w:sz w:val="21"/>
          <w:szCs w:val="21"/>
        </w:rPr>
        <w:fldChar w:fldCharType="begin"/>
      </w:r>
      <w:r>
        <w:rPr>
          <w:rFonts w:ascii="宋体" w:hAnsi="宋体" w:eastAsia="宋体"/>
          <w:sz w:val="21"/>
          <w:szCs w:val="21"/>
        </w:rPr>
        <w:instrText xml:space="preserve"> </w:instrText>
      </w:r>
      <w:r>
        <w:rPr>
          <w:rFonts w:hint="eastAsia" w:ascii="宋体" w:hAnsi="宋体" w:eastAsia="宋体"/>
          <w:sz w:val="21"/>
          <w:szCs w:val="21"/>
        </w:rPr>
        <w:instrText xml:space="preserve">SEQ 表 \* ARABIC</w:instrText>
      </w:r>
      <w:r>
        <w:rPr>
          <w:rFonts w:ascii="宋体" w:hAnsi="宋体" w:eastAsia="宋体"/>
          <w:sz w:val="21"/>
          <w:szCs w:val="21"/>
        </w:rPr>
        <w:instrText xml:space="preserve"> </w:instrText>
      </w:r>
      <w:r>
        <w:rPr>
          <w:rFonts w:ascii="宋体" w:hAnsi="宋体" w:eastAsia="宋体"/>
          <w:sz w:val="21"/>
          <w:szCs w:val="21"/>
        </w:rPr>
        <w:fldChar w:fldCharType="separate"/>
      </w:r>
      <w:r>
        <w:rPr>
          <w:rFonts w:ascii="宋体" w:hAnsi="宋体" w:eastAsia="宋体"/>
          <w:sz w:val="21"/>
          <w:szCs w:val="21"/>
        </w:rPr>
        <w:t>1</w:t>
      </w:r>
      <w:r>
        <w:rPr>
          <w:rFonts w:ascii="宋体" w:hAnsi="宋体" w:eastAsia="宋体"/>
          <w:sz w:val="21"/>
          <w:szCs w:val="21"/>
        </w:rPr>
        <w:fldChar w:fldCharType="end"/>
      </w:r>
      <w:r>
        <w:rPr>
          <w:rFonts w:ascii="宋体" w:hAnsi="宋体" w:eastAsia="宋体"/>
          <w:sz w:val="21"/>
          <w:szCs w:val="21"/>
        </w:rPr>
        <w:t xml:space="preserve"> </w:t>
      </w:r>
      <w:r>
        <w:rPr>
          <w:rFonts w:hint="eastAsia" w:ascii="宋体" w:hAnsi="宋体" w:eastAsia="宋体"/>
          <w:sz w:val="21"/>
          <w:szCs w:val="21"/>
        </w:rPr>
        <w:t>采购货物主要构成一览表</w:t>
      </w:r>
      <w:bookmarkEnd w:id="30"/>
    </w:p>
    <w:tbl>
      <w:tblPr>
        <w:tblStyle w:val="82"/>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988"/>
        <w:gridCol w:w="1760"/>
        <w:gridCol w:w="727"/>
        <w:gridCol w:w="71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55" w:type="dxa"/>
            <w:vAlign w:val="center"/>
          </w:tcPr>
          <w:p>
            <w:pPr>
              <w:jc w:val="center"/>
              <w:rPr>
                <w:rFonts w:ascii="宋体" w:hAnsi="宋体"/>
                <w:szCs w:val="21"/>
              </w:rPr>
            </w:pPr>
            <w:r>
              <w:rPr>
                <w:rFonts w:hint="eastAsia" w:ascii="宋体" w:hAnsi="宋体"/>
                <w:szCs w:val="21"/>
              </w:rPr>
              <w:t>序号</w:t>
            </w:r>
          </w:p>
        </w:tc>
        <w:tc>
          <w:tcPr>
            <w:tcW w:w="2988" w:type="dxa"/>
            <w:vAlign w:val="center"/>
          </w:tcPr>
          <w:p>
            <w:pPr>
              <w:jc w:val="center"/>
              <w:rPr>
                <w:rFonts w:ascii="宋体" w:hAnsi="宋体"/>
                <w:szCs w:val="21"/>
              </w:rPr>
            </w:pPr>
            <w:r>
              <w:rPr>
                <w:rFonts w:hint="eastAsia" w:ascii="宋体" w:hAnsi="宋体"/>
                <w:szCs w:val="21"/>
              </w:rPr>
              <w:t>名称</w:t>
            </w:r>
          </w:p>
        </w:tc>
        <w:tc>
          <w:tcPr>
            <w:tcW w:w="1760" w:type="dxa"/>
            <w:vAlign w:val="center"/>
          </w:tcPr>
          <w:p>
            <w:pPr>
              <w:jc w:val="center"/>
              <w:rPr>
                <w:rFonts w:ascii="宋体" w:hAnsi="宋体"/>
                <w:szCs w:val="21"/>
              </w:rPr>
            </w:pPr>
            <w:r>
              <w:rPr>
                <w:rFonts w:hint="eastAsia" w:ascii="宋体" w:hAnsi="宋体"/>
                <w:szCs w:val="21"/>
              </w:rPr>
              <w:t>型号规格</w:t>
            </w:r>
          </w:p>
        </w:tc>
        <w:tc>
          <w:tcPr>
            <w:tcW w:w="727" w:type="dxa"/>
            <w:vAlign w:val="center"/>
          </w:tcPr>
          <w:p>
            <w:pPr>
              <w:jc w:val="center"/>
              <w:rPr>
                <w:rFonts w:ascii="宋体" w:hAnsi="宋体"/>
                <w:szCs w:val="21"/>
              </w:rPr>
            </w:pPr>
            <w:r>
              <w:rPr>
                <w:rFonts w:hint="eastAsia" w:ascii="宋体" w:hAnsi="宋体"/>
                <w:szCs w:val="21"/>
              </w:rPr>
              <w:t>单位</w:t>
            </w:r>
          </w:p>
        </w:tc>
        <w:tc>
          <w:tcPr>
            <w:tcW w:w="711" w:type="dxa"/>
            <w:vAlign w:val="center"/>
          </w:tcPr>
          <w:p>
            <w:pPr>
              <w:jc w:val="center"/>
              <w:rPr>
                <w:rFonts w:ascii="宋体" w:hAnsi="宋体"/>
                <w:szCs w:val="21"/>
              </w:rPr>
            </w:pPr>
            <w:r>
              <w:rPr>
                <w:rFonts w:hint="eastAsia" w:ascii="宋体" w:hAnsi="宋体"/>
                <w:szCs w:val="21"/>
              </w:rPr>
              <w:t>数量</w:t>
            </w:r>
          </w:p>
        </w:tc>
        <w:tc>
          <w:tcPr>
            <w:tcW w:w="2126" w:type="dxa"/>
            <w:vAlign w:val="center"/>
          </w:tcPr>
          <w:p>
            <w:pPr>
              <w:jc w:val="center"/>
              <w:rPr>
                <w:rFonts w:ascii="宋体" w:hAnsi="宋体"/>
                <w:szCs w:val="21"/>
              </w:rPr>
            </w:pPr>
            <w:r>
              <w:rPr>
                <w:rFonts w:hint="eastAsia" w:ascii="宋体" w:hAnsi="宋体"/>
                <w:szCs w:val="21"/>
              </w:rPr>
              <w:t>安装地点</w:t>
            </w:r>
            <w:r>
              <w:rPr>
                <w:rFonts w:ascii="宋体" w:hAnsi="宋体"/>
                <w:szCs w:val="21"/>
              </w:rPr>
              <w:t>/</w:t>
            </w:r>
            <w:r>
              <w:rPr>
                <w:rFonts w:hint="eastAsia" w:ascii="宋体" w:hAnsi="宋体"/>
                <w:szCs w:val="21"/>
              </w:rPr>
              <w:t>服务对象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pPr>
              <w:jc w:val="center"/>
              <w:rPr>
                <w:rFonts w:hint="eastAsia" w:ascii="宋体" w:hAnsi="宋体" w:eastAsia="宋体"/>
                <w:szCs w:val="21"/>
                <w:lang w:val="en-US" w:eastAsia="zh-CN"/>
              </w:rPr>
            </w:pPr>
            <w:r>
              <w:rPr>
                <w:rFonts w:hint="eastAsia" w:ascii="宋体" w:hAnsi="宋体"/>
                <w:szCs w:val="21"/>
                <w:lang w:val="en-US" w:eastAsia="zh-CN"/>
              </w:rPr>
              <w:t>1</w:t>
            </w:r>
          </w:p>
        </w:tc>
        <w:tc>
          <w:tcPr>
            <w:tcW w:w="2988" w:type="dxa"/>
            <w:vAlign w:val="center"/>
          </w:tcPr>
          <w:p>
            <w:pPr>
              <w:spacing w:line="240" w:lineRule="auto"/>
              <w:ind w:left="0" w:leftChars="0" w:firstLine="0" w:firstLineChars="0"/>
              <w:jc w:val="center"/>
              <w:rPr>
                <w:rFonts w:hint="eastAsia" w:ascii="宋体" w:hAnsi="宋体"/>
                <w:szCs w:val="21"/>
              </w:rPr>
            </w:pPr>
            <w:r>
              <w:rPr>
                <w:rFonts w:hint="eastAsia"/>
                <w:sz w:val="21"/>
                <w:szCs w:val="21"/>
                <w:vertAlign w:val="baseline"/>
                <w:lang w:val="en-US" w:eastAsia="zh-CN"/>
              </w:rPr>
              <w:t>高压差分探头</w:t>
            </w:r>
          </w:p>
        </w:tc>
        <w:tc>
          <w:tcPr>
            <w:tcW w:w="1760" w:type="dxa"/>
            <w:vAlign w:val="center"/>
          </w:tcPr>
          <w:p>
            <w:pPr>
              <w:jc w:val="center"/>
              <w:rPr>
                <w:rFonts w:hint="eastAsia" w:ascii="宋体" w:hAnsi="宋体"/>
                <w:szCs w:val="21"/>
              </w:rPr>
            </w:pPr>
            <w:r>
              <w:rPr>
                <w:rFonts w:hint="eastAsia" w:ascii="宋体" w:hAnsi="宋体"/>
                <w:szCs w:val="21"/>
              </w:rPr>
              <w:t>见“技术要求”</w:t>
            </w:r>
          </w:p>
        </w:tc>
        <w:tc>
          <w:tcPr>
            <w:tcW w:w="727" w:type="dxa"/>
            <w:vAlign w:val="center"/>
          </w:tcPr>
          <w:p>
            <w:pPr>
              <w:jc w:val="center"/>
              <w:rPr>
                <w:rFonts w:hint="eastAsia" w:ascii="宋体" w:hAnsi="宋体"/>
                <w:szCs w:val="21"/>
              </w:rPr>
            </w:pPr>
            <w:r>
              <w:rPr>
                <w:rFonts w:hint="eastAsia" w:ascii="宋体" w:hAnsi="宋体"/>
                <w:szCs w:val="21"/>
              </w:rPr>
              <w:t>套</w:t>
            </w:r>
          </w:p>
        </w:tc>
        <w:tc>
          <w:tcPr>
            <w:tcW w:w="711" w:type="dxa"/>
            <w:vAlign w:val="center"/>
          </w:tcPr>
          <w:p>
            <w:pPr>
              <w:jc w:val="center"/>
              <w:rPr>
                <w:rFonts w:hint="eastAsia" w:ascii="宋体" w:hAnsi="宋体" w:eastAsia="宋体"/>
                <w:szCs w:val="21"/>
                <w:lang w:val="en-US" w:eastAsia="zh-CN"/>
              </w:rPr>
            </w:pPr>
            <w:r>
              <w:rPr>
                <w:rFonts w:hint="eastAsia" w:ascii="宋体" w:hAnsi="宋体"/>
                <w:szCs w:val="21"/>
                <w:lang w:val="en-US" w:eastAsia="zh-CN"/>
              </w:rPr>
              <w:t>2</w:t>
            </w:r>
          </w:p>
        </w:tc>
        <w:tc>
          <w:tcPr>
            <w:tcW w:w="2126" w:type="dxa"/>
            <w:vAlign w:val="center"/>
          </w:tcPr>
          <w:p>
            <w:pPr>
              <w:jc w:val="center"/>
              <w:rPr>
                <w:rFonts w:hint="eastAsia" w:ascii="宋体" w:hAnsi="宋体" w:cs="宋体"/>
                <w:sz w:val="21"/>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pPr>
              <w:jc w:val="center"/>
              <w:rPr>
                <w:rFonts w:hint="eastAsia" w:ascii="宋体" w:hAnsi="宋体" w:eastAsia="宋体"/>
                <w:szCs w:val="21"/>
                <w:lang w:val="en-US" w:eastAsia="zh-CN"/>
              </w:rPr>
            </w:pPr>
            <w:r>
              <w:rPr>
                <w:rFonts w:hint="eastAsia" w:ascii="宋体" w:hAnsi="宋体"/>
                <w:szCs w:val="21"/>
                <w:lang w:val="en-US" w:eastAsia="zh-CN"/>
              </w:rPr>
              <w:t>2</w:t>
            </w:r>
          </w:p>
        </w:tc>
        <w:tc>
          <w:tcPr>
            <w:tcW w:w="2988" w:type="dxa"/>
            <w:vAlign w:val="center"/>
          </w:tcPr>
          <w:p>
            <w:pPr>
              <w:spacing w:line="240" w:lineRule="auto"/>
              <w:ind w:left="0" w:leftChars="0" w:firstLine="0" w:firstLineChars="0"/>
              <w:jc w:val="center"/>
              <w:rPr>
                <w:rFonts w:hint="eastAsia" w:ascii="宋体" w:hAnsi="宋体"/>
                <w:szCs w:val="21"/>
              </w:rPr>
            </w:pPr>
            <w:r>
              <w:rPr>
                <w:rFonts w:hint="eastAsia"/>
                <w:sz w:val="21"/>
                <w:szCs w:val="21"/>
                <w:vertAlign w:val="baseline"/>
                <w:lang w:val="en-US" w:eastAsia="zh-CN"/>
              </w:rPr>
              <w:t>电流探头</w:t>
            </w:r>
          </w:p>
        </w:tc>
        <w:tc>
          <w:tcPr>
            <w:tcW w:w="1760" w:type="dxa"/>
            <w:vAlign w:val="center"/>
          </w:tcPr>
          <w:p>
            <w:pPr>
              <w:jc w:val="center"/>
              <w:rPr>
                <w:rFonts w:hint="eastAsia" w:ascii="宋体" w:hAnsi="宋体"/>
                <w:szCs w:val="21"/>
              </w:rPr>
            </w:pPr>
            <w:r>
              <w:rPr>
                <w:rFonts w:hint="eastAsia" w:ascii="宋体" w:hAnsi="宋体"/>
                <w:szCs w:val="21"/>
              </w:rPr>
              <w:t>见“技术要求”</w:t>
            </w:r>
          </w:p>
        </w:tc>
        <w:tc>
          <w:tcPr>
            <w:tcW w:w="727" w:type="dxa"/>
            <w:vAlign w:val="center"/>
          </w:tcPr>
          <w:p>
            <w:pPr>
              <w:jc w:val="center"/>
              <w:rPr>
                <w:rFonts w:hint="eastAsia" w:ascii="宋体" w:hAnsi="宋体"/>
                <w:szCs w:val="21"/>
              </w:rPr>
            </w:pPr>
            <w:r>
              <w:rPr>
                <w:rFonts w:hint="eastAsia" w:ascii="宋体" w:hAnsi="宋体"/>
                <w:szCs w:val="21"/>
              </w:rPr>
              <w:t>套</w:t>
            </w:r>
          </w:p>
        </w:tc>
        <w:tc>
          <w:tcPr>
            <w:tcW w:w="711" w:type="dxa"/>
            <w:vAlign w:val="center"/>
          </w:tcPr>
          <w:p>
            <w:pPr>
              <w:jc w:val="center"/>
              <w:rPr>
                <w:rFonts w:hint="eastAsia" w:ascii="宋体" w:hAnsi="宋体" w:eastAsia="宋体"/>
                <w:szCs w:val="21"/>
                <w:lang w:val="en-US" w:eastAsia="zh-CN"/>
              </w:rPr>
            </w:pPr>
            <w:r>
              <w:rPr>
                <w:rFonts w:hint="eastAsia" w:ascii="宋体" w:hAnsi="宋体"/>
                <w:szCs w:val="21"/>
                <w:lang w:val="en-US" w:eastAsia="zh-CN"/>
              </w:rPr>
              <w:t>1</w:t>
            </w:r>
          </w:p>
        </w:tc>
        <w:tc>
          <w:tcPr>
            <w:tcW w:w="2126" w:type="dxa"/>
            <w:vAlign w:val="center"/>
          </w:tcPr>
          <w:p>
            <w:pPr>
              <w:jc w:val="center"/>
              <w:rPr>
                <w:rFonts w:hint="eastAsia" w:ascii="宋体" w:hAnsi="宋体" w:cs="宋体"/>
                <w:sz w:val="21"/>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bl>
    <w:p>
      <w:pPr>
        <w:spacing w:line="420" w:lineRule="exact"/>
        <w:ind w:firstLine="480" w:firstLineChars="200"/>
        <w:rPr>
          <w:rFonts w:ascii="宋体"/>
          <w:sz w:val="24"/>
          <w:szCs w:val="24"/>
        </w:rPr>
      </w:pPr>
      <w:r>
        <w:rPr>
          <w:rFonts w:hint="eastAsia" w:ascii="宋体" w:hAnsi="宋体"/>
          <w:sz w:val="24"/>
          <w:szCs w:val="24"/>
        </w:rPr>
        <w:t>备注：本表所列采购货物仅为货物的主要构成部分，应配套供货以及招标方所列其它货物（或设备）和服务，请投标方认真阅读“供货范围”。若有异议，不管是多么微小，都应在投标文件“商务偏离”章节中予以详细说明。</w:t>
      </w:r>
    </w:p>
    <w:p>
      <w:pPr>
        <w:spacing w:line="420" w:lineRule="exact"/>
        <w:ind w:firstLine="480" w:firstLineChars="200"/>
        <w:rPr>
          <w:rFonts w:ascii="宋体"/>
          <w:b/>
          <w:sz w:val="24"/>
          <w:szCs w:val="24"/>
        </w:rPr>
      </w:pPr>
      <w:r>
        <w:rPr>
          <w:rFonts w:hint="eastAsia" w:ascii="黑体" w:hAnsi="黑体" w:eastAsia="黑体"/>
          <w:sz w:val="24"/>
          <w:szCs w:val="24"/>
        </w:rPr>
        <w:t>四、采购货物特别说明</w:t>
      </w:r>
    </w:p>
    <w:p>
      <w:pPr>
        <w:spacing w:line="420" w:lineRule="exact"/>
        <w:ind w:firstLine="480" w:firstLineChars="200"/>
        <w:rPr>
          <w:rFonts w:ascii="宋体"/>
          <w:sz w:val="24"/>
          <w:szCs w:val="24"/>
        </w:rPr>
      </w:pPr>
      <w:r>
        <w:rPr>
          <w:rFonts w:hint="eastAsia" w:ascii="宋体" w:hAnsi="宋体"/>
          <w:sz w:val="24"/>
          <w:szCs w:val="24"/>
        </w:rPr>
        <w:t>招标方所列货物的名称和规格型号，如为某一供应商所特有，则该名称和规格型号可作参考；但要求投标方所提供的货物必须满足本技术标书实质性要求。</w:t>
      </w:r>
    </w:p>
    <w:p/>
    <w:p/>
    <w:p/>
    <w:p/>
    <w:p/>
    <w:p/>
    <w:p/>
    <w:p/>
    <w:p/>
    <w:p/>
    <w:p/>
    <w:p/>
    <w:p/>
    <w:p/>
    <w:p/>
    <w:p/>
    <w:p/>
    <w:p/>
    <w:p/>
    <w:p>
      <w:pPr>
        <w:jc w:val="center"/>
        <w:rPr>
          <w:rFonts w:eastAsia="黑体"/>
          <w:bCs/>
          <w:color w:val="000000"/>
          <w:kern w:val="44"/>
          <w:sz w:val="30"/>
          <w:szCs w:val="24"/>
        </w:rPr>
      </w:pPr>
    </w:p>
    <w:p/>
    <w:p>
      <w:pPr>
        <w:pStyle w:val="108"/>
        <w:spacing w:line="420" w:lineRule="exact"/>
        <w:outlineLvl w:val="1"/>
        <w:rPr>
          <w:color w:val="auto"/>
        </w:rPr>
      </w:pPr>
      <w:bookmarkStart w:id="31" w:name="_Toc130903425"/>
      <w:bookmarkStart w:id="32" w:name="_Toc23662"/>
      <w:r>
        <w:rPr>
          <w:color w:val="auto"/>
        </w:rPr>
        <w:t>第三章  技术要求</w:t>
      </w:r>
      <w:bookmarkEnd w:id="31"/>
      <w:bookmarkEnd w:id="32"/>
    </w:p>
    <w:p>
      <w:pPr>
        <w:pStyle w:val="127"/>
        <w:outlineLvl w:val="2"/>
        <w:rPr>
          <w:rFonts w:ascii="Times New Roman" w:hAnsi="Times New Roman"/>
          <w:b/>
          <w:bCs w:val="0"/>
        </w:rPr>
      </w:pPr>
      <w:bookmarkStart w:id="33" w:name="_Toc130903426"/>
      <w:bookmarkStart w:id="34" w:name="_Toc16040"/>
      <w:r>
        <w:rPr>
          <w:rFonts w:hint="eastAsia" w:ascii="Times New Roman" w:hAnsi="Times New Roman"/>
          <w:b/>
          <w:bCs w:val="0"/>
        </w:rPr>
        <w:t>3</w:t>
      </w:r>
      <w:r>
        <w:rPr>
          <w:rFonts w:ascii="Times New Roman" w:hAnsi="Times New Roman"/>
          <w:b/>
          <w:bCs w:val="0"/>
        </w:rPr>
        <w:t xml:space="preserve">.1 </w:t>
      </w:r>
      <w:r>
        <w:rPr>
          <w:rFonts w:hint="eastAsia" w:ascii="Times New Roman" w:hAnsi="Times New Roman"/>
          <w:b/>
          <w:bCs w:val="0"/>
        </w:rPr>
        <w:t>特别提示</w:t>
      </w:r>
      <w:bookmarkEnd w:id="33"/>
      <w:bookmarkEnd w:id="34"/>
    </w:p>
    <w:p>
      <w:pPr>
        <w:pStyle w:val="36"/>
        <w:spacing w:after="0" w:line="420" w:lineRule="exact"/>
        <w:ind w:left="105" w:leftChars="50" w:firstLine="480" w:firstLineChars="200"/>
        <w:rPr>
          <w:rFonts w:ascii="宋体"/>
          <w:sz w:val="24"/>
          <w:szCs w:val="24"/>
        </w:rPr>
      </w:pPr>
      <w:r>
        <w:rPr>
          <w:rFonts w:ascii="宋体" w:hAnsi="宋体"/>
          <w:sz w:val="24"/>
          <w:szCs w:val="24"/>
        </w:rPr>
        <w:t>1</w:t>
      </w:r>
      <w:r>
        <w:rPr>
          <w:rFonts w:hint="eastAsia" w:ascii="宋体" w:hAnsi="宋体"/>
          <w:sz w:val="24"/>
          <w:szCs w:val="24"/>
        </w:rPr>
        <w:t>、本章技术要求，仅对功能、设计、结构、性能、安装和试验检验等方面，提出了最低和一般性的技术要求，并未对一切技术细节做出规定。</w:t>
      </w:r>
    </w:p>
    <w:p>
      <w:pPr>
        <w:pStyle w:val="36"/>
        <w:spacing w:after="0" w:line="420" w:lineRule="exact"/>
        <w:ind w:left="105" w:leftChars="50" w:firstLine="480" w:firstLineChars="200"/>
        <w:rPr>
          <w:rFonts w:ascii="宋体"/>
          <w:sz w:val="24"/>
          <w:szCs w:val="24"/>
        </w:rPr>
      </w:pPr>
      <w:r>
        <w:rPr>
          <w:rFonts w:ascii="宋体" w:hAnsi="宋体"/>
          <w:sz w:val="24"/>
          <w:szCs w:val="24"/>
        </w:rPr>
        <w:t>2</w:t>
      </w:r>
      <w:r>
        <w:rPr>
          <w:rFonts w:hint="eastAsia" w:ascii="宋体" w:hAnsi="宋体"/>
          <w:sz w:val="24"/>
          <w:szCs w:val="24"/>
        </w:rPr>
        <w:t>、本技术要求所使用的标准、规范等，如与投标方所执行的标准、规范不一致时，应按高于本技术要求所列的标准、规范执行。</w:t>
      </w:r>
    </w:p>
    <w:p>
      <w:pPr>
        <w:spacing w:line="420" w:lineRule="exact"/>
        <w:ind w:left="105" w:leftChars="50" w:firstLine="480" w:firstLineChars="200"/>
        <w:rPr>
          <w:rFonts w:ascii="宋体"/>
          <w:sz w:val="24"/>
          <w:szCs w:val="24"/>
        </w:rPr>
      </w:pPr>
      <w:r>
        <w:rPr>
          <w:rFonts w:ascii="宋体" w:hAnsi="宋体"/>
          <w:sz w:val="24"/>
          <w:szCs w:val="24"/>
        </w:rPr>
        <w:t>3</w:t>
      </w:r>
      <w:r>
        <w:rPr>
          <w:rFonts w:hint="eastAsia" w:ascii="宋体" w:hAnsi="宋体"/>
          <w:sz w:val="24"/>
          <w:szCs w:val="24"/>
        </w:rPr>
        <w:t>、投标方认为所供货物必需由招标方配备、解决或提供的其它要求，如设备基础隔振和减振设施、软化水、洁净气源等，均应在投标文件“技术偏离”中予以充分说明。</w:t>
      </w:r>
    </w:p>
    <w:p>
      <w:pPr>
        <w:spacing w:line="420" w:lineRule="exact"/>
        <w:ind w:left="105" w:leftChars="50" w:firstLine="480" w:firstLineChars="200"/>
        <w:rPr>
          <w:rFonts w:ascii="宋体"/>
          <w:sz w:val="24"/>
          <w:szCs w:val="24"/>
        </w:rPr>
      </w:pPr>
      <w:r>
        <w:rPr>
          <w:rFonts w:ascii="宋体" w:hAnsi="宋体"/>
          <w:bCs/>
          <w:sz w:val="24"/>
          <w:szCs w:val="24"/>
        </w:rPr>
        <w:t>4</w:t>
      </w:r>
      <w:r>
        <w:rPr>
          <w:rFonts w:hint="eastAsia" w:ascii="宋体" w:hAnsi="宋体"/>
          <w:bCs/>
          <w:sz w:val="24"/>
          <w:szCs w:val="24"/>
        </w:rPr>
        <w:t>、投标方应根据招投标货物具体要求，提出</w:t>
      </w:r>
      <w:r>
        <w:rPr>
          <w:rFonts w:hint="eastAsia" w:ascii="宋体" w:hAnsi="宋体"/>
          <w:sz w:val="24"/>
          <w:szCs w:val="24"/>
        </w:rPr>
        <w:t>对厂房、设备基础（或安装平台）、公用设施、消防、环保等超出招标文件、投标文件、答疑文件、技术交流文件、技术协议书和合同等规定的、有特殊需要的解释、说明和要求。</w:t>
      </w:r>
    </w:p>
    <w:p>
      <w:pPr>
        <w:spacing w:line="420" w:lineRule="exact"/>
        <w:ind w:left="105" w:leftChars="50" w:firstLine="480" w:firstLineChars="200"/>
        <w:rPr>
          <w:rFonts w:ascii="宋体" w:hAnsi="宋体"/>
          <w:sz w:val="24"/>
          <w:szCs w:val="24"/>
        </w:rPr>
      </w:pPr>
      <w:r>
        <w:rPr>
          <w:rFonts w:ascii="宋体" w:hAnsi="宋体"/>
          <w:sz w:val="24"/>
          <w:szCs w:val="24"/>
        </w:rPr>
        <w:t>5</w:t>
      </w:r>
      <w:r>
        <w:rPr>
          <w:rFonts w:hint="eastAsia" w:ascii="宋体" w:hAnsi="宋体"/>
          <w:sz w:val="24"/>
          <w:szCs w:val="24"/>
        </w:rPr>
        <w:t>、无论是否有技术偏离，投标方均应在投标文件“技术偏离”中明确做出有无说明。若有异议，不管是多么微小，投标方必须予以明确和详细的说明或澄清。</w:t>
      </w:r>
    </w:p>
    <w:p>
      <w:pPr>
        <w:spacing w:line="420" w:lineRule="exact"/>
        <w:ind w:left="105" w:leftChars="50" w:firstLine="480" w:firstLineChars="200"/>
        <w:rPr>
          <w:rFonts w:ascii="宋体"/>
          <w:sz w:val="24"/>
          <w:szCs w:val="24"/>
        </w:rPr>
      </w:pPr>
      <w:r>
        <w:rPr>
          <w:rFonts w:ascii="宋体" w:hAnsi="宋体"/>
          <w:sz w:val="24"/>
          <w:szCs w:val="24"/>
        </w:rPr>
        <w:t>6</w:t>
      </w:r>
      <w:r>
        <w:rPr>
          <w:rFonts w:hint="eastAsia" w:ascii="宋体" w:hAnsi="宋体"/>
          <w:sz w:val="24"/>
          <w:szCs w:val="24"/>
        </w:rPr>
        <w:t>、为避免投标方优势在招标评审时漏项，质保期超出本技术标书要求的，应当在投标文件“技术偏离”中特别注明。</w:t>
      </w:r>
    </w:p>
    <w:p>
      <w:pPr>
        <w:spacing w:line="420" w:lineRule="exact"/>
        <w:ind w:left="105" w:leftChars="50" w:firstLine="480" w:firstLineChars="200"/>
        <w:rPr>
          <w:rFonts w:ascii="宋体"/>
          <w:sz w:val="24"/>
          <w:szCs w:val="24"/>
        </w:rPr>
      </w:pPr>
      <w:r>
        <w:rPr>
          <w:rFonts w:ascii="宋体" w:hAnsi="宋体"/>
          <w:sz w:val="24"/>
          <w:szCs w:val="24"/>
        </w:rPr>
        <w:t>7</w:t>
      </w:r>
      <w:r>
        <w:rPr>
          <w:rFonts w:hint="eastAsia" w:ascii="宋体" w:hAnsi="宋体"/>
          <w:sz w:val="24"/>
          <w:szCs w:val="24"/>
        </w:rPr>
        <w:t>、投标文件中，针对“特别提示”条款所做的回应，将作为投标方能否中标的重要依据之一。</w:t>
      </w:r>
    </w:p>
    <w:p>
      <w:pPr>
        <w:pStyle w:val="127"/>
        <w:outlineLvl w:val="2"/>
        <w:rPr>
          <w:rFonts w:ascii="Times New Roman" w:hAnsi="Times New Roman"/>
          <w:b/>
          <w:bCs w:val="0"/>
        </w:rPr>
      </w:pPr>
      <w:bookmarkStart w:id="35" w:name="_Toc130903427"/>
      <w:bookmarkStart w:id="36" w:name="_Toc28015"/>
      <w:r>
        <w:rPr>
          <w:rFonts w:hint="eastAsia" w:ascii="Times New Roman" w:hAnsi="Times New Roman"/>
          <w:b/>
          <w:bCs w:val="0"/>
        </w:rPr>
        <w:t>3</w:t>
      </w:r>
      <w:r>
        <w:rPr>
          <w:rFonts w:ascii="Times New Roman" w:hAnsi="Times New Roman"/>
          <w:b/>
          <w:bCs w:val="0"/>
        </w:rPr>
        <w:t xml:space="preserve">.2 </w:t>
      </w:r>
      <w:r>
        <w:rPr>
          <w:rFonts w:hint="eastAsia" w:ascii="Times New Roman" w:hAnsi="Times New Roman"/>
          <w:b/>
          <w:bCs w:val="0"/>
        </w:rPr>
        <w:t>基本要求</w:t>
      </w:r>
      <w:bookmarkEnd w:id="35"/>
      <w:bookmarkEnd w:id="36"/>
    </w:p>
    <w:p>
      <w:pPr>
        <w:spacing w:line="420" w:lineRule="exact"/>
        <w:ind w:left="105" w:leftChars="50" w:firstLine="480" w:firstLineChars="200"/>
        <w:rPr>
          <w:rFonts w:ascii="宋体"/>
          <w:sz w:val="24"/>
          <w:szCs w:val="24"/>
        </w:rPr>
      </w:pPr>
      <w:r>
        <w:rPr>
          <w:rFonts w:ascii="宋体" w:hAnsi="宋体"/>
          <w:sz w:val="24"/>
          <w:szCs w:val="24"/>
        </w:rPr>
        <w:t>1</w:t>
      </w:r>
      <w:r>
        <w:rPr>
          <w:rFonts w:hint="eastAsia" w:ascii="宋体" w:hAnsi="宋体"/>
          <w:sz w:val="24"/>
          <w:szCs w:val="24"/>
        </w:rPr>
        <w:t>、投标方所供的货物，必须符合中国最新版的法律、法规和相关标准、规范的要求，符合项目所在地政府有关特殊要求。</w:t>
      </w:r>
    </w:p>
    <w:p>
      <w:pPr>
        <w:spacing w:line="420" w:lineRule="exact"/>
        <w:ind w:left="105" w:leftChars="50" w:firstLine="480" w:firstLineChars="200"/>
        <w:rPr>
          <w:rFonts w:ascii="宋体"/>
          <w:sz w:val="24"/>
          <w:szCs w:val="24"/>
        </w:rPr>
      </w:pPr>
      <w:r>
        <w:rPr>
          <w:rFonts w:ascii="宋体" w:hAnsi="宋体"/>
          <w:sz w:val="24"/>
          <w:szCs w:val="24"/>
        </w:rPr>
        <w:t>2</w:t>
      </w:r>
      <w:r>
        <w:rPr>
          <w:rFonts w:hint="eastAsia" w:ascii="宋体" w:hAnsi="宋体"/>
          <w:sz w:val="24"/>
          <w:szCs w:val="24"/>
        </w:rPr>
        <w:t>、投标方所供货物涉及的专利权技术以及知识产权保护的其它技术等，应保证招标方不因此受到任何侵权指控以及实际损失。</w:t>
      </w:r>
    </w:p>
    <w:p>
      <w:pPr>
        <w:spacing w:line="420" w:lineRule="exact"/>
        <w:ind w:left="105" w:leftChars="50" w:firstLine="480" w:firstLineChars="200"/>
        <w:rPr>
          <w:rFonts w:ascii="宋体"/>
          <w:sz w:val="24"/>
          <w:szCs w:val="24"/>
        </w:rPr>
      </w:pPr>
      <w:r>
        <w:rPr>
          <w:rFonts w:ascii="宋体" w:hAnsi="宋体"/>
          <w:sz w:val="24"/>
          <w:szCs w:val="24"/>
        </w:rPr>
        <w:t>3</w:t>
      </w:r>
      <w:r>
        <w:rPr>
          <w:rFonts w:hint="eastAsia" w:ascii="宋体" w:hAnsi="宋体"/>
          <w:sz w:val="24"/>
          <w:szCs w:val="24"/>
        </w:rPr>
        <w:t>、投标方应保证所供货物的先进性、可靠性、经济性和实用性，并为全新货物（或设备）。</w:t>
      </w:r>
    </w:p>
    <w:p>
      <w:pPr>
        <w:spacing w:line="420" w:lineRule="exact"/>
        <w:ind w:left="105" w:leftChars="50" w:firstLine="480" w:firstLineChars="200"/>
        <w:rPr>
          <w:rFonts w:ascii="宋体"/>
          <w:sz w:val="24"/>
          <w:szCs w:val="24"/>
        </w:rPr>
      </w:pPr>
      <w:r>
        <w:rPr>
          <w:rFonts w:ascii="宋体" w:hAnsi="宋体"/>
          <w:sz w:val="24"/>
          <w:szCs w:val="24"/>
        </w:rPr>
        <w:t>4</w:t>
      </w:r>
      <w:r>
        <w:rPr>
          <w:rFonts w:hint="eastAsia" w:ascii="宋体" w:hAnsi="宋体"/>
          <w:sz w:val="24"/>
          <w:szCs w:val="24"/>
        </w:rPr>
        <w:t>、投标方应满足招标方提出的各项技术要求，必要时应当免费提供技术承诺或担保。</w:t>
      </w:r>
    </w:p>
    <w:p>
      <w:pPr>
        <w:spacing w:line="420" w:lineRule="exact"/>
        <w:ind w:left="105" w:leftChars="50" w:firstLine="480" w:firstLineChars="200"/>
        <w:rPr>
          <w:rFonts w:ascii="宋体"/>
          <w:sz w:val="24"/>
          <w:szCs w:val="24"/>
        </w:rPr>
      </w:pPr>
      <w:r>
        <w:rPr>
          <w:rFonts w:ascii="宋体" w:hAnsi="宋体"/>
          <w:sz w:val="24"/>
          <w:szCs w:val="24"/>
        </w:rPr>
        <w:t>5</w:t>
      </w:r>
      <w:r>
        <w:rPr>
          <w:rFonts w:hint="eastAsia" w:ascii="宋体" w:hAnsi="宋体"/>
          <w:sz w:val="24"/>
          <w:szCs w:val="24"/>
        </w:rPr>
        <w:t>、投标方应保证所供货物（或设备）为中国政府指定或规定的主管部门公布的非淘汰货物（或设备），并尽力提供中国政府指定或规定的主管部门认可的环保型和节能型货物（或设备）。</w:t>
      </w:r>
    </w:p>
    <w:p>
      <w:pPr>
        <w:spacing w:line="420" w:lineRule="exact"/>
        <w:ind w:left="105" w:leftChars="50" w:firstLine="480" w:firstLineChars="200"/>
        <w:rPr>
          <w:rFonts w:ascii="宋体"/>
          <w:sz w:val="24"/>
          <w:szCs w:val="24"/>
        </w:rPr>
      </w:pPr>
      <w:r>
        <w:rPr>
          <w:rFonts w:ascii="宋体" w:hAnsi="宋体"/>
          <w:sz w:val="24"/>
          <w:szCs w:val="24"/>
        </w:rPr>
        <w:t>6</w:t>
      </w:r>
      <w:r>
        <w:rPr>
          <w:rFonts w:hint="eastAsia" w:ascii="宋体" w:hAnsi="宋体"/>
          <w:sz w:val="24"/>
          <w:szCs w:val="24"/>
        </w:rPr>
        <w:t>、投标方应保证所供货物的完整性和成套性，能保证货物的正常运行、使用。</w:t>
      </w:r>
    </w:p>
    <w:p>
      <w:pPr>
        <w:spacing w:line="420" w:lineRule="exact"/>
        <w:ind w:left="105" w:leftChars="50" w:firstLine="480" w:firstLineChars="200"/>
        <w:rPr>
          <w:rFonts w:ascii="宋体"/>
          <w:sz w:val="24"/>
          <w:szCs w:val="24"/>
        </w:rPr>
      </w:pPr>
      <w:r>
        <w:rPr>
          <w:rFonts w:ascii="宋体" w:hAnsi="宋体"/>
          <w:sz w:val="24"/>
          <w:szCs w:val="24"/>
        </w:rPr>
        <w:t>7</w:t>
      </w:r>
      <w:r>
        <w:rPr>
          <w:rFonts w:hint="eastAsia" w:ascii="宋体" w:hAnsi="宋体"/>
          <w:sz w:val="24"/>
          <w:szCs w:val="24"/>
        </w:rPr>
        <w:t>、投标方应对招标方采购的货物所涉及的技术、产能等信息负有保密义务，招标方拥有追究投标方泄密责任的权利；招标方如有需要，投标方应无条件签署保密协议。</w:t>
      </w:r>
    </w:p>
    <w:p>
      <w:pPr>
        <w:pStyle w:val="127"/>
        <w:outlineLvl w:val="2"/>
        <w:rPr>
          <w:rFonts w:ascii="Times New Roman" w:hAnsi="Times New Roman"/>
          <w:b/>
          <w:bCs w:val="0"/>
        </w:rPr>
      </w:pPr>
      <w:bookmarkStart w:id="37" w:name="_Toc130903428"/>
      <w:bookmarkStart w:id="38" w:name="_Toc29225"/>
      <w:r>
        <w:rPr>
          <w:rFonts w:hint="eastAsia" w:ascii="Times New Roman" w:hAnsi="Times New Roman"/>
          <w:b/>
          <w:bCs w:val="0"/>
        </w:rPr>
        <w:t>3</w:t>
      </w:r>
      <w:r>
        <w:rPr>
          <w:rFonts w:ascii="Times New Roman" w:hAnsi="Times New Roman"/>
          <w:b/>
          <w:bCs w:val="0"/>
        </w:rPr>
        <w:t xml:space="preserve">.3 </w:t>
      </w:r>
      <w:r>
        <w:rPr>
          <w:rFonts w:hint="eastAsia" w:ascii="Times New Roman" w:hAnsi="Times New Roman"/>
          <w:b/>
          <w:bCs w:val="0"/>
        </w:rPr>
        <w:t>执行标准</w:t>
      </w:r>
      <w:bookmarkEnd w:id="37"/>
      <w:bookmarkEnd w:id="38"/>
    </w:p>
    <w:p>
      <w:pPr>
        <w:spacing w:line="420" w:lineRule="exact"/>
        <w:ind w:firstLine="480" w:firstLineChars="200"/>
        <w:rPr>
          <w:rFonts w:ascii="宋体"/>
          <w:b/>
          <w:bCs/>
          <w:sz w:val="24"/>
          <w:szCs w:val="24"/>
        </w:rPr>
      </w:pPr>
      <w:r>
        <w:rPr>
          <w:rFonts w:ascii="宋体" w:hAnsi="宋体"/>
          <w:b/>
          <w:bCs/>
          <w:sz w:val="24"/>
          <w:szCs w:val="24"/>
        </w:rPr>
        <w:t>1</w:t>
      </w:r>
      <w:r>
        <w:rPr>
          <w:rFonts w:hint="eastAsia" w:ascii="宋体" w:hAnsi="宋体"/>
          <w:b/>
          <w:bCs/>
          <w:sz w:val="24"/>
          <w:szCs w:val="24"/>
        </w:rPr>
        <w:t>、招标方此处所列标准仅为涉及的主要标准，投标方应当在投标文件中按照最新版认真予以填写、补充和修改完善。</w:t>
      </w:r>
    </w:p>
    <w:p>
      <w:pPr>
        <w:spacing w:line="420" w:lineRule="exact"/>
        <w:ind w:firstLine="480" w:firstLineChars="200"/>
        <w:rPr>
          <w:rFonts w:ascii="宋体"/>
          <w:b/>
          <w:bCs/>
          <w:sz w:val="24"/>
          <w:szCs w:val="24"/>
        </w:rPr>
      </w:pPr>
      <w:r>
        <w:rPr>
          <w:rFonts w:ascii="宋体" w:hAnsi="宋体"/>
          <w:b/>
          <w:bCs/>
          <w:sz w:val="24"/>
          <w:szCs w:val="24"/>
        </w:rPr>
        <w:t>2</w:t>
      </w:r>
      <w:r>
        <w:rPr>
          <w:rFonts w:hint="eastAsia" w:ascii="宋体" w:hAnsi="宋体"/>
          <w:b/>
          <w:bCs/>
          <w:sz w:val="24"/>
          <w:szCs w:val="24"/>
        </w:rPr>
        <w:t>、投标方需要执行的标准，应当采用所供货物通过买方组织的最终验收之日已经开始执行的最新标准。</w:t>
      </w:r>
    </w:p>
    <w:p>
      <w:pPr>
        <w:spacing w:line="420" w:lineRule="exact"/>
        <w:ind w:left="105" w:leftChars="50" w:firstLine="480" w:firstLineChars="200"/>
        <w:rPr>
          <w:rFonts w:ascii="宋体"/>
          <w:sz w:val="24"/>
          <w:szCs w:val="24"/>
        </w:rPr>
      </w:pPr>
      <w:r>
        <w:rPr>
          <w:rFonts w:ascii="宋体" w:hAnsi="宋体"/>
          <w:sz w:val="24"/>
          <w:szCs w:val="24"/>
        </w:rPr>
        <w:t>3</w:t>
      </w:r>
      <w:r>
        <w:rPr>
          <w:rFonts w:hint="eastAsia" w:ascii="宋体" w:hAnsi="宋体"/>
          <w:sz w:val="24"/>
          <w:szCs w:val="24"/>
        </w:rPr>
        <w:t>、采购货物的产品质量、技术标准如在招投标文件中无相应说明，则按中华人民共和国有关部门颁发的最新的国标或专业（部）标准执行及相应的国际标准。</w:t>
      </w:r>
    </w:p>
    <w:p>
      <w:pPr>
        <w:spacing w:line="420" w:lineRule="exact"/>
        <w:ind w:left="105" w:leftChars="50" w:firstLine="480" w:firstLineChars="200"/>
        <w:rPr>
          <w:rFonts w:ascii="宋体"/>
          <w:sz w:val="24"/>
          <w:szCs w:val="24"/>
        </w:rPr>
      </w:pPr>
      <w:r>
        <w:rPr>
          <w:rFonts w:ascii="宋体" w:hAnsi="宋体"/>
          <w:sz w:val="24"/>
          <w:szCs w:val="24"/>
        </w:rPr>
        <w:t>4</w:t>
      </w:r>
      <w:r>
        <w:rPr>
          <w:rFonts w:hint="eastAsia" w:ascii="宋体" w:hAnsi="宋体"/>
          <w:sz w:val="24"/>
          <w:szCs w:val="24"/>
        </w:rPr>
        <w:t>、采购货物没有国家或专业（部）标准的，按企业标准执行时，卖方应在合同签署之前，将所涉及的企业标准提供给买方确认。</w:t>
      </w:r>
    </w:p>
    <w:p>
      <w:pPr>
        <w:spacing w:line="420" w:lineRule="exact"/>
        <w:ind w:left="105" w:leftChars="50" w:firstLine="480" w:firstLineChars="200"/>
        <w:rPr>
          <w:rFonts w:ascii="宋体"/>
          <w:sz w:val="24"/>
          <w:szCs w:val="24"/>
        </w:rPr>
      </w:pPr>
      <w:r>
        <w:rPr>
          <w:rFonts w:ascii="宋体" w:hAnsi="宋体"/>
          <w:sz w:val="24"/>
          <w:szCs w:val="24"/>
        </w:rPr>
        <w:t>5</w:t>
      </w:r>
      <w:r>
        <w:rPr>
          <w:rFonts w:hint="eastAsia" w:ascii="宋体" w:hAnsi="宋体"/>
          <w:sz w:val="24"/>
          <w:szCs w:val="24"/>
        </w:rPr>
        <w:t>、采购货物如果采用国际标准，其执行标准由投标方提供、招标方确认。</w:t>
      </w:r>
    </w:p>
    <w:p>
      <w:pPr>
        <w:spacing w:line="420" w:lineRule="exact"/>
        <w:ind w:left="105" w:leftChars="50" w:firstLine="480" w:firstLineChars="200"/>
        <w:rPr>
          <w:rFonts w:ascii="宋体"/>
          <w:sz w:val="24"/>
          <w:szCs w:val="24"/>
        </w:rPr>
      </w:pPr>
      <w:r>
        <w:rPr>
          <w:rFonts w:ascii="宋体" w:hAnsi="宋体"/>
          <w:sz w:val="24"/>
          <w:szCs w:val="24"/>
        </w:rPr>
        <w:t>6</w:t>
      </w:r>
      <w:r>
        <w:rPr>
          <w:rFonts w:hint="eastAsia" w:ascii="宋体" w:hAnsi="宋体"/>
          <w:sz w:val="24"/>
          <w:szCs w:val="24"/>
        </w:rPr>
        <w:t>、采购货物所涉及的标准不统一时，原则上按照最严格标准执行。</w:t>
      </w:r>
    </w:p>
    <w:p>
      <w:pPr>
        <w:spacing w:line="420" w:lineRule="exact"/>
        <w:ind w:left="105" w:leftChars="50" w:firstLine="480" w:firstLineChars="200"/>
        <w:rPr>
          <w:rFonts w:ascii="宋体" w:hAnsi="宋体"/>
          <w:sz w:val="24"/>
          <w:szCs w:val="24"/>
        </w:rPr>
      </w:pPr>
      <w:r>
        <w:rPr>
          <w:rFonts w:ascii="宋体" w:hAnsi="宋体"/>
          <w:sz w:val="24"/>
          <w:szCs w:val="24"/>
        </w:rPr>
        <w:t>7</w:t>
      </w:r>
      <w:r>
        <w:rPr>
          <w:rFonts w:hint="eastAsia" w:ascii="宋体" w:hAnsi="宋体"/>
          <w:sz w:val="24"/>
          <w:szCs w:val="24"/>
        </w:rPr>
        <w:t>、涉及的主要标准表：</w:t>
      </w:r>
    </w:p>
    <w:p>
      <w:pPr>
        <w:pStyle w:val="25"/>
        <w:spacing w:before="0" w:after="0"/>
        <w:jc w:val="center"/>
        <w:rPr>
          <w:rFonts w:ascii="宋体" w:hAnsi="宋体" w:eastAsia="宋体"/>
          <w:sz w:val="21"/>
          <w:szCs w:val="21"/>
        </w:rPr>
      </w:pPr>
      <w:bookmarkStart w:id="39" w:name="_Toc130911657"/>
      <w:r>
        <w:rPr>
          <w:rFonts w:hint="eastAsia" w:ascii="宋体" w:hAnsi="宋体" w:eastAsia="宋体"/>
          <w:sz w:val="21"/>
          <w:szCs w:val="21"/>
        </w:rPr>
        <w:t xml:space="preserve">表 </w:t>
      </w:r>
      <w:r>
        <w:rPr>
          <w:rFonts w:ascii="宋体" w:hAnsi="宋体" w:eastAsia="宋体"/>
          <w:sz w:val="21"/>
          <w:szCs w:val="21"/>
        </w:rPr>
        <w:fldChar w:fldCharType="begin"/>
      </w:r>
      <w:r>
        <w:rPr>
          <w:rFonts w:ascii="宋体" w:hAnsi="宋体" w:eastAsia="宋体"/>
          <w:sz w:val="21"/>
          <w:szCs w:val="21"/>
        </w:rPr>
        <w:instrText xml:space="preserve"> </w:instrText>
      </w:r>
      <w:r>
        <w:rPr>
          <w:rFonts w:hint="eastAsia" w:ascii="宋体" w:hAnsi="宋体" w:eastAsia="宋体"/>
          <w:sz w:val="21"/>
          <w:szCs w:val="21"/>
        </w:rPr>
        <w:instrText xml:space="preserve">SEQ 表 \* ARABIC</w:instrText>
      </w:r>
      <w:r>
        <w:rPr>
          <w:rFonts w:ascii="宋体" w:hAnsi="宋体" w:eastAsia="宋体"/>
          <w:sz w:val="21"/>
          <w:szCs w:val="21"/>
        </w:rPr>
        <w:instrText xml:space="preserve"> </w:instrText>
      </w:r>
      <w:r>
        <w:rPr>
          <w:rFonts w:ascii="宋体" w:hAnsi="宋体" w:eastAsia="宋体"/>
          <w:sz w:val="21"/>
          <w:szCs w:val="21"/>
        </w:rPr>
        <w:fldChar w:fldCharType="separate"/>
      </w:r>
      <w:r>
        <w:rPr>
          <w:rFonts w:ascii="宋体" w:hAnsi="宋体" w:eastAsia="宋体"/>
          <w:sz w:val="21"/>
          <w:szCs w:val="21"/>
        </w:rPr>
        <w:t>2</w:t>
      </w:r>
      <w:r>
        <w:rPr>
          <w:rFonts w:ascii="宋体" w:hAnsi="宋体" w:eastAsia="宋体"/>
          <w:sz w:val="21"/>
          <w:szCs w:val="21"/>
        </w:rPr>
        <w:fldChar w:fldCharType="end"/>
      </w:r>
      <w:r>
        <w:rPr>
          <w:rFonts w:ascii="宋体" w:hAnsi="宋体" w:eastAsia="宋体"/>
          <w:sz w:val="21"/>
          <w:szCs w:val="21"/>
        </w:rPr>
        <w:t xml:space="preserve"> </w:t>
      </w:r>
      <w:r>
        <w:rPr>
          <w:rFonts w:hint="eastAsia" w:ascii="宋体" w:hAnsi="宋体" w:eastAsia="宋体"/>
          <w:sz w:val="21"/>
          <w:szCs w:val="21"/>
        </w:rPr>
        <w:t>设备应符合的电磁兼容标准</w:t>
      </w:r>
      <w:bookmarkEnd w:id="39"/>
    </w:p>
    <w:tbl>
      <w:tblPr>
        <w:tblStyle w:val="82"/>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4820"/>
        <w:gridCol w:w="269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center"/>
              <w:rPr>
                <w:rFonts w:ascii="宋体" w:hAnsi="宋体"/>
                <w:szCs w:val="21"/>
              </w:rPr>
            </w:pPr>
            <w:r>
              <w:rPr>
                <w:rFonts w:hint="eastAsia" w:ascii="宋体" w:hAnsi="宋体"/>
                <w:szCs w:val="21"/>
              </w:rPr>
              <w:t>序号</w:t>
            </w:r>
          </w:p>
        </w:tc>
        <w:tc>
          <w:tcPr>
            <w:tcW w:w="4820"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center"/>
              <w:rPr>
                <w:rFonts w:ascii="宋体" w:hAnsi="宋体"/>
                <w:szCs w:val="21"/>
              </w:rPr>
            </w:pPr>
            <w:r>
              <w:rPr>
                <w:rFonts w:hint="eastAsia" w:ascii="宋体" w:hAnsi="宋体"/>
                <w:szCs w:val="21"/>
              </w:rPr>
              <w:t>标准名称</w:t>
            </w:r>
          </w:p>
        </w:tc>
        <w:tc>
          <w:tcPr>
            <w:tcW w:w="2693"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center"/>
              <w:rPr>
                <w:rFonts w:ascii="宋体" w:hAnsi="宋体"/>
                <w:szCs w:val="21"/>
              </w:rPr>
            </w:pPr>
            <w:r>
              <w:rPr>
                <w:rFonts w:hint="eastAsia" w:ascii="宋体" w:hAnsi="宋体"/>
                <w:szCs w:val="21"/>
              </w:rPr>
              <w:t>标准编号</w:t>
            </w:r>
          </w:p>
        </w:tc>
        <w:tc>
          <w:tcPr>
            <w:tcW w:w="113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center"/>
              <w:rPr>
                <w:rFonts w:ascii="宋体" w:hAnsi="宋体"/>
                <w:szCs w:val="21"/>
                <w:highlight w:val="none"/>
              </w:rPr>
            </w:pPr>
            <w:r>
              <w:rPr>
                <w:rFonts w:hint="eastAsia" w:ascii="宋体" w:hAnsi="宋体"/>
                <w:szCs w:val="21"/>
                <w:highlight w:val="none"/>
              </w:rPr>
              <w:t>1</w:t>
            </w:r>
          </w:p>
        </w:tc>
        <w:tc>
          <w:tcPr>
            <w:tcW w:w="4820"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rPr>
            </w:pPr>
            <w:r>
              <w:rPr>
                <w:rFonts w:hint="eastAsia" w:ascii="宋体" w:hAnsi="宋体"/>
                <w:szCs w:val="21"/>
                <w:highlight w:val="none"/>
              </w:rPr>
              <w:t>测量/实验室电气设备安全 — 手持探头组件安全要求</w:t>
            </w:r>
          </w:p>
        </w:tc>
        <w:tc>
          <w:tcPr>
            <w:tcW w:w="2693"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rPr>
            </w:pPr>
            <w:r>
              <w:rPr>
                <w:rFonts w:hint="eastAsia" w:ascii="宋体" w:hAnsi="宋体"/>
                <w:szCs w:val="21"/>
                <w:highlight w:val="none"/>
              </w:rPr>
              <w:t>IEC 61010-031</w:t>
            </w:r>
          </w:p>
        </w:tc>
        <w:tc>
          <w:tcPr>
            <w:tcW w:w="113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rPr>
            </w:pPr>
            <w:r>
              <w:rPr>
                <w:rFonts w:hint="eastAsia" w:ascii="宋体" w:hAnsi="宋体"/>
                <w:szCs w:val="21"/>
                <w:highlight w:val="none"/>
              </w:rPr>
              <w:t>买方确认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center"/>
              <w:rPr>
                <w:rFonts w:ascii="宋体" w:hAnsi="宋体"/>
                <w:szCs w:val="21"/>
                <w:highlight w:val="none"/>
              </w:rPr>
            </w:pPr>
            <w:r>
              <w:rPr>
                <w:rFonts w:ascii="宋体" w:hAnsi="宋体"/>
                <w:szCs w:val="21"/>
                <w:highlight w:val="none"/>
              </w:rPr>
              <w:t>2</w:t>
            </w:r>
          </w:p>
        </w:tc>
        <w:tc>
          <w:tcPr>
            <w:tcW w:w="4820"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rPr>
            </w:pPr>
            <w:r>
              <w:rPr>
                <w:rFonts w:hint="eastAsia" w:ascii="宋体" w:hAnsi="宋体"/>
                <w:szCs w:val="21"/>
                <w:highlight w:val="none"/>
              </w:rPr>
              <w:t>测量、控制和实验室用电气设备安全要求 第7部分：电工测量和试验用手持和手操探头组件的安全要求</w:t>
            </w:r>
          </w:p>
        </w:tc>
        <w:tc>
          <w:tcPr>
            <w:tcW w:w="2693"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lang w:val="de-DE"/>
              </w:rPr>
            </w:pPr>
            <w:r>
              <w:rPr>
                <w:rFonts w:hint="eastAsia" w:ascii="宋体" w:hAnsi="宋体"/>
                <w:szCs w:val="21"/>
                <w:highlight w:val="none"/>
                <w:lang w:val="de-DE"/>
              </w:rPr>
              <w:t>GB/T 42125.7</w:t>
            </w:r>
          </w:p>
        </w:tc>
        <w:tc>
          <w:tcPr>
            <w:tcW w:w="113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rPr>
            </w:pPr>
            <w:r>
              <w:rPr>
                <w:rFonts w:hint="eastAsia" w:ascii="宋体" w:hAnsi="宋体"/>
                <w:szCs w:val="21"/>
                <w:highlight w:val="none"/>
              </w:rPr>
              <w:t>买方确认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center"/>
              <w:rPr>
                <w:rFonts w:ascii="宋体" w:hAnsi="宋体" w:eastAsia="宋体" w:cs="Times New Roman"/>
                <w:szCs w:val="21"/>
                <w:highlight w:val="none"/>
              </w:rPr>
            </w:pPr>
            <w:r>
              <w:rPr>
                <w:rFonts w:ascii="宋体" w:hAnsi="宋体" w:eastAsia="宋体" w:cs="Times New Roman"/>
                <w:szCs w:val="21"/>
                <w:highlight w:val="none"/>
              </w:rPr>
              <w:t>3</w:t>
            </w:r>
          </w:p>
        </w:tc>
        <w:tc>
          <w:tcPr>
            <w:tcW w:w="4820"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eastAsia="宋体" w:cs="Times New Roman"/>
                <w:szCs w:val="21"/>
                <w:highlight w:val="none"/>
              </w:rPr>
            </w:pPr>
            <w:r>
              <w:rPr>
                <w:rFonts w:hint="default" w:ascii="宋体" w:hAnsi="宋体" w:eastAsia="宋体" w:cs="Times New Roman"/>
                <w:szCs w:val="21"/>
                <w:highlight w:val="none"/>
                <w:lang w:val="en-US" w:eastAsia="zh-CN"/>
              </w:rPr>
              <w:t>示波器用无源电压探极通用规范</w:t>
            </w:r>
          </w:p>
        </w:tc>
        <w:tc>
          <w:tcPr>
            <w:tcW w:w="2693"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lang w:val="de-DE"/>
              </w:rPr>
            </w:pPr>
            <w:r>
              <w:rPr>
                <w:rFonts w:hint="default" w:ascii="宋体" w:hAnsi="宋体" w:eastAsia="宋体" w:cs="Times New Roman"/>
                <w:szCs w:val="21"/>
                <w:highlight w:val="none"/>
              </w:rPr>
              <w:t>SJ/T 10683</w:t>
            </w:r>
          </w:p>
        </w:tc>
        <w:tc>
          <w:tcPr>
            <w:tcW w:w="1134" w:type="dxa"/>
            <w:tcBorders>
              <w:top w:val="single" w:color="auto" w:sz="4" w:space="0"/>
              <w:left w:val="single" w:color="auto" w:sz="4" w:space="0"/>
              <w:bottom w:val="single" w:color="auto" w:sz="4" w:space="0"/>
              <w:right w:val="single" w:color="auto" w:sz="4" w:space="0"/>
            </w:tcBorders>
            <w:vAlign w:val="center"/>
          </w:tcPr>
          <w:p>
            <w:pPr>
              <w:pStyle w:val="36"/>
              <w:spacing w:after="0"/>
              <w:ind w:left="0" w:leftChars="0"/>
              <w:jc w:val="left"/>
              <w:rPr>
                <w:rFonts w:ascii="宋体" w:hAnsi="宋体"/>
                <w:szCs w:val="21"/>
                <w:highlight w:val="none"/>
              </w:rPr>
            </w:pPr>
            <w:r>
              <w:rPr>
                <w:rFonts w:hint="eastAsia" w:ascii="宋体" w:hAnsi="宋体"/>
                <w:szCs w:val="21"/>
                <w:highlight w:val="none"/>
              </w:rPr>
              <w:t>买方确认</w:t>
            </w:r>
          </w:p>
        </w:tc>
      </w:tr>
    </w:tbl>
    <w:p>
      <w:pPr>
        <w:pStyle w:val="127"/>
        <w:outlineLvl w:val="2"/>
        <w:rPr>
          <w:rFonts w:ascii="Times New Roman" w:hAnsi="Times New Roman"/>
          <w:b/>
          <w:bCs w:val="0"/>
        </w:rPr>
      </w:pPr>
      <w:bookmarkStart w:id="40" w:name="_Toc15483"/>
      <w:bookmarkStart w:id="41" w:name="_Toc130903429"/>
      <w:r>
        <w:rPr>
          <w:rFonts w:hint="eastAsia" w:ascii="Times New Roman" w:hAnsi="Times New Roman"/>
          <w:b/>
          <w:bCs w:val="0"/>
        </w:rPr>
        <w:t>3</w:t>
      </w:r>
      <w:r>
        <w:rPr>
          <w:rFonts w:ascii="Times New Roman" w:hAnsi="Times New Roman"/>
          <w:b/>
          <w:bCs w:val="0"/>
        </w:rPr>
        <w:t xml:space="preserve">.4 </w:t>
      </w:r>
      <w:r>
        <w:rPr>
          <w:rFonts w:hint="eastAsia" w:ascii="Times New Roman" w:hAnsi="Times New Roman"/>
          <w:b/>
          <w:bCs w:val="0"/>
        </w:rPr>
        <w:t>货物需求一览表</w:t>
      </w:r>
      <w:bookmarkEnd w:id="40"/>
      <w:bookmarkEnd w:id="41"/>
    </w:p>
    <w:p>
      <w:pPr>
        <w:ind w:firstLine="480" w:firstLineChars="200"/>
        <w:rPr>
          <w:rFonts w:hint="eastAsia" w:ascii="黑体" w:hAnsi="宋体" w:eastAsia="黑体" w:cs="Times New Roman"/>
          <w:sz w:val="24"/>
          <w:szCs w:val="24"/>
          <w:lang w:eastAsia="zh-CN"/>
        </w:rPr>
      </w:pPr>
      <w:bookmarkStart w:id="42" w:name="_Toc130911659"/>
      <w:r>
        <w:rPr>
          <w:rFonts w:hint="eastAsia" w:ascii="黑体" w:hAnsi="宋体" w:eastAsia="黑体" w:cs="Times New Roman"/>
          <w:sz w:val="24"/>
          <w:szCs w:val="24"/>
          <w:lang w:eastAsia="zh-CN"/>
        </w:rPr>
        <w:t>驱动电机轴电测试仪器配件项目</w:t>
      </w:r>
    </w:p>
    <w:p>
      <w:pPr>
        <w:jc w:val="center"/>
        <w:rPr>
          <w:rFonts w:ascii="黑体" w:hAnsi="宋体"/>
          <w:sz w:val="24"/>
          <w:szCs w:val="24"/>
        </w:rPr>
      </w:pPr>
      <w:r>
        <w:rPr>
          <w:rFonts w:hint="eastAsia" w:ascii="宋体" w:hAnsi="宋体" w:eastAsia="宋体"/>
          <w:sz w:val="21"/>
          <w:szCs w:val="21"/>
        </w:rPr>
        <w:t>表 3</w:t>
      </w:r>
      <w:r>
        <w:rPr>
          <w:rFonts w:ascii="宋体" w:hAnsi="宋体" w:eastAsia="宋体"/>
          <w:sz w:val="21"/>
          <w:szCs w:val="21"/>
        </w:rPr>
        <w:t xml:space="preserve"> </w:t>
      </w:r>
      <w:r>
        <w:rPr>
          <w:rFonts w:hint="eastAsia" w:ascii="宋体" w:hAnsi="宋体" w:cs="Times New Roman"/>
          <w:sz w:val="21"/>
          <w:szCs w:val="21"/>
          <w:lang w:eastAsia="zh-CN"/>
        </w:rPr>
        <w:t>驱动电机轴电测试仪器配件项目</w:t>
      </w:r>
      <w:r>
        <w:rPr>
          <w:rFonts w:hint="eastAsia" w:ascii="宋体" w:hAnsi="宋体" w:eastAsia="宋体"/>
          <w:sz w:val="21"/>
          <w:szCs w:val="21"/>
        </w:rPr>
        <w:t>一览表</w:t>
      </w:r>
      <w:bookmarkEnd w:id="42"/>
    </w:p>
    <w:tbl>
      <w:tblPr>
        <w:tblStyle w:val="82"/>
        <w:tblW w:w="504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549"/>
        <w:gridCol w:w="1274"/>
        <w:gridCol w:w="709"/>
        <w:gridCol w:w="992"/>
        <w:gridCol w:w="3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379" w:type="pct"/>
            <w:shd w:val="clear" w:color="auto" w:fill="auto"/>
            <w:vAlign w:val="center"/>
          </w:tcPr>
          <w:p>
            <w:pPr>
              <w:jc w:val="center"/>
              <w:rPr>
                <w:rFonts w:ascii="宋体" w:hAnsi="宋体" w:cs="宋体"/>
                <w:szCs w:val="21"/>
              </w:rPr>
            </w:pPr>
            <w:r>
              <w:rPr>
                <w:rFonts w:hint="eastAsia" w:ascii="宋体" w:hAnsi="宋体" w:cs="宋体"/>
                <w:szCs w:val="21"/>
              </w:rPr>
              <w:t>序号</w:t>
            </w:r>
          </w:p>
        </w:tc>
        <w:tc>
          <w:tcPr>
            <w:tcW w:w="1361" w:type="pct"/>
            <w:shd w:val="clear" w:color="auto" w:fill="auto"/>
            <w:vAlign w:val="center"/>
          </w:tcPr>
          <w:p>
            <w:pPr>
              <w:jc w:val="left"/>
              <w:rPr>
                <w:rFonts w:ascii="宋体" w:hAnsi="宋体" w:cs="宋体"/>
                <w:szCs w:val="21"/>
              </w:rPr>
            </w:pPr>
            <w:r>
              <w:rPr>
                <w:rFonts w:hint="eastAsia" w:ascii="宋体" w:hAnsi="宋体" w:cs="宋体"/>
                <w:szCs w:val="21"/>
              </w:rPr>
              <w:t>货物名称</w:t>
            </w:r>
          </w:p>
        </w:tc>
        <w:tc>
          <w:tcPr>
            <w:tcW w:w="680" w:type="pct"/>
            <w:shd w:val="clear" w:color="auto" w:fill="auto"/>
            <w:vAlign w:val="center"/>
          </w:tcPr>
          <w:p>
            <w:pPr>
              <w:jc w:val="left"/>
              <w:rPr>
                <w:rFonts w:ascii="宋体" w:hAnsi="宋体" w:cs="宋体"/>
                <w:szCs w:val="21"/>
              </w:rPr>
            </w:pPr>
            <w:r>
              <w:rPr>
                <w:rFonts w:hint="eastAsia" w:ascii="宋体" w:hAnsi="宋体" w:cs="宋体"/>
                <w:szCs w:val="21"/>
              </w:rPr>
              <w:t>规格/型号</w:t>
            </w:r>
          </w:p>
        </w:tc>
        <w:tc>
          <w:tcPr>
            <w:tcW w:w="378" w:type="pct"/>
            <w:vAlign w:val="center"/>
          </w:tcPr>
          <w:p>
            <w:pPr>
              <w:jc w:val="left"/>
              <w:rPr>
                <w:rFonts w:ascii="宋体" w:hAnsi="宋体" w:cs="宋体"/>
                <w:szCs w:val="21"/>
              </w:rPr>
            </w:pPr>
            <w:r>
              <w:rPr>
                <w:rFonts w:hint="eastAsia" w:ascii="宋体" w:hAnsi="宋体" w:cs="宋体"/>
                <w:szCs w:val="21"/>
              </w:rPr>
              <w:t>数量</w:t>
            </w:r>
          </w:p>
        </w:tc>
        <w:tc>
          <w:tcPr>
            <w:tcW w:w="529" w:type="pct"/>
            <w:vAlign w:val="center"/>
          </w:tcPr>
          <w:p>
            <w:pPr>
              <w:jc w:val="left"/>
              <w:rPr>
                <w:rFonts w:ascii="宋体" w:hAnsi="宋体"/>
                <w:bCs/>
                <w:szCs w:val="21"/>
              </w:rPr>
            </w:pPr>
            <w:r>
              <w:rPr>
                <w:rFonts w:hint="eastAsia" w:ascii="宋体" w:hAnsi="宋体"/>
                <w:bCs/>
                <w:szCs w:val="21"/>
              </w:rPr>
              <w:t>交货期</w:t>
            </w:r>
          </w:p>
        </w:tc>
        <w:tc>
          <w:tcPr>
            <w:tcW w:w="1670" w:type="pct"/>
            <w:vAlign w:val="center"/>
          </w:tcPr>
          <w:p>
            <w:pPr>
              <w:jc w:val="left"/>
              <w:rPr>
                <w:rFonts w:ascii="宋体" w:hAnsi="宋体"/>
                <w:bCs/>
                <w:szCs w:val="21"/>
              </w:rPr>
            </w:pPr>
            <w:r>
              <w:rPr>
                <w:rFonts w:hint="eastAsia" w:ascii="宋体" w:hAnsi="宋体"/>
                <w:bCs/>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379" w:type="pct"/>
            <w:shd w:val="clear" w:color="auto" w:fill="auto"/>
            <w:vAlign w:val="center"/>
          </w:tcPr>
          <w:p>
            <w:pPr>
              <w:jc w:val="center"/>
              <w:rPr>
                <w:rFonts w:ascii="宋体" w:hAnsi="宋体" w:cs="宋体"/>
                <w:szCs w:val="21"/>
              </w:rPr>
            </w:pPr>
            <w:r>
              <w:rPr>
                <w:rFonts w:hint="eastAsia" w:ascii="宋体" w:hAnsi="宋体" w:cs="宋体"/>
                <w:szCs w:val="21"/>
              </w:rPr>
              <w:t>1</w:t>
            </w:r>
          </w:p>
        </w:tc>
        <w:tc>
          <w:tcPr>
            <w:tcW w:w="1361" w:type="pct"/>
            <w:shd w:val="clear" w:color="auto" w:fill="auto"/>
            <w:vAlign w:val="center"/>
          </w:tcPr>
          <w:p>
            <w:pPr>
              <w:spacing w:line="240" w:lineRule="auto"/>
              <w:ind w:left="0" w:leftChars="0" w:firstLine="0" w:firstLineChars="0"/>
              <w:jc w:val="center"/>
              <w:rPr>
                <w:rFonts w:eastAsia="宋体"/>
                <w:kern w:val="2"/>
                <w:sz w:val="21"/>
              </w:rPr>
            </w:pPr>
            <w:r>
              <w:rPr>
                <w:rFonts w:hint="eastAsia"/>
                <w:sz w:val="21"/>
                <w:szCs w:val="21"/>
                <w:vertAlign w:val="baseline"/>
                <w:lang w:val="en-US" w:eastAsia="zh-CN"/>
              </w:rPr>
              <w:t>高压差分探头</w:t>
            </w:r>
          </w:p>
        </w:tc>
        <w:tc>
          <w:tcPr>
            <w:tcW w:w="680" w:type="pct"/>
            <w:shd w:val="clear" w:color="auto" w:fill="auto"/>
            <w:vAlign w:val="center"/>
          </w:tcPr>
          <w:p>
            <w:pPr>
              <w:jc w:val="left"/>
              <w:rPr>
                <w:rFonts w:ascii="宋体" w:hAnsi="宋体" w:cs="宋体"/>
                <w:szCs w:val="21"/>
              </w:rPr>
            </w:pPr>
            <w:r>
              <w:rPr>
                <w:rFonts w:hint="eastAsia" w:ascii="宋体" w:hAnsi="宋体" w:cs="宋体"/>
                <w:szCs w:val="21"/>
              </w:rPr>
              <w:t>按技术要求</w:t>
            </w:r>
          </w:p>
        </w:tc>
        <w:tc>
          <w:tcPr>
            <w:tcW w:w="378" w:type="pct"/>
            <w:vAlign w:val="center"/>
          </w:tcPr>
          <w:p>
            <w:pPr>
              <w:jc w:val="left"/>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套</w:t>
            </w:r>
          </w:p>
        </w:tc>
        <w:tc>
          <w:tcPr>
            <w:tcW w:w="529" w:type="pct"/>
            <w:vMerge w:val="restart"/>
            <w:vAlign w:val="center"/>
          </w:tcPr>
          <w:p>
            <w:pPr>
              <w:jc w:val="left"/>
              <w:rPr>
                <w:rFonts w:hint="eastAsia" w:ascii="宋体" w:hAnsi="宋体"/>
                <w:b/>
                <w:szCs w:val="21"/>
              </w:rPr>
            </w:pPr>
            <w:r>
              <w:rPr>
                <w:rFonts w:hint="eastAsia" w:ascii="宋体" w:hAnsi="宋体"/>
                <w:b/>
                <w:szCs w:val="21"/>
                <w:highlight w:val="none"/>
                <w:lang w:val="en-US" w:eastAsia="zh-CN"/>
              </w:rPr>
              <w:t>60</w:t>
            </w:r>
            <w:r>
              <w:rPr>
                <w:rFonts w:hint="eastAsia" w:ascii="宋体" w:hAnsi="宋体"/>
                <w:b/>
                <w:szCs w:val="21"/>
                <w:highlight w:val="none"/>
              </w:rPr>
              <w:t>个日历日内</w:t>
            </w:r>
          </w:p>
        </w:tc>
        <w:tc>
          <w:tcPr>
            <w:tcW w:w="1670" w:type="pct"/>
            <w:vMerge w:val="restart"/>
            <w:vAlign w:val="center"/>
          </w:tcPr>
          <w:p>
            <w:pPr>
              <w:jc w:val="left"/>
              <w:rPr>
                <w:rFonts w:ascii="宋体" w:hAnsi="宋体"/>
                <w:bCs/>
                <w:szCs w:val="21"/>
              </w:rPr>
            </w:pPr>
            <w:r>
              <w:rPr>
                <w:rFonts w:hint="eastAsia" w:ascii="宋体" w:hAnsi="宋体"/>
                <w:sz w:val="21"/>
                <w:szCs w:val="21"/>
                <w:u w:val="none"/>
              </w:rPr>
              <w:t>济南市莱芜区口镇重汽</w:t>
            </w:r>
            <w:r>
              <w:rPr>
                <w:rFonts w:hint="eastAsia" w:ascii="宋体" w:hAnsi="宋体" w:cs="宋体"/>
                <w:sz w:val="21"/>
                <w:szCs w:val="21"/>
                <w:u w:val="none"/>
              </w:rPr>
              <w:t>新能源产品试验检测中心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379" w:type="pct"/>
            <w:shd w:val="clear" w:color="auto" w:fill="auto"/>
            <w:vAlign w:val="center"/>
          </w:tcPr>
          <w:p>
            <w:pPr>
              <w:jc w:val="center"/>
              <w:rPr>
                <w:rFonts w:ascii="宋体" w:hAnsi="宋体" w:cs="宋体"/>
                <w:szCs w:val="21"/>
              </w:rPr>
            </w:pPr>
            <w:r>
              <w:rPr>
                <w:rFonts w:hint="eastAsia" w:ascii="宋体" w:hAnsi="宋体" w:cs="宋体"/>
                <w:szCs w:val="21"/>
              </w:rPr>
              <w:t>2</w:t>
            </w:r>
          </w:p>
        </w:tc>
        <w:tc>
          <w:tcPr>
            <w:tcW w:w="1361" w:type="pct"/>
            <w:shd w:val="clear" w:color="auto" w:fill="auto"/>
            <w:vAlign w:val="center"/>
          </w:tcPr>
          <w:p>
            <w:pPr>
              <w:spacing w:line="240" w:lineRule="auto"/>
              <w:ind w:left="0" w:leftChars="0" w:firstLine="0" w:firstLineChars="0"/>
              <w:jc w:val="center"/>
              <w:rPr>
                <w:rFonts w:eastAsia="宋体"/>
                <w:kern w:val="2"/>
                <w:sz w:val="21"/>
              </w:rPr>
            </w:pPr>
            <w:r>
              <w:rPr>
                <w:rFonts w:hint="eastAsia"/>
                <w:sz w:val="21"/>
                <w:szCs w:val="21"/>
                <w:vertAlign w:val="baseline"/>
                <w:lang w:val="en-US" w:eastAsia="zh-CN"/>
              </w:rPr>
              <w:t>电流探头</w:t>
            </w:r>
          </w:p>
        </w:tc>
        <w:tc>
          <w:tcPr>
            <w:tcW w:w="680" w:type="pct"/>
            <w:shd w:val="clear" w:color="auto" w:fill="auto"/>
            <w:vAlign w:val="center"/>
          </w:tcPr>
          <w:p>
            <w:pPr>
              <w:jc w:val="left"/>
              <w:rPr>
                <w:rFonts w:ascii="宋体" w:hAnsi="宋体" w:cs="宋体"/>
                <w:szCs w:val="21"/>
              </w:rPr>
            </w:pPr>
            <w:r>
              <w:rPr>
                <w:rFonts w:hint="eastAsia" w:ascii="宋体" w:hAnsi="宋体" w:cs="宋体"/>
                <w:szCs w:val="21"/>
              </w:rPr>
              <w:t>按技术要求</w:t>
            </w:r>
          </w:p>
        </w:tc>
        <w:tc>
          <w:tcPr>
            <w:tcW w:w="378" w:type="pct"/>
            <w:vAlign w:val="center"/>
          </w:tcPr>
          <w:p>
            <w:pPr>
              <w:jc w:val="left"/>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套</w:t>
            </w:r>
          </w:p>
        </w:tc>
        <w:tc>
          <w:tcPr>
            <w:tcW w:w="529" w:type="pct"/>
            <w:vMerge w:val="continue"/>
            <w:vAlign w:val="center"/>
          </w:tcPr>
          <w:p>
            <w:pPr>
              <w:jc w:val="center"/>
              <w:rPr>
                <w:rFonts w:ascii="宋体" w:hAnsi="宋体" w:cs="宋体"/>
                <w:sz w:val="24"/>
                <w:szCs w:val="24"/>
              </w:rPr>
            </w:pPr>
          </w:p>
        </w:tc>
        <w:tc>
          <w:tcPr>
            <w:tcW w:w="1670" w:type="pct"/>
            <w:vMerge w:val="continue"/>
            <w:vAlign w:val="center"/>
          </w:tcPr>
          <w:p>
            <w:pPr>
              <w:jc w:val="center"/>
              <w:rPr>
                <w:rFonts w:ascii="宋体" w:hAnsi="宋体" w:cs="宋体"/>
                <w:sz w:val="24"/>
                <w:szCs w:val="24"/>
              </w:rPr>
            </w:pPr>
          </w:p>
        </w:tc>
      </w:tr>
    </w:tbl>
    <w:p>
      <w:pPr>
        <w:pStyle w:val="44"/>
        <w:spacing w:line="420" w:lineRule="exact"/>
        <w:ind w:left="105" w:leftChars="50" w:firstLine="480" w:firstLineChars="200"/>
        <w:rPr>
          <w:rFonts w:hAnsi="宋体"/>
          <w:bCs/>
          <w:sz w:val="24"/>
          <w:szCs w:val="24"/>
        </w:rPr>
      </w:pPr>
      <w:r>
        <w:rPr>
          <w:rFonts w:hint="eastAsia" w:hAnsi="宋体"/>
          <w:bCs/>
          <w:sz w:val="24"/>
          <w:szCs w:val="24"/>
        </w:rPr>
        <w:t>请投标人注意：</w:t>
      </w:r>
    </w:p>
    <w:p>
      <w:pPr>
        <w:pStyle w:val="36"/>
        <w:spacing w:after="0" w:line="420" w:lineRule="exact"/>
        <w:ind w:left="105" w:leftChars="50" w:firstLine="480" w:firstLineChars="200"/>
        <w:rPr>
          <w:rFonts w:ascii="宋体" w:cs="Arial"/>
          <w:b/>
          <w:bCs/>
          <w:sz w:val="24"/>
          <w:szCs w:val="24"/>
        </w:rPr>
      </w:pPr>
      <w:r>
        <w:rPr>
          <w:rFonts w:hint="eastAsia" w:ascii="宋体" w:hAnsi="宋体" w:cs="Arial"/>
          <w:sz w:val="24"/>
          <w:szCs w:val="24"/>
        </w:rPr>
        <w:t>本招标书中所有条款均为招标方对投标方的要求内容。不应因表达顺序而被投标方忽视。对每一项要求均要求投标书中对应明确是否满足。</w:t>
      </w:r>
    </w:p>
    <w:bookmarkEnd w:id="29"/>
    <w:p>
      <w:pPr>
        <w:pStyle w:val="127"/>
        <w:rPr>
          <w:rFonts w:ascii="Times New Roman" w:hAnsi="Times New Roman"/>
        </w:rPr>
        <w:sectPr>
          <w:footerReference r:id="rId21" w:type="first"/>
          <w:footerReference r:id="rId20" w:type="default"/>
          <w:pgSz w:w="11906" w:h="16838"/>
          <w:pgMar w:top="1588" w:right="1418" w:bottom="1134" w:left="1418" w:header="851" w:footer="992" w:gutter="0"/>
          <w:pgNumType w:fmt="decimal" w:start="1"/>
          <w:cols w:space="720" w:num="1"/>
          <w:titlePg/>
          <w:docGrid w:type="lines" w:linePitch="312" w:charSpace="0"/>
        </w:sectPr>
      </w:pPr>
    </w:p>
    <w:p>
      <w:pPr>
        <w:pStyle w:val="127"/>
        <w:outlineLvl w:val="2"/>
        <w:rPr>
          <w:rFonts w:ascii="Times New Roman" w:hAnsi="Times New Roman"/>
          <w:b/>
          <w:bCs w:val="0"/>
        </w:rPr>
      </w:pPr>
      <w:bookmarkStart w:id="43" w:name="_Toc130903430"/>
      <w:bookmarkStart w:id="44" w:name="_Toc28910"/>
      <w:r>
        <w:rPr>
          <w:rFonts w:hint="eastAsia" w:ascii="Times New Roman" w:hAnsi="Times New Roman"/>
          <w:b/>
          <w:bCs w:val="0"/>
        </w:rPr>
        <w:t>3</w:t>
      </w:r>
      <w:r>
        <w:rPr>
          <w:rFonts w:ascii="Times New Roman" w:hAnsi="Times New Roman"/>
          <w:b/>
          <w:bCs w:val="0"/>
        </w:rPr>
        <w:t xml:space="preserve">.5 </w:t>
      </w:r>
      <w:r>
        <w:rPr>
          <w:rFonts w:hint="eastAsia" w:ascii="Times New Roman" w:hAnsi="Times New Roman"/>
          <w:b/>
          <w:bCs w:val="0"/>
        </w:rPr>
        <w:t>技术要求</w:t>
      </w:r>
      <w:bookmarkEnd w:id="43"/>
      <w:bookmarkEnd w:id="44"/>
    </w:p>
    <w:p>
      <w:pPr>
        <w:spacing w:line="420" w:lineRule="exact"/>
        <w:ind w:left="50" w:firstLine="480" w:firstLineChars="200"/>
        <w:rPr>
          <w:rFonts w:ascii="宋体" w:hAnsi="宋体" w:cs="Arial"/>
          <w:sz w:val="24"/>
          <w:szCs w:val="24"/>
        </w:rPr>
      </w:pPr>
      <w:r>
        <w:rPr>
          <w:rFonts w:hint="eastAsia" w:ascii="宋体" w:hAnsi="宋体" w:cs="Arial"/>
          <w:sz w:val="24"/>
          <w:szCs w:val="24"/>
        </w:rPr>
        <w:t>在基本要求和执行标准基础上，本技术标书对所采购的货物的技术及使用等方面做出如下要求：</w:t>
      </w:r>
    </w:p>
    <w:p>
      <w:pPr>
        <w:spacing w:line="420" w:lineRule="exact"/>
        <w:ind w:firstLine="480" w:firstLineChars="200"/>
        <w:rPr>
          <w:rFonts w:ascii="宋体" w:hAnsi="宋体"/>
          <w:b/>
          <w:kern w:val="0"/>
          <w:sz w:val="24"/>
          <w:szCs w:val="24"/>
        </w:rPr>
      </w:pPr>
      <w:r>
        <w:rPr>
          <w:rFonts w:hint="eastAsia" w:ascii="宋体" w:hAnsi="宋体"/>
          <w:b/>
          <w:kern w:val="0"/>
          <w:sz w:val="24"/>
          <w:szCs w:val="24"/>
        </w:rPr>
        <w:t>1</w:t>
      </w:r>
      <w:r>
        <w:rPr>
          <w:rFonts w:ascii="宋体" w:hAnsi="宋体"/>
          <w:b/>
          <w:kern w:val="0"/>
          <w:sz w:val="24"/>
          <w:szCs w:val="24"/>
        </w:rPr>
        <w:t>.</w:t>
      </w:r>
      <w:r>
        <w:rPr>
          <w:rFonts w:hint="eastAsia" w:ascii="宋体" w:hAnsi="宋体"/>
          <w:b/>
          <w:kern w:val="0"/>
          <w:sz w:val="24"/>
          <w:szCs w:val="24"/>
        </w:rPr>
        <w:t>带</w:t>
      </w:r>
      <w:r>
        <w:rPr>
          <w:rFonts w:ascii="宋体" w:hAnsi="宋体"/>
          <w:b/>
          <w:kern w:val="0"/>
          <w:sz w:val="24"/>
          <w:szCs w:val="24"/>
        </w:rPr>
        <w:t>*</w:t>
      </w:r>
      <w:r>
        <w:rPr>
          <w:rFonts w:hint="eastAsia" w:ascii="宋体" w:hAnsi="宋体"/>
          <w:b/>
          <w:kern w:val="0"/>
          <w:sz w:val="24"/>
          <w:szCs w:val="24"/>
        </w:rPr>
        <w:t>的项目为核心要求，不允许有技术负偏离</w:t>
      </w:r>
      <w:r>
        <w:rPr>
          <w:rFonts w:ascii="宋体" w:hAnsi="宋体"/>
          <w:b/>
          <w:kern w:val="0"/>
          <w:sz w:val="24"/>
          <w:szCs w:val="24"/>
        </w:rPr>
        <w:t>。</w:t>
      </w:r>
    </w:p>
    <w:p>
      <w:pPr>
        <w:spacing w:line="420" w:lineRule="exact"/>
        <w:ind w:firstLine="480" w:firstLineChars="200"/>
        <w:rPr>
          <w:rFonts w:ascii="宋体" w:hAnsi="宋体"/>
          <w:b/>
          <w:bCs/>
          <w:kern w:val="0"/>
          <w:sz w:val="24"/>
          <w:szCs w:val="24"/>
        </w:rPr>
      </w:pPr>
      <w:r>
        <w:rPr>
          <w:rFonts w:ascii="宋体" w:hAnsi="宋体" w:cs="Arial"/>
          <w:b/>
          <w:bCs/>
          <w:sz w:val="24"/>
          <w:szCs w:val="24"/>
        </w:rPr>
        <w:t>2. *</w:t>
      </w:r>
      <w:r>
        <w:rPr>
          <w:rFonts w:hint="eastAsia" w:ascii="宋体" w:hAnsi="宋体"/>
          <w:b/>
          <w:bCs/>
          <w:kern w:val="0"/>
          <w:sz w:val="24"/>
          <w:szCs w:val="24"/>
        </w:rPr>
        <w:t>要求投标方及制造商企业合法经营、遵守中华人民共和国法律、未有违法经历；</w:t>
      </w:r>
    </w:p>
    <w:p>
      <w:pPr>
        <w:spacing w:line="420" w:lineRule="exact"/>
        <w:ind w:firstLine="480" w:firstLineChars="200"/>
        <w:rPr>
          <w:rFonts w:ascii="宋体" w:hAnsi="宋体"/>
          <w:b/>
          <w:bCs/>
          <w:kern w:val="0"/>
          <w:sz w:val="24"/>
          <w:szCs w:val="24"/>
        </w:rPr>
      </w:pPr>
      <w:r>
        <w:rPr>
          <w:rFonts w:ascii="宋体" w:hAnsi="宋体" w:cs="Arial"/>
          <w:b/>
          <w:bCs/>
          <w:sz w:val="24"/>
          <w:szCs w:val="24"/>
        </w:rPr>
        <w:t>*</w:t>
      </w:r>
      <w:r>
        <w:rPr>
          <w:rFonts w:hint="eastAsia" w:ascii="宋体" w:hAnsi="宋体"/>
          <w:b/>
          <w:bCs/>
          <w:kern w:val="0"/>
          <w:sz w:val="24"/>
          <w:szCs w:val="24"/>
        </w:rPr>
        <w:t>要求投标方及制造商企业近5年内无因产品交付问题与客户产生商业纠纷事件；</w:t>
      </w:r>
    </w:p>
    <w:p>
      <w:pPr>
        <w:spacing w:line="420" w:lineRule="exact"/>
        <w:ind w:firstLine="480" w:firstLineChars="200"/>
        <w:rPr>
          <w:rFonts w:ascii="宋体" w:hAnsi="宋体"/>
          <w:kern w:val="0"/>
          <w:sz w:val="24"/>
          <w:szCs w:val="24"/>
        </w:rPr>
      </w:pPr>
      <w:r>
        <w:rPr>
          <w:rFonts w:hint="eastAsia" w:ascii="宋体" w:hAnsi="宋体"/>
          <w:kern w:val="0"/>
          <w:sz w:val="24"/>
          <w:szCs w:val="24"/>
        </w:rPr>
        <w:t>本项目涉及的所有设备通信协议需要技术方案评审时一并免费提交给招标方，并协助招标方开展设备集成工作。</w:t>
      </w:r>
    </w:p>
    <w:p>
      <w:pPr>
        <w:spacing w:line="420" w:lineRule="exact"/>
        <w:ind w:firstLine="480" w:firstLineChars="200"/>
        <w:rPr>
          <w:rFonts w:ascii="宋体" w:hAnsi="宋体"/>
          <w:kern w:val="0"/>
          <w:sz w:val="24"/>
          <w:szCs w:val="24"/>
        </w:rPr>
      </w:pPr>
      <w:r>
        <w:rPr>
          <w:rFonts w:hint="eastAsia" w:ascii="宋体" w:hAnsi="宋体"/>
          <w:kern w:val="0"/>
          <w:sz w:val="24"/>
          <w:szCs w:val="24"/>
        </w:rPr>
        <w:t>各测试系统原理图、程序框图、技术规格和指标、接口协议、各部件型号和参数清单在协议签订两个月内提供。</w:t>
      </w:r>
    </w:p>
    <w:p>
      <w:pPr>
        <w:spacing w:line="420" w:lineRule="exact"/>
        <w:outlineLvl w:val="3"/>
        <w:rPr>
          <w:rFonts w:eastAsia="黑体"/>
          <w:sz w:val="24"/>
        </w:rPr>
      </w:pPr>
      <w:bookmarkStart w:id="45" w:name="_Toc651"/>
      <w:bookmarkStart w:id="46" w:name="_Toc130903432"/>
      <w:r>
        <w:rPr>
          <w:rFonts w:hint="eastAsia" w:eastAsia="黑体"/>
          <w:sz w:val="24"/>
        </w:rPr>
        <w:t>3</w:t>
      </w:r>
      <w:r>
        <w:rPr>
          <w:rFonts w:eastAsia="黑体"/>
          <w:sz w:val="24"/>
        </w:rPr>
        <w:t>.5.</w:t>
      </w:r>
      <w:r>
        <w:rPr>
          <w:rFonts w:hint="eastAsia" w:eastAsia="黑体"/>
          <w:sz w:val="24"/>
        </w:rPr>
        <w:t>1</w:t>
      </w:r>
      <w:r>
        <w:rPr>
          <w:rFonts w:eastAsia="黑体"/>
          <w:sz w:val="24"/>
        </w:rPr>
        <w:t xml:space="preserve"> </w:t>
      </w:r>
      <w:r>
        <w:rPr>
          <w:rFonts w:hint="eastAsia" w:eastAsia="黑体" w:cs="Times New Roman"/>
          <w:b w:val="0"/>
          <w:bCs w:val="0"/>
          <w:sz w:val="24"/>
          <w:lang w:eastAsia="zh-CN"/>
        </w:rPr>
        <w:t>驱动电机轴电测试仪器配件项目</w:t>
      </w:r>
      <w:r>
        <w:rPr>
          <w:rFonts w:hint="eastAsia" w:eastAsia="黑体"/>
          <w:b w:val="0"/>
          <w:bCs w:val="0"/>
          <w:sz w:val="24"/>
        </w:rPr>
        <w:t>技术要求</w:t>
      </w:r>
      <w:bookmarkEnd w:id="45"/>
      <w:bookmarkEnd w:id="46"/>
    </w:p>
    <w:p>
      <w:pPr>
        <w:spacing w:line="420" w:lineRule="exact"/>
        <w:ind w:left="50" w:firstLine="480" w:firstLineChars="200"/>
        <w:outlineLvl w:val="4"/>
        <w:rPr>
          <w:rStyle w:val="327"/>
          <w:rFonts w:ascii="黑体" w:hAnsi="黑体" w:eastAsia="黑体"/>
          <w:b w:val="0"/>
        </w:rPr>
      </w:pPr>
      <w:bookmarkStart w:id="47" w:name="_Toc17730"/>
      <w:r>
        <w:rPr>
          <w:rStyle w:val="327"/>
          <w:rFonts w:hint="eastAsia" w:ascii="黑体" w:hAnsi="黑体" w:eastAsia="黑体"/>
          <w:b w:val="0"/>
        </w:rPr>
        <w:t>3</w:t>
      </w:r>
      <w:r>
        <w:rPr>
          <w:rStyle w:val="327"/>
          <w:rFonts w:ascii="黑体" w:hAnsi="黑体" w:eastAsia="黑体"/>
          <w:b w:val="0"/>
        </w:rPr>
        <w:t>.5.</w:t>
      </w:r>
      <w:r>
        <w:rPr>
          <w:rStyle w:val="327"/>
          <w:rFonts w:hint="eastAsia" w:ascii="黑体" w:hAnsi="黑体" w:eastAsia="黑体"/>
          <w:b w:val="0"/>
        </w:rPr>
        <w:t>1</w:t>
      </w:r>
      <w:r>
        <w:rPr>
          <w:rStyle w:val="327"/>
          <w:rFonts w:ascii="黑体" w:hAnsi="黑体" w:eastAsia="黑体"/>
          <w:b w:val="0"/>
        </w:rPr>
        <w:t>.1</w:t>
      </w:r>
      <w:r>
        <w:rPr>
          <w:rStyle w:val="327"/>
          <w:rFonts w:hint="eastAsia" w:ascii="黑体" w:hAnsi="黑体" w:eastAsia="黑体"/>
          <w:b w:val="0"/>
        </w:rPr>
        <w:t>功能用途</w:t>
      </w:r>
      <w:bookmarkEnd w:id="47"/>
    </w:p>
    <w:p>
      <w:pPr>
        <w:pStyle w:val="35"/>
        <w:spacing w:line="420" w:lineRule="exact"/>
        <w:ind w:firstLine="480" w:firstLineChars="200"/>
        <w:rPr>
          <w:rFonts w:hint="eastAsia" w:ascii="宋体" w:hAnsi="宋体" w:eastAsia="宋体" w:cs="宋体"/>
          <w:sz w:val="24"/>
          <w:szCs w:val="24"/>
          <w:highlight w:val="none"/>
          <w:lang w:eastAsia="zh-CN"/>
        </w:rPr>
      </w:pPr>
      <w:r>
        <w:rPr>
          <w:rFonts w:ascii="宋体" w:hAnsi="宋体"/>
          <w:b/>
          <w:kern w:val="0"/>
          <w:sz w:val="24"/>
          <w:szCs w:val="24"/>
        </w:rPr>
        <w:t>*</w:t>
      </w:r>
      <w:r>
        <w:rPr>
          <w:rFonts w:hint="eastAsia" w:ascii="宋体" w:hAnsi="宋体" w:eastAsia="宋体" w:cs="宋体"/>
          <w:b/>
          <w:bCs/>
          <w:sz w:val="24"/>
          <w:szCs w:val="24"/>
          <w:highlight w:val="none"/>
          <w:lang w:val="en-US" w:eastAsia="zh-CN"/>
        </w:rPr>
        <w:t>本项目</w:t>
      </w:r>
      <w:r>
        <w:rPr>
          <w:rFonts w:hint="eastAsia" w:ascii="宋体" w:hAnsi="宋体" w:eastAsia="宋体" w:cs="宋体"/>
          <w:b/>
          <w:bCs/>
          <w:sz w:val="24"/>
          <w:szCs w:val="24"/>
          <w:highlight w:val="none"/>
        </w:rPr>
        <w:t>购置的</w:t>
      </w:r>
      <w:r>
        <w:rPr>
          <w:rFonts w:hint="eastAsia" w:ascii="宋体" w:hAnsi="宋体" w:eastAsia="宋体" w:cs="宋体"/>
          <w:b/>
          <w:bCs/>
          <w:sz w:val="24"/>
          <w:szCs w:val="24"/>
          <w:highlight w:val="none"/>
          <w:lang w:eastAsia="zh-CN"/>
        </w:rPr>
        <w:t>驱动电机轴电测试仪器配件，</w:t>
      </w:r>
      <w:r>
        <w:rPr>
          <w:rFonts w:hint="eastAsia" w:ascii="宋体" w:hAnsi="宋体" w:eastAsia="宋体" w:cs="宋体"/>
          <w:b/>
          <w:bCs/>
          <w:sz w:val="24"/>
          <w:szCs w:val="24"/>
          <w:highlight w:val="none"/>
          <w:lang w:val="en-US" w:eastAsia="zh-CN"/>
        </w:rPr>
        <w:t>要求为</w:t>
      </w:r>
      <w:r>
        <w:rPr>
          <w:rFonts w:hint="eastAsia" w:ascii="宋体" w:hAnsi="宋体" w:eastAsia="宋体" w:cs="宋体"/>
          <w:b/>
          <w:bCs/>
          <w:sz w:val="24"/>
          <w:szCs w:val="24"/>
          <w:highlight w:val="none"/>
        </w:rPr>
        <w:t>欧美进口</w:t>
      </w:r>
      <w:r>
        <w:rPr>
          <w:rFonts w:hint="eastAsia" w:ascii="宋体" w:hAnsi="宋体" w:eastAsia="宋体" w:cs="宋体"/>
          <w:b/>
          <w:bCs/>
          <w:sz w:val="24"/>
          <w:szCs w:val="24"/>
          <w:highlight w:val="none"/>
          <w:lang w:val="en-US" w:eastAsia="zh-CN"/>
        </w:rPr>
        <w:t>品牌</w:t>
      </w:r>
      <w:r>
        <w:rPr>
          <w:rFonts w:hint="eastAsia" w:ascii="宋体" w:hAnsi="宋体" w:eastAsia="宋体" w:cs="宋体"/>
          <w:b/>
          <w:bCs/>
          <w:sz w:val="24"/>
          <w:szCs w:val="24"/>
          <w:highlight w:val="none"/>
        </w:rPr>
        <w:t>，主要用于</w:t>
      </w:r>
      <w:r>
        <w:rPr>
          <w:rFonts w:hint="eastAsia" w:ascii="宋体" w:hAnsi="宋体" w:eastAsia="宋体" w:cs="宋体"/>
          <w:b/>
          <w:bCs/>
          <w:sz w:val="24"/>
          <w:szCs w:val="24"/>
          <w:highlight w:val="none"/>
          <w:lang w:val="en-US" w:eastAsia="zh-CN"/>
        </w:rPr>
        <w:t>配合</w:t>
      </w:r>
      <w:r>
        <w:rPr>
          <w:rFonts w:hint="default" w:ascii="宋体" w:hAnsi="宋体" w:eastAsia="宋体" w:cs="宋体"/>
          <w:b/>
          <w:bCs/>
          <w:sz w:val="24"/>
          <w:szCs w:val="24"/>
          <w:highlight w:val="none"/>
          <w:lang w:val="en-US" w:eastAsia="zh-CN"/>
        </w:rPr>
        <w:t>Keysight</w:t>
      </w:r>
      <w:r>
        <w:rPr>
          <w:rFonts w:hint="eastAsia" w:ascii="宋体" w:hAnsi="宋体" w:eastAsia="宋体" w:cs="宋体"/>
          <w:b/>
          <w:bCs/>
          <w:sz w:val="24"/>
          <w:szCs w:val="24"/>
          <w:highlight w:val="none"/>
          <w:lang w:val="en-US" w:eastAsia="zh-CN"/>
        </w:rPr>
        <w:t xml:space="preserve"> MXR204A示波器进行电压及电流数据的采集</w:t>
      </w:r>
      <w:r>
        <w:rPr>
          <w:rFonts w:hint="eastAsia" w:ascii="宋体" w:hAnsi="宋体" w:eastAsia="宋体" w:cs="宋体"/>
          <w:b/>
          <w:bCs/>
          <w:sz w:val="24"/>
          <w:szCs w:val="24"/>
          <w:highlight w:val="none"/>
          <w:lang w:eastAsia="zh-CN"/>
        </w:rPr>
        <w:t>。</w:t>
      </w:r>
    </w:p>
    <w:p>
      <w:pPr>
        <w:spacing w:line="420" w:lineRule="exact"/>
        <w:ind w:left="50" w:firstLine="480" w:firstLineChars="200"/>
        <w:outlineLvl w:val="4"/>
        <w:rPr>
          <w:rStyle w:val="327"/>
          <w:rFonts w:hint="eastAsia" w:ascii="黑体" w:hAnsi="黑体" w:eastAsia="黑体" w:cs="Times New Roman"/>
          <w:b w:val="0"/>
        </w:rPr>
      </w:pPr>
      <w:bookmarkStart w:id="48" w:name="_Toc18727"/>
      <w:r>
        <w:rPr>
          <w:rStyle w:val="327"/>
          <w:rFonts w:hint="eastAsia" w:ascii="黑体" w:hAnsi="黑体" w:eastAsia="黑体" w:cs="Times New Roman"/>
          <w:b w:val="0"/>
        </w:rPr>
        <w:t>3.5.1.2</w:t>
      </w:r>
      <w:r>
        <w:rPr>
          <w:rStyle w:val="327"/>
          <w:rFonts w:hint="eastAsia" w:ascii="黑体" w:hAnsi="黑体" w:eastAsia="黑体" w:cs="Times New Roman"/>
          <w:b w:val="0"/>
          <w:lang w:val="en-US" w:eastAsia="zh-CN"/>
        </w:rPr>
        <w:t xml:space="preserve"> </w:t>
      </w:r>
      <w:r>
        <w:rPr>
          <w:rStyle w:val="327"/>
          <w:rFonts w:hint="eastAsia" w:ascii="黑体" w:hAnsi="黑体" w:eastAsia="黑体" w:cs="Times New Roman"/>
          <w:b w:val="0"/>
          <w:lang w:eastAsia="zh-CN"/>
        </w:rPr>
        <w:t>驱动电机轴电测试仪器配件项目</w:t>
      </w:r>
      <w:r>
        <w:rPr>
          <w:rStyle w:val="327"/>
          <w:rFonts w:hint="eastAsia" w:ascii="黑体" w:hAnsi="黑体" w:eastAsia="黑体" w:cs="Times New Roman"/>
          <w:b w:val="0"/>
        </w:rPr>
        <w:t>配置要求</w:t>
      </w:r>
      <w:bookmarkEnd w:id="48"/>
    </w:p>
    <w:p>
      <w:pPr>
        <w:spacing w:line="420" w:lineRule="exact"/>
        <w:ind w:left="105" w:leftChars="50" w:firstLine="420" w:firstLineChars="200"/>
        <w:jc w:val="center"/>
        <w:rPr>
          <w:rFonts w:ascii="宋体" w:hAnsi="宋体" w:cs="Arial"/>
          <w:szCs w:val="21"/>
        </w:rPr>
      </w:pPr>
      <w:bookmarkStart w:id="49" w:name="_Toc130911668"/>
      <w:r>
        <w:rPr>
          <w:rFonts w:hint="eastAsia" w:ascii="宋体" w:hAnsi="宋体"/>
          <w:szCs w:val="21"/>
        </w:rPr>
        <w:t xml:space="preserve">表 </w:t>
      </w:r>
      <w:r>
        <w:rPr>
          <w:rFonts w:hint="eastAsia" w:ascii="宋体" w:hAnsi="宋体"/>
          <w:szCs w:val="21"/>
          <w:lang w:val="en-US" w:eastAsia="zh-CN"/>
        </w:rPr>
        <w:t>4</w:t>
      </w:r>
      <w:r>
        <w:rPr>
          <w:rFonts w:ascii="宋体" w:hAnsi="宋体"/>
          <w:szCs w:val="21"/>
        </w:rPr>
        <w:t xml:space="preserve"> </w:t>
      </w:r>
      <w:r>
        <w:rPr>
          <w:rFonts w:hint="eastAsia" w:ascii="宋体" w:hAnsi="宋体" w:cs="Times New Roman"/>
          <w:sz w:val="21"/>
          <w:szCs w:val="21"/>
          <w:lang w:eastAsia="zh-CN"/>
        </w:rPr>
        <w:t>驱动电机轴电测试仪器配件项目</w:t>
      </w:r>
      <w:r>
        <w:rPr>
          <w:rFonts w:hint="eastAsia" w:ascii="宋体" w:hAnsi="宋体" w:cs="Arial"/>
          <w:szCs w:val="21"/>
        </w:rPr>
        <w:t>配置要求（包括且不限于以下设备）</w:t>
      </w:r>
      <w:bookmarkEnd w:id="49"/>
    </w:p>
    <w:tbl>
      <w:tblPr>
        <w:tblStyle w:val="82"/>
        <w:tblW w:w="9209" w:type="dxa"/>
        <w:tblInd w:w="0" w:type="dxa"/>
        <w:tblLayout w:type="fixed"/>
        <w:tblCellMar>
          <w:top w:w="0" w:type="dxa"/>
          <w:left w:w="108" w:type="dxa"/>
          <w:bottom w:w="0" w:type="dxa"/>
          <w:right w:w="108" w:type="dxa"/>
        </w:tblCellMar>
      </w:tblPr>
      <w:tblGrid>
        <w:gridCol w:w="846"/>
        <w:gridCol w:w="6237"/>
        <w:gridCol w:w="992"/>
        <w:gridCol w:w="1134"/>
      </w:tblGrid>
      <w:tr>
        <w:tblPrEx>
          <w:tblCellMar>
            <w:top w:w="0" w:type="dxa"/>
            <w:left w:w="108" w:type="dxa"/>
            <w:bottom w:w="0" w:type="dxa"/>
            <w:right w:w="108" w:type="dxa"/>
          </w:tblCellMar>
        </w:tblPrEx>
        <w:trPr>
          <w:trHeight w:val="368" w:hRule="atLeast"/>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40" w:lineRule="exact"/>
              <w:jc w:val="left"/>
              <w:rPr>
                <w:rFonts w:ascii="宋体" w:hAnsi="宋体" w:cs="宋体"/>
                <w:bCs/>
                <w:color w:val="000000" w:themeColor="text1"/>
                <w:kern w:val="0"/>
                <w:szCs w:val="21"/>
                <w14:textFill>
                  <w14:solidFill>
                    <w14:schemeClr w14:val="tx1"/>
                  </w14:solidFill>
                </w14:textFill>
              </w:rPr>
            </w:pPr>
            <w:r>
              <w:rPr>
                <w:rFonts w:ascii="宋体" w:hAnsi="宋体" w:cs="宋体"/>
                <w:bCs/>
                <w:color w:val="000000" w:themeColor="text1"/>
                <w:kern w:val="0"/>
                <w:szCs w:val="21"/>
                <w14:textFill>
                  <w14:solidFill>
                    <w14:schemeClr w14:val="tx1"/>
                  </w14:solidFill>
                </w14:textFill>
              </w:rPr>
              <w:t>序号</w:t>
            </w:r>
          </w:p>
        </w:tc>
        <w:tc>
          <w:tcPr>
            <w:tcW w:w="6237" w:type="dxa"/>
            <w:tcBorders>
              <w:top w:val="single" w:color="auto" w:sz="4" w:space="0"/>
              <w:left w:val="nil"/>
              <w:bottom w:val="single" w:color="auto" w:sz="4" w:space="0"/>
              <w:right w:val="single" w:color="auto" w:sz="4" w:space="0"/>
            </w:tcBorders>
            <w:shd w:val="clear" w:color="auto" w:fill="FFFFFF"/>
            <w:vAlign w:val="center"/>
          </w:tcPr>
          <w:p>
            <w:pPr>
              <w:spacing w:line="240" w:lineRule="exact"/>
              <w:ind w:firstLine="402"/>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设备名称</w:t>
            </w:r>
          </w:p>
        </w:tc>
        <w:tc>
          <w:tcPr>
            <w:tcW w:w="992" w:type="dxa"/>
            <w:tcBorders>
              <w:top w:val="single" w:color="auto" w:sz="4" w:space="0"/>
              <w:left w:val="nil"/>
              <w:bottom w:val="single" w:color="auto" w:sz="4" w:space="0"/>
              <w:right w:val="single" w:color="auto" w:sz="4" w:space="0"/>
            </w:tcBorders>
            <w:shd w:val="clear" w:color="auto" w:fill="FFFFFF"/>
            <w:vAlign w:val="center"/>
          </w:tcPr>
          <w:p>
            <w:pPr>
              <w:spacing w:line="240" w:lineRule="exact"/>
              <w:jc w:val="left"/>
              <w:rPr>
                <w:rFonts w:ascii="宋体" w:hAnsi="宋体" w:cs="宋体"/>
                <w:bCs/>
                <w:color w:val="000000" w:themeColor="text1"/>
                <w:kern w:val="0"/>
                <w:szCs w:val="21"/>
                <w14:textFill>
                  <w14:solidFill>
                    <w14:schemeClr w14:val="tx1"/>
                  </w14:solidFill>
                </w14:textFill>
              </w:rPr>
            </w:pPr>
            <w:r>
              <w:rPr>
                <w:rFonts w:ascii="宋体" w:hAnsi="宋体" w:cs="宋体"/>
                <w:bCs/>
                <w:color w:val="000000" w:themeColor="text1"/>
                <w:kern w:val="0"/>
                <w:szCs w:val="21"/>
                <w14:textFill>
                  <w14:solidFill>
                    <w14:schemeClr w14:val="tx1"/>
                  </w14:solidFill>
                </w14:textFill>
              </w:rPr>
              <w:t>数量</w:t>
            </w:r>
          </w:p>
        </w:tc>
        <w:tc>
          <w:tcPr>
            <w:tcW w:w="1134"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left"/>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备注</w:t>
            </w:r>
          </w:p>
        </w:tc>
      </w:tr>
      <w:tr>
        <w:tblPrEx>
          <w:tblCellMar>
            <w:top w:w="0" w:type="dxa"/>
            <w:left w:w="108" w:type="dxa"/>
            <w:bottom w:w="0" w:type="dxa"/>
            <w:right w:w="108" w:type="dxa"/>
          </w:tblCellMar>
        </w:tblPrEx>
        <w:trPr>
          <w:trHeight w:val="229"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left="0" w:leftChars="0" w:firstLine="0" w:firstLineChars="0"/>
              <w:jc w:val="left"/>
              <w:rPr>
                <w:rFonts w:ascii="宋体" w:hAnsi="宋体" w:cs="宋体"/>
                <w:color w:val="000000" w:themeColor="text1"/>
                <w:szCs w:val="21"/>
                <w14:textFill>
                  <w14:solidFill>
                    <w14:schemeClr w14:val="tx1"/>
                  </w14:solidFill>
                </w14:textFill>
              </w:rPr>
            </w:pPr>
            <w:r>
              <w:rPr>
                <w:rFonts w:hint="eastAsia"/>
                <w:sz w:val="21"/>
                <w:szCs w:val="21"/>
                <w:vertAlign w:val="baseline"/>
                <w:lang w:val="en-US" w:eastAsia="zh-CN"/>
              </w:rPr>
              <w:t>高压差分探头</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宋体" w:hAnsi="宋体" w:cs="宋体"/>
                <w:color w:val="000000" w:themeColor="text1"/>
                <w:kern w:val="0"/>
                <w:szCs w:val="21"/>
                <w14:textFill>
                  <w14:solidFill>
                    <w14:schemeClr w14:val="tx1"/>
                  </w14:solidFill>
                </w14:textFill>
              </w:rPr>
            </w:pPr>
            <w:r>
              <w:rPr>
                <w:rFonts w:hint="eastAsia" w:ascii="宋体" w:hAnsi="宋体"/>
                <w:szCs w:val="21"/>
                <w:lang w:val="en-US" w:eastAsia="zh-CN"/>
              </w:rPr>
              <w:t>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ind w:firstLine="440"/>
              <w:jc w:val="left"/>
              <w:rPr>
                <w:rFonts w:ascii="宋体" w:hAnsi="宋体" w:cs="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29"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宋体" w:hAnsi="宋体" w:eastAsia="等线"/>
                <w:color w:val="000000" w:themeColor="text1"/>
                <w:szCs w:val="21"/>
                <w14:textFill>
                  <w14:solidFill>
                    <w14:schemeClr w14:val="tx1"/>
                  </w14:solidFill>
                </w14:textFill>
              </w:rPr>
            </w:pPr>
            <w:r>
              <w:rPr>
                <w:rFonts w:hint="eastAsia" w:ascii="宋体" w:hAnsi="宋体" w:eastAsia="等线"/>
                <w:color w:val="000000" w:themeColor="text1"/>
                <w:szCs w:val="21"/>
                <w14:textFill>
                  <w14:solidFill>
                    <w14:schemeClr w14:val="tx1"/>
                  </w14:solidFill>
                </w14:textFill>
              </w:rPr>
              <w:t>2</w:t>
            </w:r>
          </w:p>
        </w:tc>
        <w:tc>
          <w:tcPr>
            <w:tcW w:w="623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left="0" w:leftChars="0" w:firstLine="0" w:firstLineChars="0"/>
              <w:jc w:val="left"/>
              <w:rPr>
                <w:rFonts w:ascii="宋体" w:hAnsi="宋体" w:cs="宋体"/>
                <w:color w:val="000000" w:themeColor="text1"/>
                <w:szCs w:val="21"/>
                <w14:textFill>
                  <w14:solidFill>
                    <w14:schemeClr w14:val="tx1"/>
                  </w14:solidFill>
                </w14:textFill>
              </w:rPr>
            </w:pPr>
            <w:r>
              <w:rPr>
                <w:rFonts w:hint="eastAsia"/>
                <w:sz w:val="21"/>
                <w:szCs w:val="21"/>
                <w:vertAlign w:val="baseline"/>
                <w:lang w:val="en-US" w:eastAsia="zh-CN"/>
              </w:rPr>
              <w:t>电流探头</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宋体" w:hAnsi="宋体" w:eastAsia="等线"/>
                <w:color w:val="000000" w:themeColor="text1"/>
                <w:szCs w:val="21"/>
                <w14:textFill>
                  <w14:solidFill>
                    <w14:schemeClr w14:val="tx1"/>
                  </w14:solidFill>
                </w14:textFill>
              </w:rPr>
            </w:pPr>
            <w:r>
              <w:rPr>
                <w:rFonts w:hint="eastAsia" w:ascii="宋体" w:hAnsi="宋体"/>
                <w:szCs w:val="21"/>
                <w:lang w:val="en-US" w:eastAsia="zh-CN"/>
              </w:rPr>
              <w:t>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ind w:firstLine="440"/>
              <w:jc w:val="left"/>
              <w:rPr>
                <w:rFonts w:ascii="宋体" w:hAnsi="宋体" w:cs="宋体"/>
                <w:color w:val="000000" w:themeColor="text1"/>
                <w:szCs w:val="21"/>
                <w14:textFill>
                  <w14:solidFill>
                    <w14:schemeClr w14:val="tx1"/>
                  </w14:solidFill>
                </w14:textFill>
              </w:rPr>
            </w:pPr>
          </w:p>
        </w:tc>
      </w:tr>
    </w:tbl>
    <w:p>
      <w:pPr>
        <w:spacing w:line="420" w:lineRule="exact"/>
        <w:ind w:left="50" w:firstLine="480" w:firstLineChars="200"/>
        <w:outlineLvl w:val="4"/>
        <w:rPr>
          <w:rStyle w:val="327"/>
          <w:rFonts w:ascii="黑体" w:hAnsi="黑体" w:eastAsia="黑体"/>
          <w:b w:val="0"/>
        </w:rPr>
      </w:pPr>
      <w:bookmarkStart w:id="50" w:name="_Toc331"/>
      <w:r>
        <w:rPr>
          <w:rStyle w:val="327"/>
          <w:rFonts w:hint="eastAsia" w:ascii="黑体" w:hAnsi="黑体" w:eastAsia="黑体"/>
          <w:b w:val="0"/>
        </w:rPr>
        <w:t>3</w:t>
      </w:r>
      <w:r>
        <w:rPr>
          <w:rStyle w:val="327"/>
          <w:rFonts w:ascii="黑体" w:hAnsi="黑体" w:eastAsia="黑体"/>
          <w:b w:val="0"/>
        </w:rPr>
        <w:t>.5.</w:t>
      </w:r>
      <w:r>
        <w:rPr>
          <w:rStyle w:val="327"/>
          <w:rFonts w:hint="eastAsia" w:ascii="黑体" w:hAnsi="黑体" w:eastAsia="黑体"/>
          <w:b w:val="0"/>
        </w:rPr>
        <w:t>1</w:t>
      </w:r>
      <w:r>
        <w:rPr>
          <w:rStyle w:val="327"/>
          <w:rFonts w:ascii="黑体" w:hAnsi="黑体" w:eastAsia="黑体"/>
          <w:b w:val="0"/>
        </w:rPr>
        <w:t>.3</w:t>
      </w:r>
      <w:r>
        <w:rPr>
          <w:rStyle w:val="327"/>
          <w:rFonts w:hint="eastAsia" w:ascii="黑体" w:hAnsi="黑体" w:eastAsia="黑体"/>
          <w:b w:val="0"/>
          <w:lang w:val="en-US" w:eastAsia="zh-CN"/>
        </w:rPr>
        <w:t xml:space="preserve"> </w:t>
      </w:r>
      <w:r>
        <w:rPr>
          <w:rFonts w:hint="eastAsia" w:eastAsia="黑体" w:cs="Times New Roman"/>
          <w:sz w:val="24"/>
          <w:lang w:eastAsia="zh-CN"/>
        </w:rPr>
        <w:t>驱动电机轴电测试仪器配件项目</w:t>
      </w:r>
      <w:r>
        <w:rPr>
          <w:rFonts w:hint="eastAsia" w:eastAsia="黑体"/>
          <w:sz w:val="24"/>
        </w:rPr>
        <w:t>技术要求</w:t>
      </w:r>
      <w:bookmarkEnd w:id="50"/>
    </w:p>
    <w:p>
      <w:pPr>
        <w:adjustRightInd w:val="0"/>
        <w:snapToGrid w:val="0"/>
        <w:spacing w:line="420" w:lineRule="exact"/>
        <w:ind w:left="105" w:leftChars="50" w:firstLine="480" w:firstLineChars="200"/>
        <w:rPr>
          <w:sz w:val="24"/>
          <w:szCs w:val="24"/>
        </w:rPr>
      </w:pPr>
      <w:r>
        <w:rPr>
          <w:sz w:val="24"/>
          <w:szCs w:val="24"/>
        </w:rPr>
        <w:t>所需的</w:t>
      </w:r>
      <w:r>
        <w:rPr>
          <w:rFonts w:hint="eastAsia"/>
          <w:sz w:val="24"/>
          <w:szCs w:val="24"/>
        </w:rPr>
        <w:t>测试</w:t>
      </w:r>
      <w:r>
        <w:rPr>
          <w:rFonts w:hint="eastAsia"/>
          <w:sz w:val="24"/>
          <w:szCs w:val="24"/>
          <w:lang w:val="en-US" w:eastAsia="zh-CN"/>
        </w:rPr>
        <w:t>仪器</w:t>
      </w:r>
      <w:r>
        <w:rPr>
          <w:sz w:val="24"/>
          <w:szCs w:val="24"/>
        </w:rPr>
        <w:t>与技术指标见下表：</w:t>
      </w:r>
    </w:p>
    <w:p>
      <w:pPr>
        <w:snapToGrid w:val="0"/>
        <w:spacing w:line="420" w:lineRule="exact"/>
        <w:ind w:left="105" w:leftChars="50" w:firstLine="420" w:firstLineChars="200"/>
        <w:jc w:val="center"/>
        <w:rPr>
          <w:rFonts w:ascii="宋体" w:hAnsi="宋体" w:cs="宋体"/>
          <w:szCs w:val="21"/>
        </w:rPr>
      </w:pPr>
      <w:bookmarkStart w:id="51" w:name="_Toc130911669"/>
      <w:r>
        <w:rPr>
          <w:rFonts w:hint="eastAsia" w:ascii="宋体" w:hAnsi="宋体"/>
          <w:szCs w:val="21"/>
        </w:rPr>
        <w:t xml:space="preserve">表 </w:t>
      </w:r>
      <w:r>
        <w:rPr>
          <w:rFonts w:hint="eastAsia" w:ascii="宋体" w:hAnsi="宋体"/>
          <w:szCs w:val="21"/>
          <w:lang w:val="en-US" w:eastAsia="zh-CN"/>
        </w:rPr>
        <w:t>5</w:t>
      </w:r>
      <w:r>
        <w:rPr>
          <w:rFonts w:ascii="宋体" w:hAnsi="宋体"/>
          <w:szCs w:val="21"/>
        </w:rPr>
        <w:t xml:space="preserve"> </w:t>
      </w:r>
      <w:r>
        <w:rPr>
          <w:rFonts w:hint="eastAsia" w:ascii="宋体" w:hAnsi="宋体" w:cs="Times New Roman"/>
          <w:sz w:val="21"/>
          <w:szCs w:val="21"/>
          <w:lang w:eastAsia="zh-CN"/>
        </w:rPr>
        <w:t>驱动电机轴电测试仪器配件项目</w:t>
      </w:r>
      <w:r>
        <w:rPr>
          <w:rFonts w:hint="eastAsia" w:ascii="宋体" w:hAnsi="宋体" w:cs="宋体"/>
          <w:szCs w:val="21"/>
        </w:rPr>
        <w:t>技术指标</w:t>
      </w:r>
    </w:p>
    <w:tbl>
      <w:tblPr>
        <w:tblStyle w:val="82"/>
        <w:tblpPr w:leftFromText="180" w:rightFromText="180" w:vertAnchor="text" w:tblpXSpec="center" w:tblpY="1"/>
        <w:tblOverlap w:val="never"/>
        <w:tblW w:w="50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1306"/>
        <w:gridCol w:w="6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43" w:type="pct"/>
            <w:vAlign w:val="center"/>
          </w:tcPr>
          <w:p>
            <w:pPr>
              <w:snapToGrid w:val="0"/>
              <w:jc w:val="center"/>
              <w:rPr>
                <w:rFonts w:ascii="宋体" w:hAnsi="宋体" w:cs="宋体"/>
                <w:szCs w:val="21"/>
              </w:rPr>
            </w:pPr>
            <w:r>
              <w:rPr>
                <w:rFonts w:hint="eastAsia" w:ascii="宋体" w:hAnsi="宋体" w:cs="宋体"/>
                <w:szCs w:val="21"/>
              </w:rPr>
              <w:t>项目</w:t>
            </w:r>
          </w:p>
        </w:tc>
        <w:tc>
          <w:tcPr>
            <w:tcW w:w="692" w:type="pct"/>
            <w:vAlign w:val="center"/>
          </w:tcPr>
          <w:p>
            <w:pPr>
              <w:snapToGrid w:val="0"/>
              <w:jc w:val="center"/>
              <w:rPr>
                <w:rFonts w:ascii="宋体" w:hAnsi="宋体" w:cs="宋体"/>
                <w:szCs w:val="21"/>
              </w:rPr>
            </w:pPr>
            <w:r>
              <w:rPr>
                <w:rFonts w:hint="eastAsia" w:ascii="宋体" w:hAnsi="宋体" w:cs="宋体"/>
                <w:szCs w:val="21"/>
              </w:rPr>
              <w:t>数量</w:t>
            </w:r>
          </w:p>
        </w:tc>
        <w:tc>
          <w:tcPr>
            <w:tcW w:w="3464" w:type="pct"/>
            <w:vAlign w:val="center"/>
          </w:tcPr>
          <w:p>
            <w:pPr>
              <w:snapToGrid w:val="0"/>
              <w:jc w:val="center"/>
              <w:rPr>
                <w:rFonts w:ascii="宋体" w:hAnsi="宋体" w:cs="宋体"/>
                <w:szCs w:val="21"/>
              </w:rPr>
            </w:pPr>
            <w:r>
              <w:rPr>
                <w:rFonts w:hint="eastAsia" w:ascii="宋体" w:hAnsi="宋体" w:cs="宋体"/>
                <w:szCs w:val="21"/>
              </w:rPr>
              <w:t>测量范围与主要技术参数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43" w:type="pct"/>
            <w:vAlign w:val="center"/>
          </w:tcPr>
          <w:p>
            <w:pPr>
              <w:snapToGrid w:val="0"/>
              <w:rPr>
                <w:rFonts w:ascii="宋体" w:hAnsi="宋体" w:cs="宋体"/>
                <w:szCs w:val="21"/>
              </w:rPr>
            </w:pPr>
            <w:r>
              <w:rPr>
                <w:rFonts w:hint="eastAsia"/>
                <w:sz w:val="21"/>
                <w:szCs w:val="21"/>
                <w:vertAlign w:val="baseline"/>
                <w:lang w:val="en-US" w:eastAsia="zh-CN"/>
              </w:rPr>
              <w:t>高压差分探头</w:t>
            </w:r>
          </w:p>
        </w:tc>
        <w:tc>
          <w:tcPr>
            <w:tcW w:w="692" w:type="pct"/>
            <w:vAlign w:val="center"/>
          </w:tcPr>
          <w:p>
            <w:pPr>
              <w:snapToGrid w:val="0"/>
              <w:jc w:val="center"/>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套</w:t>
            </w:r>
          </w:p>
        </w:tc>
        <w:tc>
          <w:tcPr>
            <w:tcW w:w="3464" w:type="pct"/>
            <w:vAlign w:val="center"/>
          </w:tcPr>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1.带宽：不小于70MHz；</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2.上升时间：≤5ns；</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3.衰减：100:1 / 1000:1；</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4.最大差分电压：±7000V；</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5.输入阻抗：1MΩ；</w:t>
            </w:r>
          </w:p>
          <w:p>
            <w:pPr>
              <w:adjustRightInd w:val="0"/>
              <w:snapToGrid w:val="0"/>
              <w:rPr>
                <w:rFonts w:ascii="宋体" w:hAnsi="宋体"/>
                <w:szCs w:val="21"/>
              </w:rPr>
            </w:pPr>
            <w:r>
              <w:rPr>
                <w:rFonts w:hint="eastAsia" w:ascii="宋体" w:hAnsi="宋体" w:eastAsia="宋体" w:cs="Times New Roman"/>
                <w:szCs w:val="21"/>
                <w:lang w:val="en-US" w:eastAsia="zh-CN"/>
              </w:rPr>
              <w:t>6.接口：BNC。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pct"/>
            <w:vAlign w:val="center"/>
          </w:tcPr>
          <w:p>
            <w:pPr>
              <w:snapToGrid w:val="0"/>
              <w:rPr>
                <w:rFonts w:ascii="宋体" w:hAnsi="宋体" w:cs="宋体"/>
                <w:szCs w:val="21"/>
              </w:rPr>
            </w:pPr>
            <w:r>
              <w:rPr>
                <w:rFonts w:hint="eastAsia"/>
                <w:sz w:val="21"/>
                <w:szCs w:val="21"/>
                <w:vertAlign w:val="baseline"/>
                <w:lang w:val="en-US" w:eastAsia="zh-CN"/>
              </w:rPr>
              <w:t>电流探头</w:t>
            </w:r>
          </w:p>
        </w:tc>
        <w:tc>
          <w:tcPr>
            <w:tcW w:w="692" w:type="pct"/>
            <w:vAlign w:val="center"/>
          </w:tcPr>
          <w:p>
            <w:pPr>
              <w:snapToGrid w:val="0"/>
              <w:jc w:val="center"/>
              <w:rPr>
                <w:rFonts w:ascii="宋体" w:hAnsi="宋体" w:cs="宋体"/>
                <w:szCs w:val="21"/>
              </w:rPr>
            </w:pPr>
            <w:r>
              <w:rPr>
                <w:rFonts w:ascii="宋体" w:hAnsi="宋体"/>
                <w:szCs w:val="21"/>
              </w:rPr>
              <w:t>1套</w:t>
            </w:r>
          </w:p>
        </w:tc>
        <w:tc>
          <w:tcPr>
            <w:tcW w:w="3464" w:type="pct"/>
            <w:vAlign w:val="center"/>
          </w:tcPr>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1.带宽（-3dB）：DC</w:t>
            </w:r>
            <w:r>
              <w:rPr>
                <w:rFonts w:hint="eastAsia" w:ascii="宋体" w:hAnsi="宋体" w:eastAsia="宋体" w:cs="Times New Roman"/>
                <w:szCs w:val="21"/>
              </w:rPr>
              <w:t>～</w:t>
            </w:r>
            <w:r>
              <w:rPr>
                <w:rFonts w:hint="eastAsia" w:ascii="宋体" w:hAnsi="宋体" w:eastAsia="宋体" w:cs="Times New Roman"/>
                <w:szCs w:val="21"/>
                <w:lang w:val="en-US" w:eastAsia="zh-CN"/>
              </w:rPr>
              <w:t>100MHz；</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2.上升时间：≤3.5ns；</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3.最大连续电流：不小于30A rms；</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4.最大峰值电流（短时）：不小于50A peak；</w:t>
            </w:r>
          </w:p>
          <w:p>
            <w:pPr>
              <w:adjustRightInd w:val="0"/>
              <w:snapToGrid w:val="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5.输出电压比：0.1V/A（10：1）；</w:t>
            </w:r>
          </w:p>
          <w:p>
            <w:pPr>
              <w:adjustRightInd w:val="0"/>
              <w:snapToGrid w:val="0"/>
              <w:rPr>
                <w:rFonts w:hint="eastAsia" w:ascii="宋体" w:hAnsi="宋体" w:eastAsia="宋体" w:cs="Times New Roman"/>
                <w:szCs w:val="21"/>
                <w:lang w:val="en-US" w:eastAsia="zh-CN"/>
              </w:rPr>
            </w:pPr>
            <w:r>
              <w:rPr>
                <w:rFonts w:hint="eastAsia" w:ascii="宋体" w:hAnsi="宋体" w:cs="Times New Roman"/>
                <w:szCs w:val="21"/>
                <w:lang w:val="en-US" w:eastAsia="zh-CN"/>
              </w:rPr>
              <w:t>6.配备外接电源</w:t>
            </w:r>
            <w:r>
              <w:rPr>
                <w:rFonts w:hint="eastAsia" w:ascii="宋体" w:hAnsi="宋体" w:eastAsia="宋体" w:cs="Times New Roman"/>
                <w:szCs w:val="21"/>
                <w:lang w:val="en-US" w:eastAsia="zh-CN"/>
              </w:rPr>
              <w:t>；</w:t>
            </w:r>
          </w:p>
          <w:p>
            <w:pPr>
              <w:adjustRightInd w:val="0"/>
              <w:snapToGrid w:val="0"/>
              <w:rPr>
                <w:rFonts w:hint="eastAsia" w:ascii="宋体" w:hAnsi="宋体" w:eastAsia="宋体" w:cs="Times New Roman"/>
                <w:szCs w:val="21"/>
                <w:lang w:val="en-US" w:eastAsia="zh-CN"/>
              </w:rPr>
            </w:pPr>
            <w:r>
              <w:rPr>
                <w:rFonts w:hint="eastAsia" w:ascii="宋体" w:hAnsi="宋体" w:cs="Times New Roman"/>
                <w:szCs w:val="21"/>
                <w:lang w:val="en-US" w:eastAsia="zh-CN"/>
              </w:rPr>
              <w:t>7</w:t>
            </w:r>
            <w:r>
              <w:rPr>
                <w:rFonts w:hint="eastAsia" w:ascii="宋体" w:hAnsi="宋体" w:eastAsia="宋体" w:cs="Times New Roman"/>
                <w:szCs w:val="21"/>
                <w:lang w:val="en-US" w:eastAsia="zh-CN"/>
              </w:rPr>
              <w:t>.输入阻抗：1MΩ；</w:t>
            </w:r>
          </w:p>
          <w:p>
            <w:pPr>
              <w:adjustRightInd w:val="0"/>
              <w:snapToGrid w:val="0"/>
              <w:rPr>
                <w:rFonts w:hint="eastAsia" w:ascii="宋体" w:hAnsi="宋体" w:cs="宋体"/>
                <w:szCs w:val="21"/>
              </w:rPr>
            </w:pPr>
            <w:r>
              <w:rPr>
                <w:rFonts w:hint="eastAsia" w:ascii="宋体" w:hAnsi="宋体" w:cs="Times New Roman"/>
                <w:szCs w:val="21"/>
                <w:lang w:val="en-US" w:eastAsia="zh-CN"/>
              </w:rPr>
              <w:t>8</w:t>
            </w:r>
            <w:r>
              <w:rPr>
                <w:rFonts w:hint="eastAsia" w:ascii="宋体" w:hAnsi="宋体" w:eastAsia="宋体" w:cs="Times New Roman"/>
                <w:szCs w:val="21"/>
                <w:lang w:val="en-US" w:eastAsia="zh-CN"/>
              </w:rPr>
              <w:t>.接口：BNC。</w:t>
            </w:r>
          </w:p>
        </w:tc>
      </w:tr>
      <w:bookmarkEnd w:id="51"/>
    </w:tbl>
    <w:p>
      <w:pPr>
        <w:spacing w:line="420" w:lineRule="exact"/>
        <w:ind w:left="105" w:leftChars="50" w:firstLine="480" w:firstLineChars="200"/>
        <w:rPr>
          <w:rFonts w:ascii="宋体" w:hAnsi="宋体" w:cs="Arial"/>
          <w:b/>
          <w:bCs/>
          <w:sz w:val="24"/>
          <w:szCs w:val="24"/>
        </w:rPr>
      </w:pPr>
      <w:bookmarkStart w:id="52" w:name="_Toc130890876"/>
      <w:bookmarkStart w:id="53" w:name="_Toc465187642"/>
      <w:bookmarkStart w:id="54" w:name="_Toc130903433"/>
      <w:r>
        <w:rPr>
          <w:rFonts w:hint="eastAsia" w:ascii="宋体" w:hAnsi="宋体" w:cs="Arial"/>
          <w:b/>
          <w:bCs/>
          <w:sz w:val="24"/>
          <w:szCs w:val="24"/>
        </w:rPr>
        <w:t>本项目属交钥匙工程。招标方仅提供</w:t>
      </w:r>
      <w:r>
        <w:rPr>
          <w:rFonts w:hint="eastAsia" w:ascii="宋体" w:hAnsi="宋体" w:cs="Arial"/>
          <w:b/>
          <w:bCs/>
          <w:sz w:val="24"/>
          <w:szCs w:val="24"/>
          <w:lang w:val="en-US" w:eastAsia="zh-CN"/>
        </w:rPr>
        <w:t>水、电</w:t>
      </w:r>
      <w:r>
        <w:rPr>
          <w:rFonts w:hint="eastAsia" w:ascii="宋体" w:hAnsi="宋体" w:cs="Arial"/>
          <w:b/>
          <w:bCs/>
          <w:sz w:val="24"/>
          <w:szCs w:val="24"/>
        </w:rPr>
        <w:t>等协助工作，其他的动力电缆及信号电缆、各类管道阀门、各类接口等</w:t>
      </w:r>
      <w:r>
        <w:rPr>
          <w:rFonts w:hint="eastAsia" w:ascii="宋体" w:hAnsi="宋体" w:cs="Arial"/>
          <w:b/>
          <w:bCs/>
          <w:sz w:val="24"/>
          <w:szCs w:val="24"/>
          <w:lang w:eastAsia="zh-CN"/>
        </w:rPr>
        <w:t>（</w:t>
      </w:r>
      <w:r>
        <w:rPr>
          <w:rFonts w:hint="eastAsia" w:ascii="宋体" w:hAnsi="宋体" w:cs="Arial"/>
          <w:b/>
          <w:bCs/>
          <w:sz w:val="24"/>
          <w:szCs w:val="24"/>
          <w:lang w:val="en-US" w:eastAsia="zh-CN"/>
        </w:rPr>
        <w:t>若涉及到</w:t>
      </w:r>
      <w:r>
        <w:rPr>
          <w:rFonts w:hint="eastAsia" w:ascii="宋体" w:hAnsi="宋体" w:cs="Arial"/>
          <w:b/>
          <w:bCs/>
          <w:sz w:val="24"/>
          <w:szCs w:val="24"/>
          <w:lang w:eastAsia="zh-CN"/>
        </w:rPr>
        <w:t>）</w:t>
      </w:r>
      <w:r>
        <w:rPr>
          <w:rFonts w:hint="eastAsia" w:ascii="宋体" w:hAnsi="宋体" w:cs="Arial"/>
          <w:b/>
          <w:bCs/>
          <w:sz w:val="24"/>
          <w:szCs w:val="24"/>
        </w:rPr>
        <w:t>均由投标方提供并进行安装施工完成，如有争议，解释权归招标方负责。</w:t>
      </w:r>
    </w:p>
    <w:p>
      <w:pPr>
        <w:spacing w:line="420" w:lineRule="exact"/>
        <w:ind w:left="105" w:leftChars="50" w:firstLine="480" w:firstLineChars="200"/>
        <w:rPr>
          <w:rFonts w:ascii="宋体" w:hAnsi="宋体" w:cs="Arial"/>
          <w:b/>
          <w:bCs/>
          <w:sz w:val="24"/>
          <w:szCs w:val="24"/>
          <w:highlight w:val="yellow"/>
        </w:rPr>
        <w:sectPr>
          <w:headerReference r:id="rId24" w:type="first"/>
          <w:headerReference r:id="rId22" w:type="default"/>
          <w:headerReference r:id="rId23" w:type="even"/>
          <w:pgSz w:w="11906" w:h="16838"/>
          <w:pgMar w:top="1588" w:right="1418" w:bottom="1134" w:left="1418" w:header="851" w:footer="992" w:gutter="0"/>
          <w:pgNumType w:fmt="decimal"/>
          <w:cols w:space="720" w:num="1"/>
          <w:titlePg/>
          <w:docGrid w:type="lines" w:linePitch="312" w:charSpace="0"/>
        </w:sectPr>
      </w:pPr>
      <w:r>
        <w:rPr>
          <w:rFonts w:hint="eastAsia" w:ascii="宋体" w:hAnsi="宋体" w:cs="Arial"/>
          <w:b/>
          <w:bCs/>
          <w:sz w:val="24"/>
          <w:szCs w:val="24"/>
          <w:highlight w:val="none"/>
          <w:lang w:val="en-US" w:eastAsia="zh-CN"/>
        </w:rPr>
        <w:t>本次项目购置的电压及电流探头</w:t>
      </w:r>
      <w:r>
        <w:rPr>
          <w:rFonts w:hint="eastAsia" w:ascii="宋体" w:hAnsi="宋体" w:cs="Arial"/>
          <w:b/>
          <w:bCs/>
          <w:sz w:val="24"/>
          <w:szCs w:val="24"/>
          <w:highlight w:val="none"/>
        </w:rPr>
        <w:t>必须经过省级</w:t>
      </w:r>
      <w:r>
        <w:rPr>
          <w:rFonts w:hint="eastAsia" w:ascii="宋体" w:hAnsi="宋体" w:cs="Arial"/>
          <w:b/>
          <w:bCs/>
          <w:sz w:val="24"/>
          <w:szCs w:val="24"/>
          <w:highlight w:val="none"/>
          <w:lang w:val="en-US" w:eastAsia="zh-CN"/>
        </w:rPr>
        <w:t>或</w:t>
      </w:r>
      <w:r>
        <w:rPr>
          <w:rFonts w:hint="eastAsia" w:ascii="宋体" w:hAnsi="宋体" w:cs="Arial"/>
          <w:b/>
          <w:bCs/>
          <w:sz w:val="24"/>
          <w:szCs w:val="24"/>
          <w:highlight w:val="none"/>
        </w:rPr>
        <w:t>省级以上计量单位计量认证，并出具检定或校准证书,检定或校准费用由卖方承担。</w:t>
      </w:r>
    </w:p>
    <w:bookmarkEnd w:id="52"/>
    <w:p>
      <w:pPr>
        <w:pStyle w:val="108"/>
        <w:spacing w:line="420" w:lineRule="exact"/>
        <w:ind w:left="105" w:leftChars="50" w:firstLine="600" w:firstLineChars="200"/>
        <w:outlineLvl w:val="1"/>
        <w:rPr>
          <w:color w:val="auto"/>
        </w:rPr>
      </w:pPr>
      <w:bookmarkStart w:id="55" w:name="_Toc21906"/>
      <w:r>
        <w:rPr>
          <w:color w:val="auto"/>
        </w:rPr>
        <w:t>第四章  供货范围及供货方式</w:t>
      </w:r>
      <w:bookmarkEnd w:id="53"/>
      <w:bookmarkEnd w:id="54"/>
      <w:bookmarkEnd w:id="55"/>
    </w:p>
    <w:p>
      <w:pPr>
        <w:pStyle w:val="127"/>
        <w:outlineLvl w:val="2"/>
        <w:rPr>
          <w:rFonts w:ascii="Times New Roman" w:hAnsi="Times New Roman"/>
        </w:rPr>
      </w:pPr>
      <w:bookmarkStart w:id="56" w:name="_Toc465187643"/>
      <w:bookmarkStart w:id="57" w:name="_Toc18964"/>
      <w:bookmarkStart w:id="58" w:name="_Toc130903434"/>
      <w:r>
        <w:rPr>
          <w:rFonts w:hint="eastAsia" w:ascii="Times New Roman" w:hAnsi="Times New Roman"/>
        </w:rPr>
        <w:t>4</w:t>
      </w:r>
      <w:r>
        <w:rPr>
          <w:rFonts w:ascii="Times New Roman" w:hAnsi="Times New Roman"/>
        </w:rPr>
        <w:t>.1 供货范围</w:t>
      </w:r>
      <w:bookmarkEnd w:id="56"/>
      <w:bookmarkEnd w:id="57"/>
      <w:bookmarkEnd w:id="58"/>
    </w:p>
    <w:p>
      <w:pPr>
        <w:spacing w:line="420" w:lineRule="exact"/>
        <w:outlineLvl w:val="3"/>
        <w:rPr>
          <w:rFonts w:eastAsia="黑体"/>
          <w:sz w:val="24"/>
        </w:rPr>
      </w:pPr>
      <w:bookmarkStart w:id="59" w:name="_Toc130903435"/>
      <w:bookmarkStart w:id="60" w:name="_Toc8764"/>
      <w:r>
        <w:rPr>
          <w:rFonts w:hint="eastAsia" w:eastAsia="黑体"/>
          <w:sz w:val="24"/>
        </w:rPr>
        <w:t>4</w:t>
      </w:r>
      <w:r>
        <w:rPr>
          <w:rFonts w:eastAsia="黑体"/>
          <w:sz w:val="24"/>
        </w:rPr>
        <w:t>.1.1 供货范围</w:t>
      </w:r>
      <w:bookmarkEnd w:id="59"/>
      <w:bookmarkEnd w:id="60"/>
    </w:p>
    <w:p>
      <w:pPr>
        <w:spacing w:line="420" w:lineRule="exact"/>
        <w:ind w:firstLine="480" w:firstLineChars="200"/>
        <w:rPr>
          <w:b/>
          <w:sz w:val="24"/>
        </w:rPr>
      </w:pPr>
      <w:r>
        <w:rPr>
          <w:b/>
          <w:sz w:val="24"/>
        </w:rPr>
        <w:t>（一）一般界定</w:t>
      </w:r>
    </w:p>
    <w:p>
      <w:pPr>
        <w:spacing w:line="420" w:lineRule="exact"/>
        <w:ind w:firstLine="480" w:firstLineChars="200"/>
        <w:rPr>
          <w:sz w:val="24"/>
        </w:rPr>
      </w:pPr>
      <w:r>
        <w:rPr>
          <w:rFonts w:hint="eastAsia"/>
          <w:sz w:val="24"/>
        </w:rPr>
        <w:t>1、包括本技术标书所列明的主要货物以及货物正常运行所必需的全套连线设备、材料等。如货物端联接法兰外端面之内的、电气系统接口压线板（插座等）之内的设备、材料、联接螺栓、垫片等。</w:t>
      </w:r>
    </w:p>
    <w:p>
      <w:pPr>
        <w:spacing w:line="420" w:lineRule="exact"/>
        <w:ind w:firstLine="480" w:firstLineChars="200"/>
        <w:rPr>
          <w:sz w:val="24"/>
        </w:rPr>
      </w:pPr>
      <w:r>
        <w:rPr>
          <w:rFonts w:hint="eastAsia"/>
          <w:sz w:val="24"/>
        </w:rPr>
        <w:t>2、包括为保证货物正常安装、调试和验收完成及以前所必需的整套配件、附件及材料、油料、控制软件及程序或指令等。</w:t>
      </w:r>
    </w:p>
    <w:p>
      <w:pPr>
        <w:spacing w:line="420" w:lineRule="exact"/>
        <w:ind w:firstLine="480" w:firstLineChars="200"/>
        <w:rPr>
          <w:sz w:val="24"/>
        </w:rPr>
      </w:pPr>
      <w:r>
        <w:rPr>
          <w:rFonts w:hint="eastAsia"/>
          <w:sz w:val="24"/>
        </w:rPr>
        <w:t>如果终验收完成后，卖方有需要收回的配件、附件、材料、油料等，应当在投标文件的技术偏离条款中，予以详细说明；否则视同包括在供货范围之内。</w:t>
      </w:r>
    </w:p>
    <w:p>
      <w:pPr>
        <w:spacing w:line="420" w:lineRule="exact"/>
        <w:ind w:firstLine="480" w:firstLineChars="200"/>
        <w:rPr>
          <w:sz w:val="24"/>
        </w:rPr>
      </w:pPr>
      <w:r>
        <w:rPr>
          <w:rFonts w:hint="eastAsia"/>
          <w:sz w:val="24"/>
        </w:rPr>
        <w:t>3、包括货物维护维修所必需的专用工具。</w:t>
      </w:r>
    </w:p>
    <w:p>
      <w:pPr>
        <w:spacing w:line="420" w:lineRule="exact"/>
        <w:ind w:firstLine="480" w:firstLineChars="200"/>
        <w:rPr>
          <w:sz w:val="24"/>
        </w:rPr>
      </w:pPr>
      <w:r>
        <w:rPr>
          <w:rFonts w:hint="eastAsia"/>
          <w:sz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pPr>
        <w:spacing w:line="420" w:lineRule="exact"/>
        <w:ind w:firstLine="480" w:firstLineChars="200"/>
        <w:rPr>
          <w:sz w:val="24"/>
        </w:rPr>
      </w:pPr>
      <w:r>
        <w:rPr>
          <w:rFonts w:hint="eastAsia"/>
          <w:sz w:val="24"/>
        </w:rPr>
        <w:t>包括为保证货物自身正常运行所必需的、满足使用地点环境条件的通风、冷却、降温等必需设施。</w:t>
      </w:r>
    </w:p>
    <w:p>
      <w:pPr>
        <w:spacing w:line="420" w:lineRule="exact"/>
        <w:ind w:firstLine="480" w:firstLineChars="200"/>
        <w:rPr>
          <w:sz w:val="24"/>
        </w:rPr>
      </w:pPr>
      <w:r>
        <w:rPr>
          <w:rFonts w:hint="eastAsia"/>
          <w:sz w:val="24"/>
        </w:rPr>
        <w:t>如投标方难以提供或无优势提供以及属于选用配置的，则应当在投标文件的技术偏离条款中，予以详细说明并注明投标报价未包含该部分的货值。</w:t>
      </w:r>
    </w:p>
    <w:p>
      <w:pPr>
        <w:spacing w:line="420" w:lineRule="exact"/>
        <w:ind w:firstLine="480" w:firstLineChars="200"/>
        <w:rPr>
          <w:b/>
          <w:sz w:val="24"/>
        </w:rPr>
      </w:pPr>
      <w:r>
        <w:rPr>
          <w:b/>
          <w:sz w:val="24"/>
        </w:rPr>
        <w:t>（二）供货范围边界界定</w:t>
      </w:r>
    </w:p>
    <w:p>
      <w:pPr>
        <w:spacing w:line="420" w:lineRule="exact"/>
        <w:ind w:firstLine="480" w:firstLineChars="200"/>
        <w:rPr>
          <w:sz w:val="24"/>
        </w:rPr>
      </w:pPr>
      <w:r>
        <w:rPr>
          <w:rFonts w:hint="eastAsia"/>
          <w:sz w:val="24"/>
        </w:rPr>
        <w:t>1、买方提供货物所需的建筑物（如厂房等）和构筑物（如混凝土池、砼基础等），包含正常安装施工所需的预埋件（如穿管、预埋螺栓、螺母及垫片）。</w:t>
      </w:r>
    </w:p>
    <w:p>
      <w:pPr>
        <w:spacing w:line="420" w:lineRule="exact"/>
        <w:ind w:firstLine="480" w:firstLineChars="200"/>
        <w:rPr>
          <w:sz w:val="24"/>
        </w:rPr>
      </w:pPr>
      <w:r>
        <w:rPr>
          <w:rFonts w:hint="eastAsia"/>
          <w:sz w:val="24"/>
        </w:rPr>
        <w:t>2、买方提供符合本技术标书中“采购货物概况”和“使用环境”章节所列明品质的电力、自来水、压缩空气、蒸汽、天然气（或煤气）管线至系统接口，如：系统电力接口的接线端，水、气、汽等外围管线端联接法兰外端面。</w:t>
      </w:r>
    </w:p>
    <w:p>
      <w:pPr>
        <w:spacing w:line="420" w:lineRule="exact"/>
        <w:ind w:firstLine="480" w:firstLineChars="200"/>
        <w:rPr>
          <w:sz w:val="24"/>
        </w:rPr>
      </w:pPr>
      <w:r>
        <w:rPr>
          <w:rFonts w:hint="eastAsia"/>
          <w:sz w:val="24"/>
        </w:rPr>
        <w:t>如果投标方认为能源系统接口地点以及操控地点之间的货物数量不清或难以界定，应当以书面方式询标或以单价方式报价；否则视同满足招标方要求。</w:t>
      </w:r>
    </w:p>
    <w:p>
      <w:pPr>
        <w:spacing w:line="420" w:lineRule="exact"/>
        <w:ind w:firstLine="480" w:firstLineChars="200"/>
        <w:rPr>
          <w:sz w:val="24"/>
        </w:rPr>
      </w:pPr>
      <w:r>
        <w:rPr>
          <w:rFonts w:hint="eastAsia"/>
          <w:sz w:val="24"/>
        </w:rPr>
        <w:t>3、对于招标文件中无明确具体要求而投标方认为必须具备的其它货物，投标方必须将该部分货物单独报价（该报价含运杂费及税费等其它费用，而且不再作为其它报价涉及的其它费用的计算基数）。</w:t>
      </w:r>
    </w:p>
    <w:p>
      <w:pPr>
        <w:spacing w:line="420" w:lineRule="exact"/>
        <w:ind w:firstLine="480" w:firstLineChars="200"/>
        <w:rPr>
          <w:sz w:val="24"/>
        </w:rPr>
      </w:pPr>
      <w:r>
        <w:rPr>
          <w:rFonts w:hint="eastAsia"/>
          <w:sz w:val="24"/>
        </w:rPr>
        <w:t>4、以“交钥匙”方式采购的货物，在满足技术标书本节上述要求之外，同时包括货物正常运行、使用所需要的过桥、护栏、防护网、盖板等辅助设施。</w:t>
      </w:r>
    </w:p>
    <w:p>
      <w:pPr>
        <w:spacing w:line="420" w:lineRule="exact"/>
        <w:ind w:firstLine="480" w:firstLineChars="200"/>
        <w:rPr>
          <w:rFonts w:hint="eastAsia"/>
          <w:b/>
          <w:sz w:val="24"/>
        </w:rPr>
      </w:pPr>
      <w:r>
        <w:rPr>
          <w:b/>
          <w:sz w:val="24"/>
        </w:rPr>
        <w:t>（</w:t>
      </w:r>
      <w:r>
        <w:rPr>
          <w:rFonts w:hint="eastAsia"/>
          <w:b/>
          <w:sz w:val="24"/>
        </w:rPr>
        <w:t>三</w:t>
      </w:r>
      <w:r>
        <w:rPr>
          <w:b/>
          <w:sz w:val="24"/>
        </w:rPr>
        <w:t>）供货范围</w:t>
      </w:r>
      <w:r>
        <w:rPr>
          <w:rFonts w:hint="eastAsia"/>
          <w:b/>
          <w:sz w:val="24"/>
        </w:rPr>
        <w:t>（按照组成项目主要构成一览表的所有最小单元逐一列示，要涵盖培训等内容）</w:t>
      </w:r>
    </w:p>
    <w:tbl>
      <w:tblPr>
        <w:tblStyle w:val="8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4344"/>
        <w:gridCol w:w="983"/>
        <w:gridCol w:w="1007"/>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spacing w:line="420" w:lineRule="exact"/>
              <w:jc w:val="center"/>
              <w:rPr>
                <w:rFonts w:hint="eastAsia" w:ascii="宋体" w:hAnsi="宋体"/>
                <w:szCs w:val="21"/>
              </w:rPr>
            </w:pPr>
            <w:r>
              <w:rPr>
                <w:rFonts w:hint="eastAsia" w:ascii="宋体" w:hAnsi="宋体"/>
                <w:szCs w:val="21"/>
              </w:rPr>
              <w:t>序号</w:t>
            </w:r>
          </w:p>
        </w:tc>
        <w:tc>
          <w:tcPr>
            <w:tcW w:w="4344" w:type="dxa"/>
          </w:tcPr>
          <w:p>
            <w:pPr>
              <w:spacing w:line="420" w:lineRule="exact"/>
              <w:jc w:val="center"/>
              <w:rPr>
                <w:rFonts w:hint="eastAsia" w:ascii="宋体" w:hAnsi="宋体"/>
                <w:szCs w:val="21"/>
              </w:rPr>
            </w:pPr>
            <w:r>
              <w:rPr>
                <w:rFonts w:hint="eastAsia" w:ascii="宋体" w:hAnsi="宋体"/>
                <w:szCs w:val="21"/>
              </w:rPr>
              <w:t>名称</w:t>
            </w:r>
          </w:p>
        </w:tc>
        <w:tc>
          <w:tcPr>
            <w:tcW w:w="983" w:type="dxa"/>
          </w:tcPr>
          <w:p>
            <w:pPr>
              <w:spacing w:line="420" w:lineRule="exact"/>
              <w:jc w:val="center"/>
              <w:rPr>
                <w:rFonts w:hint="eastAsia" w:ascii="宋体" w:hAnsi="宋体"/>
                <w:szCs w:val="21"/>
              </w:rPr>
            </w:pPr>
            <w:r>
              <w:rPr>
                <w:rFonts w:hint="eastAsia" w:ascii="宋体" w:hAnsi="宋体"/>
                <w:szCs w:val="21"/>
              </w:rPr>
              <w:t>单位</w:t>
            </w:r>
          </w:p>
        </w:tc>
        <w:tc>
          <w:tcPr>
            <w:tcW w:w="1007" w:type="dxa"/>
          </w:tcPr>
          <w:p>
            <w:pPr>
              <w:spacing w:line="420" w:lineRule="exact"/>
              <w:jc w:val="center"/>
              <w:rPr>
                <w:rFonts w:hint="eastAsia" w:ascii="宋体" w:hAnsi="宋体"/>
                <w:szCs w:val="21"/>
              </w:rPr>
            </w:pPr>
            <w:r>
              <w:rPr>
                <w:rFonts w:hint="eastAsia" w:ascii="宋体" w:hAnsi="宋体"/>
                <w:szCs w:val="21"/>
              </w:rPr>
              <w:t>数量</w:t>
            </w:r>
          </w:p>
        </w:tc>
        <w:tc>
          <w:tcPr>
            <w:tcW w:w="1790" w:type="dxa"/>
          </w:tcPr>
          <w:p>
            <w:pPr>
              <w:spacing w:line="420" w:lineRule="exact"/>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spacing w:line="420" w:lineRule="exact"/>
              <w:jc w:val="center"/>
              <w:rPr>
                <w:rFonts w:hint="eastAsia" w:ascii="宋体" w:hAnsi="宋体"/>
                <w:szCs w:val="21"/>
              </w:rPr>
            </w:pPr>
            <w:r>
              <w:rPr>
                <w:rFonts w:hint="eastAsia" w:ascii="宋体" w:hAnsi="宋体"/>
                <w:szCs w:val="21"/>
              </w:rPr>
              <w:t>1</w:t>
            </w:r>
          </w:p>
        </w:tc>
        <w:tc>
          <w:tcPr>
            <w:tcW w:w="4344" w:type="dxa"/>
            <w:vAlign w:val="center"/>
          </w:tcPr>
          <w:p>
            <w:pPr>
              <w:spacing w:line="240" w:lineRule="auto"/>
              <w:ind w:left="0" w:leftChars="0" w:firstLine="0" w:firstLineChars="0"/>
              <w:jc w:val="center"/>
              <w:rPr>
                <w:rFonts w:hint="eastAsia" w:ascii="宋体" w:hAnsi="宋体"/>
                <w:szCs w:val="21"/>
              </w:rPr>
            </w:pPr>
            <w:r>
              <w:rPr>
                <w:rFonts w:hint="eastAsia"/>
                <w:sz w:val="21"/>
                <w:szCs w:val="21"/>
                <w:vertAlign w:val="baseline"/>
                <w:lang w:val="en-US" w:eastAsia="zh-CN"/>
              </w:rPr>
              <w:t>高压差分探头</w:t>
            </w:r>
          </w:p>
        </w:tc>
        <w:tc>
          <w:tcPr>
            <w:tcW w:w="983" w:type="dxa"/>
            <w:vAlign w:val="center"/>
          </w:tcPr>
          <w:p>
            <w:pPr>
              <w:spacing w:line="420" w:lineRule="exact"/>
              <w:jc w:val="center"/>
              <w:rPr>
                <w:rFonts w:hint="eastAsia" w:ascii="宋体" w:hAnsi="宋体"/>
                <w:szCs w:val="21"/>
              </w:rPr>
            </w:pPr>
            <w:r>
              <w:rPr>
                <w:rFonts w:hint="eastAsia" w:ascii="宋体" w:hAnsi="宋体"/>
                <w:color w:val="000000"/>
                <w:szCs w:val="21"/>
              </w:rPr>
              <w:t>套</w:t>
            </w:r>
          </w:p>
        </w:tc>
        <w:tc>
          <w:tcPr>
            <w:tcW w:w="1007" w:type="dxa"/>
            <w:vAlign w:val="center"/>
          </w:tcPr>
          <w:p>
            <w:pPr>
              <w:spacing w:line="420" w:lineRule="exact"/>
              <w:jc w:val="center"/>
              <w:rPr>
                <w:rFonts w:hint="eastAsia" w:ascii="宋体" w:hAnsi="宋体"/>
                <w:szCs w:val="21"/>
              </w:rPr>
            </w:pPr>
            <w:r>
              <w:rPr>
                <w:rFonts w:hint="eastAsia" w:ascii="宋体" w:hAnsi="宋体"/>
                <w:color w:val="000000"/>
                <w:szCs w:val="21"/>
                <w:lang w:val="en-US" w:eastAsia="zh-CN"/>
              </w:rPr>
              <w:t>2</w:t>
            </w:r>
          </w:p>
        </w:tc>
        <w:tc>
          <w:tcPr>
            <w:tcW w:w="1790" w:type="dxa"/>
          </w:tcPr>
          <w:p>
            <w:pPr>
              <w:spacing w:line="4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spacing w:line="420" w:lineRule="exact"/>
              <w:jc w:val="center"/>
              <w:rPr>
                <w:rFonts w:hint="eastAsia" w:ascii="宋体" w:hAnsi="宋体"/>
                <w:szCs w:val="21"/>
              </w:rPr>
            </w:pPr>
            <w:r>
              <w:rPr>
                <w:rFonts w:hint="eastAsia" w:ascii="宋体" w:hAnsi="宋体"/>
                <w:szCs w:val="21"/>
              </w:rPr>
              <w:t>2</w:t>
            </w:r>
          </w:p>
        </w:tc>
        <w:tc>
          <w:tcPr>
            <w:tcW w:w="4344" w:type="dxa"/>
            <w:vAlign w:val="center"/>
          </w:tcPr>
          <w:p>
            <w:pPr>
              <w:spacing w:line="240" w:lineRule="auto"/>
              <w:ind w:left="0" w:leftChars="0" w:firstLine="0" w:firstLineChars="0"/>
              <w:jc w:val="center"/>
              <w:rPr>
                <w:rFonts w:hint="eastAsia" w:ascii="宋体" w:hAnsi="宋体"/>
                <w:szCs w:val="21"/>
              </w:rPr>
            </w:pPr>
            <w:r>
              <w:rPr>
                <w:rFonts w:hint="eastAsia"/>
                <w:sz w:val="21"/>
                <w:szCs w:val="21"/>
                <w:vertAlign w:val="baseline"/>
                <w:lang w:val="en-US" w:eastAsia="zh-CN"/>
              </w:rPr>
              <w:t>电流探头</w:t>
            </w:r>
          </w:p>
        </w:tc>
        <w:tc>
          <w:tcPr>
            <w:tcW w:w="983" w:type="dxa"/>
            <w:vAlign w:val="center"/>
          </w:tcPr>
          <w:p>
            <w:pPr>
              <w:spacing w:line="420" w:lineRule="exact"/>
              <w:jc w:val="center"/>
              <w:rPr>
                <w:rFonts w:hint="eastAsia" w:ascii="宋体" w:hAnsi="宋体"/>
                <w:szCs w:val="21"/>
              </w:rPr>
            </w:pPr>
            <w:r>
              <w:rPr>
                <w:rFonts w:hint="eastAsia" w:ascii="宋体" w:hAnsi="宋体"/>
                <w:color w:val="000000"/>
                <w:szCs w:val="21"/>
              </w:rPr>
              <w:t>套</w:t>
            </w:r>
          </w:p>
        </w:tc>
        <w:tc>
          <w:tcPr>
            <w:tcW w:w="1007" w:type="dxa"/>
            <w:vAlign w:val="center"/>
          </w:tcPr>
          <w:p>
            <w:pPr>
              <w:spacing w:line="420" w:lineRule="exact"/>
              <w:jc w:val="center"/>
              <w:rPr>
                <w:rFonts w:hint="eastAsia" w:ascii="宋体" w:hAnsi="宋体"/>
                <w:szCs w:val="21"/>
              </w:rPr>
            </w:pPr>
            <w:r>
              <w:rPr>
                <w:rFonts w:hint="eastAsia" w:ascii="宋体" w:hAnsi="宋体"/>
                <w:color w:val="000000"/>
                <w:szCs w:val="21"/>
              </w:rPr>
              <w:t>1</w:t>
            </w:r>
          </w:p>
        </w:tc>
        <w:tc>
          <w:tcPr>
            <w:tcW w:w="1790" w:type="dxa"/>
          </w:tcPr>
          <w:p>
            <w:pPr>
              <w:spacing w:line="420" w:lineRule="exact"/>
              <w:jc w:val="center"/>
              <w:rPr>
                <w:rFonts w:hint="eastAsia" w:ascii="宋体" w:hAnsi="宋体"/>
                <w:szCs w:val="21"/>
              </w:rPr>
            </w:pPr>
          </w:p>
        </w:tc>
      </w:tr>
    </w:tbl>
    <w:p>
      <w:pPr>
        <w:spacing w:line="420" w:lineRule="exact"/>
        <w:outlineLvl w:val="3"/>
        <w:rPr>
          <w:rFonts w:eastAsia="黑体"/>
          <w:b/>
          <w:sz w:val="24"/>
        </w:rPr>
      </w:pPr>
      <w:bookmarkStart w:id="61" w:name="_Toc7086"/>
      <w:bookmarkStart w:id="62" w:name="_Toc130903436"/>
      <w:r>
        <w:rPr>
          <w:rFonts w:hint="eastAsia" w:eastAsia="黑体"/>
          <w:b/>
          <w:sz w:val="24"/>
        </w:rPr>
        <w:t>4</w:t>
      </w:r>
      <w:r>
        <w:rPr>
          <w:rFonts w:eastAsia="黑体"/>
          <w:b/>
          <w:sz w:val="24"/>
        </w:rPr>
        <w:t>.1.2 备品备件、易损件和专用耗材供货范围</w:t>
      </w:r>
      <w:bookmarkEnd w:id="61"/>
      <w:bookmarkEnd w:id="62"/>
    </w:p>
    <w:p>
      <w:pPr>
        <w:spacing w:line="420" w:lineRule="exact"/>
        <w:ind w:firstLine="480" w:firstLineChars="200"/>
        <w:rPr>
          <w:sz w:val="24"/>
        </w:rPr>
      </w:pPr>
      <w:r>
        <w:rPr>
          <w:sz w:val="24"/>
        </w:rPr>
        <w:t>1、备品备件、易损件和专用耗材是招标方为保证货物质保期之后正常运行</w:t>
      </w:r>
      <w:r>
        <w:rPr>
          <w:rFonts w:hint="eastAsia"/>
          <w:sz w:val="24"/>
        </w:rPr>
        <w:t>三</w:t>
      </w:r>
      <w:r>
        <w:rPr>
          <w:sz w:val="24"/>
        </w:rPr>
        <w:t>年所自备自用的备品备件、易损件和专用耗材。</w:t>
      </w:r>
    </w:p>
    <w:p>
      <w:pPr>
        <w:spacing w:line="420" w:lineRule="exact"/>
        <w:ind w:firstLine="480" w:firstLineChars="200"/>
        <w:rPr>
          <w:sz w:val="24"/>
        </w:rPr>
      </w:pPr>
      <w:r>
        <w:rPr>
          <w:sz w:val="24"/>
        </w:rPr>
        <w:t>质保期之内正常需要的备品备件、易损件和专用耗材全部包括在供货范围之内而不属于本条款界定的范围（应有明细）。</w:t>
      </w:r>
    </w:p>
    <w:p>
      <w:pPr>
        <w:spacing w:line="420" w:lineRule="exact"/>
        <w:ind w:firstLine="480" w:firstLineChars="200"/>
        <w:rPr>
          <w:sz w:val="24"/>
        </w:rPr>
      </w:pPr>
      <w:r>
        <w:rPr>
          <w:sz w:val="24"/>
        </w:rPr>
        <w:t>2、供货范围包括易损件和专用耗材的制造图纸及其技术要求等资料，如涉及专有技术或无法提供，应在投标文件中予以澄清或说明。</w:t>
      </w:r>
    </w:p>
    <w:p>
      <w:pPr>
        <w:spacing w:line="420" w:lineRule="exact"/>
        <w:outlineLvl w:val="3"/>
        <w:rPr>
          <w:rFonts w:eastAsia="黑体"/>
          <w:b/>
          <w:sz w:val="24"/>
        </w:rPr>
      </w:pPr>
      <w:bookmarkStart w:id="63" w:name="_Toc195"/>
      <w:bookmarkStart w:id="64" w:name="_Toc130903437"/>
      <w:r>
        <w:rPr>
          <w:rFonts w:hint="eastAsia" w:eastAsia="黑体"/>
          <w:b/>
          <w:sz w:val="24"/>
        </w:rPr>
        <w:t>4</w:t>
      </w:r>
      <w:r>
        <w:rPr>
          <w:rFonts w:eastAsia="黑体"/>
          <w:b/>
          <w:sz w:val="24"/>
        </w:rPr>
        <w:t>.1.3 技术资料供货范围</w:t>
      </w:r>
      <w:bookmarkEnd w:id="63"/>
      <w:bookmarkEnd w:id="64"/>
    </w:p>
    <w:p>
      <w:pPr>
        <w:spacing w:line="420" w:lineRule="exact"/>
        <w:ind w:firstLine="480" w:firstLineChars="200"/>
        <w:rPr>
          <w:sz w:val="24"/>
        </w:rPr>
      </w:pPr>
      <w:r>
        <w:rPr>
          <w:sz w:val="24"/>
        </w:rPr>
        <w:t>技术资料供货范围包括：</w:t>
      </w:r>
    </w:p>
    <w:p>
      <w:pPr>
        <w:spacing w:line="420" w:lineRule="exact"/>
        <w:ind w:firstLine="480" w:firstLineChars="200"/>
        <w:rPr>
          <w:sz w:val="24"/>
        </w:rPr>
      </w:pPr>
      <w:r>
        <w:rPr>
          <w:rFonts w:hint="eastAsia"/>
          <w:sz w:val="24"/>
        </w:rPr>
        <w:t xml:space="preserve">1、在合同签订后 </w:t>
      </w:r>
      <w:r>
        <w:rPr>
          <w:b/>
          <w:bCs/>
          <w:sz w:val="24"/>
        </w:rPr>
        <w:t>30</w:t>
      </w:r>
      <w:r>
        <w:rPr>
          <w:rFonts w:hint="eastAsia"/>
          <w:sz w:val="24"/>
        </w:rPr>
        <w:t>个日历日内，提供货物基础及相关的设计、制作所需的纸质及电子版资料；电子版文件应当能够使用常用版本软件可以阅读甚至使用，进口货物、设备应有中外文对照。</w:t>
      </w:r>
    </w:p>
    <w:p>
      <w:pPr>
        <w:spacing w:line="420" w:lineRule="exact"/>
        <w:ind w:firstLine="480" w:firstLineChars="200"/>
        <w:rPr>
          <w:sz w:val="24"/>
        </w:rPr>
      </w:pPr>
      <w:r>
        <w:rPr>
          <w:rFonts w:hint="eastAsia"/>
          <w:sz w:val="24"/>
        </w:rPr>
        <w:t>2、在预验收前，提供货物各部分的功能描述文件、图片、影像等资料（进口、设备应有中外文对照）。</w:t>
      </w:r>
    </w:p>
    <w:p>
      <w:pPr>
        <w:spacing w:line="420" w:lineRule="exact"/>
        <w:ind w:firstLine="480" w:firstLineChars="200"/>
        <w:rPr>
          <w:sz w:val="24"/>
        </w:rPr>
      </w:pPr>
      <w:r>
        <w:rPr>
          <w:rFonts w:hint="eastAsia"/>
          <w:sz w:val="24"/>
        </w:rPr>
        <w:t>3、在终验收前，提供为保证货物后续正常运行所需的工装、吊（挂）具明细及其图纸、具体技术要求等资料（如果供货范围包含该部分实物）。</w:t>
      </w:r>
    </w:p>
    <w:p>
      <w:pPr>
        <w:spacing w:line="420" w:lineRule="exact"/>
        <w:ind w:firstLine="480" w:firstLineChars="200"/>
        <w:rPr>
          <w:sz w:val="24"/>
        </w:rPr>
      </w:pPr>
      <w:r>
        <w:rPr>
          <w:rFonts w:hint="eastAsia"/>
          <w:sz w:val="24"/>
        </w:rPr>
        <w:t>4、在终验收前，提供确定的维修所需要且买方可以自行采购的外购件、外协件、电气元件及主要原材料的供货厂家明细表。</w:t>
      </w:r>
    </w:p>
    <w:p>
      <w:pPr>
        <w:spacing w:line="420" w:lineRule="exact"/>
        <w:ind w:firstLine="480" w:firstLineChars="200"/>
        <w:rPr>
          <w:sz w:val="24"/>
        </w:rPr>
      </w:pPr>
      <w:r>
        <w:rPr>
          <w:rFonts w:hint="eastAsia"/>
          <w:sz w:val="24"/>
        </w:rPr>
        <w:t>5、在终验收后、终验收后的第一笔货款支付日之前，提供包括货物的备品备件、易损件和专用耗材的图纸及技术参数、技术要求等资料。</w:t>
      </w:r>
    </w:p>
    <w:p>
      <w:pPr>
        <w:spacing w:line="420" w:lineRule="exact"/>
        <w:ind w:firstLine="480" w:firstLineChars="200"/>
        <w:rPr>
          <w:sz w:val="24"/>
        </w:rPr>
      </w:pPr>
      <w:r>
        <w:rPr>
          <w:rFonts w:hint="eastAsia"/>
          <w:sz w:val="24"/>
        </w:rPr>
        <w:t>6、在终验收后、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pPr>
        <w:spacing w:line="420" w:lineRule="exact"/>
        <w:ind w:firstLine="480" w:firstLineChars="200"/>
        <w:rPr>
          <w:sz w:val="24"/>
        </w:rPr>
      </w:pPr>
      <w:r>
        <w:rPr>
          <w:rFonts w:hint="eastAsia"/>
          <w:sz w:val="24"/>
        </w:rPr>
        <w:t>7、在终验收后、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pPr>
        <w:spacing w:line="420" w:lineRule="exact"/>
        <w:ind w:firstLine="480" w:firstLineChars="200"/>
        <w:rPr>
          <w:sz w:val="24"/>
        </w:rPr>
      </w:pPr>
      <w:r>
        <w:rPr>
          <w:rFonts w:hint="eastAsia"/>
          <w:sz w:val="24"/>
        </w:rPr>
        <w:t>8、本条款所列的技术资料、图片、影像等，投标方应各提供5套，其中2套为电子版光（软）盘；每份技术文件应装有目录清单。</w:t>
      </w:r>
    </w:p>
    <w:p>
      <w:pPr>
        <w:spacing w:line="420" w:lineRule="exact"/>
        <w:ind w:firstLine="480" w:firstLineChars="200"/>
        <w:rPr>
          <w:sz w:val="24"/>
        </w:rPr>
      </w:pPr>
      <w:r>
        <w:rPr>
          <w:rFonts w:hint="eastAsia"/>
          <w:sz w:val="24"/>
        </w:rPr>
        <w:t>9、本条款所列要求，如招标方认为投标方提供的资料不能满足要求时，有权要求投标方免费补充或增加。</w:t>
      </w:r>
    </w:p>
    <w:p>
      <w:pPr>
        <w:spacing w:line="420" w:lineRule="exact"/>
        <w:outlineLvl w:val="3"/>
        <w:rPr>
          <w:rFonts w:eastAsia="黑体"/>
          <w:b/>
          <w:sz w:val="24"/>
        </w:rPr>
      </w:pPr>
      <w:bookmarkStart w:id="65" w:name="_Toc130903438"/>
      <w:bookmarkStart w:id="66" w:name="_Toc167365783"/>
      <w:bookmarkStart w:id="67" w:name="_Toc6065"/>
      <w:r>
        <w:rPr>
          <w:rFonts w:hint="eastAsia" w:eastAsia="黑体"/>
          <w:b/>
          <w:sz w:val="24"/>
        </w:rPr>
        <w:t>4</w:t>
      </w:r>
      <w:r>
        <w:rPr>
          <w:rFonts w:eastAsia="黑体"/>
          <w:b/>
          <w:sz w:val="24"/>
        </w:rPr>
        <w:t>.1.4 供货范围特别提示</w:t>
      </w:r>
      <w:bookmarkEnd w:id="65"/>
      <w:bookmarkEnd w:id="66"/>
      <w:bookmarkEnd w:id="67"/>
    </w:p>
    <w:p>
      <w:pPr>
        <w:spacing w:line="420" w:lineRule="exact"/>
        <w:ind w:firstLine="480" w:firstLineChars="200"/>
        <w:rPr>
          <w:sz w:val="24"/>
        </w:rPr>
      </w:pPr>
      <w:r>
        <w:rPr>
          <w:sz w:val="24"/>
        </w:rPr>
        <w:t>如果投标方认为本节所列的供货范围难以满足，则仍需要按照本要求提供，但该部分货物应当在投标报价中单独列明货物名称及品质、货值。</w:t>
      </w:r>
    </w:p>
    <w:p>
      <w:pPr>
        <w:pStyle w:val="127"/>
        <w:outlineLvl w:val="2"/>
        <w:rPr>
          <w:rFonts w:ascii="Times New Roman" w:hAnsi="Times New Roman"/>
        </w:rPr>
      </w:pPr>
      <w:bookmarkStart w:id="68" w:name="_Toc4371"/>
      <w:bookmarkStart w:id="69" w:name="_Toc465187644"/>
      <w:bookmarkStart w:id="70" w:name="_Toc130903439"/>
      <w:r>
        <w:rPr>
          <w:rFonts w:hint="eastAsia" w:ascii="Times New Roman" w:hAnsi="Times New Roman"/>
        </w:rPr>
        <w:t>4</w:t>
      </w:r>
      <w:r>
        <w:rPr>
          <w:rFonts w:ascii="Times New Roman" w:hAnsi="Times New Roman"/>
        </w:rPr>
        <w:t>.2 供货方式</w:t>
      </w:r>
      <w:bookmarkEnd w:id="68"/>
      <w:bookmarkEnd w:id="69"/>
      <w:bookmarkEnd w:id="70"/>
    </w:p>
    <w:p>
      <w:pPr>
        <w:spacing w:line="420" w:lineRule="exact"/>
        <w:outlineLvl w:val="3"/>
        <w:rPr>
          <w:b/>
          <w:sz w:val="24"/>
        </w:rPr>
      </w:pPr>
      <w:bookmarkStart w:id="71" w:name="_Toc30814"/>
      <w:bookmarkStart w:id="72" w:name="_Toc130903440"/>
      <w:r>
        <w:rPr>
          <w:rFonts w:hint="eastAsia"/>
          <w:b/>
          <w:sz w:val="24"/>
        </w:rPr>
        <w:t>4</w:t>
      </w:r>
      <w:r>
        <w:rPr>
          <w:b/>
          <w:sz w:val="24"/>
        </w:rPr>
        <w:t>.2.1 供货方式</w:t>
      </w:r>
      <w:bookmarkEnd w:id="71"/>
      <w:bookmarkEnd w:id="72"/>
    </w:p>
    <w:p>
      <w:pPr>
        <w:spacing w:line="420" w:lineRule="exact"/>
        <w:ind w:firstLine="480" w:firstLineChars="200"/>
        <w:rPr>
          <w:sz w:val="24"/>
        </w:rPr>
      </w:pPr>
      <w:r>
        <w:rPr>
          <w:sz w:val="24"/>
        </w:rPr>
        <w:t>完全交钥匙方式，即本次招标货物至少包括以下货物及服务：非标或特需设计，制造，必要的卖方现场预验收，至交货地点的运输（含定点装卸），安装，调试，买方安装地竣工验收服务，货物移交，约定培训等全流程范围。</w:t>
      </w:r>
    </w:p>
    <w:p>
      <w:pPr>
        <w:spacing w:line="420" w:lineRule="exact"/>
        <w:outlineLvl w:val="3"/>
        <w:rPr>
          <w:b/>
          <w:sz w:val="24"/>
        </w:rPr>
      </w:pPr>
      <w:bookmarkStart w:id="73" w:name="_Toc24157"/>
      <w:bookmarkStart w:id="74" w:name="_Toc130903441"/>
      <w:r>
        <w:rPr>
          <w:rFonts w:hint="eastAsia"/>
          <w:b/>
          <w:sz w:val="24"/>
        </w:rPr>
        <w:t>4</w:t>
      </w:r>
      <w:r>
        <w:rPr>
          <w:b/>
          <w:sz w:val="24"/>
        </w:rPr>
        <w:t xml:space="preserve">.2.2 </w:t>
      </w:r>
      <w:r>
        <w:rPr>
          <w:rFonts w:hint="eastAsia"/>
          <w:b/>
          <w:sz w:val="24"/>
        </w:rPr>
        <w:t>供货地点</w:t>
      </w:r>
      <w:bookmarkEnd w:id="73"/>
      <w:bookmarkEnd w:id="74"/>
    </w:p>
    <w:p>
      <w:pPr>
        <w:spacing w:line="420" w:lineRule="exact"/>
        <w:ind w:firstLine="480" w:firstLineChars="200"/>
        <w:rPr>
          <w:sz w:val="24"/>
        </w:rPr>
      </w:pPr>
      <w:r>
        <w:rPr>
          <w:b/>
          <w:sz w:val="24"/>
        </w:rPr>
        <w:t>供货地点：</w:t>
      </w:r>
      <w:r>
        <w:rPr>
          <w:rFonts w:hint="eastAsia" w:ascii="Times New Roman" w:hAnsi="Times New Roman" w:eastAsia="宋体" w:cs="Times New Roman"/>
          <w:sz w:val="24"/>
        </w:rPr>
        <w:t>济南市莱芜区口镇重汽新能源产品试验检测中心</w:t>
      </w:r>
      <w:r>
        <w:rPr>
          <w:rFonts w:ascii="Times New Roman" w:hAnsi="Times New Roman" w:eastAsia="宋体" w:cs="Times New Roman"/>
          <w:sz w:val="24"/>
        </w:rPr>
        <w:t>。</w:t>
      </w:r>
    </w:p>
    <w:p>
      <w:pPr>
        <w:spacing w:line="420" w:lineRule="exact"/>
        <w:outlineLvl w:val="3"/>
        <w:rPr>
          <w:b/>
          <w:sz w:val="24"/>
        </w:rPr>
      </w:pPr>
      <w:bookmarkStart w:id="75" w:name="_Toc130903442"/>
      <w:bookmarkStart w:id="76" w:name="_Toc22060"/>
      <w:r>
        <w:rPr>
          <w:rFonts w:hint="eastAsia"/>
          <w:b/>
          <w:sz w:val="24"/>
        </w:rPr>
        <w:t>4</w:t>
      </w:r>
      <w:r>
        <w:rPr>
          <w:b/>
          <w:sz w:val="24"/>
        </w:rPr>
        <w:t>.2.3 供货时间</w:t>
      </w:r>
      <w:bookmarkEnd w:id="75"/>
      <w:bookmarkEnd w:id="76"/>
    </w:p>
    <w:p>
      <w:pPr>
        <w:spacing w:line="420" w:lineRule="exact"/>
        <w:ind w:firstLine="480" w:firstLineChars="200"/>
        <w:jc w:val="left"/>
        <w:rPr>
          <w:sz w:val="24"/>
          <w:highlight w:val="none"/>
        </w:rPr>
      </w:pPr>
      <w:r>
        <w:rPr>
          <w:sz w:val="24"/>
          <w:highlight w:val="none"/>
        </w:rPr>
        <w:t>1、自合同签定生效之日起，</w:t>
      </w:r>
      <w:r>
        <w:rPr>
          <w:rFonts w:hint="eastAsia"/>
          <w:sz w:val="24"/>
          <w:highlight w:val="none"/>
        </w:rPr>
        <w:t>按</w:t>
      </w:r>
      <w:r>
        <w:rPr>
          <w:rFonts w:hint="eastAsia"/>
          <w:sz w:val="24"/>
          <w:szCs w:val="24"/>
          <w:highlight w:val="none"/>
          <w:u w:val="single"/>
          <w:shd w:val="pct10" w:color="auto" w:fill="FFFFFF"/>
          <w:lang w:val="en-US" w:eastAsia="zh-CN"/>
        </w:rPr>
        <w:t>60</w:t>
      </w:r>
      <w:r>
        <w:rPr>
          <w:rFonts w:hint="eastAsia"/>
          <w:sz w:val="24"/>
          <w:szCs w:val="24"/>
          <w:highlight w:val="none"/>
          <w:u w:val="single"/>
          <w:shd w:val="pct10" w:color="auto" w:fill="FFFFFF"/>
        </w:rPr>
        <w:t>个</w:t>
      </w:r>
      <w:r>
        <w:rPr>
          <w:rFonts w:hint="eastAsia"/>
          <w:sz w:val="24"/>
          <w:highlight w:val="none"/>
        </w:rPr>
        <w:t>日</w:t>
      </w:r>
      <w:r>
        <w:rPr>
          <w:sz w:val="24"/>
          <w:szCs w:val="24"/>
          <w:highlight w:val="none"/>
        </w:rPr>
        <w:t>历日</w:t>
      </w:r>
      <w:r>
        <w:rPr>
          <w:sz w:val="24"/>
          <w:highlight w:val="none"/>
        </w:rPr>
        <w:t>之内交货至供货地点。</w:t>
      </w:r>
    </w:p>
    <w:p>
      <w:pPr>
        <w:spacing w:line="420" w:lineRule="exact"/>
        <w:ind w:firstLine="480" w:firstLineChars="200"/>
        <w:jc w:val="left"/>
        <w:rPr>
          <w:sz w:val="24"/>
          <w:highlight w:val="none"/>
        </w:rPr>
      </w:pPr>
      <w:r>
        <w:rPr>
          <w:sz w:val="24"/>
          <w:highlight w:val="none"/>
        </w:rPr>
        <w:t>2、接续</w:t>
      </w:r>
      <w:r>
        <w:rPr>
          <w:sz w:val="24"/>
          <w:highlight w:val="none"/>
          <w:u w:val="single"/>
          <w:shd w:val="pct10" w:color="auto" w:fill="FFFFFF"/>
        </w:rPr>
        <w:t xml:space="preserve"> </w:t>
      </w:r>
      <w:r>
        <w:rPr>
          <w:rFonts w:hint="eastAsia"/>
          <w:sz w:val="24"/>
          <w:highlight w:val="none"/>
          <w:u w:val="single"/>
          <w:shd w:val="pct10" w:color="auto" w:fill="FFFFFF"/>
          <w:lang w:val="en-US" w:eastAsia="zh-CN"/>
        </w:rPr>
        <w:t>5</w:t>
      </w:r>
      <w:r>
        <w:rPr>
          <w:sz w:val="24"/>
          <w:highlight w:val="none"/>
        </w:rPr>
        <w:t>个日历日之内安装调试完毕。</w:t>
      </w:r>
    </w:p>
    <w:p>
      <w:pPr>
        <w:spacing w:line="420" w:lineRule="exact"/>
        <w:ind w:firstLine="480" w:firstLineChars="200"/>
        <w:jc w:val="left"/>
        <w:rPr>
          <w:sz w:val="24"/>
          <w:highlight w:val="none"/>
        </w:rPr>
      </w:pPr>
      <w:r>
        <w:rPr>
          <w:sz w:val="24"/>
          <w:highlight w:val="none"/>
        </w:rPr>
        <w:t>3、终验收在</w:t>
      </w:r>
      <w:r>
        <w:rPr>
          <w:sz w:val="24"/>
          <w:highlight w:val="none"/>
          <w:u w:val="single"/>
          <w:shd w:val="pct10" w:color="auto" w:fill="FFFFFF"/>
        </w:rPr>
        <w:t xml:space="preserve"> </w:t>
      </w:r>
      <w:r>
        <w:rPr>
          <w:rFonts w:hint="eastAsia"/>
          <w:sz w:val="24"/>
          <w:highlight w:val="none"/>
          <w:u w:val="single"/>
          <w:shd w:val="pct10" w:color="auto" w:fill="FFFFFF"/>
        </w:rPr>
        <w:t>30</w:t>
      </w:r>
      <w:r>
        <w:rPr>
          <w:sz w:val="24"/>
          <w:highlight w:val="none"/>
        </w:rPr>
        <w:t>个日历日之内完成。</w:t>
      </w:r>
    </w:p>
    <w:p>
      <w:pPr>
        <w:spacing w:line="420" w:lineRule="exact"/>
        <w:outlineLvl w:val="3"/>
        <w:rPr>
          <w:b/>
          <w:sz w:val="24"/>
        </w:rPr>
      </w:pPr>
      <w:bookmarkStart w:id="77" w:name="_Toc14598"/>
      <w:bookmarkStart w:id="78" w:name="_Toc130903443"/>
      <w:r>
        <w:rPr>
          <w:rFonts w:hint="eastAsia"/>
          <w:b/>
          <w:sz w:val="24"/>
        </w:rPr>
        <w:t>4</w:t>
      </w:r>
      <w:r>
        <w:rPr>
          <w:b/>
          <w:sz w:val="24"/>
        </w:rPr>
        <w:t>.2.4 包装</w:t>
      </w:r>
      <w:bookmarkEnd w:id="77"/>
      <w:bookmarkEnd w:id="78"/>
    </w:p>
    <w:p>
      <w:pPr>
        <w:adjustRightInd w:val="0"/>
        <w:snapToGrid w:val="0"/>
        <w:spacing w:line="420" w:lineRule="exact"/>
        <w:ind w:firstLine="480" w:firstLineChars="200"/>
        <w:rPr>
          <w:sz w:val="24"/>
        </w:rPr>
      </w:pPr>
      <w:r>
        <w:rPr>
          <w:sz w:val="24"/>
        </w:rPr>
        <w:t>1、所提供货物（或设备）的包装，应遵照国家标准和有关包装、包皮的技术条件，或按照最好的商业惯例进行包装。</w:t>
      </w:r>
    </w:p>
    <w:p>
      <w:pPr>
        <w:adjustRightInd w:val="0"/>
        <w:snapToGrid w:val="0"/>
        <w:spacing w:line="420" w:lineRule="exact"/>
        <w:ind w:firstLine="480" w:firstLineChars="200"/>
        <w:rPr>
          <w:sz w:val="24"/>
        </w:rPr>
      </w:pPr>
      <w:r>
        <w:rPr>
          <w:sz w:val="24"/>
        </w:rPr>
        <w:t>2、包装应能满足所需要采取的运输方式（船运、汽运或铁路运输）、多次吊装卸装、卸货以及长期露天堆放要求，应能防止雨淋、受潮、生锈、腐蚀、受振、受磁以及机械和化学因素等引起的损坏。</w:t>
      </w:r>
    </w:p>
    <w:p>
      <w:pPr>
        <w:adjustRightInd w:val="0"/>
        <w:snapToGrid w:val="0"/>
        <w:spacing w:line="420" w:lineRule="exact"/>
        <w:ind w:firstLine="480" w:firstLineChars="200"/>
        <w:rPr>
          <w:sz w:val="24"/>
        </w:rPr>
      </w:pPr>
      <w:r>
        <w:rPr>
          <w:sz w:val="24"/>
        </w:rPr>
        <w:t>3、所提供货物（或设备）的包装，应能防止其一般性被窃或受外力破坏；一般不得采用有大缝隙的板条包装。</w:t>
      </w:r>
    </w:p>
    <w:p>
      <w:pPr>
        <w:adjustRightInd w:val="0"/>
        <w:snapToGrid w:val="0"/>
        <w:spacing w:line="420" w:lineRule="exact"/>
        <w:ind w:firstLine="480" w:firstLineChars="200"/>
        <w:rPr>
          <w:sz w:val="24"/>
        </w:rPr>
      </w:pPr>
      <w:r>
        <w:rPr>
          <w:sz w:val="24"/>
        </w:rPr>
        <w:t>4、应对包装件做必要的加固和固定，以防止运输可能造成的损坏。</w:t>
      </w:r>
    </w:p>
    <w:p>
      <w:pPr>
        <w:adjustRightInd w:val="0"/>
        <w:snapToGrid w:val="0"/>
        <w:spacing w:line="420" w:lineRule="exact"/>
        <w:ind w:firstLine="480" w:firstLineChars="200"/>
        <w:rPr>
          <w:sz w:val="24"/>
        </w:rPr>
      </w:pPr>
      <w:r>
        <w:rPr>
          <w:sz w:val="24"/>
        </w:rPr>
        <w:t>5、每个包装件应有装箱单，并至少标明名称、型号规格、数量、净重和毛重、投标方（或供货商）名称和制造日期等相关内容。</w:t>
      </w:r>
    </w:p>
    <w:p>
      <w:pPr>
        <w:adjustRightInd w:val="0"/>
        <w:snapToGrid w:val="0"/>
        <w:spacing w:line="420" w:lineRule="exact"/>
        <w:ind w:firstLine="480" w:firstLineChars="200"/>
        <w:rPr>
          <w:sz w:val="24"/>
        </w:rPr>
      </w:pPr>
      <w:r>
        <w:rPr>
          <w:sz w:val="24"/>
        </w:rPr>
        <w:t>6、每个包装箱应有明显标志，并具有中文书写的合同号、装运标志、发货和到货地点名称、发货人和收货人名称、货物名称和项目号、箱号和外型尺寸等内容。</w:t>
      </w:r>
    </w:p>
    <w:p>
      <w:pPr>
        <w:adjustRightInd w:val="0"/>
        <w:snapToGrid w:val="0"/>
        <w:spacing w:line="420" w:lineRule="exact"/>
        <w:ind w:firstLine="480" w:firstLineChars="200"/>
        <w:rPr>
          <w:sz w:val="24"/>
        </w:rPr>
      </w:pPr>
      <w:r>
        <w:rPr>
          <w:sz w:val="24"/>
        </w:rPr>
        <w:t>7、应按照不同的装运要求在包装箱上标明“小心轻放”、“箭头向上”、“防潮”、“防磁”、“不准平放”等标志，以及其它适用的国标通用标志。</w:t>
      </w:r>
    </w:p>
    <w:p>
      <w:pPr>
        <w:adjustRightInd w:val="0"/>
        <w:snapToGrid w:val="0"/>
        <w:spacing w:line="420" w:lineRule="exact"/>
        <w:ind w:firstLine="480" w:firstLineChars="200"/>
        <w:rPr>
          <w:sz w:val="24"/>
        </w:rPr>
      </w:pPr>
      <w:r>
        <w:rPr>
          <w:sz w:val="24"/>
        </w:rPr>
        <w:t>8、包装箱应连续编号，不应出现重复编号。</w:t>
      </w:r>
    </w:p>
    <w:p>
      <w:pPr>
        <w:adjustRightInd w:val="0"/>
        <w:snapToGrid w:val="0"/>
        <w:spacing w:line="420" w:lineRule="exact"/>
        <w:ind w:firstLine="480" w:firstLineChars="200"/>
        <w:rPr>
          <w:sz w:val="24"/>
        </w:rPr>
      </w:pPr>
      <w:r>
        <w:rPr>
          <w:sz w:val="24"/>
        </w:rPr>
        <w:t>9、在不受到外界破坏情况下，包装应保证自交货日起一年内货物（或设备）完好无损。</w:t>
      </w:r>
    </w:p>
    <w:p>
      <w:pPr>
        <w:spacing w:line="420" w:lineRule="exact"/>
        <w:outlineLvl w:val="3"/>
        <w:rPr>
          <w:b/>
          <w:sz w:val="24"/>
        </w:rPr>
      </w:pPr>
      <w:bookmarkStart w:id="79" w:name="_Toc6807"/>
      <w:bookmarkStart w:id="80" w:name="_Toc130903444"/>
      <w:r>
        <w:rPr>
          <w:rFonts w:hint="eastAsia"/>
          <w:b/>
          <w:sz w:val="24"/>
        </w:rPr>
        <w:t>4</w:t>
      </w:r>
      <w:r>
        <w:rPr>
          <w:b/>
          <w:sz w:val="24"/>
        </w:rPr>
        <w:t>.2.5 运输</w:t>
      </w:r>
      <w:bookmarkEnd w:id="79"/>
      <w:bookmarkEnd w:id="80"/>
    </w:p>
    <w:p>
      <w:pPr>
        <w:adjustRightInd w:val="0"/>
        <w:snapToGrid w:val="0"/>
        <w:spacing w:line="420" w:lineRule="exact"/>
        <w:ind w:firstLine="480" w:firstLineChars="200"/>
        <w:rPr>
          <w:sz w:val="24"/>
        </w:rPr>
      </w:pPr>
      <w:r>
        <w:rPr>
          <w:sz w:val="24"/>
        </w:rPr>
        <w:t>1、应负责将货物（或设备）运到目的地，并必须做到货物（或设备）在任何运输过程中不受损坏和遗失。</w:t>
      </w:r>
    </w:p>
    <w:p>
      <w:pPr>
        <w:adjustRightInd w:val="0"/>
        <w:snapToGrid w:val="0"/>
        <w:spacing w:line="420" w:lineRule="exact"/>
        <w:ind w:firstLine="480" w:firstLineChars="200"/>
        <w:rPr>
          <w:sz w:val="24"/>
        </w:rPr>
      </w:pPr>
      <w:r>
        <w:rPr>
          <w:sz w:val="24"/>
        </w:rPr>
        <w:t>2、同批货物（或设备）应统一包装、编号运输。</w:t>
      </w:r>
    </w:p>
    <w:p>
      <w:pPr>
        <w:adjustRightInd w:val="0"/>
        <w:snapToGrid w:val="0"/>
        <w:spacing w:line="420" w:lineRule="exact"/>
        <w:ind w:firstLine="480" w:firstLineChars="200"/>
        <w:rPr>
          <w:sz w:val="24"/>
        </w:rPr>
      </w:pPr>
      <w:r>
        <w:rPr>
          <w:sz w:val="24"/>
        </w:rPr>
        <w:t>3、一般情况下，经由铁路、公路运输的包装件尺寸和重量不应超过国家所规定的尺寸限制。特殊情况应予以说明。</w:t>
      </w:r>
    </w:p>
    <w:p>
      <w:pPr>
        <w:adjustRightInd w:val="0"/>
        <w:snapToGrid w:val="0"/>
        <w:spacing w:line="420" w:lineRule="exact"/>
        <w:ind w:firstLine="480" w:firstLineChars="200"/>
        <w:rPr>
          <w:sz w:val="24"/>
        </w:rPr>
      </w:pPr>
      <w:r>
        <w:rPr>
          <w:sz w:val="24"/>
        </w:rPr>
        <w:t>4、在每批货物（或设备）发出后，应立即通知买方；通知中应指明：合同号、货运单号、件数、重量和货物（或设备）发出日期等相关内容。</w:t>
      </w:r>
    </w:p>
    <w:p>
      <w:pPr>
        <w:adjustRightInd w:val="0"/>
        <w:snapToGrid w:val="0"/>
        <w:spacing w:line="420" w:lineRule="exact"/>
        <w:ind w:firstLine="480" w:firstLineChars="200"/>
        <w:rPr>
          <w:sz w:val="24"/>
        </w:rPr>
      </w:pPr>
      <w:r>
        <w:rPr>
          <w:sz w:val="24"/>
        </w:rPr>
        <w:t>5、货物（或设备）运抵交货地点后，应负责货物（或设备）的卸货、搬运、保管等事宜；或按照合同约定。</w:t>
      </w:r>
    </w:p>
    <w:p>
      <w:pPr>
        <w:adjustRightInd w:val="0"/>
        <w:snapToGrid w:val="0"/>
        <w:spacing w:line="420" w:lineRule="exact"/>
        <w:ind w:firstLine="480" w:firstLineChars="200"/>
        <w:rPr>
          <w:sz w:val="24"/>
        </w:rPr>
        <w:sectPr>
          <w:footerReference r:id="rId26" w:type="first"/>
          <w:headerReference r:id="rId25" w:type="even"/>
          <w:pgSz w:w="11906" w:h="16838"/>
          <w:pgMar w:top="1588" w:right="1418" w:bottom="1134" w:left="1418" w:header="851" w:footer="992" w:gutter="0"/>
          <w:pgNumType w:fmt="decimal"/>
          <w:cols w:space="720" w:num="1"/>
          <w:titlePg/>
          <w:docGrid w:type="lines" w:linePitch="312" w:charSpace="0"/>
        </w:sectPr>
      </w:pPr>
    </w:p>
    <w:p>
      <w:pPr>
        <w:pStyle w:val="108"/>
        <w:outlineLvl w:val="1"/>
        <w:rPr>
          <w:color w:val="auto"/>
        </w:rPr>
      </w:pPr>
      <w:bookmarkStart w:id="81" w:name="_Toc130903445"/>
      <w:bookmarkStart w:id="82" w:name="_Toc23733"/>
      <w:bookmarkStart w:id="83" w:name="_Toc465187645"/>
      <w:r>
        <w:rPr>
          <w:color w:val="auto"/>
        </w:rPr>
        <w:t>第五章  质保期及售后服务</w:t>
      </w:r>
      <w:bookmarkEnd w:id="81"/>
      <w:bookmarkEnd w:id="82"/>
      <w:bookmarkEnd w:id="83"/>
    </w:p>
    <w:p>
      <w:pPr>
        <w:spacing w:line="420" w:lineRule="exact"/>
        <w:jc w:val="left"/>
        <w:outlineLvl w:val="2"/>
        <w:rPr>
          <w:rFonts w:eastAsia="黑体"/>
          <w:b/>
          <w:sz w:val="24"/>
        </w:rPr>
      </w:pPr>
      <w:bookmarkStart w:id="84" w:name="_Toc130903446"/>
      <w:bookmarkStart w:id="85" w:name="_Toc4697"/>
      <w:r>
        <w:rPr>
          <w:rFonts w:hint="eastAsia" w:eastAsia="黑体"/>
          <w:b/>
          <w:sz w:val="24"/>
        </w:rPr>
        <w:t>5</w:t>
      </w:r>
      <w:r>
        <w:rPr>
          <w:rFonts w:eastAsia="黑体"/>
          <w:b/>
          <w:sz w:val="24"/>
        </w:rPr>
        <w:t>.1 质保期及质保要求</w:t>
      </w:r>
      <w:bookmarkEnd w:id="84"/>
      <w:bookmarkEnd w:id="85"/>
    </w:p>
    <w:p>
      <w:pPr>
        <w:spacing w:line="420" w:lineRule="exact"/>
        <w:ind w:firstLine="480" w:firstLineChars="200"/>
        <w:jc w:val="left"/>
        <w:rPr>
          <w:b/>
          <w:bCs/>
          <w:sz w:val="24"/>
        </w:rPr>
      </w:pPr>
      <w:r>
        <w:rPr>
          <w:b/>
          <w:bCs/>
          <w:sz w:val="24"/>
        </w:rPr>
        <w:t>1、全部供货范围内的设备、材料、零配件和工器具等，除合同特别约定外，其质保期均自终验收签字生</w:t>
      </w:r>
      <w:r>
        <w:rPr>
          <w:b/>
          <w:bCs/>
          <w:sz w:val="24"/>
          <w:highlight w:val="none"/>
        </w:rPr>
        <w:t>效之日起</w:t>
      </w:r>
      <w:r>
        <w:rPr>
          <w:b/>
          <w:bCs/>
          <w:sz w:val="24"/>
          <w:highlight w:val="none"/>
          <w:u w:val="single"/>
          <w:shd w:val="pct10" w:color="auto" w:fill="FFFFFF"/>
        </w:rPr>
        <w:t>24</w:t>
      </w:r>
      <w:r>
        <w:rPr>
          <w:b/>
          <w:bCs/>
          <w:sz w:val="24"/>
          <w:highlight w:val="none"/>
        </w:rPr>
        <w:t>个月</w:t>
      </w:r>
      <w:r>
        <w:rPr>
          <w:b/>
          <w:bCs/>
          <w:sz w:val="24"/>
        </w:rPr>
        <w:t>。</w:t>
      </w:r>
    </w:p>
    <w:p>
      <w:pPr>
        <w:spacing w:line="420" w:lineRule="exact"/>
        <w:ind w:firstLine="480" w:firstLineChars="200"/>
        <w:jc w:val="left"/>
        <w:rPr>
          <w:sz w:val="24"/>
        </w:rPr>
      </w:pPr>
      <w:r>
        <w:rPr>
          <w:sz w:val="24"/>
        </w:rPr>
        <w:t>投标货物或涉及的关键总成和零件，如果有更长时间质保期，允许更改并说明，此将有利于投标方。</w:t>
      </w:r>
    </w:p>
    <w:p>
      <w:pPr>
        <w:spacing w:line="420" w:lineRule="exact"/>
        <w:ind w:firstLine="480" w:firstLineChars="200"/>
        <w:jc w:val="left"/>
        <w:rPr>
          <w:sz w:val="24"/>
        </w:rPr>
      </w:pPr>
      <w:r>
        <w:rPr>
          <w:sz w:val="24"/>
        </w:rPr>
        <w:t>设计使用寿命短于质保期的易损件除外，但属于易损件的，应当有明确说明。</w:t>
      </w:r>
    </w:p>
    <w:p>
      <w:pPr>
        <w:spacing w:line="420" w:lineRule="exact"/>
        <w:ind w:firstLine="480" w:firstLineChars="200"/>
        <w:jc w:val="left"/>
        <w:rPr>
          <w:sz w:val="24"/>
        </w:rPr>
      </w:pPr>
      <w:r>
        <w:rPr>
          <w:sz w:val="24"/>
        </w:rPr>
        <w:t>2、质保期之内，如果货物出现设备、总成、关键零部件或者多处一般零部件的二次以上的更换或维修行为，则质保期自更换或维修行为结束、货物重新正常运行使用之日起重新计算。</w:t>
      </w:r>
    </w:p>
    <w:p>
      <w:pPr>
        <w:spacing w:line="420" w:lineRule="exact"/>
        <w:ind w:firstLine="480" w:firstLineChars="200"/>
        <w:jc w:val="left"/>
        <w:rPr>
          <w:sz w:val="24"/>
        </w:rPr>
      </w:pPr>
      <w:r>
        <w:rPr>
          <w:sz w:val="24"/>
        </w:rPr>
        <w:t>3、质保期内免费提供零部件和及时有效的服务。质保期内因货物本身缺陷造成的各种故障，卖方应负责免费维修和服务。</w:t>
      </w:r>
    </w:p>
    <w:p>
      <w:pPr>
        <w:spacing w:line="420" w:lineRule="exact"/>
        <w:ind w:firstLine="480" w:firstLineChars="200"/>
        <w:jc w:val="left"/>
        <w:rPr>
          <w:sz w:val="24"/>
        </w:rPr>
      </w:pPr>
      <w:r>
        <w:rPr>
          <w:sz w:val="24"/>
        </w:rPr>
        <w:t>4、质保期终止之日起一年内重复出现的质保期之内出现的故障，仍属质保范围而且应当免费。</w:t>
      </w:r>
    </w:p>
    <w:p>
      <w:pPr>
        <w:spacing w:line="420" w:lineRule="exact"/>
        <w:jc w:val="left"/>
        <w:outlineLvl w:val="2"/>
        <w:rPr>
          <w:rFonts w:eastAsia="黑体"/>
          <w:b/>
          <w:sz w:val="24"/>
        </w:rPr>
      </w:pPr>
      <w:bookmarkStart w:id="86" w:name="_Toc130903447"/>
      <w:bookmarkStart w:id="87" w:name="_Toc11303"/>
      <w:r>
        <w:rPr>
          <w:rFonts w:hint="eastAsia" w:eastAsia="黑体"/>
          <w:b/>
          <w:sz w:val="24"/>
        </w:rPr>
        <w:t>5</w:t>
      </w:r>
      <w:r>
        <w:rPr>
          <w:rFonts w:eastAsia="黑体"/>
          <w:b/>
          <w:sz w:val="24"/>
        </w:rPr>
        <w:t>.2 技术及培训服务</w:t>
      </w:r>
      <w:bookmarkEnd w:id="86"/>
      <w:bookmarkEnd w:id="87"/>
    </w:p>
    <w:p>
      <w:pPr>
        <w:adjustRightInd w:val="0"/>
        <w:snapToGrid w:val="0"/>
        <w:spacing w:line="420" w:lineRule="exact"/>
        <w:ind w:firstLine="480" w:firstLineChars="200"/>
        <w:rPr>
          <w:sz w:val="24"/>
        </w:rPr>
      </w:pPr>
      <w:r>
        <w:rPr>
          <w:sz w:val="24"/>
        </w:rPr>
        <w:t>1</w:t>
      </w:r>
      <w:r>
        <w:rPr>
          <w:rFonts w:hint="eastAsia"/>
          <w:sz w:val="24"/>
        </w:rPr>
        <w:t>、应负责在买方货物使用现场，对技术、维修和操作人员提供免费的理论、技术和操作、维修等方面的技术指导和培训，并接受买方有关人员的技术咨询。培训工作日不少于</w:t>
      </w:r>
      <w:r>
        <w:rPr>
          <w:rFonts w:hint="eastAsia"/>
          <w:sz w:val="24"/>
          <w:lang w:val="en-US" w:eastAsia="zh-CN"/>
        </w:rPr>
        <w:t>5</w:t>
      </w:r>
      <w:r>
        <w:rPr>
          <w:rFonts w:hint="eastAsia"/>
          <w:sz w:val="24"/>
        </w:rPr>
        <w:t>个日历日。</w:t>
      </w:r>
    </w:p>
    <w:p>
      <w:pPr>
        <w:adjustRightInd w:val="0"/>
        <w:snapToGrid w:val="0"/>
        <w:spacing w:line="420" w:lineRule="exact"/>
        <w:ind w:firstLine="480" w:firstLineChars="200"/>
        <w:rPr>
          <w:sz w:val="24"/>
        </w:rPr>
      </w:pPr>
      <w:r>
        <w:rPr>
          <w:sz w:val="24"/>
        </w:rPr>
        <w:t>2、应免费提供一定数量的培训资料。</w:t>
      </w:r>
    </w:p>
    <w:p>
      <w:pPr>
        <w:adjustRightInd w:val="0"/>
        <w:snapToGrid w:val="0"/>
        <w:spacing w:line="420" w:lineRule="exact"/>
        <w:ind w:firstLine="480" w:firstLineChars="200"/>
        <w:rPr>
          <w:sz w:val="24"/>
        </w:rPr>
      </w:pPr>
      <w:r>
        <w:rPr>
          <w:sz w:val="24"/>
        </w:rPr>
        <w:t>3、应按要求免费积极协助和提供买方以及买方所委托的工程设计单位有关人员所需要的、与货物有关的工程设计资料、技术咨询等。</w:t>
      </w:r>
    </w:p>
    <w:p>
      <w:pPr>
        <w:adjustRightInd w:val="0"/>
        <w:snapToGrid w:val="0"/>
        <w:spacing w:line="420" w:lineRule="exact"/>
        <w:ind w:firstLine="480" w:firstLineChars="200"/>
        <w:rPr>
          <w:sz w:val="24"/>
        </w:rPr>
      </w:pPr>
      <w:r>
        <w:rPr>
          <w:sz w:val="24"/>
        </w:rPr>
        <w:t>4、若卖方提供货物涉及到外购外协货物、而且该货物的技术质量等较为关键时，卖方应能保证得到配套厂家的技术支持，并免费为买方提供技术服务。</w:t>
      </w:r>
    </w:p>
    <w:p>
      <w:pPr>
        <w:adjustRightInd w:val="0"/>
        <w:snapToGrid w:val="0"/>
        <w:spacing w:line="420" w:lineRule="exact"/>
        <w:ind w:firstLine="480" w:firstLineChars="200"/>
        <w:rPr>
          <w:sz w:val="24"/>
        </w:rPr>
      </w:pPr>
      <w:r>
        <w:rPr>
          <w:sz w:val="2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pPr>
        <w:spacing w:line="420" w:lineRule="exact"/>
        <w:jc w:val="left"/>
        <w:outlineLvl w:val="2"/>
        <w:rPr>
          <w:rFonts w:eastAsia="黑体"/>
          <w:b/>
          <w:sz w:val="24"/>
        </w:rPr>
      </w:pPr>
      <w:bookmarkStart w:id="88" w:name="_Toc130903448"/>
      <w:bookmarkStart w:id="89" w:name="_Toc25208"/>
      <w:r>
        <w:rPr>
          <w:rFonts w:hint="eastAsia" w:eastAsia="黑体"/>
          <w:b/>
          <w:sz w:val="24"/>
        </w:rPr>
        <w:t>5</w:t>
      </w:r>
      <w:r>
        <w:rPr>
          <w:rFonts w:eastAsia="黑体"/>
          <w:b/>
          <w:sz w:val="24"/>
        </w:rPr>
        <w:t>.3 安装调试及验收服务</w:t>
      </w:r>
      <w:bookmarkEnd w:id="88"/>
      <w:bookmarkEnd w:id="89"/>
    </w:p>
    <w:p>
      <w:pPr>
        <w:adjustRightInd w:val="0"/>
        <w:snapToGrid w:val="0"/>
        <w:spacing w:line="420" w:lineRule="exact"/>
        <w:ind w:firstLine="480" w:firstLineChars="200"/>
        <w:rPr>
          <w:sz w:val="24"/>
        </w:rPr>
      </w:pPr>
      <w:r>
        <w:rPr>
          <w:sz w:val="24"/>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pPr>
        <w:adjustRightInd w:val="0"/>
        <w:snapToGrid w:val="0"/>
        <w:spacing w:line="420" w:lineRule="exact"/>
        <w:ind w:firstLine="480" w:firstLineChars="200"/>
        <w:rPr>
          <w:sz w:val="24"/>
        </w:rPr>
      </w:pPr>
      <w:r>
        <w:rPr>
          <w:sz w:val="24"/>
        </w:rPr>
        <w:t>2、若卖方提供的货物涉及到外购外协货物、而且该货物的技术质量等较为关键时，应保证能得到供应商的技术支持，并免费为买方提供安装使用现场的指导与培训。</w:t>
      </w:r>
    </w:p>
    <w:p>
      <w:pPr>
        <w:adjustRightInd w:val="0"/>
        <w:snapToGrid w:val="0"/>
        <w:spacing w:line="420" w:lineRule="exact"/>
        <w:ind w:firstLine="480" w:firstLineChars="200"/>
        <w:rPr>
          <w:sz w:val="24"/>
        </w:rPr>
      </w:pPr>
      <w:r>
        <w:rPr>
          <w:sz w:val="2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pPr>
        <w:adjustRightInd w:val="0"/>
        <w:snapToGrid w:val="0"/>
        <w:spacing w:line="420" w:lineRule="exact"/>
        <w:ind w:firstLine="480" w:firstLineChars="200"/>
        <w:rPr>
          <w:sz w:val="24"/>
        </w:rPr>
      </w:pPr>
      <w:r>
        <w:rPr>
          <w:sz w:val="24"/>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pPr>
        <w:adjustRightInd w:val="0"/>
        <w:snapToGrid w:val="0"/>
        <w:spacing w:line="420" w:lineRule="exact"/>
        <w:ind w:firstLine="480" w:firstLineChars="200"/>
        <w:rPr>
          <w:sz w:val="24"/>
        </w:rPr>
      </w:pPr>
      <w:r>
        <w:rPr>
          <w:sz w:val="24"/>
        </w:rPr>
        <w:t>5、卖方应当向买方提供货物试验、验收的有关标准、规范和方法，同时提供货物涉及并使用的软件合法性证明。</w:t>
      </w:r>
    </w:p>
    <w:p>
      <w:pPr>
        <w:adjustRightInd w:val="0"/>
        <w:snapToGrid w:val="0"/>
        <w:spacing w:line="420" w:lineRule="exact"/>
        <w:ind w:firstLine="480" w:firstLineChars="200"/>
        <w:rPr>
          <w:sz w:val="24"/>
        </w:rPr>
      </w:pPr>
      <w:r>
        <w:rPr>
          <w:sz w:val="24"/>
        </w:rPr>
        <w:t>6、服务缺陷视同货物缺陷和履约延期。</w:t>
      </w:r>
    </w:p>
    <w:p>
      <w:pPr>
        <w:spacing w:line="420" w:lineRule="exact"/>
        <w:jc w:val="left"/>
        <w:outlineLvl w:val="2"/>
        <w:rPr>
          <w:rFonts w:eastAsia="黑体"/>
          <w:b/>
          <w:sz w:val="24"/>
        </w:rPr>
      </w:pPr>
      <w:bookmarkStart w:id="90" w:name="_Toc130903449"/>
      <w:bookmarkStart w:id="91" w:name="_Toc22660"/>
      <w:r>
        <w:rPr>
          <w:rFonts w:hint="eastAsia" w:eastAsia="黑体"/>
          <w:b/>
          <w:sz w:val="24"/>
        </w:rPr>
        <w:t>5</w:t>
      </w:r>
      <w:r>
        <w:rPr>
          <w:rFonts w:eastAsia="黑体"/>
          <w:b/>
          <w:sz w:val="24"/>
        </w:rPr>
        <w:t>.4 售后服务</w:t>
      </w:r>
      <w:bookmarkEnd w:id="90"/>
      <w:bookmarkEnd w:id="91"/>
    </w:p>
    <w:p>
      <w:pPr>
        <w:adjustRightInd w:val="0"/>
        <w:snapToGrid w:val="0"/>
        <w:spacing w:line="420" w:lineRule="exact"/>
        <w:ind w:firstLine="480" w:firstLineChars="200"/>
        <w:rPr>
          <w:sz w:val="24"/>
        </w:rPr>
      </w:pPr>
      <w:r>
        <w:rPr>
          <w:sz w:val="24"/>
        </w:rPr>
        <w:t>1、卖方提供的货物涉及的所有售后服务均由卖方负责。如果发生问题并且收到通知，卖方应当在2小时内予以答复。</w:t>
      </w:r>
    </w:p>
    <w:p>
      <w:pPr>
        <w:adjustRightInd w:val="0"/>
        <w:snapToGrid w:val="0"/>
        <w:spacing w:line="420" w:lineRule="exact"/>
        <w:ind w:firstLine="480" w:firstLineChars="200"/>
        <w:rPr>
          <w:sz w:val="24"/>
        </w:rPr>
      </w:pPr>
      <w:r>
        <w:rPr>
          <w:sz w:val="24"/>
        </w:rPr>
        <w:t>2、如发现所提供的货物存在问题，需要卖方解决或配合解决时：在质保期之内，应在接到通知后</w:t>
      </w:r>
      <w:r>
        <w:rPr>
          <w:sz w:val="24"/>
          <w:u w:val="single"/>
          <w:shd w:val="pct10" w:color="auto" w:fill="FFFFFF"/>
        </w:rPr>
        <w:t xml:space="preserve">  24   </w:t>
      </w:r>
      <w:r>
        <w:rPr>
          <w:sz w:val="24"/>
        </w:rPr>
        <w:t>小时内派有关人员到达现场；在质保期之外，应在接到通知后</w:t>
      </w:r>
      <w:r>
        <w:rPr>
          <w:sz w:val="24"/>
          <w:u w:val="single"/>
          <w:shd w:val="pct10" w:color="auto" w:fill="FFFFFF"/>
        </w:rPr>
        <w:t xml:space="preserve">  72   </w:t>
      </w:r>
      <w:r>
        <w:rPr>
          <w:sz w:val="24"/>
        </w:rPr>
        <w:t>小时内派有关人员到达现场。</w:t>
      </w:r>
    </w:p>
    <w:p>
      <w:pPr>
        <w:adjustRightInd w:val="0"/>
        <w:snapToGrid w:val="0"/>
        <w:spacing w:line="420" w:lineRule="exact"/>
        <w:ind w:firstLine="480" w:firstLineChars="200"/>
        <w:rPr>
          <w:sz w:val="24"/>
        </w:rPr>
      </w:pPr>
      <w:r>
        <w:rPr>
          <w:sz w:val="24"/>
        </w:rPr>
        <w:t>3、卖方派往买方使用现场的人员，应具有较高的业务素质；现场解决问题时，不得无故拖延或推迟，应为买方提供最佳的服务。</w:t>
      </w:r>
    </w:p>
    <w:p>
      <w:pPr>
        <w:adjustRightInd w:val="0"/>
        <w:snapToGrid w:val="0"/>
        <w:spacing w:line="420" w:lineRule="exact"/>
        <w:ind w:firstLine="480" w:firstLineChars="200"/>
        <w:rPr>
          <w:sz w:val="24"/>
        </w:rPr>
      </w:pPr>
      <w:r>
        <w:rPr>
          <w:rFonts w:hint="eastAsia"/>
          <w:sz w:val="24"/>
        </w:rPr>
        <w:t>4、卖方在中国大陆地区应具有良好的售后服务及技术支持能力，在国内至少在</w:t>
      </w:r>
      <w:r>
        <w:rPr>
          <w:sz w:val="24"/>
        </w:rPr>
        <w:t>2</w:t>
      </w:r>
      <w:r>
        <w:rPr>
          <w:rFonts w:hint="eastAsia"/>
          <w:sz w:val="24"/>
        </w:rPr>
        <w:t>个不同地区设有售后服务网点并建有备件库，投标文件中需提供投标人/制造商出具的售后服务承诺书。</w:t>
      </w:r>
    </w:p>
    <w:p>
      <w:pPr>
        <w:adjustRightInd w:val="0"/>
        <w:snapToGrid w:val="0"/>
        <w:spacing w:line="420" w:lineRule="exact"/>
        <w:ind w:firstLine="480" w:firstLineChars="200"/>
        <w:rPr>
          <w:sz w:val="24"/>
        </w:rPr>
      </w:pPr>
      <w:bookmarkStart w:id="92" w:name="_Hlk113545658"/>
      <w:r>
        <w:rPr>
          <w:rFonts w:hint="eastAsia"/>
          <w:sz w:val="24"/>
        </w:rPr>
        <w:t>5、卖方提供的现场服务不少于3名系统集成人员、维修工程师，并附中国售后服务机构人员名单、地址及联系方式，需要提供社保证明。</w:t>
      </w:r>
    </w:p>
    <w:bookmarkEnd w:id="92"/>
    <w:p>
      <w:pPr>
        <w:spacing w:line="420" w:lineRule="exact"/>
        <w:jc w:val="left"/>
        <w:outlineLvl w:val="2"/>
        <w:rPr>
          <w:rFonts w:eastAsia="黑体"/>
          <w:b/>
          <w:sz w:val="24"/>
        </w:rPr>
      </w:pPr>
      <w:bookmarkStart w:id="93" w:name="_Toc32469"/>
      <w:bookmarkStart w:id="94" w:name="_Toc130903450"/>
      <w:r>
        <w:rPr>
          <w:rFonts w:hint="eastAsia" w:eastAsia="黑体"/>
          <w:b/>
          <w:sz w:val="24"/>
        </w:rPr>
        <w:t>5</w:t>
      </w:r>
      <w:r>
        <w:rPr>
          <w:rFonts w:eastAsia="黑体"/>
          <w:b/>
          <w:sz w:val="24"/>
        </w:rPr>
        <w:t>.5 其它服务</w:t>
      </w:r>
      <w:bookmarkEnd w:id="93"/>
      <w:bookmarkEnd w:id="94"/>
    </w:p>
    <w:p>
      <w:pPr>
        <w:adjustRightInd w:val="0"/>
        <w:snapToGrid w:val="0"/>
        <w:spacing w:line="420" w:lineRule="exact"/>
        <w:ind w:firstLine="480" w:firstLineChars="200"/>
        <w:rPr>
          <w:sz w:val="24"/>
        </w:rPr>
      </w:pPr>
      <w:r>
        <w:rPr>
          <w:sz w:val="24"/>
        </w:rPr>
        <w:t>1、若卖方所提供货物有需要进口的，卖方一般应自行、自费办理。</w:t>
      </w:r>
    </w:p>
    <w:p>
      <w:pPr>
        <w:adjustRightInd w:val="0"/>
        <w:snapToGrid w:val="0"/>
        <w:spacing w:line="420" w:lineRule="exact"/>
        <w:ind w:firstLine="480" w:firstLineChars="200"/>
        <w:rPr>
          <w:sz w:val="24"/>
        </w:rPr>
      </w:pPr>
      <w:r>
        <w:rPr>
          <w:sz w:val="24"/>
        </w:rPr>
        <w:t>2、除招标文件、投标文件、答疑文件、技术协议、合同等约定之外，卖方应免费负责必要的或强制性的货物的检验、试验、化验等直接费用。</w:t>
      </w:r>
    </w:p>
    <w:p>
      <w:pPr>
        <w:spacing w:line="420" w:lineRule="exact"/>
        <w:ind w:firstLine="480" w:firstLineChars="200"/>
        <w:rPr>
          <w:sz w:val="24"/>
        </w:rPr>
        <w:sectPr>
          <w:pgSz w:w="11906" w:h="16838"/>
          <w:pgMar w:top="1588" w:right="1418" w:bottom="1134" w:left="1418" w:header="851" w:footer="992" w:gutter="0"/>
          <w:pgNumType w:fmt="decimal"/>
          <w:cols w:space="720" w:num="1"/>
          <w:titlePg/>
          <w:docGrid w:type="lines" w:linePitch="312" w:charSpace="0"/>
        </w:sectPr>
      </w:pPr>
      <w:r>
        <w:rPr>
          <w:sz w:val="24"/>
        </w:rPr>
        <w:t>3、本章节条款所列“免费”，并非指定不可收费，而是指招标文件、投标文件、答疑文件、技术交流文件、技术协议书和合同等范围之外，投标方不可另行收取的费用。</w:t>
      </w:r>
    </w:p>
    <w:p>
      <w:pPr>
        <w:pStyle w:val="108"/>
        <w:outlineLvl w:val="1"/>
        <w:rPr>
          <w:color w:val="auto"/>
        </w:rPr>
      </w:pPr>
      <w:bookmarkStart w:id="95" w:name="_Toc14387"/>
      <w:bookmarkStart w:id="96" w:name="_Toc130903451"/>
      <w:bookmarkStart w:id="97" w:name="_Toc465187646"/>
      <w:r>
        <w:rPr>
          <w:color w:val="auto"/>
        </w:rPr>
        <w:t>第六章  预验收和终验收</w:t>
      </w:r>
      <w:bookmarkEnd w:id="95"/>
      <w:bookmarkEnd w:id="96"/>
      <w:bookmarkEnd w:id="97"/>
    </w:p>
    <w:p>
      <w:pPr>
        <w:spacing w:line="420" w:lineRule="exact"/>
        <w:jc w:val="left"/>
        <w:outlineLvl w:val="2"/>
        <w:rPr>
          <w:rFonts w:eastAsia="黑体"/>
          <w:b/>
          <w:sz w:val="24"/>
        </w:rPr>
      </w:pPr>
      <w:bookmarkStart w:id="98" w:name="_Toc30237"/>
      <w:bookmarkStart w:id="99" w:name="_Toc130903452"/>
      <w:r>
        <w:rPr>
          <w:rFonts w:hint="eastAsia" w:eastAsia="黑体"/>
          <w:b/>
          <w:sz w:val="24"/>
        </w:rPr>
        <w:t>6</w:t>
      </w:r>
      <w:r>
        <w:rPr>
          <w:rFonts w:eastAsia="黑体"/>
          <w:b/>
          <w:sz w:val="24"/>
        </w:rPr>
        <w:t>.1验收依据和验收标准</w:t>
      </w:r>
      <w:bookmarkEnd w:id="98"/>
      <w:bookmarkEnd w:id="99"/>
    </w:p>
    <w:p>
      <w:pPr>
        <w:spacing w:line="420" w:lineRule="exact"/>
        <w:ind w:firstLine="480" w:firstLineChars="200"/>
        <w:rPr>
          <w:sz w:val="24"/>
        </w:rPr>
      </w:pPr>
      <w:r>
        <w:rPr>
          <w:sz w:val="24"/>
        </w:rPr>
        <w:t>1、验收标准一般以技术协议书和合同规定验收。无论技术协议书和合同，是否全部并准确列明验收所涉及的相关标准，均作为验收标准之一。</w:t>
      </w:r>
    </w:p>
    <w:p>
      <w:pPr>
        <w:adjustRightInd w:val="0"/>
        <w:snapToGrid w:val="0"/>
        <w:spacing w:line="420" w:lineRule="exact"/>
        <w:ind w:firstLine="480" w:firstLineChars="200"/>
        <w:rPr>
          <w:sz w:val="24"/>
        </w:rPr>
      </w:pPr>
      <w:r>
        <w:rPr>
          <w:sz w:val="24"/>
        </w:rPr>
        <w:t>2、如果验收过程中，发现招标文件、投标文件、答疑文件、技术交流文件等与技术协议书、合同存在差异，原则上以涉及条款中对买方最有利条款为验收依据。</w:t>
      </w:r>
    </w:p>
    <w:p>
      <w:pPr>
        <w:spacing w:line="420" w:lineRule="exact"/>
        <w:jc w:val="left"/>
        <w:outlineLvl w:val="2"/>
        <w:rPr>
          <w:rFonts w:eastAsia="黑体"/>
          <w:b/>
          <w:sz w:val="24"/>
        </w:rPr>
      </w:pPr>
      <w:bookmarkStart w:id="100" w:name="_Toc29061"/>
      <w:bookmarkStart w:id="101" w:name="_Toc130903453"/>
      <w:r>
        <w:rPr>
          <w:rFonts w:hint="eastAsia" w:eastAsia="黑体"/>
          <w:b/>
          <w:sz w:val="24"/>
        </w:rPr>
        <w:t>6</w:t>
      </w:r>
      <w:r>
        <w:rPr>
          <w:rFonts w:eastAsia="黑体"/>
          <w:b/>
          <w:sz w:val="24"/>
        </w:rPr>
        <w:t>.2 检验</w:t>
      </w:r>
      <w:bookmarkEnd w:id="100"/>
      <w:bookmarkEnd w:id="101"/>
    </w:p>
    <w:p>
      <w:pPr>
        <w:adjustRightInd w:val="0"/>
        <w:snapToGrid w:val="0"/>
        <w:spacing w:line="420" w:lineRule="exact"/>
        <w:ind w:firstLine="480" w:firstLineChars="200"/>
        <w:rPr>
          <w:sz w:val="24"/>
        </w:rPr>
      </w:pPr>
      <w:r>
        <w:rPr>
          <w:sz w:val="24"/>
        </w:rPr>
        <w:t>如果采购货物涉及必要的或必需的检验，投标方应当在投标文件中明确可能涉及的检验费用，并将该费用包含在投标总报价之内；不作针对性澄清或说明的，视同包含在投标总价之内。基本约定如下：</w:t>
      </w:r>
    </w:p>
    <w:p>
      <w:pPr>
        <w:adjustRightInd w:val="0"/>
        <w:snapToGrid w:val="0"/>
        <w:spacing w:line="420" w:lineRule="exact"/>
        <w:ind w:firstLine="480" w:firstLineChars="200"/>
        <w:rPr>
          <w:sz w:val="24"/>
        </w:rPr>
      </w:pPr>
      <w:r>
        <w:rPr>
          <w:sz w:val="24"/>
        </w:rPr>
        <w:t>1、国产货物的检验一般由买卖双方共同进行或按照合同要求进行。</w:t>
      </w:r>
    </w:p>
    <w:p>
      <w:pPr>
        <w:adjustRightInd w:val="0"/>
        <w:snapToGrid w:val="0"/>
        <w:spacing w:line="420" w:lineRule="exact"/>
        <w:ind w:firstLine="480" w:firstLineChars="200"/>
        <w:rPr>
          <w:sz w:val="24"/>
        </w:rPr>
      </w:pPr>
      <w:r>
        <w:rPr>
          <w:sz w:val="24"/>
        </w:rPr>
        <w:t>2、进口货物的检验，卖方需要按照下述要求进行：</w:t>
      </w:r>
    </w:p>
    <w:p>
      <w:pPr>
        <w:adjustRightInd w:val="0"/>
        <w:snapToGrid w:val="0"/>
        <w:spacing w:line="420" w:lineRule="exact"/>
        <w:ind w:firstLine="480" w:firstLineChars="200"/>
        <w:rPr>
          <w:sz w:val="24"/>
        </w:rPr>
      </w:pPr>
      <w:r>
        <w:rPr>
          <w:sz w:val="24"/>
        </w:rPr>
        <w:t>2.1  进口货物发货前，应对货物的质量、型号、规格、性能和数量/重量作精密、全面的检验，并出具证明书，证明所供货物符合合同规定。</w:t>
      </w:r>
    </w:p>
    <w:p>
      <w:pPr>
        <w:adjustRightInd w:val="0"/>
        <w:snapToGrid w:val="0"/>
        <w:spacing w:line="420" w:lineRule="exact"/>
        <w:ind w:firstLine="480" w:firstLineChars="200"/>
        <w:rPr>
          <w:sz w:val="24"/>
        </w:rPr>
      </w:pPr>
      <w:r>
        <w:rPr>
          <w:sz w:val="24"/>
        </w:rPr>
        <w:t>2.2  应依据合同规定的要求，提供买卖双方达成一致的货物的验收标准和装箱单，作为买方检验的依据。</w:t>
      </w:r>
    </w:p>
    <w:p>
      <w:pPr>
        <w:adjustRightInd w:val="0"/>
        <w:snapToGrid w:val="0"/>
        <w:spacing w:line="420" w:lineRule="exact"/>
        <w:ind w:firstLine="480" w:firstLineChars="200"/>
        <w:rPr>
          <w:sz w:val="24"/>
        </w:rPr>
      </w:pPr>
      <w:r>
        <w:rPr>
          <w:sz w:val="24"/>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pPr>
        <w:spacing w:line="420" w:lineRule="exact"/>
        <w:jc w:val="left"/>
        <w:outlineLvl w:val="2"/>
        <w:rPr>
          <w:rFonts w:eastAsia="黑体"/>
          <w:b/>
          <w:bCs/>
          <w:sz w:val="24"/>
        </w:rPr>
      </w:pPr>
      <w:bookmarkStart w:id="102" w:name="_Toc17990"/>
      <w:bookmarkStart w:id="103" w:name="_Toc130903454"/>
      <w:r>
        <w:rPr>
          <w:rFonts w:hint="eastAsia" w:eastAsia="黑体"/>
          <w:b/>
          <w:bCs/>
          <w:sz w:val="24"/>
        </w:rPr>
        <w:t>6</w:t>
      </w:r>
      <w:r>
        <w:rPr>
          <w:rFonts w:eastAsia="黑体"/>
          <w:b/>
          <w:bCs/>
          <w:sz w:val="24"/>
        </w:rPr>
        <w:t>.3 验收基本条件</w:t>
      </w:r>
      <w:bookmarkEnd w:id="102"/>
      <w:bookmarkEnd w:id="103"/>
    </w:p>
    <w:p>
      <w:pPr>
        <w:adjustRightInd w:val="0"/>
        <w:snapToGrid w:val="0"/>
        <w:spacing w:line="420" w:lineRule="exact"/>
        <w:ind w:firstLine="480" w:firstLineChars="200"/>
        <w:rPr>
          <w:sz w:val="24"/>
          <w:highlight w:val="none"/>
        </w:rPr>
      </w:pPr>
      <w:r>
        <w:rPr>
          <w:rFonts w:hint="eastAsia"/>
          <w:sz w:val="24"/>
          <w:szCs w:val="24"/>
          <w:highlight w:val="none"/>
          <w:lang w:val="en-US" w:eastAsia="zh-CN"/>
        </w:rPr>
        <w:t>验收方式为</w:t>
      </w:r>
      <w:r>
        <w:rPr>
          <w:rFonts w:hint="eastAsia"/>
          <w:sz w:val="24"/>
          <w:szCs w:val="24"/>
          <w:highlight w:val="none"/>
        </w:rPr>
        <w:t>终验收</w:t>
      </w:r>
      <w:r>
        <w:rPr>
          <w:rFonts w:hint="eastAsia"/>
          <w:sz w:val="24"/>
          <w:szCs w:val="24"/>
          <w:highlight w:val="none"/>
          <w:lang w:eastAsia="zh-CN"/>
        </w:rPr>
        <w:t>，</w:t>
      </w:r>
      <w:r>
        <w:rPr>
          <w:rFonts w:hint="eastAsia"/>
          <w:sz w:val="24"/>
          <w:highlight w:val="none"/>
        </w:rPr>
        <w:t>买卖双方按照合同约定执行了合同，同时货物完成了试运行并经检验合格，则具备验收条件。</w:t>
      </w:r>
    </w:p>
    <w:p>
      <w:pPr>
        <w:adjustRightInd w:val="0"/>
        <w:snapToGrid w:val="0"/>
        <w:spacing w:line="420" w:lineRule="exact"/>
        <w:ind w:firstLine="480" w:firstLineChars="200"/>
        <w:rPr>
          <w:sz w:val="24"/>
        </w:rPr>
      </w:pPr>
      <w:r>
        <w:rPr>
          <w:rFonts w:hint="eastAsia"/>
          <w:sz w:val="24"/>
          <w:lang w:val="en-US" w:eastAsia="zh-CN"/>
        </w:rPr>
        <w:t>1</w:t>
      </w:r>
      <w:r>
        <w:rPr>
          <w:rFonts w:hint="eastAsia"/>
          <w:sz w:val="24"/>
        </w:rPr>
        <w:t>、终验收一般条件</w:t>
      </w:r>
    </w:p>
    <w:p>
      <w:pPr>
        <w:adjustRightInd w:val="0"/>
        <w:snapToGrid w:val="0"/>
        <w:spacing w:line="420" w:lineRule="exact"/>
        <w:ind w:firstLine="480" w:firstLineChars="200"/>
        <w:rPr>
          <w:sz w:val="24"/>
          <w:szCs w:val="24"/>
        </w:rPr>
      </w:pPr>
      <w:r>
        <w:rPr>
          <w:rFonts w:hint="eastAsia"/>
          <w:sz w:val="24"/>
          <w:szCs w:val="24"/>
          <w:lang w:val="en-US" w:eastAsia="zh-CN"/>
        </w:rPr>
        <w:t>1</w:t>
      </w:r>
      <w:r>
        <w:rPr>
          <w:sz w:val="24"/>
          <w:szCs w:val="24"/>
        </w:rPr>
        <w:t xml:space="preserve">.1 </w:t>
      </w:r>
      <w:r>
        <w:rPr>
          <w:rFonts w:hint="eastAsia"/>
          <w:sz w:val="24"/>
          <w:szCs w:val="24"/>
        </w:rPr>
        <w:t>投标人提供整套项目资料，包含项目图纸，技术资料及相关技术文件的检查及移交。</w:t>
      </w:r>
    </w:p>
    <w:p>
      <w:pPr>
        <w:adjustRightInd w:val="0"/>
        <w:snapToGrid w:val="0"/>
        <w:spacing w:line="420" w:lineRule="exact"/>
        <w:ind w:firstLine="480" w:firstLineChars="200"/>
        <w:rPr>
          <w:sz w:val="24"/>
          <w:szCs w:val="24"/>
        </w:rPr>
      </w:pPr>
      <w:r>
        <w:rPr>
          <w:rFonts w:hint="eastAsia"/>
          <w:sz w:val="24"/>
          <w:szCs w:val="24"/>
          <w:lang w:val="en-US" w:eastAsia="zh-CN"/>
        </w:rPr>
        <w:t>1</w:t>
      </w:r>
      <w:r>
        <w:rPr>
          <w:sz w:val="24"/>
          <w:szCs w:val="24"/>
        </w:rPr>
        <w:t xml:space="preserve">.2 </w:t>
      </w:r>
      <w:r>
        <w:rPr>
          <w:rFonts w:hint="eastAsia"/>
          <w:sz w:val="24"/>
          <w:szCs w:val="24"/>
        </w:rPr>
        <w:t>外观检查（不能有硬伤及破损）。</w:t>
      </w:r>
    </w:p>
    <w:p>
      <w:pPr>
        <w:adjustRightInd w:val="0"/>
        <w:snapToGrid w:val="0"/>
        <w:spacing w:line="420" w:lineRule="exact"/>
        <w:ind w:firstLine="480" w:firstLineChars="200"/>
        <w:rPr>
          <w:sz w:val="24"/>
          <w:szCs w:val="24"/>
        </w:rPr>
      </w:pPr>
      <w:r>
        <w:rPr>
          <w:rFonts w:hint="eastAsia"/>
          <w:sz w:val="24"/>
          <w:szCs w:val="24"/>
          <w:lang w:val="en-US" w:eastAsia="zh-CN"/>
        </w:rPr>
        <w:t>1</w:t>
      </w:r>
      <w:r>
        <w:rPr>
          <w:sz w:val="24"/>
          <w:szCs w:val="24"/>
        </w:rPr>
        <w:t xml:space="preserve">.3 </w:t>
      </w:r>
      <w:r>
        <w:rPr>
          <w:rFonts w:hint="eastAsia"/>
          <w:sz w:val="24"/>
          <w:szCs w:val="24"/>
        </w:rPr>
        <w:t>供货清单的确认。</w:t>
      </w:r>
    </w:p>
    <w:p>
      <w:pPr>
        <w:adjustRightInd w:val="0"/>
        <w:snapToGrid w:val="0"/>
        <w:spacing w:line="420" w:lineRule="exact"/>
        <w:ind w:firstLine="480" w:firstLineChars="200"/>
        <w:rPr>
          <w:sz w:val="24"/>
          <w:szCs w:val="24"/>
        </w:rPr>
      </w:pPr>
      <w:r>
        <w:rPr>
          <w:rFonts w:hint="eastAsia"/>
          <w:sz w:val="24"/>
          <w:szCs w:val="24"/>
          <w:lang w:val="en-US" w:eastAsia="zh-CN"/>
        </w:rPr>
        <w:t>1</w:t>
      </w:r>
      <w:r>
        <w:rPr>
          <w:sz w:val="24"/>
          <w:szCs w:val="24"/>
        </w:rPr>
        <w:t xml:space="preserve">.4 </w:t>
      </w:r>
      <w:r>
        <w:rPr>
          <w:rFonts w:hint="eastAsia"/>
          <w:sz w:val="24"/>
          <w:szCs w:val="24"/>
        </w:rPr>
        <w:t>设备的基本功能与主要性能指标的验收。</w:t>
      </w:r>
    </w:p>
    <w:p>
      <w:pPr>
        <w:adjustRightInd w:val="0"/>
        <w:snapToGrid w:val="0"/>
        <w:spacing w:line="420" w:lineRule="exact"/>
        <w:ind w:firstLine="480" w:firstLineChars="200"/>
        <w:rPr>
          <w:sz w:val="24"/>
          <w:szCs w:val="24"/>
        </w:rPr>
      </w:pPr>
      <w:r>
        <w:rPr>
          <w:rFonts w:hint="eastAsia"/>
          <w:sz w:val="24"/>
          <w:szCs w:val="24"/>
          <w:lang w:val="en-US" w:eastAsia="zh-CN"/>
        </w:rPr>
        <w:t>1</w:t>
      </w:r>
      <w:r>
        <w:rPr>
          <w:sz w:val="24"/>
          <w:szCs w:val="24"/>
        </w:rPr>
        <w:t>.</w:t>
      </w:r>
      <w:r>
        <w:rPr>
          <w:rFonts w:hint="eastAsia"/>
          <w:sz w:val="24"/>
          <w:szCs w:val="24"/>
          <w:lang w:val="en-US" w:eastAsia="zh-CN"/>
        </w:rPr>
        <w:t>5</w:t>
      </w:r>
      <w:r>
        <w:rPr>
          <w:sz w:val="24"/>
          <w:szCs w:val="24"/>
        </w:rPr>
        <w:t xml:space="preserve"> </w:t>
      </w:r>
      <w:r>
        <w:rPr>
          <w:rFonts w:hint="eastAsia"/>
          <w:sz w:val="24"/>
          <w:szCs w:val="24"/>
        </w:rPr>
        <w:t>货物安装调试完毕，并至少经过了验收要求的负荷试运行。</w:t>
      </w:r>
    </w:p>
    <w:p>
      <w:pPr>
        <w:adjustRightInd w:val="0"/>
        <w:snapToGrid w:val="0"/>
        <w:spacing w:line="420" w:lineRule="exact"/>
        <w:ind w:firstLine="480" w:firstLineChars="200"/>
        <w:rPr>
          <w:sz w:val="24"/>
          <w:szCs w:val="24"/>
        </w:rPr>
      </w:pPr>
      <w:r>
        <w:rPr>
          <w:rFonts w:hint="eastAsia"/>
          <w:sz w:val="24"/>
          <w:szCs w:val="24"/>
          <w:lang w:val="en-US" w:eastAsia="zh-CN"/>
        </w:rPr>
        <w:t>1</w:t>
      </w:r>
      <w:r>
        <w:rPr>
          <w:sz w:val="24"/>
          <w:szCs w:val="24"/>
        </w:rPr>
        <w:t>.</w:t>
      </w:r>
      <w:r>
        <w:rPr>
          <w:rFonts w:hint="eastAsia"/>
          <w:sz w:val="24"/>
          <w:szCs w:val="24"/>
          <w:lang w:val="en-US" w:eastAsia="zh-CN"/>
        </w:rPr>
        <w:t>6</w:t>
      </w:r>
      <w:r>
        <w:rPr>
          <w:rFonts w:hint="eastAsia"/>
          <w:sz w:val="24"/>
          <w:szCs w:val="24"/>
        </w:rPr>
        <w:t xml:space="preserve"> 货物正常运行时，噪声等环境影响因素满足国家和当地环保主管部门规定，安全措施落实、有效。</w:t>
      </w:r>
    </w:p>
    <w:p>
      <w:pPr>
        <w:adjustRightInd w:val="0"/>
        <w:snapToGrid w:val="0"/>
        <w:spacing w:line="420" w:lineRule="exact"/>
        <w:ind w:firstLine="480" w:firstLineChars="200"/>
        <w:rPr>
          <w:sz w:val="24"/>
          <w:szCs w:val="24"/>
        </w:rPr>
      </w:pPr>
      <w:r>
        <w:rPr>
          <w:rFonts w:hint="eastAsia"/>
          <w:sz w:val="24"/>
          <w:szCs w:val="24"/>
          <w:lang w:val="en-US" w:eastAsia="zh-CN"/>
        </w:rPr>
        <w:t>1</w:t>
      </w:r>
      <w:r>
        <w:rPr>
          <w:rFonts w:hint="eastAsia"/>
          <w:sz w:val="24"/>
          <w:szCs w:val="24"/>
        </w:rPr>
        <w:t>.</w:t>
      </w:r>
      <w:r>
        <w:rPr>
          <w:rFonts w:hint="eastAsia"/>
          <w:sz w:val="24"/>
          <w:szCs w:val="24"/>
          <w:lang w:val="en-US" w:eastAsia="zh-CN"/>
        </w:rPr>
        <w:t>7</w:t>
      </w:r>
      <w:r>
        <w:rPr>
          <w:rFonts w:hint="eastAsia"/>
          <w:sz w:val="24"/>
          <w:szCs w:val="24"/>
        </w:rPr>
        <w:t xml:space="preserve"> 试运行期间或之后无维修、调整等行为（特殊情况除外）。</w:t>
      </w:r>
    </w:p>
    <w:p>
      <w:pPr>
        <w:adjustRightInd w:val="0"/>
        <w:snapToGrid w:val="0"/>
        <w:spacing w:line="420" w:lineRule="exact"/>
        <w:ind w:firstLine="480" w:firstLineChars="200"/>
        <w:rPr>
          <w:sz w:val="24"/>
          <w:szCs w:val="24"/>
        </w:rPr>
      </w:pPr>
      <w:r>
        <w:rPr>
          <w:rFonts w:hint="eastAsia"/>
          <w:sz w:val="24"/>
          <w:szCs w:val="24"/>
          <w:lang w:val="en-US" w:eastAsia="zh-CN"/>
        </w:rPr>
        <w:t>1</w:t>
      </w:r>
      <w:r>
        <w:rPr>
          <w:rFonts w:hint="eastAsia"/>
          <w:sz w:val="24"/>
          <w:szCs w:val="24"/>
        </w:rPr>
        <w:t>.</w:t>
      </w:r>
      <w:r>
        <w:rPr>
          <w:rFonts w:hint="eastAsia"/>
          <w:sz w:val="24"/>
          <w:szCs w:val="24"/>
          <w:lang w:val="en-US" w:eastAsia="zh-CN"/>
        </w:rPr>
        <w:t>8</w:t>
      </w:r>
      <w:r>
        <w:rPr>
          <w:rFonts w:hint="eastAsia"/>
          <w:sz w:val="24"/>
          <w:szCs w:val="24"/>
        </w:rPr>
        <w:t xml:space="preserve"> 货物质量、技术性能等，达到签定的技术协议书和合同规定的终验收标准。</w:t>
      </w:r>
    </w:p>
    <w:p>
      <w:pPr>
        <w:pStyle w:val="647"/>
        <w:numPr>
          <w:ilvl w:val="0"/>
          <w:numId w:val="0"/>
        </w:numPr>
        <w:adjustRightInd w:val="0"/>
        <w:snapToGrid w:val="0"/>
        <w:spacing w:line="420" w:lineRule="exact"/>
        <w:ind w:left="480" w:leftChars="0"/>
        <w:rPr>
          <w:sz w:val="24"/>
        </w:rPr>
      </w:pPr>
      <w:r>
        <w:rPr>
          <w:rFonts w:hint="eastAsia"/>
          <w:sz w:val="24"/>
          <w:lang w:val="en-US" w:eastAsia="zh-CN"/>
        </w:rPr>
        <w:t>2、</w:t>
      </w:r>
      <w:r>
        <w:rPr>
          <w:rFonts w:hint="eastAsia"/>
          <w:sz w:val="24"/>
        </w:rPr>
        <w:t>终验收基本要求</w:t>
      </w:r>
    </w:p>
    <w:p>
      <w:pPr>
        <w:adjustRightInd w:val="0"/>
        <w:snapToGrid w:val="0"/>
        <w:spacing w:line="420" w:lineRule="exact"/>
        <w:ind w:firstLine="480" w:firstLineChars="200"/>
        <w:rPr>
          <w:sz w:val="24"/>
        </w:rPr>
      </w:pPr>
      <w:r>
        <w:rPr>
          <w:rFonts w:hint="eastAsia"/>
          <w:sz w:val="24"/>
          <w:lang w:val="en-US" w:eastAsia="zh-CN"/>
        </w:rPr>
        <w:t>2</w:t>
      </w:r>
      <w:r>
        <w:rPr>
          <w:sz w:val="24"/>
        </w:rPr>
        <w:t>.</w:t>
      </w:r>
      <w:r>
        <w:rPr>
          <w:rFonts w:hint="eastAsia"/>
          <w:sz w:val="24"/>
          <w:lang w:val="en-US" w:eastAsia="zh-CN"/>
        </w:rPr>
        <w:t>1</w:t>
      </w:r>
      <w:r>
        <w:rPr>
          <w:rFonts w:hint="eastAsia"/>
          <w:sz w:val="24"/>
        </w:rPr>
        <w:t>设备安装调试完成后，再需要经过一个考核期的实际运转，考核</w:t>
      </w:r>
      <w:r>
        <w:rPr>
          <w:rFonts w:hint="eastAsia"/>
          <w:sz w:val="24"/>
          <w:lang w:val="en-US" w:eastAsia="zh-CN"/>
        </w:rPr>
        <w:t>设备</w:t>
      </w:r>
      <w:r>
        <w:rPr>
          <w:rFonts w:hint="eastAsia"/>
          <w:sz w:val="24"/>
        </w:rPr>
        <w:t>的可靠性，考核期不少于30个工作日，考核期间不得出现影响设备使用性能的重要故障或重要部件损坏，考核期满足要求后进行最终验收；</w:t>
      </w:r>
    </w:p>
    <w:p>
      <w:pPr>
        <w:adjustRightInd w:val="0"/>
        <w:snapToGrid w:val="0"/>
        <w:spacing w:line="420" w:lineRule="exact"/>
        <w:ind w:firstLine="480" w:firstLineChars="200"/>
        <w:rPr>
          <w:sz w:val="24"/>
        </w:rPr>
      </w:pPr>
      <w:r>
        <w:rPr>
          <w:rFonts w:hint="eastAsia"/>
          <w:sz w:val="24"/>
          <w:lang w:val="en-US" w:eastAsia="zh-CN"/>
        </w:rPr>
        <w:t>2</w:t>
      </w:r>
      <w:r>
        <w:rPr>
          <w:sz w:val="24"/>
        </w:rPr>
        <w:t>.</w:t>
      </w:r>
      <w:r>
        <w:rPr>
          <w:rFonts w:hint="eastAsia"/>
          <w:sz w:val="24"/>
          <w:lang w:val="en-US" w:eastAsia="zh-CN"/>
        </w:rPr>
        <w:t>2</w:t>
      </w:r>
      <w:r>
        <w:rPr>
          <w:sz w:val="24"/>
        </w:rPr>
        <w:t xml:space="preserve"> </w:t>
      </w:r>
      <w:r>
        <w:rPr>
          <w:rFonts w:hint="eastAsia"/>
          <w:sz w:val="24"/>
        </w:rPr>
        <w:t>由买方和卖方共同组织设备的终验收，所提供测试系统设备必须满足本技术协议全部技术要求，验收内容应包含但不仅限于以下内容：</w:t>
      </w:r>
    </w:p>
    <w:p>
      <w:pPr>
        <w:pStyle w:val="168"/>
        <w:widowControl/>
        <w:numPr>
          <w:ilvl w:val="0"/>
          <w:numId w:val="17"/>
        </w:numPr>
        <w:spacing w:line="360" w:lineRule="auto"/>
        <w:ind w:firstLineChars="0"/>
        <w:rPr>
          <w:rFonts w:cs="Arial"/>
          <w:sz w:val="24"/>
        </w:rPr>
      </w:pPr>
      <w:r>
        <w:rPr>
          <w:rFonts w:hint="eastAsia"/>
          <w:sz w:val="21"/>
          <w:szCs w:val="21"/>
          <w:vertAlign w:val="baseline"/>
          <w:lang w:val="en-US" w:eastAsia="zh-CN"/>
        </w:rPr>
        <w:t>高压差分探头功能测试</w:t>
      </w:r>
      <w:r>
        <w:rPr>
          <w:rFonts w:hint="eastAsia" w:cs="Arial"/>
          <w:sz w:val="24"/>
        </w:rPr>
        <w:t>；</w:t>
      </w:r>
    </w:p>
    <w:p>
      <w:pPr>
        <w:pStyle w:val="168"/>
        <w:widowControl/>
        <w:numPr>
          <w:ilvl w:val="0"/>
          <w:numId w:val="17"/>
        </w:numPr>
        <w:spacing w:line="360" w:lineRule="auto"/>
        <w:ind w:firstLineChars="0"/>
        <w:rPr>
          <w:rFonts w:cs="Arial"/>
          <w:sz w:val="24"/>
        </w:rPr>
      </w:pPr>
      <w:r>
        <w:rPr>
          <w:rFonts w:hint="eastAsia"/>
          <w:sz w:val="21"/>
          <w:szCs w:val="21"/>
          <w:vertAlign w:val="baseline"/>
          <w:lang w:val="en-US" w:eastAsia="zh-CN"/>
        </w:rPr>
        <w:t>电流探头功能测试</w:t>
      </w:r>
      <w:r>
        <w:rPr>
          <w:rFonts w:hint="eastAsia" w:eastAsia="宋体" w:cs="Arial"/>
          <w:sz w:val="24"/>
          <w:lang w:val="en-US" w:eastAsia="zh-CN"/>
        </w:rPr>
        <w:t>；</w:t>
      </w:r>
    </w:p>
    <w:p>
      <w:pPr>
        <w:adjustRightInd w:val="0"/>
        <w:snapToGrid w:val="0"/>
        <w:spacing w:line="420" w:lineRule="exact"/>
        <w:ind w:firstLine="480" w:firstLineChars="200"/>
        <w:rPr>
          <w:sz w:val="24"/>
        </w:rPr>
      </w:pPr>
      <w:r>
        <w:rPr>
          <w:rFonts w:hint="eastAsia"/>
          <w:sz w:val="24"/>
          <w:lang w:val="en-US" w:eastAsia="zh-CN"/>
        </w:rPr>
        <w:t>2</w:t>
      </w:r>
      <w:r>
        <w:rPr>
          <w:sz w:val="24"/>
        </w:rPr>
        <w:t>.</w:t>
      </w:r>
      <w:r>
        <w:rPr>
          <w:rFonts w:hint="eastAsia"/>
          <w:sz w:val="24"/>
          <w:lang w:val="en-US" w:eastAsia="zh-CN"/>
        </w:rPr>
        <w:t>3</w:t>
      </w:r>
      <w:r>
        <w:rPr>
          <w:rFonts w:hint="eastAsia"/>
          <w:sz w:val="24"/>
        </w:rPr>
        <w:t>由买方和卖方共同编制终验收报告并签字确认；</w:t>
      </w:r>
    </w:p>
    <w:p>
      <w:pPr>
        <w:adjustRightInd w:val="0"/>
        <w:snapToGrid w:val="0"/>
        <w:spacing w:line="420" w:lineRule="exact"/>
        <w:ind w:firstLine="480" w:firstLineChars="200"/>
        <w:rPr>
          <w:sz w:val="24"/>
        </w:rPr>
      </w:pPr>
      <w:r>
        <w:rPr>
          <w:rFonts w:hint="eastAsia"/>
          <w:sz w:val="24"/>
          <w:lang w:val="en-US" w:eastAsia="zh-CN"/>
        </w:rPr>
        <w:t>2</w:t>
      </w:r>
      <w:r>
        <w:rPr>
          <w:sz w:val="24"/>
        </w:rPr>
        <w:t>.</w:t>
      </w:r>
      <w:r>
        <w:rPr>
          <w:rFonts w:hint="eastAsia"/>
          <w:sz w:val="24"/>
          <w:lang w:val="en-US" w:eastAsia="zh-CN"/>
        </w:rPr>
        <w:t>4</w:t>
      </w:r>
      <w:r>
        <w:rPr>
          <w:rFonts w:hint="eastAsia"/>
          <w:sz w:val="24"/>
        </w:rPr>
        <w:t>终验收期间，卖方自行负责交通、食宿、保险等费用；</w:t>
      </w:r>
    </w:p>
    <w:p>
      <w:pPr>
        <w:adjustRightInd w:val="0"/>
        <w:snapToGrid w:val="0"/>
        <w:spacing w:line="420" w:lineRule="exact"/>
        <w:ind w:firstLine="480" w:firstLineChars="200"/>
        <w:rPr>
          <w:sz w:val="24"/>
        </w:rPr>
      </w:pPr>
      <w:r>
        <w:rPr>
          <w:rFonts w:hint="eastAsia"/>
          <w:sz w:val="24"/>
          <w:lang w:val="en-US" w:eastAsia="zh-CN"/>
        </w:rPr>
        <w:t>2</w:t>
      </w:r>
      <w:r>
        <w:rPr>
          <w:sz w:val="24"/>
        </w:rPr>
        <w:t>.</w:t>
      </w:r>
      <w:r>
        <w:rPr>
          <w:rFonts w:hint="eastAsia"/>
          <w:sz w:val="24"/>
          <w:lang w:val="en-US" w:eastAsia="zh-CN"/>
        </w:rPr>
        <w:t>5</w:t>
      </w:r>
      <w:r>
        <w:rPr>
          <w:rFonts w:hint="eastAsia"/>
          <w:sz w:val="24"/>
        </w:rPr>
        <w:t>最终验收以双方签订的合同和条件为准，逐项进行最终验收；</w:t>
      </w:r>
    </w:p>
    <w:p>
      <w:pPr>
        <w:adjustRightInd w:val="0"/>
        <w:snapToGrid w:val="0"/>
        <w:spacing w:line="420" w:lineRule="exact"/>
        <w:ind w:firstLine="480" w:firstLineChars="200"/>
        <w:rPr>
          <w:sz w:val="24"/>
        </w:rPr>
      </w:pPr>
      <w:r>
        <w:rPr>
          <w:rFonts w:hint="eastAsia"/>
          <w:sz w:val="24"/>
          <w:lang w:val="en-US" w:eastAsia="zh-CN"/>
        </w:rPr>
        <w:t>2</w:t>
      </w:r>
      <w:r>
        <w:rPr>
          <w:sz w:val="24"/>
        </w:rPr>
        <w:t>.</w:t>
      </w:r>
      <w:r>
        <w:rPr>
          <w:rFonts w:hint="eastAsia"/>
          <w:sz w:val="24"/>
          <w:lang w:val="en-US" w:eastAsia="zh-CN"/>
        </w:rPr>
        <w:t>6</w:t>
      </w:r>
      <w:r>
        <w:rPr>
          <w:rFonts w:hint="eastAsia"/>
          <w:sz w:val="24"/>
        </w:rPr>
        <w:t>对于终验收买方提出的问题，卖方应在15个工作日内完成整改。</w:t>
      </w:r>
    </w:p>
    <w:p>
      <w:pPr>
        <w:adjustRightInd w:val="0"/>
        <w:snapToGrid w:val="0"/>
        <w:spacing w:line="420" w:lineRule="exact"/>
        <w:ind w:firstLine="480" w:firstLineChars="200"/>
        <w:rPr>
          <w:sz w:val="24"/>
        </w:rPr>
      </w:pPr>
      <w:r>
        <w:rPr>
          <w:rFonts w:hint="eastAsia"/>
          <w:sz w:val="24"/>
          <w:lang w:val="en-US" w:eastAsia="zh-CN"/>
        </w:rPr>
        <w:t>2</w:t>
      </w:r>
      <w:r>
        <w:rPr>
          <w:sz w:val="24"/>
        </w:rPr>
        <w:t>.</w:t>
      </w:r>
      <w:r>
        <w:rPr>
          <w:rFonts w:hint="eastAsia"/>
          <w:sz w:val="24"/>
          <w:lang w:val="en-US" w:eastAsia="zh-CN"/>
        </w:rPr>
        <w:t>7</w:t>
      </w:r>
      <w:r>
        <w:rPr>
          <w:rFonts w:hint="eastAsia"/>
          <w:sz w:val="24"/>
        </w:rPr>
        <w:t>终验收通过后买卖双方共同签署终验收报告，并移交、核对全部供货范围内物品。</w:t>
      </w:r>
    </w:p>
    <w:p>
      <w:pPr>
        <w:pStyle w:val="108"/>
        <w:rPr>
          <w:color w:val="auto"/>
        </w:rPr>
        <w:sectPr>
          <w:pgSz w:w="11906" w:h="16838"/>
          <w:pgMar w:top="1588" w:right="1418" w:bottom="1134" w:left="1418" w:header="851" w:footer="992" w:gutter="0"/>
          <w:pgNumType w:fmt="decimal"/>
          <w:cols w:space="720" w:num="1"/>
          <w:titlePg/>
          <w:docGrid w:type="lines" w:linePitch="312" w:charSpace="0"/>
        </w:sectPr>
      </w:pPr>
      <w:bookmarkStart w:id="104" w:name="_Toc465187647"/>
    </w:p>
    <w:p>
      <w:pPr>
        <w:pStyle w:val="108"/>
        <w:outlineLvl w:val="1"/>
        <w:rPr>
          <w:color w:val="auto"/>
        </w:rPr>
      </w:pPr>
      <w:bookmarkStart w:id="105" w:name="_Toc32705"/>
      <w:bookmarkStart w:id="106" w:name="_Toc130903455"/>
      <w:r>
        <w:rPr>
          <w:color w:val="auto"/>
        </w:rPr>
        <w:t>第七章  投标技术文件一般要求</w:t>
      </w:r>
      <w:bookmarkEnd w:id="104"/>
      <w:bookmarkEnd w:id="105"/>
      <w:bookmarkEnd w:id="106"/>
    </w:p>
    <w:p>
      <w:pPr>
        <w:spacing w:line="420" w:lineRule="exact"/>
        <w:jc w:val="left"/>
        <w:outlineLvl w:val="2"/>
        <w:rPr>
          <w:rFonts w:eastAsia="黑体"/>
          <w:sz w:val="24"/>
        </w:rPr>
      </w:pPr>
      <w:bookmarkStart w:id="107" w:name="_Toc17928"/>
      <w:bookmarkStart w:id="108" w:name="_Toc130903456"/>
      <w:r>
        <w:rPr>
          <w:rFonts w:hint="eastAsia" w:eastAsia="黑体"/>
          <w:sz w:val="24"/>
        </w:rPr>
        <w:t>7</w:t>
      </w:r>
      <w:r>
        <w:rPr>
          <w:rFonts w:eastAsia="黑体"/>
          <w:sz w:val="24"/>
        </w:rPr>
        <w:t>.1 技术文件一般内容要求</w:t>
      </w:r>
      <w:bookmarkEnd w:id="107"/>
      <w:bookmarkEnd w:id="108"/>
    </w:p>
    <w:p>
      <w:pPr>
        <w:adjustRightInd w:val="0"/>
        <w:snapToGrid w:val="0"/>
        <w:spacing w:line="420" w:lineRule="exact"/>
        <w:ind w:firstLine="480" w:firstLineChars="200"/>
        <w:rPr>
          <w:sz w:val="24"/>
          <w:szCs w:val="24"/>
        </w:rPr>
      </w:pPr>
      <w:r>
        <w:rPr>
          <w:sz w:val="24"/>
          <w:szCs w:val="24"/>
        </w:rPr>
        <w:t>1、投标方应认真阅读招标文件和本技术标书，并按要求编写投标技术文件。</w:t>
      </w:r>
    </w:p>
    <w:p>
      <w:pPr>
        <w:adjustRightInd w:val="0"/>
        <w:snapToGrid w:val="0"/>
        <w:spacing w:line="420" w:lineRule="exact"/>
        <w:ind w:firstLine="480" w:firstLineChars="200"/>
        <w:rPr>
          <w:sz w:val="24"/>
          <w:szCs w:val="24"/>
        </w:rPr>
      </w:pPr>
      <w:r>
        <w:rPr>
          <w:sz w:val="24"/>
          <w:szCs w:val="24"/>
        </w:rPr>
        <w:t>2、投标技术文件至少应对投标货物的功能用途、技术性能、质量标准、技术参数等作出详细说明。</w:t>
      </w:r>
    </w:p>
    <w:p>
      <w:pPr>
        <w:adjustRightInd w:val="0"/>
        <w:snapToGrid w:val="0"/>
        <w:spacing w:line="420" w:lineRule="exact"/>
        <w:ind w:firstLine="480" w:firstLineChars="200"/>
        <w:rPr>
          <w:sz w:val="24"/>
          <w:szCs w:val="24"/>
        </w:rPr>
      </w:pPr>
      <w:r>
        <w:rPr>
          <w:sz w:val="24"/>
          <w:szCs w:val="24"/>
        </w:rPr>
        <w:t>3、投标技术文件至少应根据投标货物的关键设备、总成、零部件或系统作出满足或优于招标文件要求的详细说明。</w:t>
      </w:r>
    </w:p>
    <w:p>
      <w:pPr>
        <w:spacing w:line="420" w:lineRule="exact"/>
        <w:ind w:firstLine="480" w:firstLineChars="200"/>
        <w:rPr>
          <w:sz w:val="24"/>
          <w:szCs w:val="24"/>
        </w:rPr>
      </w:pPr>
      <w:r>
        <w:rPr>
          <w:sz w:val="24"/>
          <w:szCs w:val="24"/>
        </w:rPr>
        <w:t>4、投标技术文件至少应按照招标文件要求（或投标方建议）列明备品备件、易损件和专用耗材明细。</w:t>
      </w:r>
    </w:p>
    <w:p>
      <w:pPr>
        <w:spacing w:line="420" w:lineRule="exact"/>
        <w:ind w:firstLine="480" w:firstLineChars="200"/>
        <w:rPr>
          <w:sz w:val="24"/>
          <w:szCs w:val="24"/>
        </w:rPr>
      </w:pPr>
      <w:r>
        <w:rPr>
          <w:sz w:val="24"/>
          <w:szCs w:val="24"/>
        </w:rPr>
        <w:t>5、投标方应当而且必须分别说明所列备品备件、易损件和专用耗材的使用寿命（以有效工作小时数说明）。</w:t>
      </w:r>
    </w:p>
    <w:p>
      <w:pPr>
        <w:adjustRightInd w:val="0"/>
        <w:snapToGrid w:val="0"/>
        <w:spacing w:line="420" w:lineRule="exact"/>
        <w:ind w:firstLine="480" w:firstLineChars="200"/>
        <w:rPr>
          <w:sz w:val="24"/>
          <w:szCs w:val="24"/>
        </w:rPr>
      </w:pPr>
      <w:r>
        <w:rPr>
          <w:sz w:val="24"/>
          <w:szCs w:val="24"/>
        </w:rPr>
        <w:t>6、投标的货物，应当根据其配置和备品备件、易损件、专用耗材情况，尽可能详细且分类填入下表：</w:t>
      </w:r>
    </w:p>
    <w:p>
      <w:pPr>
        <w:adjustRightInd w:val="0"/>
        <w:snapToGrid w:val="0"/>
        <w:spacing w:line="420" w:lineRule="exact"/>
        <w:ind w:firstLine="480" w:firstLineChars="200"/>
        <w:rPr>
          <w:sz w:val="24"/>
          <w:szCs w:val="24"/>
        </w:rPr>
      </w:pPr>
      <w:r>
        <w:rPr>
          <w:sz w:val="24"/>
          <w:szCs w:val="24"/>
        </w:rPr>
        <w:t>6.1  备品备件、易损件和专用耗材明细表：</w:t>
      </w:r>
    </w:p>
    <w:p>
      <w:pPr>
        <w:pStyle w:val="25"/>
        <w:spacing w:before="0" w:after="0"/>
        <w:jc w:val="center"/>
        <w:rPr>
          <w:rFonts w:ascii="宋体" w:hAnsi="宋体" w:eastAsia="宋体"/>
          <w:sz w:val="21"/>
          <w:szCs w:val="21"/>
        </w:rPr>
      </w:pPr>
      <w:bookmarkStart w:id="109" w:name="_Toc130911675"/>
      <w:r>
        <w:rPr>
          <w:rFonts w:hint="eastAsia" w:ascii="宋体" w:hAnsi="宋体" w:eastAsia="宋体"/>
          <w:sz w:val="21"/>
          <w:szCs w:val="21"/>
        </w:rPr>
        <w:t xml:space="preserve">表 </w:t>
      </w:r>
      <w:r>
        <w:rPr>
          <w:rFonts w:ascii="宋体" w:hAnsi="宋体" w:eastAsia="宋体"/>
          <w:sz w:val="21"/>
          <w:szCs w:val="21"/>
        </w:rPr>
        <w:fldChar w:fldCharType="begin"/>
      </w:r>
      <w:r>
        <w:rPr>
          <w:rFonts w:ascii="宋体" w:hAnsi="宋体" w:eastAsia="宋体"/>
          <w:sz w:val="21"/>
          <w:szCs w:val="21"/>
        </w:rPr>
        <w:instrText xml:space="preserve"> </w:instrText>
      </w:r>
      <w:r>
        <w:rPr>
          <w:rFonts w:hint="eastAsia" w:ascii="宋体" w:hAnsi="宋体" w:eastAsia="宋体"/>
          <w:sz w:val="21"/>
          <w:szCs w:val="21"/>
        </w:rPr>
        <w:instrText xml:space="preserve">SEQ 表 \* ARABIC</w:instrText>
      </w:r>
      <w:r>
        <w:rPr>
          <w:rFonts w:ascii="宋体" w:hAnsi="宋体" w:eastAsia="宋体"/>
          <w:sz w:val="21"/>
          <w:szCs w:val="21"/>
        </w:rPr>
        <w:instrText xml:space="preserve"> </w:instrText>
      </w:r>
      <w:r>
        <w:rPr>
          <w:rFonts w:ascii="宋体" w:hAnsi="宋体" w:eastAsia="宋体"/>
          <w:sz w:val="21"/>
          <w:szCs w:val="21"/>
        </w:rPr>
        <w:fldChar w:fldCharType="separate"/>
      </w:r>
      <w:r>
        <w:rPr>
          <w:rFonts w:ascii="宋体" w:hAnsi="宋体" w:eastAsia="宋体"/>
          <w:sz w:val="21"/>
          <w:szCs w:val="21"/>
        </w:rPr>
        <w:t>20</w:t>
      </w:r>
      <w:r>
        <w:rPr>
          <w:rFonts w:ascii="宋体" w:hAnsi="宋体" w:eastAsia="宋体"/>
          <w:sz w:val="21"/>
          <w:szCs w:val="21"/>
        </w:rPr>
        <w:fldChar w:fldCharType="end"/>
      </w:r>
      <w:r>
        <w:rPr>
          <w:rFonts w:ascii="宋体" w:hAnsi="宋体" w:eastAsia="宋体"/>
          <w:sz w:val="21"/>
          <w:szCs w:val="21"/>
        </w:rPr>
        <w:t xml:space="preserve">备品备件、易损件和专用耗材明细表             </w:t>
      </w:r>
    </w:p>
    <w:p>
      <w:pPr>
        <w:pStyle w:val="25"/>
        <w:spacing w:before="0" w:after="0"/>
        <w:jc w:val="right"/>
        <w:rPr>
          <w:rFonts w:ascii="宋体" w:hAnsi="宋体" w:eastAsia="宋体"/>
          <w:sz w:val="21"/>
          <w:szCs w:val="21"/>
        </w:rPr>
      </w:pPr>
      <w:r>
        <w:rPr>
          <w:rFonts w:ascii="宋体" w:hAnsi="宋体" w:eastAsia="宋体"/>
          <w:sz w:val="21"/>
          <w:szCs w:val="21"/>
        </w:rPr>
        <w:t>单位：元</w:t>
      </w:r>
      <w:bookmarkEnd w:id="109"/>
    </w:p>
    <w:tbl>
      <w:tblPr>
        <w:tblStyle w:val="82"/>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123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jc w:val="center"/>
              <w:rPr>
                <w:rFonts w:ascii="宋体" w:hAnsi="宋体"/>
                <w:szCs w:val="21"/>
              </w:rPr>
            </w:pPr>
            <w:r>
              <w:rPr>
                <w:rFonts w:hint="eastAsia" w:ascii="宋体" w:hAnsi="宋体" w:cs="宋体"/>
                <w:szCs w:val="21"/>
              </w:rPr>
              <w:t>序号</w:t>
            </w:r>
          </w:p>
        </w:tc>
        <w:tc>
          <w:tcPr>
            <w:tcW w:w="1924" w:type="dxa"/>
          </w:tcPr>
          <w:p>
            <w:pPr>
              <w:adjustRightInd w:val="0"/>
              <w:snapToGrid w:val="0"/>
              <w:jc w:val="center"/>
              <w:rPr>
                <w:rFonts w:ascii="宋体" w:hAnsi="宋体"/>
                <w:szCs w:val="21"/>
              </w:rPr>
            </w:pPr>
            <w:r>
              <w:rPr>
                <w:rFonts w:hint="eastAsia" w:ascii="宋体" w:hAnsi="宋体" w:cs="宋体"/>
                <w:szCs w:val="21"/>
              </w:rPr>
              <w:t>名称</w:t>
            </w:r>
          </w:p>
        </w:tc>
        <w:tc>
          <w:tcPr>
            <w:tcW w:w="1236" w:type="dxa"/>
          </w:tcPr>
          <w:p>
            <w:pPr>
              <w:adjustRightInd w:val="0"/>
              <w:snapToGrid w:val="0"/>
              <w:jc w:val="center"/>
              <w:rPr>
                <w:rFonts w:ascii="宋体" w:hAnsi="宋体"/>
                <w:szCs w:val="21"/>
              </w:rPr>
            </w:pPr>
            <w:r>
              <w:rPr>
                <w:rFonts w:hint="eastAsia" w:ascii="宋体" w:hAnsi="宋体" w:cs="宋体"/>
                <w:szCs w:val="21"/>
              </w:rPr>
              <w:t>型号规格</w:t>
            </w:r>
          </w:p>
        </w:tc>
        <w:tc>
          <w:tcPr>
            <w:tcW w:w="720" w:type="dxa"/>
          </w:tcPr>
          <w:p>
            <w:pPr>
              <w:adjustRightInd w:val="0"/>
              <w:snapToGrid w:val="0"/>
              <w:jc w:val="center"/>
              <w:rPr>
                <w:rFonts w:ascii="宋体" w:hAnsi="宋体"/>
                <w:szCs w:val="21"/>
              </w:rPr>
            </w:pPr>
            <w:r>
              <w:rPr>
                <w:rFonts w:hint="eastAsia" w:ascii="宋体" w:hAnsi="宋体" w:cs="宋体"/>
                <w:szCs w:val="21"/>
              </w:rPr>
              <w:t>单位</w:t>
            </w:r>
          </w:p>
        </w:tc>
        <w:tc>
          <w:tcPr>
            <w:tcW w:w="720" w:type="dxa"/>
          </w:tcPr>
          <w:p>
            <w:pPr>
              <w:adjustRightInd w:val="0"/>
              <w:snapToGrid w:val="0"/>
              <w:jc w:val="center"/>
              <w:rPr>
                <w:rFonts w:ascii="宋体" w:hAnsi="宋体"/>
                <w:szCs w:val="21"/>
              </w:rPr>
            </w:pPr>
            <w:r>
              <w:rPr>
                <w:rFonts w:hint="eastAsia" w:ascii="宋体" w:hAnsi="宋体" w:cs="宋体"/>
                <w:szCs w:val="21"/>
              </w:rPr>
              <w:t>数量</w:t>
            </w:r>
          </w:p>
        </w:tc>
        <w:tc>
          <w:tcPr>
            <w:tcW w:w="720" w:type="dxa"/>
          </w:tcPr>
          <w:p>
            <w:pPr>
              <w:adjustRightInd w:val="0"/>
              <w:snapToGrid w:val="0"/>
              <w:jc w:val="center"/>
              <w:rPr>
                <w:rFonts w:ascii="宋体" w:hAnsi="宋体"/>
                <w:szCs w:val="21"/>
              </w:rPr>
            </w:pPr>
            <w:r>
              <w:rPr>
                <w:rFonts w:hint="eastAsia" w:ascii="宋体" w:hAnsi="宋体" w:cs="宋体"/>
                <w:szCs w:val="21"/>
              </w:rPr>
              <w:t>单价</w:t>
            </w:r>
          </w:p>
        </w:tc>
        <w:tc>
          <w:tcPr>
            <w:tcW w:w="1230" w:type="dxa"/>
          </w:tcPr>
          <w:p>
            <w:pPr>
              <w:adjustRightInd w:val="0"/>
              <w:snapToGrid w:val="0"/>
              <w:jc w:val="center"/>
              <w:rPr>
                <w:rFonts w:ascii="宋体" w:hAnsi="宋体"/>
                <w:szCs w:val="21"/>
              </w:rPr>
            </w:pPr>
            <w:r>
              <w:rPr>
                <w:rFonts w:hint="eastAsia" w:ascii="宋体" w:hAnsi="宋体" w:cs="宋体"/>
                <w:szCs w:val="21"/>
              </w:rPr>
              <w:t>总价</w:t>
            </w:r>
          </w:p>
        </w:tc>
        <w:tc>
          <w:tcPr>
            <w:tcW w:w="1843" w:type="dxa"/>
          </w:tcPr>
          <w:p>
            <w:pPr>
              <w:adjustRightInd w:val="0"/>
              <w:snapToGrid w:val="0"/>
              <w:jc w:val="center"/>
              <w:rPr>
                <w:rFonts w:ascii="宋体" w:hAnsi="宋体"/>
                <w:szCs w:val="21"/>
              </w:rPr>
            </w:pPr>
            <w:r>
              <w:rPr>
                <w:rFonts w:hint="eastAsia" w:ascii="宋体" w:hAnsi="宋体" w:cs="宋体"/>
                <w:szCs w:val="21"/>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jc w:val="center"/>
              <w:rPr>
                <w:rFonts w:ascii="宋体" w:hAnsi="宋体"/>
                <w:szCs w:val="21"/>
              </w:rPr>
            </w:pPr>
          </w:p>
        </w:tc>
        <w:tc>
          <w:tcPr>
            <w:tcW w:w="1924" w:type="dxa"/>
          </w:tcPr>
          <w:p>
            <w:pPr>
              <w:adjustRightInd w:val="0"/>
              <w:snapToGrid w:val="0"/>
              <w:rPr>
                <w:rFonts w:ascii="宋体" w:hAnsi="宋体"/>
                <w:szCs w:val="21"/>
              </w:rPr>
            </w:pPr>
          </w:p>
        </w:tc>
        <w:tc>
          <w:tcPr>
            <w:tcW w:w="1236" w:type="dxa"/>
          </w:tcPr>
          <w:p>
            <w:pPr>
              <w:adjustRightInd w:val="0"/>
              <w:snapToGrid w:val="0"/>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1230" w:type="dxa"/>
          </w:tcPr>
          <w:p>
            <w:pPr>
              <w:adjustRightInd w:val="0"/>
              <w:snapToGrid w:val="0"/>
              <w:jc w:val="center"/>
              <w:rPr>
                <w:rFonts w:ascii="宋体" w:hAnsi="宋体"/>
                <w:szCs w:val="21"/>
              </w:rPr>
            </w:pPr>
          </w:p>
        </w:tc>
        <w:tc>
          <w:tcPr>
            <w:tcW w:w="1843" w:type="dxa"/>
          </w:tcPr>
          <w:p>
            <w:pPr>
              <w:adjustRightInd w:val="0"/>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jc w:val="center"/>
              <w:rPr>
                <w:rFonts w:ascii="宋体" w:hAnsi="宋体"/>
                <w:szCs w:val="21"/>
              </w:rPr>
            </w:pPr>
          </w:p>
        </w:tc>
        <w:tc>
          <w:tcPr>
            <w:tcW w:w="1924" w:type="dxa"/>
          </w:tcPr>
          <w:p>
            <w:pPr>
              <w:adjustRightInd w:val="0"/>
              <w:snapToGrid w:val="0"/>
              <w:rPr>
                <w:rFonts w:ascii="宋体" w:hAnsi="宋体"/>
                <w:szCs w:val="21"/>
              </w:rPr>
            </w:pPr>
          </w:p>
        </w:tc>
        <w:tc>
          <w:tcPr>
            <w:tcW w:w="1236" w:type="dxa"/>
          </w:tcPr>
          <w:p>
            <w:pPr>
              <w:adjustRightInd w:val="0"/>
              <w:snapToGrid w:val="0"/>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1230" w:type="dxa"/>
          </w:tcPr>
          <w:p>
            <w:pPr>
              <w:adjustRightInd w:val="0"/>
              <w:snapToGrid w:val="0"/>
              <w:jc w:val="center"/>
              <w:rPr>
                <w:rFonts w:ascii="宋体" w:hAnsi="宋体"/>
                <w:szCs w:val="21"/>
              </w:rPr>
            </w:pPr>
          </w:p>
        </w:tc>
        <w:tc>
          <w:tcPr>
            <w:tcW w:w="1843" w:type="dxa"/>
          </w:tcPr>
          <w:p>
            <w:pPr>
              <w:adjustRightInd w:val="0"/>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jc w:val="center"/>
              <w:rPr>
                <w:rFonts w:ascii="宋体" w:hAnsi="宋体"/>
                <w:szCs w:val="21"/>
              </w:rPr>
            </w:pPr>
          </w:p>
        </w:tc>
        <w:tc>
          <w:tcPr>
            <w:tcW w:w="1924" w:type="dxa"/>
          </w:tcPr>
          <w:p>
            <w:pPr>
              <w:adjustRightInd w:val="0"/>
              <w:snapToGrid w:val="0"/>
              <w:rPr>
                <w:rFonts w:ascii="宋体" w:hAnsi="宋体"/>
                <w:szCs w:val="21"/>
              </w:rPr>
            </w:pPr>
          </w:p>
        </w:tc>
        <w:tc>
          <w:tcPr>
            <w:tcW w:w="1236" w:type="dxa"/>
          </w:tcPr>
          <w:p>
            <w:pPr>
              <w:adjustRightInd w:val="0"/>
              <w:snapToGrid w:val="0"/>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1230" w:type="dxa"/>
          </w:tcPr>
          <w:p>
            <w:pPr>
              <w:adjustRightInd w:val="0"/>
              <w:snapToGrid w:val="0"/>
              <w:jc w:val="center"/>
              <w:rPr>
                <w:rFonts w:ascii="宋体" w:hAnsi="宋体"/>
                <w:szCs w:val="21"/>
              </w:rPr>
            </w:pPr>
          </w:p>
        </w:tc>
        <w:tc>
          <w:tcPr>
            <w:tcW w:w="1843" w:type="dxa"/>
          </w:tcPr>
          <w:p>
            <w:pPr>
              <w:adjustRightInd w:val="0"/>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jc w:val="center"/>
              <w:rPr>
                <w:rFonts w:ascii="宋体" w:hAnsi="宋体"/>
                <w:szCs w:val="21"/>
              </w:rPr>
            </w:pPr>
          </w:p>
        </w:tc>
        <w:tc>
          <w:tcPr>
            <w:tcW w:w="1924" w:type="dxa"/>
          </w:tcPr>
          <w:p>
            <w:pPr>
              <w:adjustRightInd w:val="0"/>
              <w:snapToGrid w:val="0"/>
              <w:rPr>
                <w:rFonts w:ascii="宋体" w:hAnsi="宋体"/>
                <w:szCs w:val="21"/>
              </w:rPr>
            </w:pPr>
          </w:p>
        </w:tc>
        <w:tc>
          <w:tcPr>
            <w:tcW w:w="1236" w:type="dxa"/>
          </w:tcPr>
          <w:p>
            <w:pPr>
              <w:adjustRightInd w:val="0"/>
              <w:snapToGrid w:val="0"/>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1230" w:type="dxa"/>
          </w:tcPr>
          <w:p>
            <w:pPr>
              <w:adjustRightInd w:val="0"/>
              <w:snapToGrid w:val="0"/>
              <w:jc w:val="center"/>
              <w:rPr>
                <w:rFonts w:ascii="宋体" w:hAnsi="宋体"/>
                <w:szCs w:val="21"/>
              </w:rPr>
            </w:pPr>
          </w:p>
        </w:tc>
        <w:tc>
          <w:tcPr>
            <w:tcW w:w="1843" w:type="dxa"/>
          </w:tcPr>
          <w:p>
            <w:pPr>
              <w:adjustRightInd w:val="0"/>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jc w:val="center"/>
              <w:rPr>
                <w:rFonts w:ascii="宋体" w:hAnsi="宋体"/>
                <w:szCs w:val="21"/>
              </w:rPr>
            </w:pPr>
          </w:p>
        </w:tc>
        <w:tc>
          <w:tcPr>
            <w:tcW w:w="1924" w:type="dxa"/>
          </w:tcPr>
          <w:p>
            <w:pPr>
              <w:adjustRightInd w:val="0"/>
              <w:snapToGrid w:val="0"/>
              <w:rPr>
                <w:rFonts w:ascii="宋体" w:hAnsi="宋体"/>
                <w:szCs w:val="21"/>
              </w:rPr>
            </w:pPr>
          </w:p>
        </w:tc>
        <w:tc>
          <w:tcPr>
            <w:tcW w:w="1236" w:type="dxa"/>
          </w:tcPr>
          <w:p>
            <w:pPr>
              <w:adjustRightInd w:val="0"/>
              <w:snapToGrid w:val="0"/>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1230" w:type="dxa"/>
          </w:tcPr>
          <w:p>
            <w:pPr>
              <w:adjustRightInd w:val="0"/>
              <w:snapToGrid w:val="0"/>
              <w:jc w:val="center"/>
              <w:rPr>
                <w:rFonts w:ascii="宋体" w:hAnsi="宋体"/>
                <w:szCs w:val="21"/>
              </w:rPr>
            </w:pPr>
          </w:p>
        </w:tc>
        <w:tc>
          <w:tcPr>
            <w:tcW w:w="1843" w:type="dxa"/>
          </w:tcPr>
          <w:p>
            <w:pPr>
              <w:adjustRightInd w:val="0"/>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jc w:val="center"/>
              <w:rPr>
                <w:rFonts w:ascii="宋体" w:hAnsi="宋体"/>
                <w:szCs w:val="21"/>
              </w:rPr>
            </w:pPr>
          </w:p>
        </w:tc>
        <w:tc>
          <w:tcPr>
            <w:tcW w:w="1924" w:type="dxa"/>
          </w:tcPr>
          <w:p>
            <w:pPr>
              <w:adjustRightInd w:val="0"/>
              <w:snapToGrid w:val="0"/>
              <w:rPr>
                <w:rFonts w:ascii="宋体" w:hAnsi="宋体"/>
                <w:szCs w:val="21"/>
              </w:rPr>
            </w:pPr>
          </w:p>
        </w:tc>
        <w:tc>
          <w:tcPr>
            <w:tcW w:w="1236" w:type="dxa"/>
          </w:tcPr>
          <w:p>
            <w:pPr>
              <w:adjustRightInd w:val="0"/>
              <w:snapToGrid w:val="0"/>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720" w:type="dxa"/>
          </w:tcPr>
          <w:p>
            <w:pPr>
              <w:adjustRightInd w:val="0"/>
              <w:snapToGrid w:val="0"/>
              <w:jc w:val="center"/>
              <w:rPr>
                <w:rFonts w:ascii="宋体" w:hAnsi="宋体"/>
                <w:szCs w:val="21"/>
              </w:rPr>
            </w:pPr>
          </w:p>
        </w:tc>
        <w:tc>
          <w:tcPr>
            <w:tcW w:w="1230" w:type="dxa"/>
          </w:tcPr>
          <w:p>
            <w:pPr>
              <w:adjustRightInd w:val="0"/>
              <w:snapToGrid w:val="0"/>
              <w:jc w:val="center"/>
              <w:rPr>
                <w:rFonts w:ascii="宋体" w:hAnsi="宋体"/>
                <w:szCs w:val="21"/>
              </w:rPr>
            </w:pPr>
          </w:p>
        </w:tc>
        <w:tc>
          <w:tcPr>
            <w:tcW w:w="1843" w:type="dxa"/>
          </w:tcPr>
          <w:p>
            <w:pPr>
              <w:adjustRightInd w:val="0"/>
              <w:snapToGrid w:val="0"/>
              <w:rPr>
                <w:rFonts w:ascii="宋体" w:hAnsi="宋体"/>
                <w:szCs w:val="21"/>
              </w:rPr>
            </w:pPr>
          </w:p>
        </w:tc>
      </w:tr>
    </w:tbl>
    <w:p>
      <w:pPr>
        <w:spacing w:line="420" w:lineRule="exact"/>
        <w:ind w:firstLine="480" w:firstLineChars="200"/>
        <w:rPr>
          <w:sz w:val="24"/>
          <w:szCs w:val="24"/>
        </w:rPr>
      </w:pPr>
      <w:r>
        <w:rPr>
          <w:sz w:val="24"/>
          <w:szCs w:val="24"/>
        </w:rPr>
        <w:t>6.2  “开标一览表”和“明细表”仅作为投标方编制投标技术文件的一般格式。其中序号编写应当便于招标方了解分类或分项货物之间的所属关系，如1、1.1、1.2。</w:t>
      </w:r>
    </w:p>
    <w:p>
      <w:pPr>
        <w:spacing w:line="420" w:lineRule="exact"/>
        <w:ind w:firstLine="480" w:firstLineChars="200"/>
        <w:rPr>
          <w:sz w:val="24"/>
          <w:szCs w:val="24"/>
        </w:rPr>
      </w:pPr>
      <w:r>
        <w:rPr>
          <w:sz w:val="24"/>
          <w:szCs w:val="24"/>
        </w:rPr>
        <w:t>6.3  应当尽可能将货物的配置列全、列细，这将有助于投标方胜出。</w:t>
      </w:r>
    </w:p>
    <w:p>
      <w:pPr>
        <w:spacing w:line="420" w:lineRule="exact"/>
        <w:ind w:firstLine="480" w:firstLineChars="200"/>
        <w:rPr>
          <w:sz w:val="24"/>
          <w:szCs w:val="24"/>
        </w:rPr>
      </w:pPr>
      <w:r>
        <w:rPr>
          <w:sz w:val="24"/>
          <w:szCs w:val="24"/>
        </w:rPr>
        <w:t>6.4  单价与总价之间、总价与分类小计价之间、分类小计价与合计价之间数据应当齐全而且准确。</w:t>
      </w:r>
    </w:p>
    <w:p>
      <w:pPr>
        <w:spacing w:line="420" w:lineRule="exact"/>
        <w:ind w:firstLine="480" w:firstLineChars="200"/>
        <w:rPr>
          <w:sz w:val="24"/>
          <w:szCs w:val="24"/>
        </w:rPr>
      </w:pPr>
      <w:r>
        <w:rPr>
          <w:sz w:val="24"/>
          <w:szCs w:val="24"/>
        </w:rPr>
        <w:t>6.5  本条款表格中的制造商，应当为全称或公认的简称。</w:t>
      </w:r>
    </w:p>
    <w:p>
      <w:pPr>
        <w:spacing w:line="420" w:lineRule="exact"/>
        <w:jc w:val="left"/>
        <w:outlineLvl w:val="2"/>
        <w:rPr>
          <w:rFonts w:eastAsia="黑体"/>
          <w:sz w:val="24"/>
        </w:rPr>
      </w:pPr>
      <w:bookmarkStart w:id="110" w:name="_Toc130903457"/>
      <w:bookmarkStart w:id="111" w:name="_Toc3392"/>
      <w:r>
        <w:rPr>
          <w:rFonts w:hint="eastAsia" w:eastAsia="黑体"/>
          <w:sz w:val="24"/>
        </w:rPr>
        <w:t>7</w:t>
      </w:r>
      <w:r>
        <w:rPr>
          <w:rFonts w:eastAsia="黑体"/>
          <w:sz w:val="24"/>
        </w:rPr>
        <w:t>.2 技术文件中货物报价格式要求</w:t>
      </w:r>
      <w:bookmarkEnd w:id="110"/>
      <w:bookmarkEnd w:id="111"/>
    </w:p>
    <w:p>
      <w:pPr>
        <w:spacing w:line="420" w:lineRule="exact"/>
        <w:ind w:firstLine="480" w:firstLineChars="200"/>
        <w:rPr>
          <w:sz w:val="24"/>
        </w:rPr>
      </w:pPr>
      <w:r>
        <w:rPr>
          <w:sz w:val="24"/>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pPr>
        <w:spacing w:line="420" w:lineRule="exact"/>
        <w:ind w:firstLine="480" w:firstLineChars="200"/>
        <w:rPr>
          <w:sz w:val="24"/>
        </w:rPr>
      </w:pPr>
      <w:r>
        <w:rPr>
          <w:sz w:val="24"/>
        </w:rPr>
        <w:t>2、如果投标总报价与其它价格出现错误或不一致，将有可能导致废标。</w:t>
      </w:r>
    </w:p>
    <w:p>
      <w:pPr>
        <w:spacing w:line="420" w:lineRule="exact"/>
        <w:ind w:firstLine="480" w:firstLineChars="200"/>
        <w:rPr>
          <w:sz w:val="24"/>
        </w:rPr>
      </w:pPr>
      <w:r>
        <w:rPr>
          <w:sz w:val="24"/>
        </w:rPr>
        <w:t>3、投标总报价为自合同签定生效至合同无异议执行完毕涉及的买方需要支付的全部费用。如投标方认为本招标及投标货物涉及特需或专门的设计，应当单独列明设计费。</w:t>
      </w:r>
    </w:p>
    <w:p>
      <w:pPr>
        <w:spacing w:line="420" w:lineRule="exact"/>
        <w:ind w:firstLine="480" w:firstLineChars="200"/>
        <w:rPr>
          <w:sz w:val="24"/>
        </w:rPr>
      </w:pPr>
      <w:r>
        <w:rPr>
          <w:sz w:val="24"/>
        </w:rPr>
        <w:t>4、备品备件、易损件和专用耗材，招标方将可能与投标方按照投标价格另行签署供货合同。</w:t>
      </w:r>
    </w:p>
    <w:p>
      <w:pPr>
        <w:spacing w:line="420" w:lineRule="exact"/>
        <w:ind w:firstLine="480" w:firstLineChars="200"/>
        <w:rPr>
          <w:sz w:val="24"/>
        </w:rPr>
      </w:pPr>
      <w:r>
        <w:rPr>
          <w:sz w:val="24"/>
        </w:rPr>
        <w:t>5、要求投标总报价、分项报价、明细报价之间应当具有相互间对应关系以及填报分项和明细报价，仅为便于评标而不妨碍投标人以最合适的形式签署合同。</w:t>
      </w:r>
    </w:p>
    <w:p>
      <w:pPr>
        <w:spacing w:line="420" w:lineRule="exact"/>
        <w:jc w:val="left"/>
        <w:outlineLvl w:val="2"/>
        <w:rPr>
          <w:rFonts w:eastAsia="黑体"/>
          <w:sz w:val="24"/>
        </w:rPr>
      </w:pPr>
      <w:bookmarkStart w:id="112" w:name="_Toc130903458"/>
      <w:bookmarkStart w:id="113" w:name="_Toc21220"/>
      <w:r>
        <w:rPr>
          <w:rFonts w:hint="eastAsia" w:eastAsia="黑体"/>
          <w:sz w:val="24"/>
        </w:rPr>
        <w:t>7</w:t>
      </w:r>
      <w:r>
        <w:rPr>
          <w:rFonts w:eastAsia="黑体"/>
          <w:sz w:val="24"/>
        </w:rPr>
        <w:t>.3 验收标准及内容要求</w:t>
      </w:r>
      <w:bookmarkEnd w:id="112"/>
      <w:bookmarkEnd w:id="113"/>
    </w:p>
    <w:p>
      <w:pPr>
        <w:adjustRightInd w:val="0"/>
        <w:snapToGrid w:val="0"/>
        <w:spacing w:line="420" w:lineRule="exact"/>
        <w:ind w:firstLine="480" w:firstLineChars="200"/>
        <w:rPr>
          <w:sz w:val="24"/>
        </w:rPr>
      </w:pPr>
      <w:r>
        <w:rPr>
          <w:sz w:val="24"/>
        </w:rPr>
        <w:t>除招标文件明确的验收标准或内容之外，投标方应当在投标文件中提供预验收（必要时）和终验收的标准以及规程；在合同签定之前，经投标方和招标方双方洽谈确认并签署，以作为验收标准执行。</w:t>
      </w:r>
    </w:p>
    <w:p>
      <w:pPr>
        <w:pStyle w:val="108"/>
        <w:rPr>
          <w:color w:val="auto"/>
        </w:rPr>
        <w:sectPr>
          <w:headerReference r:id="rId27" w:type="default"/>
          <w:pgSz w:w="11907" w:h="16840"/>
          <w:pgMar w:top="1785" w:right="1418" w:bottom="1418" w:left="1418" w:header="724" w:footer="851" w:gutter="0"/>
          <w:pgNumType w:fmt="decimal"/>
          <w:cols w:space="720" w:num="1"/>
          <w:docGrid w:linePitch="290" w:charSpace="-3931"/>
        </w:sectPr>
      </w:pPr>
      <w:bookmarkStart w:id="114" w:name="_Toc465187648"/>
    </w:p>
    <w:p>
      <w:pPr>
        <w:pStyle w:val="108"/>
        <w:outlineLvl w:val="1"/>
        <w:rPr>
          <w:color w:val="auto"/>
        </w:rPr>
      </w:pPr>
      <w:bookmarkStart w:id="115" w:name="_Toc13247"/>
      <w:bookmarkStart w:id="116" w:name="_Toc130903459"/>
      <w:r>
        <w:rPr>
          <w:color w:val="auto"/>
        </w:rPr>
        <w:t>第八章  其它要求及说明</w:t>
      </w:r>
      <w:bookmarkEnd w:id="114"/>
      <w:bookmarkEnd w:id="115"/>
      <w:bookmarkEnd w:id="116"/>
    </w:p>
    <w:p>
      <w:pPr>
        <w:spacing w:line="420" w:lineRule="exact"/>
        <w:jc w:val="left"/>
        <w:outlineLvl w:val="2"/>
        <w:rPr>
          <w:rFonts w:eastAsia="黑体"/>
          <w:sz w:val="24"/>
        </w:rPr>
      </w:pPr>
      <w:bookmarkStart w:id="117" w:name="_Toc12485"/>
      <w:bookmarkStart w:id="118" w:name="_Toc130903460"/>
      <w:r>
        <w:rPr>
          <w:rFonts w:hint="eastAsia" w:eastAsia="黑体"/>
          <w:sz w:val="24"/>
        </w:rPr>
        <w:t>8</w:t>
      </w:r>
      <w:r>
        <w:rPr>
          <w:rFonts w:eastAsia="黑体"/>
          <w:sz w:val="24"/>
        </w:rPr>
        <w:t>.1 要求</w:t>
      </w:r>
      <w:bookmarkEnd w:id="117"/>
      <w:bookmarkEnd w:id="118"/>
    </w:p>
    <w:p>
      <w:pPr>
        <w:pStyle w:val="49"/>
        <w:spacing w:line="420" w:lineRule="exact"/>
        <w:rPr>
          <w:sz w:val="24"/>
        </w:rPr>
      </w:pPr>
      <w:r>
        <w:rPr>
          <w:sz w:val="24"/>
        </w:rPr>
        <w:t>为保证本技术标书所列采购货物的质量以及先进性、可靠性、经济性和实用性，要求投标方在投标文件中，至少应具备以下资格证明文件或资料：</w:t>
      </w:r>
    </w:p>
    <w:p>
      <w:pPr>
        <w:spacing w:line="420" w:lineRule="exact"/>
        <w:ind w:firstLine="477" w:firstLineChars="199"/>
        <w:rPr>
          <w:sz w:val="24"/>
        </w:rPr>
      </w:pPr>
      <w:r>
        <w:rPr>
          <w:sz w:val="24"/>
        </w:rPr>
        <w:t>1、投标方应是独立法人或得到法人授权的机构。应当在投标文件中提供法人营业执照（复印件）、税务登记证以及组织机构代码证（国际供应商参考该要求提供有效证明文件），并保证其真实性和有效性。</w:t>
      </w:r>
    </w:p>
    <w:p>
      <w:pPr>
        <w:spacing w:line="420" w:lineRule="exact"/>
        <w:ind w:firstLine="477" w:firstLineChars="199"/>
        <w:rPr>
          <w:sz w:val="24"/>
        </w:rPr>
      </w:pPr>
      <w:r>
        <w:rPr>
          <w:sz w:val="24"/>
        </w:rPr>
        <w:t>2、投标方</w:t>
      </w:r>
      <w:r>
        <w:rPr>
          <w:rFonts w:hint="eastAsia"/>
          <w:sz w:val="24"/>
        </w:rPr>
        <w:t>原则上</w:t>
      </w:r>
      <w:r>
        <w:rPr>
          <w:sz w:val="24"/>
        </w:rPr>
        <w:t>应是通过有关资格认证的法人。应当在投标文件中提供有效期内的资格认证证书，如：ISO9001、VDA6.1、QS9000等。</w:t>
      </w:r>
      <w:r>
        <w:rPr>
          <w:rFonts w:hint="eastAsia"/>
          <w:sz w:val="24"/>
        </w:rPr>
        <w:t>若投标方为代理商的，应获得制造商针对本项目中</w:t>
      </w:r>
      <w:r>
        <w:rPr>
          <w:rStyle w:val="234"/>
          <w:rFonts w:hint="eastAsia"/>
          <w:color w:val="auto"/>
          <w:szCs w:val="21"/>
          <w:lang w:val="en-US" w:eastAsia="zh-CN"/>
        </w:rPr>
        <w:t>EMC天线</w:t>
      </w:r>
      <w:r>
        <w:rPr>
          <w:rStyle w:val="234"/>
          <w:rFonts w:hint="default"/>
          <w:color w:val="auto"/>
          <w:szCs w:val="21"/>
        </w:rPr>
        <w:t>的授权书</w:t>
      </w:r>
      <w:r>
        <w:rPr>
          <w:rFonts w:hint="eastAsia"/>
          <w:sz w:val="24"/>
        </w:rPr>
        <w:t>。</w:t>
      </w:r>
    </w:p>
    <w:p>
      <w:pPr>
        <w:spacing w:line="420" w:lineRule="exact"/>
        <w:ind w:firstLine="477" w:firstLineChars="199"/>
        <w:rPr>
          <w:sz w:val="24"/>
        </w:rPr>
      </w:pPr>
      <w:r>
        <w:rPr>
          <w:sz w:val="24"/>
        </w:rPr>
        <w:t>3、国产设备应附有采购货物（或设备）涉及的由“中国质量认证中心”颁发的《中国国家强制性产品认证证书》（CCC证书）。</w:t>
      </w:r>
    </w:p>
    <w:p>
      <w:pPr>
        <w:spacing w:line="420" w:lineRule="exact"/>
        <w:ind w:firstLine="477" w:firstLineChars="199"/>
        <w:rPr>
          <w:sz w:val="24"/>
        </w:rPr>
      </w:pPr>
      <w:r>
        <w:rPr>
          <w:sz w:val="24"/>
        </w:rPr>
        <w:t>4、应附有其它与投标单位、采购货物有关的荣誉证书或资料。</w:t>
      </w:r>
    </w:p>
    <w:p>
      <w:pPr>
        <w:spacing w:line="420" w:lineRule="exact"/>
        <w:ind w:firstLine="477" w:firstLineChars="199"/>
        <w:rPr>
          <w:sz w:val="24"/>
        </w:rPr>
      </w:pPr>
      <w:r>
        <w:rPr>
          <w:sz w:val="24"/>
        </w:rPr>
        <w:t>5、必须附有投标货物涉及产品要求的、国家或行业管理规定要求的、或者投标方认为能够体现其投标货物合法性及先进性的最高级别的证明材料（投标货物不涉及的除外）：</w:t>
      </w:r>
    </w:p>
    <w:p>
      <w:pPr>
        <w:spacing w:line="420" w:lineRule="exact"/>
        <w:ind w:firstLine="477" w:firstLineChars="199"/>
        <w:rPr>
          <w:sz w:val="24"/>
        </w:rPr>
      </w:pPr>
      <w:r>
        <w:rPr>
          <w:sz w:val="24"/>
        </w:rPr>
        <w:t>5.1  国家相关机构颁发的有效期之内所必需的《生产许可证》。</w:t>
      </w:r>
    </w:p>
    <w:p>
      <w:pPr>
        <w:spacing w:line="420" w:lineRule="exact"/>
        <w:ind w:firstLine="477" w:firstLineChars="199"/>
        <w:rPr>
          <w:sz w:val="24"/>
        </w:rPr>
      </w:pPr>
      <w:r>
        <w:rPr>
          <w:sz w:val="24"/>
        </w:rPr>
        <w:t>5.2  产品（或技术）鉴定报告/证书、专利证书或专利许可证书、新技术成果证书等。</w:t>
      </w:r>
    </w:p>
    <w:p>
      <w:pPr>
        <w:spacing w:line="420" w:lineRule="exact"/>
        <w:ind w:firstLine="477" w:firstLineChars="199"/>
        <w:rPr>
          <w:sz w:val="24"/>
        </w:rPr>
      </w:pPr>
      <w:r>
        <w:rPr>
          <w:sz w:val="24"/>
        </w:rPr>
        <w:t>5.3  产品相关检验、试验报告，如：型式试验检验报告、安全试验检验报告、电弧效应试验报告、噪声检测报告等</w:t>
      </w:r>
    </w:p>
    <w:p>
      <w:pPr>
        <w:spacing w:line="420" w:lineRule="exact"/>
        <w:ind w:firstLine="477" w:firstLineChars="199"/>
        <w:rPr>
          <w:sz w:val="24"/>
        </w:rPr>
      </w:pPr>
      <w:r>
        <w:rPr>
          <w:sz w:val="24"/>
        </w:rPr>
        <w:t>5.4  其它能够证明所供货物的质量水平、技术水平、安全性水平、节能性水平、环保性水平等相关的其它证明文件或资料、报告等。</w:t>
      </w:r>
    </w:p>
    <w:p>
      <w:pPr>
        <w:spacing w:line="420" w:lineRule="exact"/>
        <w:ind w:firstLine="477" w:firstLineChars="199"/>
        <w:rPr>
          <w:sz w:val="24"/>
        </w:rPr>
      </w:pPr>
      <w:r>
        <w:rPr>
          <w:sz w:val="24"/>
        </w:rPr>
        <w:t>5.5  该类报告或证明材料对于投标方胜出乃至中标极为重要！</w:t>
      </w:r>
    </w:p>
    <w:p>
      <w:pPr>
        <w:spacing w:line="420" w:lineRule="exact"/>
        <w:jc w:val="left"/>
        <w:outlineLvl w:val="2"/>
        <w:rPr>
          <w:rFonts w:eastAsia="黑体"/>
          <w:sz w:val="24"/>
        </w:rPr>
      </w:pPr>
      <w:bookmarkStart w:id="119" w:name="_Toc31776"/>
      <w:bookmarkStart w:id="120" w:name="_Toc130903461"/>
      <w:r>
        <w:rPr>
          <w:rFonts w:hint="eastAsia" w:eastAsia="黑体"/>
          <w:sz w:val="24"/>
        </w:rPr>
        <w:t>8</w:t>
      </w:r>
      <w:r>
        <w:rPr>
          <w:rFonts w:eastAsia="黑体"/>
          <w:sz w:val="24"/>
        </w:rPr>
        <w:t>.2 说明</w:t>
      </w:r>
      <w:bookmarkEnd w:id="119"/>
      <w:bookmarkEnd w:id="120"/>
    </w:p>
    <w:p>
      <w:pPr>
        <w:spacing w:line="420" w:lineRule="exact"/>
        <w:ind w:firstLine="480" w:firstLineChars="200"/>
        <w:rPr>
          <w:sz w:val="24"/>
        </w:rPr>
      </w:pPr>
      <w:r>
        <w:rPr>
          <w:sz w:val="24"/>
        </w:rPr>
        <w:t>1、投标方可以根据自身的技术、经验等优势以及对招标文件和本技术标书的理解，写明对招标方所采购货物的优化方案或建议意见。投标方的这些努力，招标方表示感谢，并将有助于投标方优先胜出。</w:t>
      </w:r>
    </w:p>
    <w:p>
      <w:pPr>
        <w:spacing w:line="420" w:lineRule="exact"/>
        <w:ind w:firstLine="480" w:firstLineChars="200"/>
        <w:rPr>
          <w:sz w:val="24"/>
        </w:rPr>
      </w:pPr>
      <w:r>
        <w:rPr>
          <w:sz w:val="24"/>
        </w:rPr>
        <w:t>2、即使有建议意见或建议方案，仍应依据招标文件和本技术标书要求，编写符合要求的投标文件。建议方案或建议意见，应以单独篇章或文件，予以说明和报价。</w:t>
      </w:r>
    </w:p>
    <w:p>
      <w:pPr>
        <w:spacing w:line="420" w:lineRule="exact"/>
        <w:ind w:firstLine="480" w:firstLineChars="200"/>
        <w:rPr>
          <w:sz w:val="24"/>
        </w:rPr>
      </w:pPr>
      <w:r>
        <w:rPr>
          <w:sz w:val="24"/>
        </w:rPr>
        <w:t>3、请投标方仔细阅读“采购货物概况”章节内说明，针对允许分投分中的货物，招标方有权利选择其中优秀设备或服务，作为投标方合同供货范围中的指定选用设备或服务（替代投标方分投而未中标部分）。</w:t>
      </w:r>
    </w:p>
    <w:p>
      <w:pPr>
        <w:spacing w:line="420" w:lineRule="exact"/>
        <w:ind w:firstLine="480" w:firstLineChars="200"/>
        <w:rPr>
          <w:sz w:val="24"/>
        </w:rPr>
      </w:pPr>
      <w:r>
        <w:rPr>
          <w:sz w:val="24"/>
        </w:rPr>
        <w:t>4、招标文件、投标文件、答疑文件、技术交流文件、技术协议书等，在采购过程全部为有效文件，如有差异，以对招标方最有利的条款为准。</w:t>
      </w:r>
    </w:p>
    <w:p>
      <w:pPr>
        <w:spacing w:line="420" w:lineRule="exact"/>
        <w:ind w:firstLine="480" w:firstLineChars="200"/>
        <w:rPr>
          <w:rFonts w:hint="eastAsia" w:eastAsia="宋体"/>
          <w:sz w:val="24"/>
          <w:lang w:eastAsia="zh-CN"/>
        </w:rPr>
        <w:sectPr>
          <w:pgSz w:w="11907" w:h="16840"/>
          <w:pgMar w:top="1785" w:right="1418" w:bottom="1418" w:left="1418" w:header="724" w:footer="851" w:gutter="0"/>
          <w:pgNumType w:fmt="decimal"/>
          <w:cols w:space="720" w:num="1"/>
          <w:docGrid w:linePitch="290" w:charSpace="-3931"/>
        </w:sectPr>
      </w:pPr>
      <w:r>
        <w:rPr>
          <w:sz w:val="24"/>
        </w:rPr>
        <w:t>5、为避免</w:t>
      </w:r>
      <w:r>
        <w:rPr>
          <w:rFonts w:hint="eastAsia"/>
          <w:sz w:val="24"/>
        </w:rPr>
        <w:t>歧义</w:t>
      </w:r>
      <w:r>
        <w:rPr>
          <w:sz w:val="24"/>
        </w:rPr>
        <w:t>，本技术标书涉及招投标环节的条款，均将潜在的卖方称为投标方、将买方称为招标方；定标后合同签署环节以及后续的合同执行环节条款，招标方称为买方、投标方中的中标方称为卖方</w:t>
      </w:r>
      <w:r>
        <w:rPr>
          <w:rFonts w:hint="eastAsia"/>
          <w:sz w:val="24"/>
          <w:lang w:eastAsia="zh-CN"/>
        </w:rPr>
        <w:t>。</w:t>
      </w:r>
    </w:p>
    <w:bookmarkEnd w:id="22"/>
    <w:p>
      <w:pPr>
        <w:pStyle w:val="44"/>
        <w:spacing w:line="360" w:lineRule="auto"/>
        <w:rPr>
          <w:rFonts w:ascii="Times New Roman" w:hAnsi="Times New Roman"/>
          <w:b/>
          <w:bCs/>
          <w:sz w:val="36"/>
          <w:szCs w:val="36"/>
        </w:rPr>
      </w:pPr>
    </w:p>
    <w:sectPr>
      <w:headerReference r:id="rId28" w:type="default"/>
      <w:pgSz w:w="11906" w:h="16838"/>
      <w:pgMar w:top="1588" w:right="1418" w:bottom="1134"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52"/>
    <w:family w:val="auto"/>
    <w:pitch w:val="default"/>
    <w:sig w:usb0="00000000" w:usb1="00000000" w:usb2="00000000"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libri Light">
    <w:altName w:val="Arial"/>
    <w:panose1 w:val="020F0302020204030204"/>
    <w:charset w:val="00"/>
    <w:family w:val="swiss"/>
    <w:pitch w:val="default"/>
    <w:sig w:usb0="00000000" w:usb1="00000000" w:usb2="00000009" w:usb3="00000000" w:csb0="200001FF" w:csb1="00000000"/>
  </w:font>
  <w:font w:name="Consolas">
    <w:altName w:val="Liberation Sans Narrow"/>
    <w:panose1 w:val="020B0609020204030204"/>
    <w:charset w:val="00"/>
    <w:family w:val="modern"/>
    <w:pitch w:val="default"/>
    <w:sig w:usb0="00000000" w:usb1="00000000" w:usb2="00000001" w:usb3="00000000" w:csb0="6000019F" w:csb1="DFD70000"/>
  </w:font>
  <w:font w:name="楷体_GB2312">
    <w:altName w:val="汉仪楷体KW"/>
    <w:panose1 w:val="02010609030101010101"/>
    <w:charset w:val="86"/>
    <w:family w:val="modern"/>
    <w:pitch w:val="default"/>
    <w:sig w:usb0="00000000" w:usb1="00000000" w:usb2="00000000" w:usb3="00000000" w:csb0="00040000" w:csb1="00000000"/>
  </w:font>
  <w:font w:name="Arial Black">
    <w:altName w:val="Arial"/>
    <w:panose1 w:val="020B0A04020102020204"/>
    <w:charset w:val="00"/>
    <w:family w:val="swiss"/>
    <w:pitch w:val="default"/>
    <w:sig w:usb0="00000000" w:usb1="00000000" w:usb2="00000000" w:usb3="00000000" w:csb0="6000009F" w:csb1="DFD70000"/>
  </w:font>
  <w:font w:name="等线">
    <w:altName w:val="汉仪中等线KW"/>
    <w:panose1 w:val="02010600030101010101"/>
    <w:charset w:val="86"/>
    <w:family w:val="auto"/>
    <w:pitch w:val="default"/>
    <w:sig w:usb0="00000000" w:usb1="00000000" w:usb2="00000016" w:usb3="00000000" w:csb0="0004000F" w:csb1="00000000"/>
  </w:font>
  <w:font w:name="Arial Unicode MS">
    <w:altName w:val="Arial"/>
    <w:panose1 w:val="020B0604020202020204"/>
    <w:charset w:val="86"/>
    <w:family w:val="swiss"/>
    <w:pitch w:val="default"/>
    <w:sig w:usb0="00000000" w:usb1="00000000" w:usb2="0000003F" w:usb3="00000000" w:csb0="003F01FF" w:csb1="00000000"/>
  </w:font>
  <w:font w:name="仿宋_GB2312">
    <w:altName w:val="汉仪仿宋KW"/>
    <w:panose1 w:val="02010609030101010101"/>
    <w:charset w:val="86"/>
    <w:family w:val="modern"/>
    <w:pitch w:val="default"/>
    <w:sig w:usb0="00000000" w:usb1="00000000" w:usb2="00000000" w:usb3="00000000" w:csb0="00040000" w:csb1="00000000"/>
  </w:font>
  <w:font w:name="Cambria">
    <w:altName w:val="Georgia"/>
    <w:panose1 w:val="02040503050406030204"/>
    <w:charset w:val="00"/>
    <w:family w:val="roman"/>
    <w:pitch w:val="default"/>
    <w:sig w:usb0="00000000" w:usb1="00000000" w:usb2="02000000" w:usb3="00000000" w:csb0="2000019F" w:csb1="00000000"/>
  </w:font>
  <w:font w:name="Angsana New">
    <w:altName w:val="Noto Serif Thai"/>
    <w:panose1 w:val="02020603050405020304"/>
    <w:charset w:val="DE"/>
    <w:family w:val="roman"/>
    <w:pitch w:val="default"/>
    <w:sig w:usb0="00000000" w:usb1="00000000" w:usb2="00000000" w:usb3="00000000" w:csb0="00010001"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Tahoma">
    <w:altName w:val="Verdana"/>
    <w:panose1 w:val="020B0604030504040204"/>
    <w:charset w:val="00"/>
    <w:family w:val="swiss"/>
    <w:pitch w:val="default"/>
    <w:sig w:usb0="00000000" w:usb1="00000000"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Palatino">
    <w:altName w:val="C059"/>
    <w:panose1 w:val="00000000000000000000"/>
    <w:charset w:val="00"/>
    <w:family w:val="roman"/>
    <w:pitch w:val="default"/>
    <w:sig w:usb0="00000000" w:usb1="00000000" w:usb2="00000000" w:usb3="00000000" w:csb0="00000093" w:csb1="0000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10" w:usb3="00000000" w:csb0="00040001" w:csb1="00000000"/>
  </w:font>
  <w:font w:name="MingLiU">
    <w:altName w:val="汉仪书宋二KW"/>
    <w:panose1 w:val="02010609000101010101"/>
    <w:charset w:val="88"/>
    <w:family w:val="modern"/>
    <w:pitch w:val="default"/>
    <w:sig w:usb0="00000000" w:usb1="00000000" w:usb2="00000016" w:usb3="00000000" w:csb0="00100001" w:csb1="00000000"/>
  </w:font>
  <w:font w:name="PMingLiU">
    <w:altName w:val="汉仪中等线KW"/>
    <w:panose1 w:val="02010601000101010101"/>
    <w:charset w:val="88"/>
    <w:family w:val="roman"/>
    <w:pitch w:val="default"/>
    <w:sig w:usb0="00000000" w:usb1="00000000" w:usb2="00000016" w:usb3="00000000" w:csb0="00100001" w:csb1="00000000"/>
  </w:font>
  <w:font w:name="MS Gothic">
    <w:altName w:val="汉仪书宋二KW"/>
    <w:panose1 w:val="020B0609070205080204"/>
    <w:charset w:val="80"/>
    <w:family w:val="modern"/>
    <w:pitch w:val="default"/>
    <w:sig w:usb0="00000000" w:usb1="00000000" w:usb2="08000012" w:usb3="00000000" w:csb0="4002009F" w:csb1="DFD70000"/>
  </w:font>
  <w:font w:name="Cordia New">
    <w:altName w:val="Noto Sans Thai"/>
    <w:panose1 w:val="020B0304020202020204"/>
    <w:charset w:val="DE"/>
    <w:family w:val="swiss"/>
    <w:pitch w:val="default"/>
    <w:sig w:usb0="00000000" w:usb1="00000000" w:usb2="00000000" w:usb3="00000000" w:csb0="00010001" w:csb1="00000000"/>
  </w:font>
  <w:font w:name="oúì.">
    <w:altName w:val="汉仪中黑KW"/>
    <w:panose1 w:val="00000000000000000000"/>
    <w:charset w:val="86"/>
    <w:family w:val="modern"/>
    <w:pitch w:val="default"/>
    <w:sig w:usb0="00000000" w:usb1="00000000" w:usb2="00000010" w:usb3="00000000" w:csb0="00040000" w:csb1="00000000"/>
  </w:font>
  <w:font w:name="MS Mincho">
    <w:altName w:val="汉仪书宋二KW"/>
    <w:panose1 w:val="02020609040205080304"/>
    <w:charset w:val="80"/>
    <w:family w:val="modern"/>
    <w:pitch w:val="default"/>
    <w:sig w:usb0="00000000" w:usb1="00000000" w:usb2="08000012" w:usb3="00000000" w:csb0="0002009F" w:csb1="00000000"/>
  </w:font>
  <w:font w:name="Helvetica">
    <w:altName w:val="Arial"/>
    <w:panose1 w:val="020B0604020202020204"/>
    <w:charset w:val="00"/>
    <w:family w:val="swiss"/>
    <w:pitch w:val="default"/>
    <w:sig w:usb0="00000000" w:usb1="00000000" w:usb2="00000009" w:usb3="00000000" w:csb0="000001FF" w:csb1="00000000"/>
  </w:font>
  <w:font w:name="Tms Rmn">
    <w:altName w:val="Liberation Serif"/>
    <w:panose1 w:val="02020603040505020304"/>
    <w:charset w:val="00"/>
    <w:family w:val="roman"/>
    <w:pitch w:val="default"/>
    <w:sig w:usb0="00000000" w:usb1="00000000" w:usb2="00000000" w:usb3="00000000" w:csb0="00000001" w:csb1="00000000"/>
  </w:font>
  <w:font w:name="华文隶书">
    <w:altName w:val="汉仪书宋二KW"/>
    <w:panose1 w:val="02010800040101010101"/>
    <w:charset w:val="86"/>
    <w:family w:val="auto"/>
    <w:pitch w:val="default"/>
    <w:sig w:usb0="00000000" w:usb1="00000000" w:usb2="00000000" w:usb3="00000000" w:csb0="00040000" w:csb1="00000000"/>
  </w:font>
  <w:font w:name="Liberation Sans Narrow">
    <w:panose1 w:val="020B0606020202030204"/>
    <w:charset w:val="00"/>
    <w:family w:val="auto"/>
    <w:pitch w:val="default"/>
    <w:sig w:usb0="A00002AF" w:usb1="500078FB" w:usb2="00000000" w:usb3="00000000" w:csb0="6000009F" w:csb1="DFD7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汉仪仿宋KW">
    <w:panose1 w:val="00020600040101010101"/>
    <w:charset w:val="86"/>
    <w:family w:val="auto"/>
    <w:pitch w:val="default"/>
    <w:sig w:usb0="A00002BF" w:usb1="18EF7CFA" w:usb2="00000016" w:usb3="00000000" w:csb0="00040000" w:csb1="00000000"/>
  </w:font>
  <w:font w:name="Georgia">
    <w:panose1 w:val="02040502050405020303"/>
    <w:charset w:val="00"/>
    <w:family w:val="auto"/>
    <w:pitch w:val="default"/>
    <w:sig w:usb0="00000287" w:usb1="00000000" w:usb2="00000000" w:usb3="00000000" w:csb0="2000009F" w:csb1="00000000"/>
  </w:font>
  <w:font w:name="Noto Serif Thai">
    <w:panose1 w:val="02020502060505020204"/>
    <w:charset w:val="00"/>
    <w:family w:val="auto"/>
    <w:pitch w:val="default"/>
    <w:sig w:usb0="81000063" w:usb1="00002000" w:usb2="00000000" w:usb3="00000000" w:csb0="00000000" w:csb1="00000000"/>
  </w:font>
  <w:font w:name="C059">
    <w:panose1 w:val="00000500000000000000"/>
    <w:charset w:val="00"/>
    <w:family w:val="auto"/>
    <w:pitch w:val="default"/>
    <w:sig w:usb0="00000287" w:usb1="00000800" w:usb2="00000000" w:usb3="00000000" w:csb0="6000009F" w:csb1="00000000"/>
  </w:font>
  <w:font w:name="Noto Sans Thai">
    <w:panose1 w:val="020B0502040504020204"/>
    <w:charset w:val="00"/>
    <w:family w:val="auto"/>
    <w:pitch w:val="default"/>
    <w:sig w:usb0="81000063" w:usb1="00002000" w:usb2="00000000" w:usb3="00000000" w:csb0="00000000" w:csb1="00000000"/>
  </w:font>
  <w:font w:name="Liberation Serif">
    <w:panose1 w:val="02020603050405020304"/>
    <w:charset w:val="00"/>
    <w:family w:val="auto"/>
    <w:pitch w:val="default"/>
    <w:sig w:usb0="A00002AF" w:usb1="500078FB" w:usb2="00000000" w:usb3="00000000" w:csb0="6000009F" w:csb1="DFD70000"/>
  </w:font>
  <w:font w:name="DejaVu Sans">
    <w:panose1 w:val="020B0606030804020204"/>
    <w:charset w:val="00"/>
    <w:family w:val="auto"/>
    <w:pitch w:val="default"/>
    <w:sig w:usb0="E7006EFF" w:usb1="D200FDFF" w:usb2="0A246029" w:usb3="0400200C" w:csb0="600001FF" w:csb1="DFFF0000"/>
  </w:font>
  <w:font w:name="GWZT-EN">
    <w:panose1 w:val="02020400000000000000"/>
    <w:charset w:val="00"/>
    <w:family w:val="auto"/>
    <w:pitch w:val="default"/>
    <w:sig w:usb0="A00002BF" w:usb1="38CF7CFA" w:usb2="00082016"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p>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rPr>
        <w:rFonts w:ascii="宋体" w:hAnsi="宋体"/>
        <w:sz w:val="21"/>
        <w:szCs w:val="21"/>
      </w:rPr>
    </w:pPr>
    <w:r>
      <w:rPr>
        <w:rFonts w:hint="eastAsia"/>
        <w:sz w:val="21"/>
        <w:szCs w:val="21"/>
      </w:rPr>
      <w:t>i</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rPr>
        <w:rFonts w:hint="default" w:eastAsia="宋体"/>
        <w:lang w:val="en-US" w:eastAsia="zh-CN"/>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- 34 -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- 34 -</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NJWO4KAQAABQEAAA8AAAAAAAAAAQAgAAAAIgAAAGRycy9kb3ducmV2LnhtbFBLAQIU&#10;ABQAAAAIAIdO4kCw03aQMwIAAGMEAAAOAAAAAAAAAAEAIAAAAFkBAABkcnMvZTJvRG9jLnhtbFBL&#10;BQYAAAAABgAGAFkBAAD+BQ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- 7 -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- 1 -</w:t>
                    </w:r>
                    <w:r>
                      <w:fldChar w:fldCharType="end"/>
                    </w:r>
                  </w:p>
                </w:txbxContent>
              </v:textbox>
            </v:shape>
          </w:pict>
        </mc:Fallback>
      </mc:AlternateContent>
    </w: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- 1 -</w:t>
                    </w:r>
                    <w:r>
                      <w:fldChar w:fldCharType="end"/>
                    </w:r>
                  </w:p>
                </w:txbxContent>
              </v:textbox>
            </v:shape>
          </w:pict>
        </mc:Fallback>
      </mc:AlternateContent>
    </w: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tabs>
        <w:tab w:val="clear" w:pos="4153"/>
      </w:tabs>
      <w:jc w:val="cente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- 21 -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rPr>
        <w:rFonts w:hint="default" w:eastAsia="宋体"/>
        <w:lang w:val="en-US" w:eastAsia="zh-CN"/>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pPr>
                          <w:r>
                            <w:fldChar w:fldCharType="begin"/>
                          </w:r>
                          <w:r>
                            <w:instrText xml:space="preserve"> PAGE  \* MERGEFORMAT </w:instrText>
                          </w:r>
                          <w:r>
                            <w:fldChar w:fldCharType="separate"/>
                          </w:r>
                          <w:r>
                            <w:t>- 29 -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56"/>
                    </w:pPr>
                    <w:r>
                      <w:fldChar w:fldCharType="begin"/>
                    </w:r>
                    <w:r>
                      <w:instrText xml:space="preserve"> PAGE  \* MERGEFORMAT </w:instrText>
                    </w:r>
                    <w:r>
                      <w:fldChar w:fldCharType="separate"/>
                    </w:r>
                    <w:r>
                      <w:t>- 29 -</w:t>
                    </w:r>
                    <w:r>
                      <w:fldChar w:fldCharType="end"/>
                    </w:r>
                  </w:p>
                </w:txbxContent>
              </v:textbox>
            </v:shape>
          </w:pict>
        </mc:Fallback>
      </mc:AlternateContent>
    </w:r>
    <w:r>
      <w:rPr>
        <w:rFonts w:hint="eastAsia"/>
        <w:lang w:val="en-US" w:eastAsia="zh-CN"/>
      </w:rPr>
      <w:t>ii</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rPr>
        <w:rFonts w:hint="default" w:eastAsia="宋体"/>
        <w:lang w:val="en-US" w:eastAsia="zh-CN"/>
      </w:rPr>
    </w:pPr>
    <w:r>
      <w:rPr>
        <w:rFonts w:hint="eastAsia"/>
        <w:lang w:val="en-US" w:eastAsia="zh-CN"/>
      </w:rPr>
      <w:t>ii</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r>
      <mc:AlternateContent>
        <mc:Choice Requires="wps">
          <w:drawing>
            <wp:anchor distT="0" distB="0" distL="114300" distR="114300" simplePos="0" relativeHeight="251661312"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79093500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1312;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iLyg3UAAAABgEAAA8AAAAAAAAAAQAgAAAAIgAAAGRycy9kb3ducmV2LnhtbFBLAQIU&#10;ABQAAAAIAIdO4kBwYVFlMAIAAHYEAAAOAAAAAAAAAAEAIAAAACMBAABkcnMvZTJvRG9jLnhtbFBL&#10;BQYAAAAABgAGAFkBAADFBQAAAAA=&#10;">
              <v:fill on="f" focussize="0,0"/>
              <v:stroke on="f" weight="0.5pt"/>
              <v:imagedata o:title=""/>
              <o:lock v:ext="edit" aspectratio="f"/>
              <v:textbox inset="0mm,0mm,0mm,0mm" style="mso-fit-shape-to-text:t;">
                <w:txbxContent>
                  <w:sdt>
                    <w:sdtPr>
                      <w:rPr>
                        <w:rStyle w:val="316"/>
                      </w:rPr>
                      <w:tag w:val="RS_Classification_Standard"/>
                      <w:id w:val="79093500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6"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948359424"/>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4384;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IvKDdQAAAAGAQAADwAAAAAAAAABACAAAAAiAAAAZHJzL2Rvd25yZXYueG1sUEsBAhQA&#10;FAAAAAgAh07iQJh1OyAvAgAAdgQAAA4AAAAAAAAAAQAgAAAAIwEAAGRycy9lMm9Eb2MueG1sUEsF&#10;BgAAAAAGAAYAWQEAAMQFAAAAAA==&#10;">
              <v:fill on="f" focussize="0,0"/>
              <v:stroke on="f" weight="0.5pt"/>
              <v:imagedata o:title=""/>
              <o:lock v:ext="edit" aspectratio="f"/>
              <v:textbox inset="0mm,0mm,0mm,0mm" style="mso-fit-shape-to-text:t;">
                <w:txbxContent>
                  <w:sdt>
                    <w:sdtPr>
                      <w:rPr>
                        <w:rStyle w:val="316"/>
                      </w:rPr>
                      <w:tag w:val="RS_Classification_Standard"/>
                      <w:id w:val="948359424"/>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7456"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9"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55339630"/>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7456;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4i8oN1AAAAAYBAAAPAAAAAAAAAAEAIAAAACIAAABkcnMvZG93bnJldi54bWxQSwEC&#10;FAAUAAAACACHTuJA7sdq3DECAAB2BAAADgAAAAAAAAABACAAAAAjAQAAZHJzL2Uyb0RvYy54bWxQ&#10;SwUGAAAAAAYABgBZAQAAxgUAAAAA&#10;">
              <v:fill on="f" focussize="0,0"/>
              <v:stroke on="f" weight="0.5pt"/>
              <v:imagedata o:title=""/>
              <o:lock v:ext="edit" aspectratio="f"/>
              <v:textbox inset="0mm,0mm,0mm,0mm" style="mso-fit-shape-to-text:t;">
                <w:txbxContent>
                  <w:sdt>
                    <w:sdtPr>
                      <w:rPr>
                        <w:rStyle w:val="316"/>
                      </w:rPr>
                      <w:tag w:val="RS_Classification_Standard"/>
                      <w:id w:val="155339630"/>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0528"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12"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694486653"/>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0528;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iLyg3UAAAABgEAAA8AAAAAAAAAAQAgAAAAIgAAAGRycy9kb3ducmV2LnhtbFBLAQIU&#10;ABQAAAAIAIdO4kAd3CX7MAIAAHcEAAAOAAAAAAAAAAEAIAAAACMBAABkcnMvZTJvRG9jLnhtbFBL&#10;BQYAAAAABgAGAFkBAADFBQAAAAA=&#10;">
              <v:fill on="f" focussize="0,0"/>
              <v:stroke on="f" weight="0.5pt"/>
              <v:imagedata o:title=""/>
              <o:lock v:ext="edit" aspectratio="f"/>
              <v:textbox inset="0mm,0mm,0mm,0mm" style="mso-fit-shape-to-text:t;">
                <w:txbxContent>
                  <w:sdt>
                    <w:sdtPr>
                      <w:rPr>
                        <w:rStyle w:val="316"/>
                      </w:rPr>
                      <w:tag w:val="RS_Classification_Standard"/>
                      <w:id w:val="1694486653"/>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3600"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15"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80481476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3600;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iLyg3UAAAABgEAAA8AAAAAAAAAAQAgAAAAIgAAAGRycy9kb3ducmV2LnhtbFBLAQIU&#10;ABQAAAAIAIdO4kC7R6CNMAIAAHcEAAAOAAAAAAAAAAEAIAAAACMBAABkcnMvZTJvRG9jLnhtbFBL&#10;BQYAAAAABgAGAFkBAADFBQAAAAA=&#10;">
              <v:fill on="f" focussize="0,0"/>
              <v:stroke on="f" weight="0.5pt"/>
              <v:imagedata o:title=""/>
              <o:lock v:ext="edit" aspectratio="f"/>
              <v:textbox inset="0mm,0mm,0mm,0mm" style="mso-fit-shape-to-text:t;">
                <w:txbxContent>
                  <w:sdt>
                    <w:sdtPr>
                      <w:rPr>
                        <w:rStyle w:val="316"/>
                      </w:rPr>
                      <w:tag w:val="RS_Classification_Standard"/>
                      <w:id w:val="180481476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7696"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1"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784226153"/>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7696;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iLyg3UAAAABgEAAA8AAAAAAAAAAQAgAAAAIgAAAGRycy9kb3ducmV2LnhtbFBLAQIU&#10;ABQAAAAIAIdO4kBL0J1ZMAIAAHcEAAAOAAAAAAAAAAEAIAAAACMBAABkcnMvZTJvRG9jLnhtbFBL&#10;BQYAAAAABgAGAFkBAADFBQAAAAA=&#10;">
              <v:fill on="f" focussize="0,0"/>
              <v:stroke on="f" weight="0.5pt"/>
              <v:imagedata o:title=""/>
              <o:lock v:ext="edit" aspectratio="f"/>
              <v:textbox inset="0mm,0mm,0mm,0mm" style="mso-fit-shape-to-text:t;">
                <w:txbxContent>
                  <w:sdt>
                    <w:sdtPr>
                      <w:rPr>
                        <w:rStyle w:val="316"/>
                      </w:rPr>
                      <w:tag w:val="RS_Classification_Standard"/>
                      <w:id w:val="1784226153"/>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Bdr>
        <w:bottom w:val="none" w:color="auto" w:sz="0" w:space="1"/>
      </w:pBdr>
    </w:pPr>
    <w:r>
      <mc:AlternateContent>
        <mc:Choice Requires="wps">
          <w:drawing>
            <wp:anchor distT="0" distB="0" distL="114300" distR="114300" simplePos="0" relativeHeight="251665408"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7"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24861484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5408;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iLyg3UAAAABgEAAA8AAAAAAAAAAQAgAAAAIgAAAGRycy9kb3ducmV2LnhtbFBLAQIU&#10;ABQAAAAIAIdO4kCi8GExMAIAAHYEAAAOAAAAAAAAAAEAIAAAACMBAABkcnMvZTJvRG9jLnhtbFBL&#10;BQYAAAAABgAGAFkBAADFBQAAAAA=&#10;">
              <v:fill on="f" focussize="0,0"/>
              <v:stroke on="f" weight="0.5pt"/>
              <v:imagedata o:title=""/>
              <o:lock v:ext="edit" aspectratio="f"/>
              <v:textbox inset="0mm,0mm,0mm,0mm" style="mso-fit-shape-to-text:t;">
                <w:txbxContent>
                  <w:sdt>
                    <w:sdtPr>
                      <w:rPr>
                        <w:rStyle w:val="316"/>
                      </w:rPr>
                      <w:tag w:val="RS_Classification_Standard"/>
                      <w:id w:val="124861484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8480"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10"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696312005"/>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8480;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IvKDdQAAAAGAQAADwAAAAAAAAABACAAAAAiAAAAZHJzL2Rvd25yZXYueG1sUEsBAhQA&#10;FAAAAAgAh07iQGnWkNkvAgAAdwQAAA4AAAAAAAAAAQAgAAAAIwEAAGRycy9lMm9Eb2MueG1sUEsF&#10;BgAAAAAGAAYAWQEAAMQFAAAAAA==&#10;">
              <v:fill on="f" focussize="0,0"/>
              <v:stroke on="f" weight="0.5pt"/>
              <v:imagedata o:title=""/>
              <o:lock v:ext="edit" aspectratio="f"/>
              <v:textbox inset="0mm,0mm,0mm,0mm" style="mso-fit-shape-to-text:t;">
                <w:txbxContent>
                  <w:sdt>
                    <w:sdtPr>
                      <w:rPr>
                        <w:rStyle w:val="316"/>
                      </w:rPr>
                      <w:tag w:val="RS_Classification_Standard"/>
                      <w:id w:val="696312005"/>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8720"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2"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5349998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8720;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4i8oN1AAAAAYBAAAPAAAAAAAAAAEAIAAAACIAAABkcnMvZG93bnJldi54bWxQSwEC&#10;FAAUAAAACACHTuJABV9yajECAAB3BAAADgAAAAAAAAABACAAAAAjAQAAZHJzL2Uyb0RvYy54bWxQ&#10;SwUGAAAAAAYABgBZAQAAxgUAAAAA&#10;">
              <v:fill on="f" focussize="0,0"/>
              <v:stroke on="f" weight="0.5pt"/>
              <v:imagedata o:title=""/>
              <o:lock v:ext="edit" aspectratio="f"/>
              <v:textbox inset="0mm,0mm,0mm,0mm" style="mso-fit-shape-to-text:t;">
                <w:txbxContent>
                  <w:sdt>
                    <w:sdtPr>
                      <w:rPr>
                        <w:rStyle w:val="316"/>
                      </w:rPr>
                      <w:tag w:val="RS_Classification_Standard"/>
                      <w:id w:val="5349998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Bdr>
        <w:bottom w:val="none" w:color="auto" w:sz="0" w:space="1"/>
      </w:pBdr>
    </w:pPr>
    <w:r>
      <mc:AlternateContent>
        <mc:Choice Requires="wps">
          <w:drawing>
            <wp:anchor distT="0" distB="0" distL="114300" distR="114300" simplePos="0" relativeHeight="251671552"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13"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6336423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1552;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iLyg3UAAAABgEAAA8AAAAAAAAAAQAgAAAAIgAAAGRycy9kb3ducmV2LnhtbFBLAQIU&#10;ABQAAAAIAIdO4kAnWX/qMAIAAHcEAAAOAAAAAAAAAAEAIAAAACMBAABkcnMvZTJvRG9jLnhtbFBL&#10;BQYAAAAABgAGAFkBAADFBQAAAAA=&#10;">
              <v:fill on="f" focussize="0,0"/>
              <v:stroke on="f" weight="0.5pt"/>
              <v:imagedata o:title=""/>
              <o:lock v:ext="edit" aspectratio="f"/>
              <v:textbox inset="0mm,0mm,0mm,0mm" style="mso-fit-shape-to-text:t;">
                <w:txbxContent>
                  <w:sdt>
                    <w:sdtPr>
                      <w:rPr>
                        <w:rStyle w:val="316"/>
                      </w:rPr>
                      <w:tag w:val="RS_Classification_Standard"/>
                      <w:id w:val="16336423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9744"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3"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7242431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9744;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4i8oN1AAAAAYBAAAPAAAAAAAAAAEAIAAAACIAAABkcnMvZG93bnJldi54bWxQSwEC&#10;FAAUAAAACACHTuJAP9ooezECAAB3BAAADgAAAAAAAAABACAAAAAjAQAAZHJzL2Uyb0RvYy54bWxQ&#10;SwUGAAAAAAYABgBZAQAAxgUAAAAA&#10;">
              <v:fill on="f" focussize="0,0"/>
              <v:stroke on="f" weight="0.5pt"/>
              <v:imagedata o:title=""/>
              <o:lock v:ext="edit" aspectratio="f"/>
              <v:textbox inset="0mm,0mm,0mm,0mm" style="mso-fit-shape-to-text:t;">
                <w:txbxContent>
                  <w:sdt>
                    <w:sdtPr>
                      <w:rPr>
                        <w:rStyle w:val="316"/>
                      </w:rPr>
                      <w:tag w:val="RS_Classification_Standard"/>
                      <w:id w:val="17242431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r>
      <w:rPr>
        <w:rFonts w:hint="eastAsia" w:ascii="宋体" w:hAnsi="宋体"/>
        <w:sz w:val="21"/>
        <w:szCs w:val="21"/>
        <w:lang w:val="en-US" w:eastAsia="zh-CN"/>
      </w:rPr>
      <w:t>驱动电机轴电测试仪器配件项目</w:t>
    </w:r>
    <w:r>
      <w:rPr>
        <w:rFonts w:hint="eastAsia" w:ascii="宋体" w:hAnsi="宋体"/>
        <w:sz w:val="21"/>
        <w:szCs w:val="21"/>
      </w:rPr>
      <w:t>技术标书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r>
      <mc:AlternateContent>
        <mc:Choice Requires="wps">
          <w:drawing>
            <wp:anchor distT="0" distB="0" distL="114300" distR="114300" simplePos="0" relativeHeight="251674624"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18"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958217864"/>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4624;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iLyg3UAAAABgEAAA8AAAAAAAAAAQAgAAAAIgAAAGRycy9kb3ducmV2LnhtbFBLAQIU&#10;ABQAAAAIAIdO4kC5/0RTMAIAAHcEAAAOAAAAAAAAAAEAIAAAACMBAABkcnMvZTJvRG9jLnhtbFBL&#10;BQYAAAAABgAGAFkBAADFBQAAAAA=&#10;">
              <v:fill on="f" focussize="0,0"/>
              <v:stroke on="f" weight="0.5pt"/>
              <v:imagedata o:title=""/>
              <o:lock v:ext="edit" aspectratio="f"/>
              <v:textbox inset="0mm,0mm,0mm,0mm" style="mso-fit-shape-to-text:t;">
                <w:txbxContent>
                  <w:sdt>
                    <w:sdtPr>
                      <w:rPr>
                        <w:rStyle w:val="316"/>
                      </w:rPr>
                      <w:tag w:val="RS_Classification_Standard"/>
                      <w:id w:val="1958217864"/>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Fonts w:ascii="宋体" w:hAnsi="宋体"/>
        <w:sz w:val="21"/>
        <w:szCs w:val="21"/>
      </w:rPr>
    </w:pPr>
    <w:r>
      <w:rPr>
        <w:rFonts w:hint="eastAsia" w:ascii="宋体" w:hAnsi="宋体"/>
        <w:sz w:val="21"/>
        <w:szCs w:val="21"/>
        <w:lang w:val="en-US" w:eastAsia="zh-CN"/>
      </w:rPr>
      <w:t>驱动电机轴电测试仪器配件项目</w:t>
    </w:r>
    <w:r>
      <w:rPr>
        <w:rFonts w:hint="eastAsia" w:ascii="宋体" w:hAnsi="宋体"/>
        <w:sz w:val="21"/>
        <w:szCs w:val="21"/>
      </w:rPr>
      <w:t>技术标书</w:t>
    </w:r>
    <w:r>
      <mc:AlternateContent>
        <mc:Choice Requires="wps">
          <w:drawing>
            <wp:anchor distT="0" distB="0" distL="114300" distR="114300" simplePos="0" relativeHeight="251680768"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4"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84944979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80768;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4i8oN1AAAAAYBAAAPAAAAAAAAAAEAIAAAACIAAABkcnMvZG93bnJldi54bWxQSwEC&#10;FAAUAAAACACHTuJAmUGtDTECAAB3BAAADgAAAAAAAAABACAAAAAjAQAAZHJzL2Uyb0RvYy54bWxQ&#10;SwUGAAAAAAYABgBZAQAAxgUAAAAA&#10;">
              <v:fill on="f" focussize="0,0"/>
              <v:stroke on="f" weight="0.5pt"/>
              <v:imagedata o:title=""/>
              <o:lock v:ext="edit" aspectratio="f"/>
              <v:textbox inset="0mm,0mm,0mm,0mm" style="mso-fit-shape-to-text:t;">
                <w:txbxContent>
                  <w:sdt>
                    <w:sdtPr>
                      <w:rPr>
                        <w:rStyle w:val="316"/>
                      </w:rPr>
                      <w:tag w:val="RS_Classification_Standard"/>
                      <w:id w:val="84944979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page">
                <wp:posOffset>180340</wp:posOffset>
              </wp:positionV>
              <wp:extent cx="5767070" cy="327660"/>
              <wp:effectExtent l="0" t="0" r="0" b="0"/>
              <wp:wrapNone/>
              <wp:docPr id="4"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4058769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59264;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IvKDQsBAAAGAQAADwAAAAAAAAABACAAAAAiAAAAZHJzL2Rvd25yZXYueG1sUEsBAhQA&#10;FAAAAAgAh07iQOx/jgIxAgAAdgQAAA4AAAAAAAAAAQAgAAAAWgEAAGRycy9lMm9Eb2MueG1sUEsF&#10;BgAAAAAGAAYAWQEAAP0FAAAAAA==&#10;">
              <v:fill on="f" focussize="0,0"/>
              <v:stroke on="f" weight="0.5pt"/>
              <v:imagedata o:title=""/>
              <o:lock v:ext="edit" aspectratio="f"/>
              <v:textbox inset="0mm,0mm,0mm,0mm" style="mso-fit-shape-to-text:t;">
                <w:txbxContent>
                  <w:sdt>
                    <w:sdtPr>
                      <w:rPr>
                        <w:rStyle w:val="316"/>
                      </w:rPr>
                      <w:tag w:val="RS_Classification_Standard"/>
                      <w:id w:val="14058769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align>left</wp:align>
              </wp:positionH>
              <wp:positionV relativeFrom="page">
                <wp:posOffset>180340</wp:posOffset>
              </wp:positionV>
              <wp:extent cx="5767070" cy="327660"/>
              <wp:effectExtent l="0" t="0" r="0" b="0"/>
              <wp:wrapNone/>
              <wp:docPr id="3"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83866444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2336;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4i8oNCwEAAAYBAAAPAAAAAAAAAAEAIAAAACIAAABkcnMvZG93bnJldi54bWxQSwECFAAU&#10;AAAACACHTuJASuQLdDACAAB2BAAADgAAAAAAAAABACAAAABaAQAAZHJzL2Uyb0RvYy54bWxQSwUG&#10;AAAAAAYABgBZAQAA/AUAAAAA&#10;">
              <v:fill on="f" focussize="0,0"/>
              <v:stroke on="f" weight="0.5pt"/>
              <v:imagedata o:title=""/>
              <o:lock v:ext="edit" aspectratio="f"/>
              <v:textbox inset="0mm,0mm,0mm,0mm" style="mso-fit-shape-to-text:t;">
                <w:txbxContent>
                  <w:sdt>
                    <w:sdtPr>
                      <w:rPr>
                        <w:rStyle w:val="316"/>
                      </w:rPr>
                      <w:tag w:val="RS_Classification_Standard"/>
                      <w:id w:val="83866444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5648" behindDoc="0" locked="1" layoutInCell="1" allowOverlap="1">
              <wp:simplePos x="0" y="0"/>
              <wp:positionH relativeFrom="margin">
                <wp:align>left</wp:align>
              </wp:positionH>
              <wp:positionV relativeFrom="page">
                <wp:posOffset>180340</wp:posOffset>
              </wp:positionV>
              <wp:extent cx="5767070" cy="327660"/>
              <wp:effectExtent l="0" t="0" r="0" b="0"/>
              <wp:wrapNone/>
              <wp:docPr id="19"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353614942"/>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5648;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IvKDQsBAAAGAQAADwAAAAAAAAABACAAAAAiAAAAZHJzL2Rvd25yZXYueG1sUEsBAhQA&#10;FAAAAAgAh07iQIN6HkIxAgAAdwQAAA4AAAAAAAAAAQAgAAAAWgEAAGRycy9lMm9Eb2MueG1sUEsF&#10;BgAAAAAGAAYAWQEAAP0FAAAAAA==&#10;">
              <v:fill on="f" focussize="0,0"/>
              <v:stroke on="f" weight="0.5pt"/>
              <v:imagedata o:title=""/>
              <o:lock v:ext="edit" aspectratio="f"/>
              <v:textbox inset="0mm,0mm,0mm,0mm" style="mso-fit-shape-to-text:t;">
                <w:txbxContent>
                  <w:sdt>
                    <w:sdtPr>
                      <w:rPr>
                        <w:rStyle w:val="316"/>
                      </w:rPr>
                      <w:tag w:val="RS_Classification_Standard"/>
                      <w:id w:val="1353614942"/>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r>
      <mc:AlternateContent>
        <mc:Choice Requires="wps">
          <w:drawing>
            <wp:anchor distT="0" distB="0" distL="114300" distR="114300" simplePos="0" relativeHeight="251661312"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16"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474754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1312;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4i8oNCwEAAAYBAAAPAAAAAAAAAAEAIAAAACIAAABkcnMvZG93bnJldi54bWxQSwECFAAU&#10;AAAACACHTuJA9chPvjACAAB3BAAADgAAAAAAAAABACAAAABaAQAAZHJzL2Uyb0RvYy54bWxQSwUG&#10;AAAAAAYABgBZAQAA/AUAAAAA&#10;">
              <v:fill on="f" focussize="0,0"/>
              <v:stroke on="f" weight="0.5pt"/>
              <v:imagedata o:title=""/>
              <o:lock v:ext="edit" aspectratio="f"/>
              <v:textbox inset="0mm,0mm,0mm,0mm" style="mso-fit-shape-to-text:t;">
                <w:txbxContent>
                  <w:sdt>
                    <w:sdtPr>
                      <w:rPr>
                        <w:rStyle w:val="316"/>
                      </w:rPr>
                      <w:tag w:val="RS_Classification_Standard"/>
                      <w:id w:val="1474754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17"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474592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4384;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4i8oNCwEAAAYBAAAPAAAAAAAAAAEAIAAAACIAAABkcnMvZG93bnJldi54bWxQSwECFAAU&#10;AAAACACHTuJAz00VrzACAAB3BAAADgAAAAAAAAABACAAAABaAQAAZHJzL2Uyb0RvYy54bWxQSwUG&#10;AAAAAAYABgBZAQAA/AUAAAAA&#10;">
              <v:fill on="f" focussize="0,0"/>
              <v:stroke on="f" weight="0.5pt"/>
              <v:imagedata o:title=""/>
              <o:lock v:ext="edit" aspectratio="f"/>
              <v:textbox inset="0mm,0mm,0mm,0mm" style="mso-fit-shape-to-text:t;">
                <w:txbxContent>
                  <w:sdt>
                    <w:sdtPr>
                      <w:rPr>
                        <w:rStyle w:val="316"/>
                      </w:rPr>
                      <w:tag w:val="RS_Classification_Standard"/>
                      <w:id w:val="147459209"/>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7456"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5"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47467852"/>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7456;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4i8oN1AAAAAYBAAAPAAAAAAAAAAEAIAAAACIAAABkcnMvZG93bnJldi54bWxQSwEC&#10;FAAUAAAACACHTuJAo8T3HDECAAB3BAAADgAAAAAAAAABACAAAAAjAQAAZHJzL2Uyb0RvYy54bWxQ&#10;SwUGAAAAAAYABgBZAQAAxgUAAAAA&#10;">
              <v:fill on="f" focussize="0,0"/>
              <v:stroke on="f" weight="0.5pt"/>
              <v:imagedata o:title=""/>
              <o:lock v:ext="edit" aspectratio="f"/>
              <v:textbox inset="0mm,0mm,0mm,0mm" style="mso-fit-shape-to-text:t;">
                <w:txbxContent>
                  <w:sdt>
                    <w:sdtPr>
                      <w:rPr>
                        <w:rStyle w:val="316"/>
                      </w:rPr>
                      <w:tag w:val="RS_Classification_Standard"/>
                      <w:id w:val="147467852"/>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0528"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6"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4748244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0528;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IvKDQsBAAAGAQAADwAAAAAAAAABACAAAAAiAAAAZHJzL2Rvd25yZXYueG1sUEsBAhQA&#10;FAAAAAgAh07iQO1LGC8xAgAAdwQAAA4AAAAAAAAAAQAgAAAAWgEAAGRycy9lMm9Eb2MueG1sUEsF&#10;BgAAAAAGAAYAWQEAAP0FAAAAAA==&#10;">
              <v:fill on="f" focussize="0,0"/>
              <v:stroke on="f" weight="0.5pt"/>
              <v:imagedata o:title=""/>
              <o:lock v:ext="edit" aspectratio="f"/>
              <v:textbox inset="0mm,0mm,0mm,0mm" style="mso-fit-shape-to-text:t;">
                <w:txbxContent>
                  <w:sdt>
                    <w:sdtPr>
                      <w:rPr>
                        <w:rStyle w:val="316"/>
                      </w:rPr>
                      <w:tag w:val="RS_Classification_Standard"/>
                      <w:id w:val="14748244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3600"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7"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4747319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3600;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IvKDQsBAAAGAQAADwAAAAAAAAABACAAAAAiAAAAZHJzL2Rvd25yZXYueG1sUEsBAhQA&#10;FAAAAAgAh07iQNfOQj4xAgAAdwQAAA4AAAAAAAAAAQAgAAAAWgEAAGRycy9lMm9Eb2MueG1sUEsF&#10;BgAAAAAGAAYAWQEAAP0FAAAAAA==&#10;">
              <v:fill on="f" focussize="0,0"/>
              <v:stroke on="f" weight="0.5pt"/>
              <v:imagedata o:title=""/>
              <o:lock v:ext="edit" aspectratio="f"/>
              <v:textbox inset="0mm,0mm,0mm,0mm" style="mso-fit-shape-to-text:t;">
                <w:txbxContent>
                  <w:sdt>
                    <w:sdtPr>
                      <w:rPr>
                        <w:rStyle w:val="316"/>
                      </w:rPr>
                      <w:tag w:val="RS_Classification_Standard"/>
                      <w:id w:val="14747319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7696" behindDoc="0" locked="1" layoutInCell="1" allowOverlap="1">
              <wp:simplePos x="0" y="0"/>
              <wp:positionH relativeFrom="margin">
                <wp:align>left</wp:align>
              </wp:positionH>
              <wp:positionV relativeFrom="page">
                <wp:posOffset>180340</wp:posOffset>
              </wp:positionV>
              <wp:extent cx="5767070" cy="327660"/>
              <wp:effectExtent l="0" t="0" r="15240" b="8890"/>
              <wp:wrapNone/>
              <wp:docPr id="28"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4746968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7696;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IvKDQsBAAAGAQAADwAAAAAAAAABACAAAAAiAAAAZHJzL2Rvd25yZXYueG1sUEsBAhQA&#10;FAAAAAgAh07iQKF8E8IxAgAAdwQAAA4AAAAAAAAAAQAgAAAAWgEAAGRycy9lMm9Eb2MueG1sUEsF&#10;BgAAAAAGAAYAWQEAAP0FAAAAAA==&#10;">
              <v:fill on="f" focussize="0,0"/>
              <v:stroke on="f" weight="0.5pt"/>
              <v:imagedata o:title=""/>
              <o:lock v:ext="edit" aspectratio="f"/>
              <v:textbox inset="0mm,0mm,0mm,0mm" style="mso-fit-shape-to-text:t;">
                <w:txbxContent>
                  <w:sdt>
                    <w:sdtPr>
                      <w:rPr>
                        <w:rStyle w:val="316"/>
                      </w:rPr>
                      <w:tag w:val="RS_Classification_Standard"/>
                      <w:id w:val="147469687"/>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r>
      <mc:AlternateContent>
        <mc:Choice Requires="wps">
          <w:drawing>
            <wp:anchor distT="0" distB="0" distL="114300" distR="114300" simplePos="0" relativeHeight="251660288" behindDoc="0" locked="1" layoutInCell="1" allowOverlap="1">
              <wp:simplePos x="0" y="0"/>
              <wp:positionH relativeFrom="margin">
                <wp:align>left</wp:align>
              </wp:positionH>
              <wp:positionV relativeFrom="page">
                <wp:posOffset>180340</wp:posOffset>
              </wp:positionV>
              <wp:extent cx="5767070" cy="327660"/>
              <wp:effectExtent l="0" t="0" r="0" b="0"/>
              <wp:wrapNone/>
              <wp:docPr id="1"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691884974"/>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0288;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iLyg0LAQAABgEAAA8AAAAAAAAAAQAgAAAAIgAAAGRycy9kb3ducmV2LnhtbFBLAQIUABQA&#10;AAAIAIdO4kA+7r5WLwIAAHYEAAAOAAAAAAAAAAEAIAAAAFoBAABkcnMvZTJvRG9jLnhtbFBLBQYA&#10;AAAABgAGAFkBAAD7BQAAAAA=&#10;">
              <v:fill on="f" focussize="0,0"/>
              <v:stroke on="f" weight="0.5pt"/>
              <v:imagedata o:title=""/>
              <o:lock v:ext="edit" aspectratio="f"/>
              <v:textbox inset="0mm,0mm,0mm,0mm" style="mso-fit-shape-to-text:t;">
                <w:txbxContent>
                  <w:sdt>
                    <w:sdtPr>
                      <w:rPr>
                        <w:rStyle w:val="316"/>
                      </w:rPr>
                      <w:tag w:val="RS_Classification_Standard"/>
                      <w:id w:val="1691884974"/>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align>left</wp:align>
              </wp:positionH>
              <wp:positionV relativeFrom="page">
                <wp:posOffset>180340</wp:posOffset>
              </wp:positionV>
              <wp:extent cx="5767070" cy="327660"/>
              <wp:effectExtent l="0" t="0" r="0" b="0"/>
              <wp:wrapNone/>
              <wp:docPr id="5"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204054533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3360;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">
              <v:fill on="f" focussize="0,0"/>
              <v:stroke on="f" weight="0.5pt"/>
              <v:imagedata o:title=""/>
              <o:lock v:ext="edit" aspectratio="f"/>
              <v:textbox inset="0mm,0mm,0mm,0mm" style="mso-fit-shape-to-text:t;">
                <w:txbxContent>
                  <w:sdt>
                    <w:sdtPr>
                      <w:rPr>
                        <w:rStyle w:val="316"/>
                      </w:rPr>
                      <w:tag w:val="RS_Classification_Standard"/>
                      <w:id w:val="204054533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6432" behindDoc="0" locked="1" layoutInCell="1" allowOverlap="1">
              <wp:simplePos x="0" y="0"/>
              <wp:positionH relativeFrom="margin">
                <wp:align>left</wp:align>
              </wp:positionH>
              <wp:positionV relativeFrom="page">
                <wp:posOffset>180340</wp:posOffset>
              </wp:positionV>
              <wp:extent cx="5767070" cy="327660"/>
              <wp:effectExtent l="0" t="0" r="0" b="0"/>
              <wp:wrapNone/>
              <wp:docPr id="8"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857385412"/>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6432;mso-width-relative:page;mso-height-relative:page;" filled="f" stroked="f" coordsize="21600,21600" o:gfxdata="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&#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uIvKDdQAAAAGAQAADwAAAAAAAAABACAAAAAiAAAAZHJz&#10;L2Rvd25yZXYueG1sUEsBAhQAFAAAAAgAh07iQNRCMM17BAAAdgQAAA4AAAAAAAAAAQAgAAAAIwEA&#10;AGRycy9lMm9Eb2MueG1sUEsFBgAAAAAGAAYAWQEAABAIAAAAAA==&#10;">
              <v:fill on="f" focussize="0,0"/>
              <v:stroke on="f" weight="0.5pt"/>
              <v:imagedata o:title=""/>
              <o:lock v:ext="edit" aspectratio="f"/>
              <v:textbox inset="0mm,0mm,0mm,0mm" style="mso-fit-shape-to-text:t;">
                <w:txbxContent>
                  <w:sdt>
                    <w:sdtPr>
                      <w:rPr>
                        <w:rStyle w:val="316"/>
                      </w:rPr>
                      <w:tag w:val="RS_Classification_Standard"/>
                      <w:id w:val="1857385412"/>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69504" behindDoc="0" locked="1" layoutInCell="1" allowOverlap="1">
              <wp:simplePos x="0" y="0"/>
              <wp:positionH relativeFrom="margin">
                <wp:align>left</wp:align>
              </wp:positionH>
              <wp:positionV relativeFrom="page">
                <wp:posOffset>180340</wp:posOffset>
              </wp:positionV>
              <wp:extent cx="5767070" cy="327660"/>
              <wp:effectExtent l="0" t="0" r="0" b="0"/>
              <wp:wrapNone/>
              <wp:docPr id="11"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64099179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69504;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">
              <v:fill on="f" focussize="0,0"/>
              <v:stroke on="f" weight="0.5pt"/>
              <v:imagedata o:title=""/>
              <o:lock v:ext="edit" aspectratio="f"/>
              <v:textbox inset="0mm,0mm,0mm,0mm" style="mso-fit-shape-to-text:t;">
                <w:txbxContent>
                  <w:sdt>
                    <w:sdtPr>
                      <w:rPr>
                        <w:rStyle w:val="316"/>
                      </w:rPr>
                      <w:tag w:val="RS_Classification_Standard"/>
                      <w:id w:val="1640991798"/>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2576" behindDoc="0" locked="1" layoutInCell="1" allowOverlap="1">
              <wp:simplePos x="0" y="0"/>
              <wp:positionH relativeFrom="margin">
                <wp:align>left</wp:align>
              </wp:positionH>
              <wp:positionV relativeFrom="page">
                <wp:posOffset>180340</wp:posOffset>
              </wp:positionV>
              <wp:extent cx="5767070" cy="327660"/>
              <wp:effectExtent l="0" t="0" r="0" b="0"/>
              <wp:wrapNone/>
              <wp:docPr id="14"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83009786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2576;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">
              <v:fill on="f" focussize="0,0"/>
              <v:stroke on="f" weight="0.5pt"/>
              <v:imagedata o:title=""/>
              <o:lock v:ext="edit" aspectratio="f"/>
              <v:textbox inset="0mm,0mm,0mm,0mm" style="mso-fit-shape-to-text:t;">
                <w:txbxContent>
                  <w:sdt>
                    <w:sdtPr>
                      <w:rPr>
                        <w:rStyle w:val="316"/>
                      </w:rPr>
                      <w:tag w:val="RS_Classification_Standard"/>
                      <w:id w:val="1830097866"/>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r>
      <mc:AlternateContent>
        <mc:Choice Requires="wps">
          <w:drawing>
            <wp:anchor distT="0" distB="0" distL="114300" distR="114300" simplePos="0" relativeHeight="251676672" behindDoc="0" locked="1" layoutInCell="1" allowOverlap="1">
              <wp:simplePos x="0" y="0"/>
              <wp:positionH relativeFrom="margin">
                <wp:align>left</wp:align>
              </wp:positionH>
              <wp:positionV relativeFrom="page">
                <wp:posOffset>180340</wp:posOffset>
              </wp:positionV>
              <wp:extent cx="5767070" cy="327660"/>
              <wp:effectExtent l="0" t="0" r="0" b="0"/>
              <wp:wrapNone/>
              <wp:docPr id="20" name="Classification_Textbox" descr="Classification"/>
              <wp:cNvGraphicFramePr/>
              <a:graphic xmlns:a="http://schemas.openxmlformats.org/drawingml/2006/main">
                <a:graphicData uri="http://schemas.microsoft.com/office/word/2010/wordprocessingShape">
                  <wps:wsp>
                    <wps:cNvSpPr txBox="1"/>
                    <wps:spPr>
                      <a:xfrm>
                        <a:off x="0" y="0"/>
                        <a:ext cx="5767200" cy="327600"/>
                      </a:xfrm>
                      <a:prstGeom prst="rect">
                        <a:avLst/>
                      </a:prstGeom>
                      <a:noFill/>
                      <a:ln w="6350">
                        <a:noFill/>
                      </a:ln>
                    </wps:spPr>
                    <wps:txbx>
                      <w:txbxContent>
                        <w:sdt>
                          <w:sdtPr>
                            <w:rPr>
                              <w:rStyle w:val="316"/>
                            </w:rPr>
                            <w:tag w:val="RS_Classification_Standard"/>
                            <w:id w:val="-1"/>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Classification_Textbox" o:spid="_x0000_s1026" o:spt="202" alt="Classification" type="#_x0000_t202" style="position:absolute;left:0pt;margin-top:14.2pt;height:25.8pt;width:454.1pt;mso-position-horizontal:left;mso-position-horizontal-relative:margin;mso-position-vertical-relative:page;mso-wrap-style:none;z-index:251676672;mso-width-relative:page;mso-height-relative:page;" filled="f" stroked="f" coordsize="21600,21600" o:gfxdata="UEsDBAoAAAAAAIdO4kAAAAAAAAAAAAAAAAAEAAAAZHJzL1BLAwQUAAAACACHTuJAuIvKDQsBAAAG&#10;AQAADwAAAGRycy9kb3ducmV2LnhtbAEGAfn+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4i8oNCwEAAAYBAAAPAAAAAAAAAAEAIAAAACIAAABkcnMvZG93bnJldi54bWxQSwECFAAU&#10;AAAACACHTuJAcVXHSDACAAB3BAAADgAAAAAAAAABACAAAABaAQAAZHJzL2Uyb0RvYy54bWxQSwUG&#10;AAAAAAYABgBZAQAA/AUAAAAA&#10;">
              <v:fill on="f" focussize="0,0"/>
              <v:stroke on="f" weight="0.5pt"/>
              <v:imagedata o:title=""/>
              <o:lock v:ext="edit" aspectratio="f"/>
              <v:textbox inset="0mm,0mm,0mm,0mm" style="mso-fit-shape-to-text:t;">
                <w:txbxContent>
                  <w:sdt>
                    <w:sdtPr>
                      <w:rPr>
                        <w:rStyle w:val="316"/>
                      </w:rPr>
                      <w:tag w:val="RS_Classification_Standard"/>
                      <w:id w:val="-1"/>
                    </w:sdtPr>
                    <w:sdtEndPr>
                      <w:rPr>
                        <w:rStyle w:val="84"/>
                        <w:rFonts w:ascii="等线" w:hAnsi="等线" w:eastAsia="等线" w:cs="Times New Roman"/>
                        <w:b w:val="0"/>
                        <w:bCs w:val="0"/>
                        <w:caps w:val="0"/>
                        <w:color w:val="auto"/>
                        <w:spacing w:val="0"/>
                        <w:sz w:val="21"/>
                        <w:szCs w:val="21"/>
                        <w:lang w:val="fr-CH"/>
                      </w:rPr>
                    </w:sdtEndPr>
                    <w:sdtContent>
                      <w:p>
                        <w:pPr>
                          <w:pStyle w:val="222"/>
                          <w:rPr>
                            <w:lang w:val="fr-CH"/>
                          </w:rPr>
                        </w:pPr>
                        <w:r>
                          <w:rPr>
                            <w:rStyle w:val="316"/>
                          </w:rPr>
                          <w:t xml:space="preserve"> </w:t>
                        </w:r>
                      </w:p>
                    </w:sdtContent>
                  </w:sdt>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0707E0B"/>
    <w:multiLevelType w:val="multilevel"/>
    <w:tmpl w:val="00707E0B"/>
    <w:lvl w:ilvl="0" w:tentative="0">
      <w:start w:val="1"/>
      <w:numFmt w:val="bullet"/>
      <w:pStyle w:val="25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25B54A36"/>
    <w:multiLevelType w:val="multilevel"/>
    <w:tmpl w:val="25B54A36"/>
    <w:lvl w:ilvl="0" w:tentative="0">
      <w:start w:val="1"/>
      <w:numFmt w:val="bullet"/>
      <w:pStyle w:val="20"/>
      <w:lvlText w:val="ı"/>
      <w:lvlJc w:val="left"/>
      <w:pPr>
        <w:tabs>
          <w:tab w:val="left" w:pos="425"/>
        </w:tabs>
        <w:ind w:left="425" w:hanging="425"/>
      </w:pPr>
      <w:rPr>
        <w:rFonts w:ascii="Arial Black" w:hAnsi="Arial Black" w:cs="Arial Black"/>
        <w:sz w:val="18"/>
        <w:szCs w:val="18"/>
      </w:rPr>
    </w:lvl>
    <w:lvl w:ilvl="1" w:tentative="0">
      <w:start w:val="1"/>
      <w:numFmt w:val="bullet"/>
      <w:pStyle w:val="19"/>
      <w:lvlText w:val="▪"/>
      <w:lvlJc w:val="left"/>
      <w:pPr>
        <w:tabs>
          <w:tab w:val="left" w:pos="851"/>
        </w:tabs>
        <w:ind w:left="850" w:hanging="425"/>
      </w:pPr>
      <w:rPr>
        <w:rFonts w:hint="default" w:ascii="Arial" w:hAnsi="Arial" w:cs="Arial"/>
        <w:sz w:val="18"/>
        <w:szCs w:val="18"/>
      </w:rPr>
    </w:lvl>
    <w:lvl w:ilvl="2" w:tentative="0">
      <w:start w:val="1"/>
      <w:numFmt w:val="bullet"/>
      <w:pStyle w:val="18"/>
      <w:lvlText w:val="▪"/>
      <w:lvlJc w:val="left"/>
      <w:pPr>
        <w:tabs>
          <w:tab w:val="left" w:pos="1276"/>
        </w:tabs>
        <w:ind w:left="1275" w:hanging="425"/>
      </w:pPr>
      <w:rPr>
        <w:rFonts w:hint="default" w:ascii="Arial" w:hAnsi="Arial" w:cs="Arial"/>
        <w:sz w:val="18"/>
        <w:szCs w:val="18"/>
      </w:rPr>
    </w:lvl>
    <w:lvl w:ilvl="3" w:tentative="0">
      <w:start w:val="1"/>
      <w:numFmt w:val="bullet"/>
      <w:pStyle w:val="17"/>
      <w:lvlText w:val="▪"/>
      <w:lvlJc w:val="left"/>
      <w:pPr>
        <w:tabs>
          <w:tab w:val="left" w:pos="1701"/>
        </w:tabs>
        <w:ind w:left="1700" w:hanging="425"/>
      </w:pPr>
      <w:rPr>
        <w:rFonts w:hint="default" w:ascii="Arial" w:hAnsi="Arial" w:cs="Arial"/>
        <w:sz w:val="18"/>
        <w:szCs w:val="18"/>
      </w:rPr>
    </w:lvl>
    <w:lvl w:ilvl="4" w:tentative="0">
      <w:start w:val="1"/>
      <w:numFmt w:val="bullet"/>
      <w:pStyle w:val="45"/>
      <w:lvlText w:val="▪"/>
      <w:lvlJc w:val="left"/>
      <w:pPr>
        <w:tabs>
          <w:tab w:val="left" w:pos="2126"/>
        </w:tabs>
        <w:ind w:left="2125" w:hanging="425"/>
      </w:pPr>
      <w:rPr>
        <w:rFonts w:hint="default" w:ascii="Arial" w:hAnsi="Arial" w:cs="Arial"/>
        <w:sz w:val="18"/>
      </w:rPr>
    </w:lvl>
    <w:lvl w:ilvl="5" w:tentative="0">
      <w:start w:val="1"/>
      <w:numFmt w:val="bullet"/>
      <w:lvlText w:val="▪"/>
      <w:lvlJc w:val="left"/>
      <w:pPr>
        <w:tabs>
          <w:tab w:val="left" w:pos="2552"/>
        </w:tabs>
        <w:ind w:left="2550" w:hanging="425"/>
      </w:pPr>
      <w:rPr>
        <w:rFonts w:hint="default" w:ascii="Arial" w:hAnsi="Arial" w:cs="Arial"/>
        <w:sz w:val="18"/>
        <w:szCs w:val="18"/>
      </w:rPr>
    </w:lvl>
    <w:lvl w:ilvl="6" w:tentative="0">
      <w:start w:val="1"/>
      <w:numFmt w:val="bullet"/>
      <w:lvlText w:val="▪"/>
      <w:lvlJc w:val="left"/>
      <w:pPr>
        <w:tabs>
          <w:tab w:val="left" w:pos="2977"/>
        </w:tabs>
        <w:ind w:left="2975" w:hanging="425"/>
      </w:pPr>
      <w:rPr>
        <w:rFonts w:hint="default" w:ascii="Arial" w:hAnsi="Arial" w:cs="Arial"/>
        <w:sz w:val="18"/>
      </w:rPr>
    </w:lvl>
    <w:lvl w:ilvl="7" w:tentative="0">
      <w:start w:val="1"/>
      <w:numFmt w:val="bullet"/>
      <w:lvlText w:val="▪"/>
      <w:lvlJc w:val="left"/>
      <w:pPr>
        <w:tabs>
          <w:tab w:val="left" w:pos="3402"/>
        </w:tabs>
        <w:ind w:left="3400" w:hanging="425"/>
      </w:pPr>
      <w:rPr>
        <w:rFonts w:hint="default" w:ascii="Arial" w:hAnsi="Arial" w:cs="Arial"/>
        <w:sz w:val="18"/>
        <w:szCs w:val="18"/>
      </w:rPr>
    </w:lvl>
    <w:lvl w:ilvl="8" w:tentative="0">
      <w:start w:val="1"/>
      <w:numFmt w:val="bullet"/>
      <w:lvlText w:val="▪"/>
      <w:lvlJc w:val="left"/>
      <w:pPr>
        <w:tabs>
          <w:tab w:val="left" w:pos="3827"/>
        </w:tabs>
        <w:ind w:left="3825" w:hanging="425"/>
      </w:pPr>
      <w:rPr>
        <w:rFonts w:ascii="Arial" w:hAnsi="Arial" w:cs="Arial"/>
        <w:sz w:val="18"/>
        <w:szCs w:val="18"/>
      </w:rPr>
    </w:lvl>
  </w:abstractNum>
  <w:abstractNum w:abstractNumId="6">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7">
    <w:nsid w:val="35F1211B"/>
    <w:multiLevelType w:val="multilevel"/>
    <w:tmpl w:val="35F1211B"/>
    <w:lvl w:ilvl="0" w:tentative="0">
      <w:start w:val="1"/>
      <w:numFmt w:val="bullet"/>
      <w:pStyle w:val="256"/>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3CC9199A"/>
    <w:multiLevelType w:val="singleLevel"/>
    <w:tmpl w:val="3CC9199A"/>
    <w:lvl w:ilvl="0" w:tentative="0">
      <w:start w:val="1"/>
      <w:numFmt w:val="decimal"/>
      <w:pStyle w:val="186"/>
      <w:lvlText w:val="（%1）"/>
      <w:lvlJc w:val="left"/>
      <w:pPr>
        <w:tabs>
          <w:tab w:val="left" w:pos="720"/>
        </w:tabs>
        <w:ind w:left="720" w:hanging="720"/>
      </w:pPr>
      <w:rPr>
        <w:rFonts w:hint="eastAsia"/>
      </w:rPr>
    </w:lvl>
  </w:abstractNum>
  <w:abstractNum w:abstractNumId="9">
    <w:nsid w:val="44244AED"/>
    <w:multiLevelType w:val="multilevel"/>
    <w:tmpl w:val="44244AED"/>
    <w:lvl w:ilvl="0" w:tentative="0">
      <w:start w:val="1"/>
      <w:numFmt w:val="lowerLetter"/>
      <w:lvlText w:val="%1)"/>
      <w:lvlJc w:val="left"/>
      <w:pPr>
        <w:ind w:left="1470" w:hanging="420"/>
      </w:p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10">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1">
    <w:nsid w:val="4A084D8E"/>
    <w:multiLevelType w:val="multilevel"/>
    <w:tmpl w:val="4A084D8E"/>
    <w:lvl w:ilvl="0" w:tentative="0">
      <w:start w:val="1"/>
      <w:numFmt w:val="decimal"/>
      <w:pStyle w:val="15"/>
      <w:lvlText w:val="%1."/>
      <w:lvlJc w:val="left"/>
      <w:pPr>
        <w:tabs>
          <w:tab w:val="left" w:pos="425"/>
        </w:tabs>
        <w:ind w:left="425" w:hanging="425"/>
      </w:pPr>
      <w:rPr>
        <w:rFonts w:hint="default"/>
      </w:rPr>
    </w:lvl>
    <w:lvl w:ilvl="1" w:tentative="0">
      <w:start w:val="1"/>
      <w:numFmt w:val="decimal"/>
      <w:pStyle w:val="14"/>
      <w:lvlText w:val="%2."/>
      <w:lvlJc w:val="left"/>
      <w:pPr>
        <w:tabs>
          <w:tab w:val="left" w:pos="850"/>
        </w:tabs>
        <w:ind w:left="850" w:hanging="425"/>
      </w:pPr>
      <w:rPr>
        <w:rFonts w:hint="default"/>
      </w:rPr>
    </w:lvl>
    <w:lvl w:ilvl="2" w:tentative="0">
      <w:start w:val="1"/>
      <w:numFmt w:val="decimal"/>
      <w:pStyle w:val="37"/>
      <w:lvlText w:val="%3."/>
      <w:lvlJc w:val="left"/>
      <w:pPr>
        <w:tabs>
          <w:tab w:val="left" w:pos="1275"/>
        </w:tabs>
        <w:ind w:left="1275" w:hanging="425"/>
      </w:pPr>
      <w:rPr>
        <w:rFonts w:hint="default"/>
      </w:rPr>
    </w:lvl>
    <w:lvl w:ilvl="3" w:tentative="0">
      <w:start w:val="1"/>
      <w:numFmt w:val="decimal"/>
      <w:pStyle w:val="46"/>
      <w:lvlText w:val="%4."/>
      <w:lvlJc w:val="left"/>
      <w:pPr>
        <w:tabs>
          <w:tab w:val="left" w:pos="1700"/>
        </w:tabs>
        <w:ind w:left="1700" w:hanging="425"/>
      </w:pPr>
      <w:rPr>
        <w:rFonts w:hint="default"/>
      </w:rPr>
    </w:lvl>
    <w:lvl w:ilvl="4" w:tentative="0">
      <w:start w:val="1"/>
      <w:numFmt w:val="decimal"/>
      <w:pStyle w:val="65"/>
      <w:lvlText w:val="%5."/>
      <w:lvlJc w:val="left"/>
      <w:pPr>
        <w:tabs>
          <w:tab w:val="left" w:pos="2125"/>
        </w:tabs>
        <w:ind w:left="2125" w:hanging="425"/>
      </w:pPr>
      <w:rPr>
        <w:rFonts w:hint="default"/>
      </w:rPr>
    </w:lvl>
    <w:lvl w:ilvl="5" w:tentative="0">
      <w:start w:val="1"/>
      <w:numFmt w:val="decimal"/>
      <w:lvlText w:val="%6."/>
      <w:lvlJc w:val="left"/>
      <w:pPr>
        <w:tabs>
          <w:tab w:val="left" w:pos="2550"/>
        </w:tabs>
        <w:ind w:left="2550" w:hanging="425"/>
      </w:pPr>
      <w:rPr>
        <w:rFonts w:hint="default"/>
      </w:rPr>
    </w:lvl>
    <w:lvl w:ilvl="6" w:tentative="0">
      <w:start w:val="1"/>
      <w:numFmt w:val="decimal"/>
      <w:lvlText w:val="%7."/>
      <w:lvlJc w:val="left"/>
      <w:pPr>
        <w:tabs>
          <w:tab w:val="left" w:pos="2975"/>
        </w:tabs>
        <w:ind w:left="2975" w:hanging="425"/>
      </w:pPr>
      <w:rPr>
        <w:rFonts w:hint="default"/>
      </w:rPr>
    </w:lvl>
    <w:lvl w:ilvl="7" w:tentative="0">
      <w:start w:val="1"/>
      <w:numFmt w:val="decimal"/>
      <w:lvlText w:val="%8."/>
      <w:lvlJc w:val="left"/>
      <w:pPr>
        <w:tabs>
          <w:tab w:val="left" w:pos="3400"/>
        </w:tabs>
        <w:ind w:left="3400" w:hanging="425"/>
      </w:pPr>
      <w:rPr>
        <w:rFonts w:hint="default"/>
      </w:rPr>
    </w:lvl>
    <w:lvl w:ilvl="8" w:tentative="0">
      <w:start w:val="1"/>
      <w:numFmt w:val="decimal"/>
      <w:lvlText w:val="%9."/>
      <w:lvlJc w:val="left"/>
      <w:pPr>
        <w:tabs>
          <w:tab w:val="left" w:pos="3825"/>
        </w:tabs>
        <w:ind w:left="3825" w:hanging="425"/>
      </w:pPr>
      <w:rPr>
        <w:rFonts w:hint="default"/>
      </w:rPr>
    </w:lvl>
  </w:abstractNum>
  <w:abstractNum w:abstractNumId="12">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3">
    <w:nsid w:val="55C53BB0"/>
    <w:multiLevelType w:val="multilevel"/>
    <w:tmpl w:val="55C53BB0"/>
    <w:lvl w:ilvl="0" w:tentative="0">
      <w:start w:val="1"/>
      <w:numFmt w:val="bullet"/>
      <w:pStyle w:val="621"/>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4">
    <w:nsid w:val="56902673"/>
    <w:multiLevelType w:val="multilevel"/>
    <w:tmpl w:val="56902673"/>
    <w:lvl w:ilvl="0" w:tentative="0">
      <w:start w:val="1"/>
      <w:numFmt w:val="none"/>
      <w:pStyle w:val="38"/>
      <w:suff w:val="nothing"/>
      <w:lvlText w:val=""/>
      <w:lvlJc w:val="left"/>
      <w:pPr>
        <w:ind w:left="425" w:firstLine="0"/>
      </w:pPr>
      <w:rPr>
        <w:rFonts w:hint="default"/>
      </w:rPr>
    </w:lvl>
    <w:lvl w:ilvl="1" w:tentative="0">
      <w:start w:val="1"/>
      <w:numFmt w:val="none"/>
      <w:pStyle w:val="54"/>
      <w:suff w:val="nothing"/>
      <w:lvlText w:val=""/>
      <w:lvlJc w:val="left"/>
      <w:pPr>
        <w:ind w:left="850" w:firstLine="1"/>
      </w:pPr>
      <w:rPr>
        <w:rFonts w:hint="default"/>
      </w:rPr>
    </w:lvl>
    <w:lvl w:ilvl="2" w:tentative="0">
      <w:start w:val="1"/>
      <w:numFmt w:val="none"/>
      <w:pStyle w:val="53"/>
      <w:suff w:val="nothing"/>
      <w:lvlText w:val=""/>
      <w:lvlJc w:val="left"/>
      <w:pPr>
        <w:ind w:left="1275" w:firstLine="1"/>
      </w:pPr>
      <w:rPr>
        <w:rFonts w:hint="default"/>
      </w:rPr>
    </w:lvl>
    <w:lvl w:ilvl="3" w:tentative="0">
      <w:start w:val="1"/>
      <w:numFmt w:val="none"/>
      <w:pStyle w:val="52"/>
      <w:suff w:val="nothing"/>
      <w:lvlText w:val=""/>
      <w:lvlJc w:val="left"/>
      <w:pPr>
        <w:ind w:left="1700" w:firstLine="1"/>
      </w:pPr>
      <w:rPr>
        <w:rFonts w:hint="default"/>
      </w:rPr>
    </w:lvl>
    <w:lvl w:ilvl="4" w:tentative="0">
      <w:start w:val="1"/>
      <w:numFmt w:val="none"/>
      <w:pStyle w:val="51"/>
      <w:suff w:val="nothing"/>
      <w:lvlText w:val=""/>
      <w:lvlJc w:val="left"/>
      <w:pPr>
        <w:ind w:left="2125" w:firstLine="1"/>
      </w:pPr>
      <w:rPr>
        <w:rFonts w:hint="default"/>
      </w:rPr>
    </w:lvl>
    <w:lvl w:ilvl="5" w:tentative="0">
      <w:start w:val="1"/>
      <w:numFmt w:val="none"/>
      <w:suff w:val="nothing"/>
      <w:lvlText w:val=""/>
      <w:lvlJc w:val="left"/>
      <w:pPr>
        <w:ind w:left="2550" w:firstLine="2"/>
      </w:pPr>
      <w:rPr>
        <w:rFonts w:hint="default"/>
      </w:rPr>
    </w:lvl>
    <w:lvl w:ilvl="6" w:tentative="0">
      <w:start w:val="1"/>
      <w:numFmt w:val="none"/>
      <w:suff w:val="nothing"/>
      <w:lvlText w:val=""/>
      <w:lvlJc w:val="left"/>
      <w:pPr>
        <w:ind w:left="2975" w:firstLine="2"/>
      </w:pPr>
      <w:rPr>
        <w:rFonts w:hint="default"/>
      </w:rPr>
    </w:lvl>
    <w:lvl w:ilvl="7" w:tentative="0">
      <w:start w:val="1"/>
      <w:numFmt w:val="none"/>
      <w:suff w:val="nothing"/>
      <w:lvlText w:val=""/>
      <w:lvlJc w:val="left"/>
      <w:pPr>
        <w:ind w:left="3400" w:firstLine="2"/>
      </w:pPr>
      <w:rPr>
        <w:rFonts w:hint="default"/>
      </w:rPr>
    </w:lvl>
    <w:lvl w:ilvl="8" w:tentative="0">
      <w:start w:val="1"/>
      <w:numFmt w:val="none"/>
      <w:suff w:val="nothing"/>
      <w:lvlText w:val=""/>
      <w:lvlJc w:val="left"/>
      <w:pPr>
        <w:ind w:left="3825" w:firstLine="2"/>
      </w:pPr>
      <w:rPr>
        <w:rFonts w:hint="default"/>
      </w:rPr>
    </w:lvl>
  </w:abstractNum>
  <w:abstractNum w:abstractNumId="15">
    <w:nsid w:val="73FC5F53"/>
    <w:multiLevelType w:val="singleLevel"/>
    <w:tmpl w:val="73FC5F53"/>
    <w:lvl w:ilvl="0" w:tentative="0">
      <w:start w:val="1"/>
      <w:numFmt w:val="bullet"/>
      <w:pStyle w:val="188"/>
      <w:lvlText w:val=""/>
      <w:lvlJc w:val="left"/>
      <w:pPr>
        <w:tabs>
          <w:tab w:val="left" w:pos="360"/>
        </w:tabs>
        <w:ind w:left="360" w:hanging="360"/>
      </w:pPr>
      <w:rPr>
        <w:rFonts w:hint="default" w:ascii="Wingdings" w:hAnsi="Wingdings"/>
      </w:rPr>
    </w:lvl>
  </w:abstractNum>
  <w:abstractNum w:abstractNumId="16">
    <w:nsid w:val="791C08BF"/>
    <w:multiLevelType w:val="singleLevel"/>
    <w:tmpl w:val="791C08BF"/>
    <w:lvl w:ilvl="0" w:tentative="0">
      <w:start w:val="1"/>
      <w:numFmt w:val="bullet"/>
      <w:pStyle w:val="217"/>
      <w:lvlText w:val=""/>
      <w:lvlJc w:val="left"/>
      <w:pPr>
        <w:tabs>
          <w:tab w:val="left" w:pos="1440"/>
        </w:tabs>
        <w:ind w:left="1440" w:hanging="360"/>
      </w:pPr>
      <w:rPr>
        <w:rFonts w:hint="default" w:ascii="Symbol" w:hAnsi="Symbol"/>
      </w:rPr>
    </w:lvl>
  </w:abstractNum>
  <w:num w:numId="1">
    <w:abstractNumId w:val="11"/>
  </w:num>
  <w:num w:numId="2">
    <w:abstractNumId w:val="5"/>
  </w:num>
  <w:num w:numId="3">
    <w:abstractNumId w:val="14"/>
  </w:num>
  <w:num w:numId="4">
    <w:abstractNumId w:val="8"/>
  </w:num>
  <w:num w:numId="5">
    <w:abstractNumId w:val="15"/>
  </w:num>
  <w:num w:numId="6">
    <w:abstractNumId w:val="16"/>
  </w:num>
  <w:num w:numId="7">
    <w:abstractNumId w:val="7"/>
  </w:num>
  <w:num w:numId="8">
    <w:abstractNumId w:val="2"/>
  </w:num>
  <w:num w:numId="9">
    <w:abstractNumId w:val="13"/>
  </w:num>
  <w:num w:numId="10">
    <w:abstractNumId w:val="12"/>
  </w:num>
  <w:num w:numId="11">
    <w:abstractNumId w:val="4"/>
  </w:num>
  <w:num w:numId="12">
    <w:abstractNumId w:val="3"/>
  </w:num>
  <w:num w:numId="13">
    <w:abstractNumId w:val="10"/>
  </w:num>
  <w:num w:numId="14">
    <w:abstractNumId w:val="1"/>
  </w:num>
  <w:num w:numId="15">
    <w:abstractNumId w:val="6"/>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BF"/>
    <w:rsid w:val="000006FD"/>
    <w:rsid w:val="00000945"/>
    <w:rsid w:val="00000BCD"/>
    <w:rsid w:val="000014D3"/>
    <w:rsid w:val="00001583"/>
    <w:rsid w:val="00001DCB"/>
    <w:rsid w:val="000026B8"/>
    <w:rsid w:val="00002D05"/>
    <w:rsid w:val="00002E7F"/>
    <w:rsid w:val="000035CB"/>
    <w:rsid w:val="00003B94"/>
    <w:rsid w:val="0000455F"/>
    <w:rsid w:val="0000561E"/>
    <w:rsid w:val="000056AD"/>
    <w:rsid w:val="00005AF4"/>
    <w:rsid w:val="000062BC"/>
    <w:rsid w:val="00006391"/>
    <w:rsid w:val="00007273"/>
    <w:rsid w:val="000076E1"/>
    <w:rsid w:val="00007869"/>
    <w:rsid w:val="00007986"/>
    <w:rsid w:val="00007BF6"/>
    <w:rsid w:val="00007D8E"/>
    <w:rsid w:val="00010663"/>
    <w:rsid w:val="00010983"/>
    <w:rsid w:val="00010BB4"/>
    <w:rsid w:val="00010FB5"/>
    <w:rsid w:val="0001108A"/>
    <w:rsid w:val="000116CE"/>
    <w:rsid w:val="00011CD4"/>
    <w:rsid w:val="00012018"/>
    <w:rsid w:val="000124D3"/>
    <w:rsid w:val="000126A7"/>
    <w:rsid w:val="00012BE7"/>
    <w:rsid w:val="00013B94"/>
    <w:rsid w:val="000140D2"/>
    <w:rsid w:val="000142C2"/>
    <w:rsid w:val="0001436E"/>
    <w:rsid w:val="000145AF"/>
    <w:rsid w:val="000147FA"/>
    <w:rsid w:val="00014869"/>
    <w:rsid w:val="0001489D"/>
    <w:rsid w:val="00014AF4"/>
    <w:rsid w:val="0001589B"/>
    <w:rsid w:val="00015965"/>
    <w:rsid w:val="00015CF2"/>
    <w:rsid w:val="00016CB2"/>
    <w:rsid w:val="00016E3B"/>
    <w:rsid w:val="00016FC6"/>
    <w:rsid w:val="0001727C"/>
    <w:rsid w:val="00017F5B"/>
    <w:rsid w:val="00017FBA"/>
    <w:rsid w:val="0002055A"/>
    <w:rsid w:val="000212B1"/>
    <w:rsid w:val="000221B2"/>
    <w:rsid w:val="0002256C"/>
    <w:rsid w:val="00022BFC"/>
    <w:rsid w:val="00023513"/>
    <w:rsid w:val="000237E4"/>
    <w:rsid w:val="00023C33"/>
    <w:rsid w:val="00024457"/>
    <w:rsid w:val="000246CB"/>
    <w:rsid w:val="00024DE6"/>
    <w:rsid w:val="00025179"/>
    <w:rsid w:val="00025313"/>
    <w:rsid w:val="0002582C"/>
    <w:rsid w:val="00025E3D"/>
    <w:rsid w:val="00025E68"/>
    <w:rsid w:val="000260A9"/>
    <w:rsid w:val="00026635"/>
    <w:rsid w:val="000270A5"/>
    <w:rsid w:val="000274F3"/>
    <w:rsid w:val="00027CCC"/>
    <w:rsid w:val="00027D30"/>
    <w:rsid w:val="000304EA"/>
    <w:rsid w:val="00030772"/>
    <w:rsid w:val="00030803"/>
    <w:rsid w:val="00030D5D"/>
    <w:rsid w:val="00031085"/>
    <w:rsid w:val="00031258"/>
    <w:rsid w:val="0003151C"/>
    <w:rsid w:val="00031713"/>
    <w:rsid w:val="00031CBE"/>
    <w:rsid w:val="00032057"/>
    <w:rsid w:val="00032438"/>
    <w:rsid w:val="00032F3A"/>
    <w:rsid w:val="00033243"/>
    <w:rsid w:val="0003453C"/>
    <w:rsid w:val="0003492F"/>
    <w:rsid w:val="00034EB4"/>
    <w:rsid w:val="00035188"/>
    <w:rsid w:val="00035800"/>
    <w:rsid w:val="0003634B"/>
    <w:rsid w:val="000364D0"/>
    <w:rsid w:val="0003662F"/>
    <w:rsid w:val="0003676C"/>
    <w:rsid w:val="00036917"/>
    <w:rsid w:val="0003696B"/>
    <w:rsid w:val="00036AAA"/>
    <w:rsid w:val="00036E78"/>
    <w:rsid w:val="000370BC"/>
    <w:rsid w:val="000370DE"/>
    <w:rsid w:val="000378BF"/>
    <w:rsid w:val="000378D5"/>
    <w:rsid w:val="000378E0"/>
    <w:rsid w:val="00037F4D"/>
    <w:rsid w:val="0004101D"/>
    <w:rsid w:val="0004135D"/>
    <w:rsid w:val="0004174D"/>
    <w:rsid w:val="00041F46"/>
    <w:rsid w:val="00042237"/>
    <w:rsid w:val="000426B5"/>
    <w:rsid w:val="00042F1B"/>
    <w:rsid w:val="00043761"/>
    <w:rsid w:val="000437B4"/>
    <w:rsid w:val="00043921"/>
    <w:rsid w:val="00043B31"/>
    <w:rsid w:val="00043E7D"/>
    <w:rsid w:val="00044E39"/>
    <w:rsid w:val="0004503B"/>
    <w:rsid w:val="00045FAC"/>
    <w:rsid w:val="00046522"/>
    <w:rsid w:val="000473C2"/>
    <w:rsid w:val="00047AD5"/>
    <w:rsid w:val="0005002B"/>
    <w:rsid w:val="00050398"/>
    <w:rsid w:val="00051579"/>
    <w:rsid w:val="000516CC"/>
    <w:rsid w:val="000519FD"/>
    <w:rsid w:val="00051A84"/>
    <w:rsid w:val="0005210E"/>
    <w:rsid w:val="000521BB"/>
    <w:rsid w:val="0005298D"/>
    <w:rsid w:val="00052B83"/>
    <w:rsid w:val="00052E0C"/>
    <w:rsid w:val="00052E85"/>
    <w:rsid w:val="00053949"/>
    <w:rsid w:val="00053D15"/>
    <w:rsid w:val="000547D0"/>
    <w:rsid w:val="00054DB2"/>
    <w:rsid w:val="0005518A"/>
    <w:rsid w:val="000551C4"/>
    <w:rsid w:val="00055C8D"/>
    <w:rsid w:val="000562B9"/>
    <w:rsid w:val="000562E1"/>
    <w:rsid w:val="0005663E"/>
    <w:rsid w:val="0005665C"/>
    <w:rsid w:val="00056FFD"/>
    <w:rsid w:val="00057108"/>
    <w:rsid w:val="00057392"/>
    <w:rsid w:val="0005774D"/>
    <w:rsid w:val="00057B9F"/>
    <w:rsid w:val="00057F5E"/>
    <w:rsid w:val="00060239"/>
    <w:rsid w:val="000602EB"/>
    <w:rsid w:val="0006053F"/>
    <w:rsid w:val="000606C7"/>
    <w:rsid w:val="000608C3"/>
    <w:rsid w:val="00060FC1"/>
    <w:rsid w:val="0006109E"/>
    <w:rsid w:val="0006136B"/>
    <w:rsid w:val="00061517"/>
    <w:rsid w:val="000617E9"/>
    <w:rsid w:val="0006220F"/>
    <w:rsid w:val="000626B3"/>
    <w:rsid w:val="00062B50"/>
    <w:rsid w:val="00063085"/>
    <w:rsid w:val="00063568"/>
    <w:rsid w:val="00063620"/>
    <w:rsid w:val="00063903"/>
    <w:rsid w:val="000639E7"/>
    <w:rsid w:val="00064578"/>
    <w:rsid w:val="000649CA"/>
    <w:rsid w:val="00064C1C"/>
    <w:rsid w:val="00064C36"/>
    <w:rsid w:val="00064D86"/>
    <w:rsid w:val="00064F88"/>
    <w:rsid w:val="00065478"/>
    <w:rsid w:val="000664CD"/>
    <w:rsid w:val="00066685"/>
    <w:rsid w:val="000666AF"/>
    <w:rsid w:val="00066FB5"/>
    <w:rsid w:val="00067151"/>
    <w:rsid w:val="0006768C"/>
    <w:rsid w:val="00067867"/>
    <w:rsid w:val="00067A60"/>
    <w:rsid w:val="0007042D"/>
    <w:rsid w:val="00070AE1"/>
    <w:rsid w:val="00070CEF"/>
    <w:rsid w:val="000714A2"/>
    <w:rsid w:val="00071741"/>
    <w:rsid w:val="00071B28"/>
    <w:rsid w:val="00071B86"/>
    <w:rsid w:val="00071C1E"/>
    <w:rsid w:val="000726CC"/>
    <w:rsid w:val="00072A29"/>
    <w:rsid w:val="00072A96"/>
    <w:rsid w:val="00072B53"/>
    <w:rsid w:val="00074330"/>
    <w:rsid w:val="00074494"/>
    <w:rsid w:val="000744F5"/>
    <w:rsid w:val="00074735"/>
    <w:rsid w:val="00074924"/>
    <w:rsid w:val="00074AC3"/>
    <w:rsid w:val="0007526C"/>
    <w:rsid w:val="00075B89"/>
    <w:rsid w:val="00076B52"/>
    <w:rsid w:val="00076ECD"/>
    <w:rsid w:val="0007701D"/>
    <w:rsid w:val="00077374"/>
    <w:rsid w:val="0007777B"/>
    <w:rsid w:val="0008006D"/>
    <w:rsid w:val="0008080E"/>
    <w:rsid w:val="00080B32"/>
    <w:rsid w:val="00081380"/>
    <w:rsid w:val="0008164E"/>
    <w:rsid w:val="000816D9"/>
    <w:rsid w:val="00081A98"/>
    <w:rsid w:val="00081F41"/>
    <w:rsid w:val="0008202E"/>
    <w:rsid w:val="0008211D"/>
    <w:rsid w:val="00082151"/>
    <w:rsid w:val="000825CD"/>
    <w:rsid w:val="00083710"/>
    <w:rsid w:val="00083999"/>
    <w:rsid w:val="00083A72"/>
    <w:rsid w:val="00083C90"/>
    <w:rsid w:val="00083CBB"/>
    <w:rsid w:val="00083CEE"/>
    <w:rsid w:val="00083F08"/>
    <w:rsid w:val="000841F6"/>
    <w:rsid w:val="0008454C"/>
    <w:rsid w:val="000851C9"/>
    <w:rsid w:val="00085361"/>
    <w:rsid w:val="00085B6E"/>
    <w:rsid w:val="00086313"/>
    <w:rsid w:val="000864AF"/>
    <w:rsid w:val="00087EF4"/>
    <w:rsid w:val="00087FFE"/>
    <w:rsid w:val="00090124"/>
    <w:rsid w:val="0009108A"/>
    <w:rsid w:val="000914E0"/>
    <w:rsid w:val="00091E23"/>
    <w:rsid w:val="00091E89"/>
    <w:rsid w:val="00092162"/>
    <w:rsid w:val="00092FA7"/>
    <w:rsid w:val="000931C5"/>
    <w:rsid w:val="00093FE6"/>
    <w:rsid w:val="000940E3"/>
    <w:rsid w:val="000940FA"/>
    <w:rsid w:val="00094531"/>
    <w:rsid w:val="00094A02"/>
    <w:rsid w:val="00094B43"/>
    <w:rsid w:val="00094EC9"/>
    <w:rsid w:val="00094FC4"/>
    <w:rsid w:val="000955BC"/>
    <w:rsid w:val="00096279"/>
    <w:rsid w:val="000965B6"/>
    <w:rsid w:val="00096725"/>
    <w:rsid w:val="00096878"/>
    <w:rsid w:val="00097349"/>
    <w:rsid w:val="000978EF"/>
    <w:rsid w:val="000A0240"/>
    <w:rsid w:val="000A075E"/>
    <w:rsid w:val="000A08AC"/>
    <w:rsid w:val="000A0AAB"/>
    <w:rsid w:val="000A0B0F"/>
    <w:rsid w:val="000A0EDD"/>
    <w:rsid w:val="000A1165"/>
    <w:rsid w:val="000A1653"/>
    <w:rsid w:val="000A16CC"/>
    <w:rsid w:val="000A175D"/>
    <w:rsid w:val="000A189C"/>
    <w:rsid w:val="000A1E38"/>
    <w:rsid w:val="000A202D"/>
    <w:rsid w:val="000A2991"/>
    <w:rsid w:val="000A2BA0"/>
    <w:rsid w:val="000A2CBE"/>
    <w:rsid w:val="000A2E65"/>
    <w:rsid w:val="000A455E"/>
    <w:rsid w:val="000A467C"/>
    <w:rsid w:val="000A5015"/>
    <w:rsid w:val="000A5072"/>
    <w:rsid w:val="000A56C6"/>
    <w:rsid w:val="000A5CB4"/>
    <w:rsid w:val="000A7708"/>
    <w:rsid w:val="000A77D3"/>
    <w:rsid w:val="000A7C07"/>
    <w:rsid w:val="000A7D18"/>
    <w:rsid w:val="000A7EDB"/>
    <w:rsid w:val="000B0319"/>
    <w:rsid w:val="000B0880"/>
    <w:rsid w:val="000B13B8"/>
    <w:rsid w:val="000B1727"/>
    <w:rsid w:val="000B1A29"/>
    <w:rsid w:val="000B1FB2"/>
    <w:rsid w:val="000B265F"/>
    <w:rsid w:val="000B2E26"/>
    <w:rsid w:val="000B43D7"/>
    <w:rsid w:val="000B45A1"/>
    <w:rsid w:val="000B5234"/>
    <w:rsid w:val="000B527D"/>
    <w:rsid w:val="000B5A9E"/>
    <w:rsid w:val="000B5ED8"/>
    <w:rsid w:val="000B66CB"/>
    <w:rsid w:val="000B67AC"/>
    <w:rsid w:val="000B6DD8"/>
    <w:rsid w:val="000B705B"/>
    <w:rsid w:val="000B736D"/>
    <w:rsid w:val="000B73D9"/>
    <w:rsid w:val="000B7790"/>
    <w:rsid w:val="000C039B"/>
    <w:rsid w:val="000C0413"/>
    <w:rsid w:val="000C069C"/>
    <w:rsid w:val="000C074E"/>
    <w:rsid w:val="000C114A"/>
    <w:rsid w:val="000C1BB6"/>
    <w:rsid w:val="000C1BC5"/>
    <w:rsid w:val="000C28D0"/>
    <w:rsid w:val="000C2B7F"/>
    <w:rsid w:val="000C30B6"/>
    <w:rsid w:val="000C3497"/>
    <w:rsid w:val="000C4635"/>
    <w:rsid w:val="000C4AF1"/>
    <w:rsid w:val="000C4B81"/>
    <w:rsid w:val="000C4D35"/>
    <w:rsid w:val="000C65C2"/>
    <w:rsid w:val="000C69A7"/>
    <w:rsid w:val="000C70E4"/>
    <w:rsid w:val="000C7D41"/>
    <w:rsid w:val="000D00CE"/>
    <w:rsid w:val="000D0AB1"/>
    <w:rsid w:val="000D12FA"/>
    <w:rsid w:val="000D139D"/>
    <w:rsid w:val="000D14A9"/>
    <w:rsid w:val="000D1C01"/>
    <w:rsid w:val="000D2BD6"/>
    <w:rsid w:val="000D2E23"/>
    <w:rsid w:val="000D3249"/>
    <w:rsid w:val="000D3325"/>
    <w:rsid w:val="000D3626"/>
    <w:rsid w:val="000D470F"/>
    <w:rsid w:val="000D486E"/>
    <w:rsid w:val="000D4D7C"/>
    <w:rsid w:val="000D4DE0"/>
    <w:rsid w:val="000D4EA2"/>
    <w:rsid w:val="000D5ACE"/>
    <w:rsid w:val="000D6C0C"/>
    <w:rsid w:val="000D7A5B"/>
    <w:rsid w:val="000E0A1B"/>
    <w:rsid w:val="000E0FC3"/>
    <w:rsid w:val="000E141B"/>
    <w:rsid w:val="000E1616"/>
    <w:rsid w:val="000E1B0C"/>
    <w:rsid w:val="000E1B37"/>
    <w:rsid w:val="000E2510"/>
    <w:rsid w:val="000E26EA"/>
    <w:rsid w:val="000E2919"/>
    <w:rsid w:val="000E29BD"/>
    <w:rsid w:val="000E2B2F"/>
    <w:rsid w:val="000E2B50"/>
    <w:rsid w:val="000E2D3A"/>
    <w:rsid w:val="000E30B5"/>
    <w:rsid w:val="000E329A"/>
    <w:rsid w:val="000E33DF"/>
    <w:rsid w:val="000E34AF"/>
    <w:rsid w:val="000E356E"/>
    <w:rsid w:val="000E35CF"/>
    <w:rsid w:val="000E3832"/>
    <w:rsid w:val="000E3B33"/>
    <w:rsid w:val="000E3E12"/>
    <w:rsid w:val="000E4395"/>
    <w:rsid w:val="000E4834"/>
    <w:rsid w:val="000E4E16"/>
    <w:rsid w:val="000E4EE9"/>
    <w:rsid w:val="000E60BE"/>
    <w:rsid w:val="000E60D4"/>
    <w:rsid w:val="000E665A"/>
    <w:rsid w:val="000E66C9"/>
    <w:rsid w:val="000E6AE6"/>
    <w:rsid w:val="000E6C4D"/>
    <w:rsid w:val="000E70CB"/>
    <w:rsid w:val="000E738E"/>
    <w:rsid w:val="000E781C"/>
    <w:rsid w:val="000E7881"/>
    <w:rsid w:val="000F02A3"/>
    <w:rsid w:val="000F0989"/>
    <w:rsid w:val="000F0A1B"/>
    <w:rsid w:val="000F0FBE"/>
    <w:rsid w:val="000F13A6"/>
    <w:rsid w:val="000F14DA"/>
    <w:rsid w:val="000F1724"/>
    <w:rsid w:val="000F180E"/>
    <w:rsid w:val="000F19DA"/>
    <w:rsid w:val="000F2319"/>
    <w:rsid w:val="000F2BB4"/>
    <w:rsid w:val="000F3377"/>
    <w:rsid w:val="000F33AD"/>
    <w:rsid w:val="000F3869"/>
    <w:rsid w:val="000F3A83"/>
    <w:rsid w:val="000F3DF8"/>
    <w:rsid w:val="000F4027"/>
    <w:rsid w:val="000F4035"/>
    <w:rsid w:val="000F41C8"/>
    <w:rsid w:val="000F456F"/>
    <w:rsid w:val="000F4585"/>
    <w:rsid w:val="000F4E29"/>
    <w:rsid w:val="000F50A0"/>
    <w:rsid w:val="000F5488"/>
    <w:rsid w:val="000F5894"/>
    <w:rsid w:val="000F5B84"/>
    <w:rsid w:val="000F5BAA"/>
    <w:rsid w:val="000F5C44"/>
    <w:rsid w:val="000F6274"/>
    <w:rsid w:val="000F67E7"/>
    <w:rsid w:val="000F6A57"/>
    <w:rsid w:val="000F7489"/>
    <w:rsid w:val="000F7A73"/>
    <w:rsid w:val="000F7B45"/>
    <w:rsid w:val="000F7EEC"/>
    <w:rsid w:val="001003D1"/>
    <w:rsid w:val="00100723"/>
    <w:rsid w:val="00100754"/>
    <w:rsid w:val="00100FA8"/>
    <w:rsid w:val="00101247"/>
    <w:rsid w:val="0010152F"/>
    <w:rsid w:val="00101A70"/>
    <w:rsid w:val="00102163"/>
    <w:rsid w:val="0010221B"/>
    <w:rsid w:val="00102A52"/>
    <w:rsid w:val="0010322E"/>
    <w:rsid w:val="00103278"/>
    <w:rsid w:val="001039D2"/>
    <w:rsid w:val="00103E68"/>
    <w:rsid w:val="00103ED3"/>
    <w:rsid w:val="00104536"/>
    <w:rsid w:val="001049CF"/>
    <w:rsid w:val="00104A8D"/>
    <w:rsid w:val="00104B11"/>
    <w:rsid w:val="00104B12"/>
    <w:rsid w:val="00104BD9"/>
    <w:rsid w:val="00104FE4"/>
    <w:rsid w:val="00105660"/>
    <w:rsid w:val="001057E8"/>
    <w:rsid w:val="00105DD3"/>
    <w:rsid w:val="00105E10"/>
    <w:rsid w:val="00105EC9"/>
    <w:rsid w:val="00106078"/>
    <w:rsid w:val="00106119"/>
    <w:rsid w:val="001062A8"/>
    <w:rsid w:val="00106ABB"/>
    <w:rsid w:val="00107297"/>
    <w:rsid w:val="00107D0E"/>
    <w:rsid w:val="00110520"/>
    <w:rsid w:val="00110BE8"/>
    <w:rsid w:val="00111666"/>
    <w:rsid w:val="00111ECD"/>
    <w:rsid w:val="001129E2"/>
    <w:rsid w:val="00112A18"/>
    <w:rsid w:val="0011312D"/>
    <w:rsid w:val="0011354F"/>
    <w:rsid w:val="00113EC1"/>
    <w:rsid w:val="00113F38"/>
    <w:rsid w:val="00113F8D"/>
    <w:rsid w:val="00114375"/>
    <w:rsid w:val="00114A6A"/>
    <w:rsid w:val="001150D8"/>
    <w:rsid w:val="00115A86"/>
    <w:rsid w:val="00115EFF"/>
    <w:rsid w:val="001160D8"/>
    <w:rsid w:val="00116944"/>
    <w:rsid w:val="00117E11"/>
    <w:rsid w:val="0012023C"/>
    <w:rsid w:val="001203BC"/>
    <w:rsid w:val="0012053A"/>
    <w:rsid w:val="00120B4E"/>
    <w:rsid w:val="00120F1C"/>
    <w:rsid w:val="00121471"/>
    <w:rsid w:val="00121715"/>
    <w:rsid w:val="0012200F"/>
    <w:rsid w:val="001228DF"/>
    <w:rsid w:val="001229E9"/>
    <w:rsid w:val="00122D89"/>
    <w:rsid w:val="00123D24"/>
    <w:rsid w:val="00123FF6"/>
    <w:rsid w:val="00124193"/>
    <w:rsid w:val="001243D4"/>
    <w:rsid w:val="00124801"/>
    <w:rsid w:val="001248E0"/>
    <w:rsid w:val="00124DC8"/>
    <w:rsid w:val="0012571D"/>
    <w:rsid w:val="001258FA"/>
    <w:rsid w:val="00125906"/>
    <w:rsid w:val="00126ED2"/>
    <w:rsid w:val="00126F43"/>
    <w:rsid w:val="0012764B"/>
    <w:rsid w:val="00127825"/>
    <w:rsid w:val="00127C0D"/>
    <w:rsid w:val="001302DE"/>
    <w:rsid w:val="001304B1"/>
    <w:rsid w:val="001304B8"/>
    <w:rsid w:val="001310BE"/>
    <w:rsid w:val="00131694"/>
    <w:rsid w:val="00131947"/>
    <w:rsid w:val="00131B1A"/>
    <w:rsid w:val="00131E0F"/>
    <w:rsid w:val="00132059"/>
    <w:rsid w:val="00132871"/>
    <w:rsid w:val="00132BEC"/>
    <w:rsid w:val="00132D82"/>
    <w:rsid w:val="001335A5"/>
    <w:rsid w:val="001343DC"/>
    <w:rsid w:val="00134429"/>
    <w:rsid w:val="0013442E"/>
    <w:rsid w:val="00134B13"/>
    <w:rsid w:val="00134EDB"/>
    <w:rsid w:val="00134F21"/>
    <w:rsid w:val="001353BF"/>
    <w:rsid w:val="0013545F"/>
    <w:rsid w:val="00135C6B"/>
    <w:rsid w:val="001360AE"/>
    <w:rsid w:val="00136235"/>
    <w:rsid w:val="0013630E"/>
    <w:rsid w:val="00136356"/>
    <w:rsid w:val="0013665A"/>
    <w:rsid w:val="001369FF"/>
    <w:rsid w:val="001370F3"/>
    <w:rsid w:val="0013768B"/>
    <w:rsid w:val="00137865"/>
    <w:rsid w:val="001378CB"/>
    <w:rsid w:val="00137CF7"/>
    <w:rsid w:val="00140381"/>
    <w:rsid w:val="00140407"/>
    <w:rsid w:val="00140409"/>
    <w:rsid w:val="0014056C"/>
    <w:rsid w:val="00140736"/>
    <w:rsid w:val="00140B6D"/>
    <w:rsid w:val="00140C36"/>
    <w:rsid w:val="00140EBA"/>
    <w:rsid w:val="0014136C"/>
    <w:rsid w:val="001417C0"/>
    <w:rsid w:val="00141EF2"/>
    <w:rsid w:val="001422E9"/>
    <w:rsid w:val="00142604"/>
    <w:rsid w:val="0014263F"/>
    <w:rsid w:val="00143EA9"/>
    <w:rsid w:val="001442B6"/>
    <w:rsid w:val="001444BA"/>
    <w:rsid w:val="00144DB0"/>
    <w:rsid w:val="00144F00"/>
    <w:rsid w:val="001455A1"/>
    <w:rsid w:val="001458B6"/>
    <w:rsid w:val="00145BA8"/>
    <w:rsid w:val="00146178"/>
    <w:rsid w:val="001464B9"/>
    <w:rsid w:val="00146BD6"/>
    <w:rsid w:val="00147091"/>
    <w:rsid w:val="001471D4"/>
    <w:rsid w:val="00147DD4"/>
    <w:rsid w:val="001500B5"/>
    <w:rsid w:val="0015024C"/>
    <w:rsid w:val="001504D3"/>
    <w:rsid w:val="0015081C"/>
    <w:rsid w:val="0015132E"/>
    <w:rsid w:val="001515A1"/>
    <w:rsid w:val="00151941"/>
    <w:rsid w:val="00151CF7"/>
    <w:rsid w:val="00152193"/>
    <w:rsid w:val="00152259"/>
    <w:rsid w:val="0015256A"/>
    <w:rsid w:val="00152635"/>
    <w:rsid w:val="001531DD"/>
    <w:rsid w:val="001532A4"/>
    <w:rsid w:val="001533AA"/>
    <w:rsid w:val="00153684"/>
    <w:rsid w:val="00153D81"/>
    <w:rsid w:val="00154259"/>
    <w:rsid w:val="001546EE"/>
    <w:rsid w:val="0015481E"/>
    <w:rsid w:val="0015489F"/>
    <w:rsid w:val="001548E1"/>
    <w:rsid w:val="00154D33"/>
    <w:rsid w:val="001551CD"/>
    <w:rsid w:val="00155DC3"/>
    <w:rsid w:val="00156266"/>
    <w:rsid w:val="0015647A"/>
    <w:rsid w:val="00156A1E"/>
    <w:rsid w:val="00156A1F"/>
    <w:rsid w:val="00156D20"/>
    <w:rsid w:val="0015750D"/>
    <w:rsid w:val="00157805"/>
    <w:rsid w:val="001579D6"/>
    <w:rsid w:val="00157B9E"/>
    <w:rsid w:val="00157C48"/>
    <w:rsid w:val="0016079E"/>
    <w:rsid w:val="001609DF"/>
    <w:rsid w:val="00160F49"/>
    <w:rsid w:val="00160FF6"/>
    <w:rsid w:val="001610A9"/>
    <w:rsid w:val="001610F8"/>
    <w:rsid w:val="00161531"/>
    <w:rsid w:val="001617B9"/>
    <w:rsid w:val="00162092"/>
    <w:rsid w:val="0016213B"/>
    <w:rsid w:val="00162435"/>
    <w:rsid w:val="00162592"/>
    <w:rsid w:val="0016282A"/>
    <w:rsid w:val="00162999"/>
    <w:rsid w:val="00162CD0"/>
    <w:rsid w:val="00162E6B"/>
    <w:rsid w:val="00162F2F"/>
    <w:rsid w:val="001636B3"/>
    <w:rsid w:val="00163B3E"/>
    <w:rsid w:val="00164259"/>
    <w:rsid w:val="00164859"/>
    <w:rsid w:val="0016501A"/>
    <w:rsid w:val="001652C8"/>
    <w:rsid w:val="001656BB"/>
    <w:rsid w:val="00165C45"/>
    <w:rsid w:val="001663D2"/>
    <w:rsid w:val="001670D1"/>
    <w:rsid w:val="00167968"/>
    <w:rsid w:val="00167A89"/>
    <w:rsid w:val="00167DD2"/>
    <w:rsid w:val="00167F08"/>
    <w:rsid w:val="001701A0"/>
    <w:rsid w:val="0017058F"/>
    <w:rsid w:val="00170659"/>
    <w:rsid w:val="001708B6"/>
    <w:rsid w:val="001708EB"/>
    <w:rsid w:val="001715C5"/>
    <w:rsid w:val="0017169D"/>
    <w:rsid w:val="00171876"/>
    <w:rsid w:val="001719AF"/>
    <w:rsid w:val="00171A49"/>
    <w:rsid w:val="00171E88"/>
    <w:rsid w:val="0017281F"/>
    <w:rsid w:val="00172ADC"/>
    <w:rsid w:val="00173342"/>
    <w:rsid w:val="00173B77"/>
    <w:rsid w:val="001748A2"/>
    <w:rsid w:val="001749E7"/>
    <w:rsid w:val="00174A06"/>
    <w:rsid w:val="0017524A"/>
    <w:rsid w:val="00175A23"/>
    <w:rsid w:val="00175A38"/>
    <w:rsid w:val="0017622A"/>
    <w:rsid w:val="00176A4B"/>
    <w:rsid w:val="00176B3A"/>
    <w:rsid w:val="001773C6"/>
    <w:rsid w:val="00177F01"/>
    <w:rsid w:val="001801C1"/>
    <w:rsid w:val="00180697"/>
    <w:rsid w:val="00180DE7"/>
    <w:rsid w:val="00181AEB"/>
    <w:rsid w:val="00181FBE"/>
    <w:rsid w:val="0018208D"/>
    <w:rsid w:val="00182798"/>
    <w:rsid w:val="0018403C"/>
    <w:rsid w:val="001846E5"/>
    <w:rsid w:val="001850E7"/>
    <w:rsid w:val="00185A03"/>
    <w:rsid w:val="00186A61"/>
    <w:rsid w:val="001872DF"/>
    <w:rsid w:val="001876EB"/>
    <w:rsid w:val="00187848"/>
    <w:rsid w:val="0018786C"/>
    <w:rsid w:val="00187E70"/>
    <w:rsid w:val="0019057F"/>
    <w:rsid w:val="00190787"/>
    <w:rsid w:val="00190A07"/>
    <w:rsid w:val="00191063"/>
    <w:rsid w:val="00191E43"/>
    <w:rsid w:val="00191E9F"/>
    <w:rsid w:val="0019231D"/>
    <w:rsid w:val="00193359"/>
    <w:rsid w:val="00193633"/>
    <w:rsid w:val="0019368E"/>
    <w:rsid w:val="0019396A"/>
    <w:rsid w:val="00193B20"/>
    <w:rsid w:val="001941E4"/>
    <w:rsid w:val="001946A4"/>
    <w:rsid w:val="00194DB4"/>
    <w:rsid w:val="001951AD"/>
    <w:rsid w:val="001953BA"/>
    <w:rsid w:val="001953D9"/>
    <w:rsid w:val="001955BA"/>
    <w:rsid w:val="001959AD"/>
    <w:rsid w:val="00195B32"/>
    <w:rsid w:val="00195FEC"/>
    <w:rsid w:val="00196388"/>
    <w:rsid w:val="00196F7D"/>
    <w:rsid w:val="001972C9"/>
    <w:rsid w:val="00197382"/>
    <w:rsid w:val="001973E2"/>
    <w:rsid w:val="001976DE"/>
    <w:rsid w:val="00197D12"/>
    <w:rsid w:val="00197F1A"/>
    <w:rsid w:val="001A0476"/>
    <w:rsid w:val="001A0538"/>
    <w:rsid w:val="001A0AA1"/>
    <w:rsid w:val="001A0EC2"/>
    <w:rsid w:val="001A0F95"/>
    <w:rsid w:val="001A174B"/>
    <w:rsid w:val="001A2EC1"/>
    <w:rsid w:val="001A3402"/>
    <w:rsid w:val="001A36D8"/>
    <w:rsid w:val="001A3FDD"/>
    <w:rsid w:val="001A40E5"/>
    <w:rsid w:val="001A479C"/>
    <w:rsid w:val="001A5A2F"/>
    <w:rsid w:val="001A640B"/>
    <w:rsid w:val="001A76E9"/>
    <w:rsid w:val="001A7750"/>
    <w:rsid w:val="001B00E7"/>
    <w:rsid w:val="001B0EEB"/>
    <w:rsid w:val="001B13F5"/>
    <w:rsid w:val="001B18F4"/>
    <w:rsid w:val="001B1B87"/>
    <w:rsid w:val="001B1F29"/>
    <w:rsid w:val="001B25A9"/>
    <w:rsid w:val="001B3342"/>
    <w:rsid w:val="001B338A"/>
    <w:rsid w:val="001B3E99"/>
    <w:rsid w:val="001B50B3"/>
    <w:rsid w:val="001B5307"/>
    <w:rsid w:val="001B5AD0"/>
    <w:rsid w:val="001B5B37"/>
    <w:rsid w:val="001B5EDD"/>
    <w:rsid w:val="001B60A8"/>
    <w:rsid w:val="001B644A"/>
    <w:rsid w:val="001B6A93"/>
    <w:rsid w:val="001C023F"/>
    <w:rsid w:val="001C04E2"/>
    <w:rsid w:val="001C109C"/>
    <w:rsid w:val="001C12F7"/>
    <w:rsid w:val="001C1545"/>
    <w:rsid w:val="001C1708"/>
    <w:rsid w:val="001C176C"/>
    <w:rsid w:val="001C1CE6"/>
    <w:rsid w:val="001C1D5C"/>
    <w:rsid w:val="001C1EFC"/>
    <w:rsid w:val="001C1FF6"/>
    <w:rsid w:val="001C2020"/>
    <w:rsid w:val="001C20AC"/>
    <w:rsid w:val="001C235E"/>
    <w:rsid w:val="001C248A"/>
    <w:rsid w:val="001C26CB"/>
    <w:rsid w:val="001C288E"/>
    <w:rsid w:val="001C294B"/>
    <w:rsid w:val="001C3215"/>
    <w:rsid w:val="001C33C4"/>
    <w:rsid w:val="001C34B7"/>
    <w:rsid w:val="001C3682"/>
    <w:rsid w:val="001C3740"/>
    <w:rsid w:val="001C3E67"/>
    <w:rsid w:val="001C400E"/>
    <w:rsid w:val="001C4552"/>
    <w:rsid w:val="001C466F"/>
    <w:rsid w:val="001C4810"/>
    <w:rsid w:val="001C4EB5"/>
    <w:rsid w:val="001C5442"/>
    <w:rsid w:val="001C55D5"/>
    <w:rsid w:val="001C5908"/>
    <w:rsid w:val="001C5BD1"/>
    <w:rsid w:val="001C60EA"/>
    <w:rsid w:val="001C615F"/>
    <w:rsid w:val="001C62E4"/>
    <w:rsid w:val="001C63A8"/>
    <w:rsid w:val="001C6776"/>
    <w:rsid w:val="001C6F65"/>
    <w:rsid w:val="001C70F9"/>
    <w:rsid w:val="001C7480"/>
    <w:rsid w:val="001C74F4"/>
    <w:rsid w:val="001C74FB"/>
    <w:rsid w:val="001C79B1"/>
    <w:rsid w:val="001C7C12"/>
    <w:rsid w:val="001D018A"/>
    <w:rsid w:val="001D0437"/>
    <w:rsid w:val="001D1045"/>
    <w:rsid w:val="001D1165"/>
    <w:rsid w:val="001D12D4"/>
    <w:rsid w:val="001D16F1"/>
    <w:rsid w:val="001D1C62"/>
    <w:rsid w:val="001D1DF0"/>
    <w:rsid w:val="001D20AD"/>
    <w:rsid w:val="001D2FCA"/>
    <w:rsid w:val="001D41B6"/>
    <w:rsid w:val="001D46DC"/>
    <w:rsid w:val="001D489D"/>
    <w:rsid w:val="001D4A53"/>
    <w:rsid w:val="001D57C3"/>
    <w:rsid w:val="001D5837"/>
    <w:rsid w:val="001D6553"/>
    <w:rsid w:val="001D669A"/>
    <w:rsid w:val="001D6733"/>
    <w:rsid w:val="001D6A5D"/>
    <w:rsid w:val="001D71C0"/>
    <w:rsid w:val="001D74A2"/>
    <w:rsid w:val="001D7A08"/>
    <w:rsid w:val="001E0B6D"/>
    <w:rsid w:val="001E101C"/>
    <w:rsid w:val="001E18B6"/>
    <w:rsid w:val="001E19FC"/>
    <w:rsid w:val="001E1AA5"/>
    <w:rsid w:val="001E1FE5"/>
    <w:rsid w:val="001E2026"/>
    <w:rsid w:val="001E2239"/>
    <w:rsid w:val="001E23F1"/>
    <w:rsid w:val="001E28B9"/>
    <w:rsid w:val="001E2AFF"/>
    <w:rsid w:val="001E2B76"/>
    <w:rsid w:val="001E2FC7"/>
    <w:rsid w:val="001E31B7"/>
    <w:rsid w:val="001E3493"/>
    <w:rsid w:val="001E397B"/>
    <w:rsid w:val="001E39F6"/>
    <w:rsid w:val="001E3ABF"/>
    <w:rsid w:val="001E4691"/>
    <w:rsid w:val="001E4919"/>
    <w:rsid w:val="001E4B6D"/>
    <w:rsid w:val="001E50B9"/>
    <w:rsid w:val="001E5A97"/>
    <w:rsid w:val="001E5DCF"/>
    <w:rsid w:val="001E63F0"/>
    <w:rsid w:val="001E647B"/>
    <w:rsid w:val="001E68FF"/>
    <w:rsid w:val="001E7760"/>
    <w:rsid w:val="001F027C"/>
    <w:rsid w:val="001F0979"/>
    <w:rsid w:val="001F0E3F"/>
    <w:rsid w:val="001F0F73"/>
    <w:rsid w:val="001F1054"/>
    <w:rsid w:val="001F134B"/>
    <w:rsid w:val="001F1B40"/>
    <w:rsid w:val="001F2175"/>
    <w:rsid w:val="001F2430"/>
    <w:rsid w:val="001F25F8"/>
    <w:rsid w:val="001F30CC"/>
    <w:rsid w:val="001F337F"/>
    <w:rsid w:val="001F34C3"/>
    <w:rsid w:val="001F3706"/>
    <w:rsid w:val="001F3871"/>
    <w:rsid w:val="001F3D7E"/>
    <w:rsid w:val="001F3ED0"/>
    <w:rsid w:val="001F42B4"/>
    <w:rsid w:val="001F46E7"/>
    <w:rsid w:val="001F4E68"/>
    <w:rsid w:val="001F54C6"/>
    <w:rsid w:val="001F5A14"/>
    <w:rsid w:val="001F66A0"/>
    <w:rsid w:val="001F6CCD"/>
    <w:rsid w:val="001F73CB"/>
    <w:rsid w:val="001F78A5"/>
    <w:rsid w:val="00200381"/>
    <w:rsid w:val="002007A0"/>
    <w:rsid w:val="002007DF"/>
    <w:rsid w:val="00200B2F"/>
    <w:rsid w:val="00201144"/>
    <w:rsid w:val="0020128C"/>
    <w:rsid w:val="00201367"/>
    <w:rsid w:val="002013EE"/>
    <w:rsid w:val="00201687"/>
    <w:rsid w:val="00201D34"/>
    <w:rsid w:val="002023E3"/>
    <w:rsid w:val="0020244E"/>
    <w:rsid w:val="002027B6"/>
    <w:rsid w:val="00202CA7"/>
    <w:rsid w:val="00202D48"/>
    <w:rsid w:val="00202E57"/>
    <w:rsid w:val="002033F6"/>
    <w:rsid w:val="002035AC"/>
    <w:rsid w:val="00203774"/>
    <w:rsid w:val="00203CED"/>
    <w:rsid w:val="00203CF7"/>
    <w:rsid w:val="0020415A"/>
    <w:rsid w:val="002047D2"/>
    <w:rsid w:val="00204DAB"/>
    <w:rsid w:val="00205586"/>
    <w:rsid w:val="00205C7C"/>
    <w:rsid w:val="00206518"/>
    <w:rsid w:val="00206B5F"/>
    <w:rsid w:val="00206D6F"/>
    <w:rsid w:val="002075B3"/>
    <w:rsid w:val="0020760C"/>
    <w:rsid w:val="00207D38"/>
    <w:rsid w:val="00207D5E"/>
    <w:rsid w:val="002102DE"/>
    <w:rsid w:val="0021037B"/>
    <w:rsid w:val="0021108B"/>
    <w:rsid w:val="00211C25"/>
    <w:rsid w:val="0021218C"/>
    <w:rsid w:val="00212EF5"/>
    <w:rsid w:val="00213190"/>
    <w:rsid w:val="00213566"/>
    <w:rsid w:val="002138ED"/>
    <w:rsid w:val="00213FC0"/>
    <w:rsid w:val="00214100"/>
    <w:rsid w:val="0021489B"/>
    <w:rsid w:val="00215369"/>
    <w:rsid w:val="00215490"/>
    <w:rsid w:val="00215597"/>
    <w:rsid w:val="00215705"/>
    <w:rsid w:val="002157D9"/>
    <w:rsid w:val="00215DCB"/>
    <w:rsid w:val="0021644C"/>
    <w:rsid w:val="0021644E"/>
    <w:rsid w:val="00216555"/>
    <w:rsid w:val="00216723"/>
    <w:rsid w:val="00216AA3"/>
    <w:rsid w:val="00217547"/>
    <w:rsid w:val="002178FD"/>
    <w:rsid w:val="00217EAE"/>
    <w:rsid w:val="00220435"/>
    <w:rsid w:val="00220EB8"/>
    <w:rsid w:val="00221E49"/>
    <w:rsid w:val="0022248F"/>
    <w:rsid w:val="002225ED"/>
    <w:rsid w:val="00222690"/>
    <w:rsid w:val="00222709"/>
    <w:rsid w:val="00222A40"/>
    <w:rsid w:val="002235C7"/>
    <w:rsid w:val="00223BB6"/>
    <w:rsid w:val="00223D6B"/>
    <w:rsid w:val="00223FED"/>
    <w:rsid w:val="00224411"/>
    <w:rsid w:val="002246DA"/>
    <w:rsid w:val="00224896"/>
    <w:rsid w:val="00224DF1"/>
    <w:rsid w:val="0022529A"/>
    <w:rsid w:val="002257B2"/>
    <w:rsid w:val="0022593A"/>
    <w:rsid w:val="00226488"/>
    <w:rsid w:val="002265B5"/>
    <w:rsid w:val="00226C2D"/>
    <w:rsid w:val="00226CF7"/>
    <w:rsid w:val="002271BD"/>
    <w:rsid w:val="002272FC"/>
    <w:rsid w:val="0022741C"/>
    <w:rsid w:val="0022761B"/>
    <w:rsid w:val="00227D70"/>
    <w:rsid w:val="002303B4"/>
    <w:rsid w:val="002307CE"/>
    <w:rsid w:val="00232A75"/>
    <w:rsid w:val="00232AB6"/>
    <w:rsid w:val="00232DAB"/>
    <w:rsid w:val="00232EB0"/>
    <w:rsid w:val="002341D3"/>
    <w:rsid w:val="0023431B"/>
    <w:rsid w:val="002343CE"/>
    <w:rsid w:val="0023452A"/>
    <w:rsid w:val="002349C7"/>
    <w:rsid w:val="00234B42"/>
    <w:rsid w:val="0023504C"/>
    <w:rsid w:val="00235B6B"/>
    <w:rsid w:val="00236034"/>
    <w:rsid w:val="0023641F"/>
    <w:rsid w:val="002364BD"/>
    <w:rsid w:val="0023657F"/>
    <w:rsid w:val="00236A1A"/>
    <w:rsid w:val="00236AFD"/>
    <w:rsid w:val="00236D82"/>
    <w:rsid w:val="00236F49"/>
    <w:rsid w:val="002370DE"/>
    <w:rsid w:val="00237E3A"/>
    <w:rsid w:val="002401A4"/>
    <w:rsid w:val="00240742"/>
    <w:rsid w:val="00240890"/>
    <w:rsid w:val="00240B66"/>
    <w:rsid w:val="00240CF8"/>
    <w:rsid w:val="00240EB7"/>
    <w:rsid w:val="00241209"/>
    <w:rsid w:val="00241360"/>
    <w:rsid w:val="00241AD7"/>
    <w:rsid w:val="002420E7"/>
    <w:rsid w:val="002421D4"/>
    <w:rsid w:val="00242A10"/>
    <w:rsid w:val="002434A7"/>
    <w:rsid w:val="002435E7"/>
    <w:rsid w:val="00243824"/>
    <w:rsid w:val="00243948"/>
    <w:rsid w:val="002439C5"/>
    <w:rsid w:val="002440DD"/>
    <w:rsid w:val="002444B8"/>
    <w:rsid w:val="0024470E"/>
    <w:rsid w:val="00244772"/>
    <w:rsid w:val="0024481B"/>
    <w:rsid w:val="00244C7E"/>
    <w:rsid w:val="00244EEB"/>
    <w:rsid w:val="002459FB"/>
    <w:rsid w:val="00245CCD"/>
    <w:rsid w:val="00246911"/>
    <w:rsid w:val="002472A9"/>
    <w:rsid w:val="00247393"/>
    <w:rsid w:val="002477DD"/>
    <w:rsid w:val="00247E0F"/>
    <w:rsid w:val="002507BD"/>
    <w:rsid w:val="00250BBD"/>
    <w:rsid w:val="00250FAD"/>
    <w:rsid w:val="002510B3"/>
    <w:rsid w:val="002516D9"/>
    <w:rsid w:val="00251ACC"/>
    <w:rsid w:val="002521D4"/>
    <w:rsid w:val="00252662"/>
    <w:rsid w:val="0025278D"/>
    <w:rsid w:val="00253D29"/>
    <w:rsid w:val="00253E44"/>
    <w:rsid w:val="00254642"/>
    <w:rsid w:val="0025474D"/>
    <w:rsid w:val="00254869"/>
    <w:rsid w:val="00254B76"/>
    <w:rsid w:val="0025505B"/>
    <w:rsid w:val="00255AC4"/>
    <w:rsid w:val="00255C50"/>
    <w:rsid w:val="00256433"/>
    <w:rsid w:val="002565C2"/>
    <w:rsid w:val="00256680"/>
    <w:rsid w:val="002572BB"/>
    <w:rsid w:val="002573C1"/>
    <w:rsid w:val="002575B7"/>
    <w:rsid w:val="0026011E"/>
    <w:rsid w:val="00260545"/>
    <w:rsid w:val="00260ABB"/>
    <w:rsid w:val="00261546"/>
    <w:rsid w:val="002615A0"/>
    <w:rsid w:val="00261779"/>
    <w:rsid w:val="00261BA2"/>
    <w:rsid w:val="002621A6"/>
    <w:rsid w:val="002629AF"/>
    <w:rsid w:val="00262D38"/>
    <w:rsid w:val="002638D1"/>
    <w:rsid w:val="00264203"/>
    <w:rsid w:val="0026442A"/>
    <w:rsid w:val="00264FA9"/>
    <w:rsid w:val="002650E7"/>
    <w:rsid w:val="002660C0"/>
    <w:rsid w:val="00266386"/>
    <w:rsid w:val="002663BE"/>
    <w:rsid w:val="0026668E"/>
    <w:rsid w:val="00267094"/>
    <w:rsid w:val="002670E7"/>
    <w:rsid w:val="002673A7"/>
    <w:rsid w:val="00267575"/>
    <w:rsid w:val="00267A37"/>
    <w:rsid w:val="00267BA1"/>
    <w:rsid w:val="00267FF5"/>
    <w:rsid w:val="002714D2"/>
    <w:rsid w:val="002718AA"/>
    <w:rsid w:val="00271A2C"/>
    <w:rsid w:val="002724F5"/>
    <w:rsid w:val="00272CD8"/>
    <w:rsid w:val="00272D15"/>
    <w:rsid w:val="00272F10"/>
    <w:rsid w:val="0027316E"/>
    <w:rsid w:val="002739D6"/>
    <w:rsid w:val="00273E4A"/>
    <w:rsid w:val="00274153"/>
    <w:rsid w:val="0027430E"/>
    <w:rsid w:val="00274683"/>
    <w:rsid w:val="00274E96"/>
    <w:rsid w:val="00275093"/>
    <w:rsid w:val="002750FF"/>
    <w:rsid w:val="0027533D"/>
    <w:rsid w:val="0027584C"/>
    <w:rsid w:val="002760A2"/>
    <w:rsid w:val="00277135"/>
    <w:rsid w:val="0027723D"/>
    <w:rsid w:val="002778A1"/>
    <w:rsid w:val="0028000E"/>
    <w:rsid w:val="002806B7"/>
    <w:rsid w:val="002809EF"/>
    <w:rsid w:val="0028111A"/>
    <w:rsid w:val="0028112D"/>
    <w:rsid w:val="00281547"/>
    <w:rsid w:val="0028160B"/>
    <w:rsid w:val="00281A9B"/>
    <w:rsid w:val="00282249"/>
    <w:rsid w:val="002829AA"/>
    <w:rsid w:val="00282A64"/>
    <w:rsid w:val="00282DE3"/>
    <w:rsid w:val="002832D4"/>
    <w:rsid w:val="0028362B"/>
    <w:rsid w:val="002836AC"/>
    <w:rsid w:val="00283970"/>
    <w:rsid w:val="00283AF8"/>
    <w:rsid w:val="00283D9F"/>
    <w:rsid w:val="002850FC"/>
    <w:rsid w:val="002853E6"/>
    <w:rsid w:val="00285B44"/>
    <w:rsid w:val="00285D9D"/>
    <w:rsid w:val="00285EC4"/>
    <w:rsid w:val="00286137"/>
    <w:rsid w:val="0028661A"/>
    <w:rsid w:val="00286735"/>
    <w:rsid w:val="00286847"/>
    <w:rsid w:val="002868AC"/>
    <w:rsid w:val="0028746B"/>
    <w:rsid w:val="002875B1"/>
    <w:rsid w:val="002902B0"/>
    <w:rsid w:val="002908CC"/>
    <w:rsid w:val="00290A27"/>
    <w:rsid w:val="00291092"/>
    <w:rsid w:val="0029187C"/>
    <w:rsid w:val="002918DB"/>
    <w:rsid w:val="00291DAF"/>
    <w:rsid w:val="002920B4"/>
    <w:rsid w:val="002929E6"/>
    <w:rsid w:val="00292A61"/>
    <w:rsid w:val="0029302F"/>
    <w:rsid w:val="00293102"/>
    <w:rsid w:val="00293396"/>
    <w:rsid w:val="00293D68"/>
    <w:rsid w:val="00293F3C"/>
    <w:rsid w:val="0029473D"/>
    <w:rsid w:val="00294E29"/>
    <w:rsid w:val="00294FB2"/>
    <w:rsid w:val="00295057"/>
    <w:rsid w:val="00295379"/>
    <w:rsid w:val="0029537E"/>
    <w:rsid w:val="00295387"/>
    <w:rsid w:val="002956EE"/>
    <w:rsid w:val="0029575A"/>
    <w:rsid w:val="00296C6F"/>
    <w:rsid w:val="00296EA2"/>
    <w:rsid w:val="00297286"/>
    <w:rsid w:val="002977A0"/>
    <w:rsid w:val="00297A66"/>
    <w:rsid w:val="00297A77"/>
    <w:rsid w:val="00297CE2"/>
    <w:rsid w:val="00297F19"/>
    <w:rsid w:val="002A00F9"/>
    <w:rsid w:val="002A011A"/>
    <w:rsid w:val="002A03B9"/>
    <w:rsid w:val="002A08D6"/>
    <w:rsid w:val="002A0AB7"/>
    <w:rsid w:val="002A0BF1"/>
    <w:rsid w:val="002A20D3"/>
    <w:rsid w:val="002A22B0"/>
    <w:rsid w:val="002A2806"/>
    <w:rsid w:val="002A2AAF"/>
    <w:rsid w:val="002A2DC5"/>
    <w:rsid w:val="002A30C3"/>
    <w:rsid w:val="002A3814"/>
    <w:rsid w:val="002A3A90"/>
    <w:rsid w:val="002A3AB6"/>
    <w:rsid w:val="002A48CB"/>
    <w:rsid w:val="002A4A3D"/>
    <w:rsid w:val="002A4AC6"/>
    <w:rsid w:val="002A4B33"/>
    <w:rsid w:val="002A5FA3"/>
    <w:rsid w:val="002A629B"/>
    <w:rsid w:val="002A633A"/>
    <w:rsid w:val="002A6349"/>
    <w:rsid w:val="002A659D"/>
    <w:rsid w:val="002A7283"/>
    <w:rsid w:val="002A79A0"/>
    <w:rsid w:val="002A7E25"/>
    <w:rsid w:val="002B032B"/>
    <w:rsid w:val="002B03B3"/>
    <w:rsid w:val="002B03CE"/>
    <w:rsid w:val="002B0879"/>
    <w:rsid w:val="002B12F1"/>
    <w:rsid w:val="002B1789"/>
    <w:rsid w:val="002B1F86"/>
    <w:rsid w:val="002B24FF"/>
    <w:rsid w:val="002B2899"/>
    <w:rsid w:val="002B2BAC"/>
    <w:rsid w:val="002B2D36"/>
    <w:rsid w:val="002B2F1C"/>
    <w:rsid w:val="002B2F7C"/>
    <w:rsid w:val="002B308F"/>
    <w:rsid w:val="002B39E0"/>
    <w:rsid w:val="002B3A9B"/>
    <w:rsid w:val="002B3DAC"/>
    <w:rsid w:val="002B4085"/>
    <w:rsid w:val="002B408D"/>
    <w:rsid w:val="002B48D5"/>
    <w:rsid w:val="002B4CFD"/>
    <w:rsid w:val="002B5016"/>
    <w:rsid w:val="002B5061"/>
    <w:rsid w:val="002B510D"/>
    <w:rsid w:val="002B5135"/>
    <w:rsid w:val="002B5881"/>
    <w:rsid w:val="002B5BE4"/>
    <w:rsid w:val="002B5C46"/>
    <w:rsid w:val="002B5F01"/>
    <w:rsid w:val="002B676C"/>
    <w:rsid w:val="002B6BCC"/>
    <w:rsid w:val="002B6E49"/>
    <w:rsid w:val="002B799D"/>
    <w:rsid w:val="002C0465"/>
    <w:rsid w:val="002C04DA"/>
    <w:rsid w:val="002C0559"/>
    <w:rsid w:val="002C07EC"/>
    <w:rsid w:val="002C07FB"/>
    <w:rsid w:val="002C129C"/>
    <w:rsid w:val="002C12C3"/>
    <w:rsid w:val="002C1DF5"/>
    <w:rsid w:val="002C2935"/>
    <w:rsid w:val="002C2A2A"/>
    <w:rsid w:val="002C38F9"/>
    <w:rsid w:val="002C44D2"/>
    <w:rsid w:val="002C4A24"/>
    <w:rsid w:val="002C4E1C"/>
    <w:rsid w:val="002C513D"/>
    <w:rsid w:val="002C51CE"/>
    <w:rsid w:val="002C5AE8"/>
    <w:rsid w:val="002C662D"/>
    <w:rsid w:val="002C6992"/>
    <w:rsid w:val="002C6BB4"/>
    <w:rsid w:val="002C7BFE"/>
    <w:rsid w:val="002C7E86"/>
    <w:rsid w:val="002D01BD"/>
    <w:rsid w:val="002D037B"/>
    <w:rsid w:val="002D046C"/>
    <w:rsid w:val="002D055F"/>
    <w:rsid w:val="002D1F05"/>
    <w:rsid w:val="002D1F57"/>
    <w:rsid w:val="002D2635"/>
    <w:rsid w:val="002D29E4"/>
    <w:rsid w:val="002D2F32"/>
    <w:rsid w:val="002D3628"/>
    <w:rsid w:val="002D38FC"/>
    <w:rsid w:val="002D3F8A"/>
    <w:rsid w:val="002D3FE9"/>
    <w:rsid w:val="002D478F"/>
    <w:rsid w:val="002D4969"/>
    <w:rsid w:val="002D4B77"/>
    <w:rsid w:val="002D4FEE"/>
    <w:rsid w:val="002D505A"/>
    <w:rsid w:val="002D50D1"/>
    <w:rsid w:val="002D57D8"/>
    <w:rsid w:val="002D67B7"/>
    <w:rsid w:val="002D6CF3"/>
    <w:rsid w:val="002D700F"/>
    <w:rsid w:val="002D742C"/>
    <w:rsid w:val="002D7540"/>
    <w:rsid w:val="002D78BD"/>
    <w:rsid w:val="002D79E9"/>
    <w:rsid w:val="002E0162"/>
    <w:rsid w:val="002E0B3B"/>
    <w:rsid w:val="002E0BDC"/>
    <w:rsid w:val="002E0D33"/>
    <w:rsid w:val="002E11BF"/>
    <w:rsid w:val="002E16C5"/>
    <w:rsid w:val="002E2637"/>
    <w:rsid w:val="002E2F55"/>
    <w:rsid w:val="002E2F87"/>
    <w:rsid w:val="002E391B"/>
    <w:rsid w:val="002E3F2A"/>
    <w:rsid w:val="002E3F33"/>
    <w:rsid w:val="002E4B18"/>
    <w:rsid w:val="002E5162"/>
    <w:rsid w:val="002E5245"/>
    <w:rsid w:val="002E537F"/>
    <w:rsid w:val="002E556A"/>
    <w:rsid w:val="002E5F7E"/>
    <w:rsid w:val="002E640C"/>
    <w:rsid w:val="002E6E9F"/>
    <w:rsid w:val="002E6F71"/>
    <w:rsid w:val="002E73CB"/>
    <w:rsid w:val="002E7F4F"/>
    <w:rsid w:val="002F0425"/>
    <w:rsid w:val="002F0674"/>
    <w:rsid w:val="002F08AD"/>
    <w:rsid w:val="002F0E64"/>
    <w:rsid w:val="002F105C"/>
    <w:rsid w:val="002F2D1C"/>
    <w:rsid w:val="002F2DD9"/>
    <w:rsid w:val="002F41DB"/>
    <w:rsid w:val="002F4F8D"/>
    <w:rsid w:val="002F4F93"/>
    <w:rsid w:val="002F5709"/>
    <w:rsid w:val="002F57ED"/>
    <w:rsid w:val="002F599B"/>
    <w:rsid w:val="002F6230"/>
    <w:rsid w:val="002F645F"/>
    <w:rsid w:val="002F6555"/>
    <w:rsid w:val="002F6885"/>
    <w:rsid w:val="002F69DA"/>
    <w:rsid w:val="002F7235"/>
    <w:rsid w:val="002F73C1"/>
    <w:rsid w:val="002F75E8"/>
    <w:rsid w:val="002F7BCB"/>
    <w:rsid w:val="002F7F8D"/>
    <w:rsid w:val="00300206"/>
    <w:rsid w:val="00300286"/>
    <w:rsid w:val="003002EC"/>
    <w:rsid w:val="00300384"/>
    <w:rsid w:val="003004DC"/>
    <w:rsid w:val="00300927"/>
    <w:rsid w:val="0030183C"/>
    <w:rsid w:val="00301ED1"/>
    <w:rsid w:val="00301F0B"/>
    <w:rsid w:val="003021E0"/>
    <w:rsid w:val="00302249"/>
    <w:rsid w:val="003025B0"/>
    <w:rsid w:val="00302A83"/>
    <w:rsid w:val="00302C1C"/>
    <w:rsid w:val="003030B1"/>
    <w:rsid w:val="00303702"/>
    <w:rsid w:val="00303AD0"/>
    <w:rsid w:val="00303E86"/>
    <w:rsid w:val="00304169"/>
    <w:rsid w:val="003042A3"/>
    <w:rsid w:val="003046ED"/>
    <w:rsid w:val="00304E5C"/>
    <w:rsid w:val="00305477"/>
    <w:rsid w:val="003054FF"/>
    <w:rsid w:val="003058C6"/>
    <w:rsid w:val="003058F1"/>
    <w:rsid w:val="00305E66"/>
    <w:rsid w:val="00306005"/>
    <w:rsid w:val="00307700"/>
    <w:rsid w:val="00307E02"/>
    <w:rsid w:val="0031082A"/>
    <w:rsid w:val="00310E34"/>
    <w:rsid w:val="00310FB8"/>
    <w:rsid w:val="0031220D"/>
    <w:rsid w:val="00312946"/>
    <w:rsid w:val="00312A2F"/>
    <w:rsid w:val="00312AD3"/>
    <w:rsid w:val="00312B65"/>
    <w:rsid w:val="00313336"/>
    <w:rsid w:val="00313467"/>
    <w:rsid w:val="003135F0"/>
    <w:rsid w:val="0031377B"/>
    <w:rsid w:val="00313B23"/>
    <w:rsid w:val="00313DD6"/>
    <w:rsid w:val="003147EF"/>
    <w:rsid w:val="00314DD0"/>
    <w:rsid w:val="0031577A"/>
    <w:rsid w:val="00315970"/>
    <w:rsid w:val="003159AA"/>
    <w:rsid w:val="003159C7"/>
    <w:rsid w:val="00315F3B"/>
    <w:rsid w:val="003164D8"/>
    <w:rsid w:val="00316501"/>
    <w:rsid w:val="0031690F"/>
    <w:rsid w:val="00316A13"/>
    <w:rsid w:val="00316B92"/>
    <w:rsid w:val="0031783C"/>
    <w:rsid w:val="00317A90"/>
    <w:rsid w:val="00317DC0"/>
    <w:rsid w:val="0032007E"/>
    <w:rsid w:val="00320209"/>
    <w:rsid w:val="00320A00"/>
    <w:rsid w:val="00320E1A"/>
    <w:rsid w:val="00320E83"/>
    <w:rsid w:val="00321386"/>
    <w:rsid w:val="003217AD"/>
    <w:rsid w:val="00322154"/>
    <w:rsid w:val="003222CF"/>
    <w:rsid w:val="0032230D"/>
    <w:rsid w:val="00322350"/>
    <w:rsid w:val="003225EF"/>
    <w:rsid w:val="00322835"/>
    <w:rsid w:val="0032300C"/>
    <w:rsid w:val="00323B1A"/>
    <w:rsid w:val="00323D93"/>
    <w:rsid w:val="003243FB"/>
    <w:rsid w:val="00324FED"/>
    <w:rsid w:val="003251CB"/>
    <w:rsid w:val="0032541F"/>
    <w:rsid w:val="003265DF"/>
    <w:rsid w:val="00326B4B"/>
    <w:rsid w:val="00326F60"/>
    <w:rsid w:val="003272A6"/>
    <w:rsid w:val="00327469"/>
    <w:rsid w:val="00327611"/>
    <w:rsid w:val="00327E3E"/>
    <w:rsid w:val="00330BD9"/>
    <w:rsid w:val="00331566"/>
    <w:rsid w:val="003319EF"/>
    <w:rsid w:val="00331BD6"/>
    <w:rsid w:val="00331CD6"/>
    <w:rsid w:val="00332604"/>
    <w:rsid w:val="00332B44"/>
    <w:rsid w:val="00332CDE"/>
    <w:rsid w:val="00333B39"/>
    <w:rsid w:val="003346B9"/>
    <w:rsid w:val="003346F5"/>
    <w:rsid w:val="00334FCD"/>
    <w:rsid w:val="00335453"/>
    <w:rsid w:val="00335566"/>
    <w:rsid w:val="00336641"/>
    <w:rsid w:val="0033681B"/>
    <w:rsid w:val="003369E4"/>
    <w:rsid w:val="00336CBB"/>
    <w:rsid w:val="00336F19"/>
    <w:rsid w:val="00337328"/>
    <w:rsid w:val="003376E8"/>
    <w:rsid w:val="00337838"/>
    <w:rsid w:val="00337877"/>
    <w:rsid w:val="00337BD8"/>
    <w:rsid w:val="00340199"/>
    <w:rsid w:val="00340A81"/>
    <w:rsid w:val="00340F4B"/>
    <w:rsid w:val="0034217D"/>
    <w:rsid w:val="00342910"/>
    <w:rsid w:val="00342B28"/>
    <w:rsid w:val="00342FBD"/>
    <w:rsid w:val="00342FD9"/>
    <w:rsid w:val="00343631"/>
    <w:rsid w:val="00343C66"/>
    <w:rsid w:val="00343DEB"/>
    <w:rsid w:val="00343F4E"/>
    <w:rsid w:val="003447BF"/>
    <w:rsid w:val="00344B0C"/>
    <w:rsid w:val="003450FE"/>
    <w:rsid w:val="003453B7"/>
    <w:rsid w:val="00345A9C"/>
    <w:rsid w:val="00345ECF"/>
    <w:rsid w:val="00346379"/>
    <w:rsid w:val="0034638C"/>
    <w:rsid w:val="00346A70"/>
    <w:rsid w:val="00346AEC"/>
    <w:rsid w:val="00346D9B"/>
    <w:rsid w:val="00347301"/>
    <w:rsid w:val="00347318"/>
    <w:rsid w:val="0034785B"/>
    <w:rsid w:val="00347B4A"/>
    <w:rsid w:val="0035039C"/>
    <w:rsid w:val="00350578"/>
    <w:rsid w:val="0035063B"/>
    <w:rsid w:val="003511CD"/>
    <w:rsid w:val="00351743"/>
    <w:rsid w:val="00351884"/>
    <w:rsid w:val="0035236F"/>
    <w:rsid w:val="0035253E"/>
    <w:rsid w:val="0035256F"/>
    <w:rsid w:val="00352755"/>
    <w:rsid w:val="003528AB"/>
    <w:rsid w:val="00352AD6"/>
    <w:rsid w:val="00354640"/>
    <w:rsid w:val="0035489F"/>
    <w:rsid w:val="00354BC2"/>
    <w:rsid w:val="0035543D"/>
    <w:rsid w:val="003554FD"/>
    <w:rsid w:val="00355E9A"/>
    <w:rsid w:val="00355F34"/>
    <w:rsid w:val="00357101"/>
    <w:rsid w:val="00357C75"/>
    <w:rsid w:val="00357C7C"/>
    <w:rsid w:val="00360042"/>
    <w:rsid w:val="00360788"/>
    <w:rsid w:val="00360B4A"/>
    <w:rsid w:val="00361214"/>
    <w:rsid w:val="00361286"/>
    <w:rsid w:val="00361E2A"/>
    <w:rsid w:val="00362299"/>
    <w:rsid w:val="0036233A"/>
    <w:rsid w:val="00362DE9"/>
    <w:rsid w:val="0036319E"/>
    <w:rsid w:val="003631F4"/>
    <w:rsid w:val="003635AF"/>
    <w:rsid w:val="003635F7"/>
    <w:rsid w:val="00363C5A"/>
    <w:rsid w:val="00363DEF"/>
    <w:rsid w:val="00363ED2"/>
    <w:rsid w:val="00363F42"/>
    <w:rsid w:val="00363F4E"/>
    <w:rsid w:val="00364FF7"/>
    <w:rsid w:val="0036526F"/>
    <w:rsid w:val="00365835"/>
    <w:rsid w:val="00365A5B"/>
    <w:rsid w:val="00365C0A"/>
    <w:rsid w:val="00366368"/>
    <w:rsid w:val="0036640B"/>
    <w:rsid w:val="0036699C"/>
    <w:rsid w:val="00366F17"/>
    <w:rsid w:val="003674E7"/>
    <w:rsid w:val="00367B96"/>
    <w:rsid w:val="00367EA1"/>
    <w:rsid w:val="003703DC"/>
    <w:rsid w:val="0037090E"/>
    <w:rsid w:val="00371666"/>
    <w:rsid w:val="00372AD8"/>
    <w:rsid w:val="00372F98"/>
    <w:rsid w:val="00372FB9"/>
    <w:rsid w:val="0037345C"/>
    <w:rsid w:val="00373B56"/>
    <w:rsid w:val="00373F41"/>
    <w:rsid w:val="00374286"/>
    <w:rsid w:val="00374441"/>
    <w:rsid w:val="00374EAE"/>
    <w:rsid w:val="003758E7"/>
    <w:rsid w:val="00375A2A"/>
    <w:rsid w:val="00375D0F"/>
    <w:rsid w:val="00376454"/>
    <w:rsid w:val="003764FF"/>
    <w:rsid w:val="003767B9"/>
    <w:rsid w:val="00376CF9"/>
    <w:rsid w:val="0037707C"/>
    <w:rsid w:val="00377220"/>
    <w:rsid w:val="0037747F"/>
    <w:rsid w:val="00377793"/>
    <w:rsid w:val="00377BD7"/>
    <w:rsid w:val="00377FDC"/>
    <w:rsid w:val="003802A2"/>
    <w:rsid w:val="0038088C"/>
    <w:rsid w:val="00380CC5"/>
    <w:rsid w:val="003815D7"/>
    <w:rsid w:val="003816A2"/>
    <w:rsid w:val="00381FB3"/>
    <w:rsid w:val="0038252D"/>
    <w:rsid w:val="00383673"/>
    <w:rsid w:val="003841E8"/>
    <w:rsid w:val="0038469B"/>
    <w:rsid w:val="0038496B"/>
    <w:rsid w:val="00384C8A"/>
    <w:rsid w:val="003854C5"/>
    <w:rsid w:val="0038585F"/>
    <w:rsid w:val="003865EA"/>
    <w:rsid w:val="003869F5"/>
    <w:rsid w:val="00386E3B"/>
    <w:rsid w:val="00386E3E"/>
    <w:rsid w:val="003871F4"/>
    <w:rsid w:val="0039009E"/>
    <w:rsid w:val="00390585"/>
    <w:rsid w:val="00390B52"/>
    <w:rsid w:val="0039156A"/>
    <w:rsid w:val="003917B1"/>
    <w:rsid w:val="00392234"/>
    <w:rsid w:val="0039243F"/>
    <w:rsid w:val="003925AC"/>
    <w:rsid w:val="0039275A"/>
    <w:rsid w:val="00392D19"/>
    <w:rsid w:val="00393101"/>
    <w:rsid w:val="003935CA"/>
    <w:rsid w:val="00393FDB"/>
    <w:rsid w:val="00394ED9"/>
    <w:rsid w:val="00395113"/>
    <w:rsid w:val="00395C6A"/>
    <w:rsid w:val="00396005"/>
    <w:rsid w:val="00396278"/>
    <w:rsid w:val="003962B6"/>
    <w:rsid w:val="003963D5"/>
    <w:rsid w:val="003963F9"/>
    <w:rsid w:val="00396C85"/>
    <w:rsid w:val="00396EB2"/>
    <w:rsid w:val="0039702F"/>
    <w:rsid w:val="003970DC"/>
    <w:rsid w:val="0039724E"/>
    <w:rsid w:val="003972B7"/>
    <w:rsid w:val="00397799"/>
    <w:rsid w:val="003979E2"/>
    <w:rsid w:val="003A00C7"/>
    <w:rsid w:val="003A061A"/>
    <w:rsid w:val="003A0FBA"/>
    <w:rsid w:val="003A142B"/>
    <w:rsid w:val="003A1BFD"/>
    <w:rsid w:val="003A22A0"/>
    <w:rsid w:val="003A2D6C"/>
    <w:rsid w:val="003A3633"/>
    <w:rsid w:val="003A3C8D"/>
    <w:rsid w:val="003A3F02"/>
    <w:rsid w:val="003A40DB"/>
    <w:rsid w:val="003A4313"/>
    <w:rsid w:val="003A4955"/>
    <w:rsid w:val="003A4DC5"/>
    <w:rsid w:val="003A510E"/>
    <w:rsid w:val="003A528A"/>
    <w:rsid w:val="003A5367"/>
    <w:rsid w:val="003A5AB3"/>
    <w:rsid w:val="003A5C23"/>
    <w:rsid w:val="003A5E24"/>
    <w:rsid w:val="003A6296"/>
    <w:rsid w:val="003A6514"/>
    <w:rsid w:val="003A6698"/>
    <w:rsid w:val="003A6A01"/>
    <w:rsid w:val="003A70B0"/>
    <w:rsid w:val="003A70FE"/>
    <w:rsid w:val="003B0378"/>
    <w:rsid w:val="003B0E57"/>
    <w:rsid w:val="003B15C7"/>
    <w:rsid w:val="003B186E"/>
    <w:rsid w:val="003B2025"/>
    <w:rsid w:val="003B224A"/>
    <w:rsid w:val="003B2539"/>
    <w:rsid w:val="003B3541"/>
    <w:rsid w:val="003B37E8"/>
    <w:rsid w:val="003B3B5B"/>
    <w:rsid w:val="003B4294"/>
    <w:rsid w:val="003B43C8"/>
    <w:rsid w:val="003B4459"/>
    <w:rsid w:val="003B4948"/>
    <w:rsid w:val="003B4A6D"/>
    <w:rsid w:val="003B4E85"/>
    <w:rsid w:val="003B56B3"/>
    <w:rsid w:val="003B58E7"/>
    <w:rsid w:val="003B5FF0"/>
    <w:rsid w:val="003B6550"/>
    <w:rsid w:val="003B6F25"/>
    <w:rsid w:val="003B6F77"/>
    <w:rsid w:val="003B725D"/>
    <w:rsid w:val="003B77E9"/>
    <w:rsid w:val="003B7A95"/>
    <w:rsid w:val="003C01F5"/>
    <w:rsid w:val="003C06AE"/>
    <w:rsid w:val="003C093E"/>
    <w:rsid w:val="003C0B51"/>
    <w:rsid w:val="003C0D3E"/>
    <w:rsid w:val="003C1187"/>
    <w:rsid w:val="003C1CE8"/>
    <w:rsid w:val="003C1D15"/>
    <w:rsid w:val="003C1D9E"/>
    <w:rsid w:val="003C2BB6"/>
    <w:rsid w:val="003C31B3"/>
    <w:rsid w:val="003C38AC"/>
    <w:rsid w:val="003C4BB9"/>
    <w:rsid w:val="003C4CC0"/>
    <w:rsid w:val="003C51CE"/>
    <w:rsid w:val="003C544A"/>
    <w:rsid w:val="003C593E"/>
    <w:rsid w:val="003C59A1"/>
    <w:rsid w:val="003C71C7"/>
    <w:rsid w:val="003C7963"/>
    <w:rsid w:val="003C7AC5"/>
    <w:rsid w:val="003C7BAA"/>
    <w:rsid w:val="003C7D39"/>
    <w:rsid w:val="003C7EB6"/>
    <w:rsid w:val="003C7ED4"/>
    <w:rsid w:val="003D0443"/>
    <w:rsid w:val="003D1113"/>
    <w:rsid w:val="003D192F"/>
    <w:rsid w:val="003D1945"/>
    <w:rsid w:val="003D2165"/>
    <w:rsid w:val="003D24E4"/>
    <w:rsid w:val="003D25D2"/>
    <w:rsid w:val="003D2A5C"/>
    <w:rsid w:val="003D3126"/>
    <w:rsid w:val="003D48FB"/>
    <w:rsid w:val="003D4DF8"/>
    <w:rsid w:val="003D557A"/>
    <w:rsid w:val="003D5835"/>
    <w:rsid w:val="003D5FCB"/>
    <w:rsid w:val="003D6390"/>
    <w:rsid w:val="003D6FB9"/>
    <w:rsid w:val="003D7293"/>
    <w:rsid w:val="003D77DF"/>
    <w:rsid w:val="003D797B"/>
    <w:rsid w:val="003D7995"/>
    <w:rsid w:val="003D7BF1"/>
    <w:rsid w:val="003E0241"/>
    <w:rsid w:val="003E027E"/>
    <w:rsid w:val="003E0861"/>
    <w:rsid w:val="003E097A"/>
    <w:rsid w:val="003E09EB"/>
    <w:rsid w:val="003E0A2C"/>
    <w:rsid w:val="003E0B31"/>
    <w:rsid w:val="003E0E83"/>
    <w:rsid w:val="003E10F0"/>
    <w:rsid w:val="003E1132"/>
    <w:rsid w:val="003E11F3"/>
    <w:rsid w:val="003E1AC7"/>
    <w:rsid w:val="003E1B2E"/>
    <w:rsid w:val="003E1B7D"/>
    <w:rsid w:val="003E1B92"/>
    <w:rsid w:val="003E2606"/>
    <w:rsid w:val="003E28C2"/>
    <w:rsid w:val="003E29AC"/>
    <w:rsid w:val="003E2B07"/>
    <w:rsid w:val="003E2E11"/>
    <w:rsid w:val="003E2F40"/>
    <w:rsid w:val="003E3144"/>
    <w:rsid w:val="003E3C3D"/>
    <w:rsid w:val="003E446C"/>
    <w:rsid w:val="003E4756"/>
    <w:rsid w:val="003E4AB0"/>
    <w:rsid w:val="003E4C34"/>
    <w:rsid w:val="003E4E5A"/>
    <w:rsid w:val="003E50BC"/>
    <w:rsid w:val="003E5148"/>
    <w:rsid w:val="003E523A"/>
    <w:rsid w:val="003E55DC"/>
    <w:rsid w:val="003E62B6"/>
    <w:rsid w:val="003E6810"/>
    <w:rsid w:val="003E7138"/>
    <w:rsid w:val="003E713E"/>
    <w:rsid w:val="003E7731"/>
    <w:rsid w:val="003E7A55"/>
    <w:rsid w:val="003E7CC7"/>
    <w:rsid w:val="003F08C4"/>
    <w:rsid w:val="003F0925"/>
    <w:rsid w:val="003F09F2"/>
    <w:rsid w:val="003F0E4A"/>
    <w:rsid w:val="003F11FC"/>
    <w:rsid w:val="003F12A6"/>
    <w:rsid w:val="003F1377"/>
    <w:rsid w:val="003F1410"/>
    <w:rsid w:val="003F16B5"/>
    <w:rsid w:val="003F18EF"/>
    <w:rsid w:val="003F1A98"/>
    <w:rsid w:val="003F1CCF"/>
    <w:rsid w:val="003F22AB"/>
    <w:rsid w:val="003F2671"/>
    <w:rsid w:val="003F2A8C"/>
    <w:rsid w:val="003F2E98"/>
    <w:rsid w:val="003F3337"/>
    <w:rsid w:val="003F3692"/>
    <w:rsid w:val="003F3896"/>
    <w:rsid w:val="003F3A47"/>
    <w:rsid w:val="003F4094"/>
    <w:rsid w:val="003F43D7"/>
    <w:rsid w:val="003F4C79"/>
    <w:rsid w:val="003F4D4E"/>
    <w:rsid w:val="003F5552"/>
    <w:rsid w:val="003F57E8"/>
    <w:rsid w:val="003F5A75"/>
    <w:rsid w:val="003F5D64"/>
    <w:rsid w:val="003F60DF"/>
    <w:rsid w:val="003F6721"/>
    <w:rsid w:val="003F73D1"/>
    <w:rsid w:val="003F7678"/>
    <w:rsid w:val="003F791A"/>
    <w:rsid w:val="003F7D91"/>
    <w:rsid w:val="0040022A"/>
    <w:rsid w:val="004005D4"/>
    <w:rsid w:val="004007F3"/>
    <w:rsid w:val="00400899"/>
    <w:rsid w:val="00400B0E"/>
    <w:rsid w:val="00401650"/>
    <w:rsid w:val="00401DA9"/>
    <w:rsid w:val="004020B3"/>
    <w:rsid w:val="004023CD"/>
    <w:rsid w:val="004028F9"/>
    <w:rsid w:val="004030E3"/>
    <w:rsid w:val="00403331"/>
    <w:rsid w:val="00403849"/>
    <w:rsid w:val="0040397C"/>
    <w:rsid w:val="00403BA4"/>
    <w:rsid w:val="00403C12"/>
    <w:rsid w:val="00404633"/>
    <w:rsid w:val="00404B70"/>
    <w:rsid w:val="00404CB9"/>
    <w:rsid w:val="00404CD0"/>
    <w:rsid w:val="00405189"/>
    <w:rsid w:val="00405A83"/>
    <w:rsid w:val="00405BCD"/>
    <w:rsid w:val="00405E80"/>
    <w:rsid w:val="00406067"/>
    <w:rsid w:val="00406550"/>
    <w:rsid w:val="0040663A"/>
    <w:rsid w:val="004068B2"/>
    <w:rsid w:val="00406C72"/>
    <w:rsid w:val="00406C8E"/>
    <w:rsid w:val="00407A19"/>
    <w:rsid w:val="00407ED2"/>
    <w:rsid w:val="00410281"/>
    <w:rsid w:val="0041182F"/>
    <w:rsid w:val="00411F5D"/>
    <w:rsid w:val="004121DA"/>
    <w:rsid w:val="00412A67"/>
    <w:rsid w:val="00412B64"/>
    <w:rsid w:val="004131EB"/>
    <w:rsid w:val="00413830"/>
    <w:rsid w:val="004138E7"/>
    <w:rsid w:val="0041405F"/>
    <w:rsid w:val="00414A9B"/>
    <w:rsid w:val="00414D86"/>
    <w:rsid w:val="00414E05"/>
    <w:rsid w:val="00415668"/>
    <w:rsid w:val="00415E31"/>
    <w:rsid w:val="00416033"/>
    <w:rsid w:val="004164A6"/>
    <w:rsid w:val="00416857"/>
    <w:rsid w:val="00416CFB"/>
    <w:rsid w:val="004171AC"/>
    <w:rsid w:val="00417297"/>
    <w:rsid w:val="00417894"/>
    <w:rsid w:val="00417AE1"/>
    <w:rsid w:val="0042011A"/>
    <w:rsid w:val="004208D2"/>
    <w:rsid w:val="004209CE"/>
    <w:rsid w:val="00420A69"/>
    <w:rsid w:val="00420CDB"/>
    <w:rsid w:val="00420D5A"/>
    <w:rsid w:val="00420F28"/>
    <w:rsid w:val="00421413"/>
    <w:rsid w:val="004214FF"/>
    <w:rsid w:val="00421E19"/>
    <w:rsid w:val="004223C5"/>
    <w:rsid w:val="00422D2C"/>
    <w:rsid w:val="00422F73"/>
    <w:rsid w:val="004242C0"/>
    <w:rsid w:val="00424418"/>
    <w:rsid w:val="004244BE"/>
    <w:rsid w:val="00424959"/>
    <w:rsid w:val="004249D6"/>
    <w:rsid w:val="00424A31"/>
    <w:rsid w:val="00424CEC"/>
    <w:rsid w:val="00424FF3"/>
    <w:rsid w:val="00425600"/>
    <w:rsid w:val="00425641"/>
    <w:rsid w:val="00425890"/>
    <w:rsid w:val="00425D6B"/>
    <w:rsid w:val="004261B8"/>
    <w:rsid w:val="00426825"/>
    <w:rsid w:val="00426FEF"/>
    <w:rsid w:val="004270A8"/>
    <w:rsid w:val="00427430"/>
    <w:rsid w:val="00427869"/>
    <w:rsid w:val="00427A34"/>
    <w:rsid w:val="00427A5E"/>
    <w:rsid w:val="00427AC1"/>
    <w:rsid w:val="004307ED"/>
    <w:rsid w:val="00431692"/>
    <w:rsid w:val="00431929"/>
    <w:rsid w:val="00431C0F"/>
    <w:rsid w:val="00431D5E"/>
    <w:rsid w:val="00432162"/>
    <w:rsid w:val="004322DF"/>
    <w:rsid w:val="004328A6"/>
    <w:rsid w:val="00432CA1"/>
    <w:rsid w:val="00432D5C"/>
    <w:rsid w:val="00432D9A"/>
    <w:rsid w:val="00432F85"/>
    <w:rsid w:val="0043315F"/>
    <w:rsid w:val="004331B4"/>
    <w:rsid w:val="004338F3"/>
    <w:rsid w:val="00433B7C"/>
    <w:rsid w:val="00433D20"/>
    <w:rsid w:val="004341BE"/>
    <w:rsid w:val="00434755"/>
    <w:rsid w:val="00435484"/>
    <w:rsid w:val="00435554"/>
    <w:rsid w:val="0043573D"/>
    <w:rsid w:val="00435C8F"/>
    <w:rsid w:val="00435F9F"/>
    <w:rsid w:val="004361BE"/>
    <w:rsid w:val="004375D3"/>
    <w:rsid w:val="00437A6C"/>
    <w:rsid w:val="00440299"/>
    <w:rsid w:val="004408FF"/>
    <w:rsid w:val="00440B29"/>
    <w:rsid w:val="004419A1"/>
    <w:rsid w:val="00441EA6"/>
    <w:rsid w:val="004421B2"/>
    <w:rsid w:val="00442A9A"/>
    <w:rsid w:val="00442F07"/>
    <w:rsid w:val="004439A5"/>
    <w:rsid w:val="00444400"/>
    <w:rsid w:val="00444E65"/>
    <w:rsid w:val="00444EB1"/>
    <w:rsid w:val="00445613"/>
    <w:rsid w:val="004458CB"/>
    <w:rsid w:val="00445AFB"/>
    <w:rsid w:val="004468C0"/>
    <w:rsid w:val="00446B20"/>
    <w:rsid w:val="00446D47"/>
    <w:rsid w:val="004470A7"/>
    <w:rsid w:val="0044754D"/>
    <w:rsid w:val="0044784B"/>
    <w:rsid w:val="0044789D"/>
    <w:rsid w:val="00447D6D"/>
    <w:rsid w:val="004501D6"/>
    <w:rsid w:val="00450957"/>
    <w:rsid w:val="00451DE6"/>
    <w:rsid w:val="00451FA6"/>
    <w:rsid w:val="004525CF"/>
    <w:rsid w:val="00452D72"/>
    <w:rsid w:val="00453127"/>
    <w:rsid w:val="00453CB9"/>
    <w:rsid w:val="00453E5F"/>
    <w:rsid w:val="004540CE"/>
    <w:rsid w:val="0045459B"/>
    <w:rsid w:val="00454AB3"/>
    <w:rsid w:val="00454E40"/>
    <w:rsid w:val="004553C9"/>
    <w:rsid w:val="004555BA"/>
    <w:rsid w:val="00455615"/>
    <w:rsid w:val="004558A9"/>
    <w:rsid w:val="00455952"/>
    <w:rsid w:val="00455B82"/>
    <w:rsid w:val="00455C1D"/>
    <w:rsid w:val="00456488"/>
    <w:rsid w:val="00456A3C"/>
    <w:rsid w:val="00456C89"/>
    <w:rsid w:val="00457192"/>
    <w:rsid w:val="004602C0"/>
    <w:rsid w:val="004605FC"/>
    <w:rsid w:val="00460B2A"/>
    <w:rsid w:val="00460C3C"/>
    <w:rsid w:val="00461AD5"/>
    <w:rsid w:val="00461D9C"/>
    <w:rsid w:val="00461E1E"/>
    <w:rsid w:val="00462345"/>
    <w:rsid w:val="00462383"/>
    <w:rsid w:val="00462552"/>
    <w:rsid w:val="00462704"/>
    <w:rsid w:val="00463340"/>
    <w:rsid w:val="004639DA"/>
    <w:rsid w:val="00463BE5"/>
    <w:rsid w:val="004640C9"/>
    <w:rsid w:val="004640F2"/>
    <w:rsid w:val="00464718"/>
    <w:rsid w:val="004649B4"/>
    <w:rsid w:val="00464EA5"/>
    <w:rsid w:val="004655EB"/>
    <w:rsid w:val="0046618C"/>
    <w:rsid w:val="004675A1"/>
    <w:rsid w:val="004675E1"/>
    <w:rsid w:val="00467B7C"/>
    <w:rsid w:val="00467C07"/>
    <w:rsid w:val="00467F56"/>
    <w:rsid w:val="00470AF4"/>
    <w:rsid w:val="0047123E"/>
    <w:rsid w:val="00471393"/>
    <w:rsid w:val="00471CE8"/>
    <w:rsid w:val="0047372F"/>
    <w:rsid w:val="00473EFF"/>
    <w:rsid w:val="004745B2"/>
    <w:rsid w:val="00474967"/>
    <w:rsid w:val="00474C6C"/>
    <w:rsid w:val="00475183"/>
    <w:rsid w:val="00475234"/>
    <w:rsid w:val="004754B7"/>
    <w:rsid w:val="00475F4C"/>
    <w:rsid w:val="0047656F"/>
    <w:rsid w:val="004765B9"/>
    <w:rsid w:val="00476896"/>
    <w:rsid w:val="00476AB1"/>
    <w:rsid w:val="0047726F"/>
    <w:rsid w:val="00477C70"/>
    <w:rsid w:val="004802C6"/>
    <w:rsid w:val="00480401"/>
    <w:rsid w:val="00480895"/>
    <w:rsid w:val="00480A00"/>
    <w:rsid w:val="00480A0E"/>
    <w:rsid w:val="00480E89"/>
    <w:rsid w:val="0048207F"/>
    <w:rsid w:val="0048238B"/>
    <w:rsid w:val="00482FA3"/>
    <w:rsid w:val="004831E7"/>
    <w:rsid w:val="004833FA"/>
    <w:rsid w:val="004838AC"/>
    <w:rsid w:val="00483A64"/>
    <w:rsid w:val="00483ACC"/>
    <w:rsid w:val="00484064"/>
    <w:rsid w:val="004843CF"/>
    <w:rsid w:val="00484890"/>
    <w:rsid w:val="00484DAB"/>
    <w:rsid w:val="00484DBA"/>
    <w:rsid w:val="00485A9D"/>
    <w:rsid w:val="00485D93"/>
    <w:rsid w:val="00486276"/>
    <w:rsid w:val="004863FA"/>
    <w:rsid w:val="00486701"/>
    <w:rsid w:val="00486F44"/>
    <w:rsid w:val="00487170"/>
    <w:rsid w:val="00487667"/>
    <w:rsid w:val="00487D24"/>
    <w:rsid w:val="00490271"/>
    <w:rsid w:val="00490786"/>
    <w:rsid w:val="00490A80"/>
    <w:rsid w:val="00490A89"/>
    <w:rsid w:val="00490FC6"/>
    <w:rsid w:val="004912DC"/>
    <w:rsid w:val="004917DC"/>
    <w:rsid w:val="00491B97"/>
    <w:rsid w:val="004920E2"/>
    <w:rsid w:val="00492188"/>
    <w:rsid w:val="004921E3"/>
    <w:rsid w:val="00492289"/>
    <w:rsid w:val="004927F8"/>
    <w:rsid w:val="00492A36"/>
    <w:rsid w:val="00492A73"/>
    <w:rsid w:val="00492E73"/>
    <w:rsid w:val="0049323B"/>
    <w:rsid w:val="00493EE2"/>
    <w:rsid w:val="0049408B"/>
    <w:rsid w:val="00494D12"/>
    <w:rsid w:val="00495468"/>
    <w:rsid w:val="0049581C"/>
    <w:rsid w:val="00495EDB"/>
    <w:rsid w:val="00496166"/>
    <w:rsid w:val="00496C03"/>
    <w:rsid w:val="004975F8"/>
    <w:rsid w:val="00497D7C"/>
    <w:rsid w:val="004A0138"/>
    <w:rsid w:val="004A0825"/>
    <w:rsid w:val="004A17ED"/>
    <w:rsid w:val="004A1CDF"/>
    <w:rsid w:val="004A2295"/>
    <w:rsid w:val="004A28D1"/>
    <w:rsid w:val="004A2B47"/>
    <w:rsid w:val="004A2CE3"/>
    <w:rsid w:val="004A3D99"/>
    <w:rsid w:val="004A422A"/>
    <w:rsid w:val="004A42D2"/>
    <w:rsid w:val="004A435A"/>
    <w:rsid w:val="004A47EB"/>
    <w:rsid w:val="004A4B1D"/>
    <w:rsid w:val="004A513A"/>
    <w:rsid w:val="004A559D"/>
    <w:rsid w:val="004A6294"/>
    <w:rsid w:val="004A650B"/>
    <w:rsid w:val="004A65FA"/>
    <w:rsid w:val="004A6B07"/>
    <w:rsid w:val="004A6F0E"/>
    <w:rsid w:val="004A73B5"/>
    <w:rsid w:val="004A7880"/>
    <w:rsid w:val="004A78E9"/>
    <w:rsid w:val="004A799D"/>
    <w:rsid w:val="004A7E57"/>
    <w:rsid w:val="004B0197"/>
    <w:rsid w:val="004B08A6"/>
    <w:rsid w:val="004B0C0A"/>
    <w:rsid w:val="004B10D2"/>
    <w:rsid w:val="004B1203"/>
    <w:rsid w:val="004B15CE"/>
    <w:rsid w:val="004B20B5"/>
    <w:rsid w:val="004B2F5D"/>
    <w:rsid w:val="004B300B"/>
    <w:rsid w:val="004B304A"/>
    <w:rsid w:val="004B31D1"/>
    <w:rsid w:val="004B3750"/>
    <w:rsid w:val="004B37A2"/>
    <w:rsid w:val="004B41E0"/>
    <w:rsid w:val="004B486A"/>
    <w:rsid w:val="004B4C5D"/>
    <w:rsid w:val="004B5102"/>
    <w:rsid w:val="004B5449"/>
    <w:rsid w:val="004B58F5"/>
    <w:rsid w:val="004B5ABA"/>
    <w:rsid w:val="004B5BD7"/>
    <w:rsid w:val="004B633C"/>
    <w:rsid w:val="004B6906"/>
    <w:rsid w:val="004B6BD9"/>
    <w:rsid w:val="004B7614"/>
    <w:rsid w:val="004B7782"/>
    <w:rsid w:val="004B77EF"/>
    <w:rsid w:val="004B7867"/>
    <w:rsid w:val="004C002C"/>
    <w:rsid w:val="004C045C"/>
    <w:rsid w:val="004C0F33"/>
    <w:rsid w:val="004C15BD"/>
    <w:rsid w:val="004C1A3A"/>
    <w:rsid w:val="004C1AE3"/>
    <w:rsid w:val="004C2141"/>
    <w:rsid w:val="004C2E8A"/>
    <w:rsid w:val="004C3010"/>
    <w:rsid w:val="004C3A01"/>
    <w:rsid w:val="004C485E"/>
    <w:rsid w:val="004C4F0F"/>
    <w:rsid w:val="004C5E79"/>
    <w:rsid w:val="004C60F2"/>
    <w:rsid w:val="004C6F71"/>
    <w:rsid w:val="004C7166"/>
    <w:rsid w:val="004C722F"/>
    <w:rsid w:val="004C737D"/>
    <w:rsid w:val="004C7551"/>
    <w:rsid w:val="004D0048"/>
    <w:rsid w:val="004D0162"/>
    <w:rsid w:val="004D07B6"/>
    <w:rsid w:val="004D098A"/>
    <w:rsid w:val="004D153C"/>
    <w:rsid w:val="004D159F"/>
    <w:rsid w:val="004D177C"/>
    <w:rsid w:val="004D17EC"/>
    <w:rsid w:val="004D1DEE"/>
    <w:rsid w:val="004D1FC6"/>
    <w:rsid w:val="004D26A6"/>
    <w:rsid w:val="004D2E5A"/>
    <w:rsid w:val="004D3345"/>
    <w:rsid w:val="004D34BF"/>
    <w:rsid w:val="004D3D22"/>
    <w:rsid w:val="004D40E5"/>
    <w:rsid w:val="004D475B"/>
    <w:rsid w:val="004D47A7"/>
    <w:rsid w:val="004D52A2"/>
    <w:rsid w:val="004D6510"/>
    <w:rsid w:val="004D66BB"/>
    <w:rsid w:val="004D6CF6"/>
    <w:rsid w:val="004D70FC"/>
    <w:rsid w:val="004D7370"/>
    <w:rsid w:val="004D767D"/>
    <w:rsid w:val="004D797C"/>
    <w:rsid w:val="004D799A"/>
    <w:rsid w:val="004D7AC8"/>
    <w:rsid w:val="004E056B"/>
    <w:rsid w:val="004E05C2"/>
    <w:rsid w:val="004E0D1F"/>
    <w:rsid w:val="004E1617"/>
    <w:rsid w:val="004E168D"/>
    <w:rsid w:val="004E1F43"/>
    <w:rsid w:val="004E320F"/>
    <w:rsid w:val="004E43BC"/>
    <w:rsid w:val="004E4EB7"/>
    <w:rsid w:val="004E5588"/>
    <w:rsid w:val="004E5DD8"/>
    <w:rsid w:val="004E669F"/>
    <w:rsid w:val="004E6A5A"/>
    <w:rsid w:val="004E71FD"/>
    <w:rsid w:val="004E766C"/>
    <w:rsid w:val="004E7F7D"/>
    <w:rsid w:val="004F04D8"/>
    <w:rsid w:val="004F055A"/>
    <w:rsid w:val="004F0D0D"/>
    <w:rsid w:val="004F124C"/>
    <w:rsid w:val="004F197C"/>
    <w:rsid w:val="004F1AB9"/>
    <w:rsid w:val="004F1CB1"/>
    <w:rsid w:val="004F1F69"/>
    <w:rsid w:val="004F21B6"/>
    <w:rsid w:val="004F21DB"/>
    <w:rsid w:val="004F2BA8"/>
    <w:rsid w:val="004F2C1A"/>
    <w:rsid w:val="004F2DD3"/>
    <w:rsid w:val="004F312F"/>
    <w:rsid w:val="004F36A5"/>
    <w:rsid w:val="004F3C3C"/>
    <w:rsid w:val="004F42FE"/>
    <w:rsid w:val="004F4428"/>
    <w:rsid w:val="004F47A8"/>
    <w:rsid w:val="004F4D57"/>
    <w:rsid w:val="004F4E29"/>
    <w:rsid w:val="004F50BC"/>
    <w:rsid w:val="004F5278"/>
    <w:rsid w:val="004F5827"/>
    <w:rsid w:val="004F5E72"/>
    <w:rsid w:val="004F5E7F"/>
    <w:rsid w:val="004F5EC0"/>
    <w:rsid w:val="004F6792"/>
    <w:rsid w:val="004F6A25"/>
    <w:rsid w:val="004F6B64"/>
    <w:rsid w:val="004F6F86"/>
    <w:rsid w:val="004F717E"/>
    <w:rsid w:val="004F726A"/>
    <w:rsid w:val="004F78CE"/>
    <w:rsid w:val="00500433"/>
    <w:rsid w:val="00500485"/>
    <w:rsid w:val="00500AF7"/>
    <w:rsid w:val="00500B1C"/>
    <w:rsid w:val="00500CD9"/>
    <w:rsid w:val="005012AD"/>
    <w:rsid w:val="005014A3"/>
    <w:rsid w:val="00501A26"/>
    <w:rsid w:val="00501A86"/>
    <w:rsid w:val="0050287F"/>
    <w:rsid w:val="00502F2F"/>
    <w:rsid w:val="00503108"/>
    <w:rsid w:val="00503302"/>
    <w:rsid w:val="00503725"/>
    <w:rsid w:val="005038C5"/>
    <w:rsid w:val="005039F1"/>
    <w:rsid w:val="005039F6"/>
    <w:rsid w:val="00503B21"/>
    <w:rsid w:val="0050455B"/>
    <w:rsid w:val="00505662"/>
    <w:rsid w:val="0050573F"/>
    <w:rsid w:val="005058EF"/>
    <w:rsid w:val="00506771"/>
    <w:rsid w:val="00506933"/>
    <w:rsid w:val="005069F2"/>
    <w:rsid w:val="00506A7D"/>
    <w:rsid w:val="00506A9F"/>
    <w:rsid w:val="00506DF5"/>
    <w:rsid w:val="00506F0F"/>
    <w:rsid w:val="00507119"/>
    <w:rsid w:val="00507A44"/>
    <w:rsid w:val="00507DB0"/>
    <w:rsid w:val="00507DC5"/>
    <w:rsid w:val="0051082D"/>
    <w:rsid w:val="005108CD"/>
    <w:rsid w:val="00510E92"/>
    <w:rsid w:val="005114C6"/>
    <w:rsid w:val="005116DD"/>
    <w:rsid w:val="00511D55"/>
    <w:rsid w:val="00512CB3"/>
    <w:rsid w:val="00512CEA"/>
    <w:rsid w:val="00512E77"/>
    <w:rsid w:val="00513345"/>
    <w:rsid w:val="005137AF"/>
    <w:rsid w:val="00513892"/>
    <w:rsid w:val="0051394A"/>
    <w:rsid w:val="005148F9"/>
    <w:rsid w:val="00515292"/>
    <w:rsid w:val="00515BAC"/>
    <w:rsid w:val="00515C4E"/>
    <w:rsid w:val="00516127"/>
    <w:rsid w:val="00516AA7"/>
    <w:rsid w:val="0051714D"/>
    <w:rsid w:val="005177AB"/>
    <w:rsid w:val="00520474"/>
    <w:rsid w:val="005207CB"/>
    <w:rsid w:val="00520C14"/>
    <w:rsid w:val="0052108D"/>
    <w:rsid w:val="00521B05"/>
    <w:rsid w:val="00521CCD"/>
    <w:rsid w:val="00521FDD"/>
    <w:rsid w:val="005225BE"/>
    <w:rsid w:val="005225F2"/>
    <w:rsid w:val="00522607"/>
    <w:rsid w:val="00522792"/>
    <w:rsid w:val="00522895"/>
    <w:rsid w:val="00522F2B"/>
    <w:rsid w:val="005238DE"/>
    <w:rsid w:val="00524390"/>
    <w:rsid w:val="005258B1"/>
    <w:rsid w:val="005259EE"/>
    <w:rsid w:val="00525A4B"/>
    <w:rsid w:val="005266D1"/>
    <w:rsid w:val="0052690E"/>
    <w:rsid w:val="00526C3E"/>
    <w:rsid w:val="00526EE0"/>
    <w:rsid w:val="00527253"/>
    <w:rsid w:val="005273E9"/>
    <w:rsid w:val="00527473"/>
    <w:rsid w:val="00527576"/>
    <w:rsid w:val="0052786D"/>
    <w:rsid w:val="00527CA1"/>
    <w:rsid w:val="00527F9C"/>
    <w:rsid w:val="00530470"/>
    <w:rsid w:val="005305A1"/>
    <w:rsid w:val="0053060F"/>
    <w:rsid w:val="00531711"/>
    <w:rsid w:val="005320DB"/>
    <w:rsid w:val="00532641"/>
    <w:rsid w:val="005327D0"/>
    <w:rsid w:val="00532E89"/>
    <w:rsid w:val="00533C6A"/>
    <w:rsid w:val="00533F3A"/>
    <w:rsid w:val="00534253"/>
    <w:rsid w:val="005342EB"/>
    <w:rsid w:val="0053434A"/>
    <w:rsid w:val="00534424"/>
    <w:rsid w:val="005346E3"/>
    <w:rsid w:val="005348B3"/>
    <w:rsid w:val="00534C99"/>
    <w:rsid w:val="00534EF3"/>
    <w:rsid w:val="0053502A"/>
    <w:rsid w:val="00535477"/>
    <w:rsid w:val="005359A0"/>
    <w:rsid w:val="00535B32"/>
    <w:rsid w:val="00535CE9"/>
    <w:rsid w:val="00535E29"/>
    <w:rsid w:val="00536AFB"/>
    <w:rsid w:val="00537278"/>
    <w:rsid w:val="00537483"/>
    <w:rsid w:val="00537577"/>
    <w:rsid w:val="00537826"/>
    <w:rsid w:val="00537F86"/>
    <w:rsid w:val="005404C5"/>
    <w:rsid w:val="00540E6C"/>
    <w:rsid w:val="00541C3F"/>
    <w:rsid w:val="00541DDC"/>
    <w:rsid w:val="00541EB1"/>
    <w:rsid w:val="00542130"/>
    <w:rsid w:val="00542529"/>
    <w:rsid w:val="00542D4E"/>
    <w:rsid w:val="00542E61"/>
    <w:rsid w:val="005435FD"/>
    <w:rsid w:val="00543AA0"/>
    <w:rsid w:val="00543D2C"/>
    <w:rsid w:val="00544B25"/>
    <w:rsid w:val="005450BE"/>
    <w:rsid w:val="005450F5"/>
    <w:rsid w:val="005454B7"/>
    <w:rsid w:val="00545561"/>
    <w:rsid w:val="00545A04"/>
    <w:rsid w:val="00546499"/>
    <w:rsid w:val="00546932"/>
    <w:rsid w:val="00546B09"/>
    <w:rsid w:val="00547661"/>
    <w:rsid w:val="005476DE"/>
    <w:rsid w:val="005478B5"/>
    <w:rsid w:val="0055043D"/>
    <w:rsid w:val="00550E93"/>
    <w:rsid w:val="00551123"/>
    <w:rsid w:val="005511DE"/>
    <w:rsid w:val="00551492"/>
    <w:rsid w:val="005515D7"/>
    <w:rsid w:val="005518AA"/>
    <w:rsid w:val="005518C0"/>
    <w:rsid w:val="00551A1C"/>
    <w:rsid w:val="00551C7D"/>
    <w:rsid w:val="00552920"/>
    <w:rsid w:val="005529DF"/>
    <w:rsid w:val="00553193"/>
    <w:rsid w:val="005534F4"/>
    <w:rsid w:val="00553DFA"/>
    <w:rsid w:val="00554BCF"/>
    <w:rsid w:val="00554F4D"/>
    <w:rsid w:val="005552A8"/>
    <w:rsid w:val="005556EA"/>
    <w:rsid w:val="005563AD"/>
    <w:rsid w:val="00556A0C"/>
    <w:rsid w:val="0055754A"/>
    <w:rsid w:val="00557AB5"/>
    <w:rsid w:val="0056024E"/>
    <w:rsid w:val="00560593"/>
    <w:rsid w:val="0056060C"/>
    <w:rsid w:val="00560AF3"/>
    <w:rsid w:val="00560B60"/>
    <w:rsid w:val="0056159B"/>
    <w:rsid w:val="005621B8"/>
    <w:rsid w:val="005628FF"/>
    <w:rsid w:val="00562D9E"/>
    <w:rsid w:val="00562F3F"/>
    <w:rsid w:val="005634B8"/>
    <w:rsid w:val="00563695"/>
    <w:rsid w:val="00563A6B"/>
    <w:rsid w:val="00563AA4"/>
    <w:rsid w:val="00565140"/>
    <w:rsid w:val="00565190"/>
    <w:rsid w:val="00565476"/>
    <w:rsid w:val="005666BC"/>
    <w:rsid w:val="00566E9A"/>
    <w:rsid w:val="00567EE7"/>
    <w:rsid w:val="00570230"/>
    <w:rsid w:val="0057096B"/>
    <w:rsid w:val="00570BBF"/>
    <w:rsid w:val="00572829"/>
    <w:rsid w:val="00572B2F"/>
    <w:rsid w:val="00572B38"/>
    <w:rsid w:val="00572EF5"/>
    <w:rsid w:val="0057387F"/>
    <w:rsid w:val="00573BA8"/>
    <w:rsid w:val="00573CA5"/>
    <w:rsid w:val="00574032"/>
    <w:rsid w:val="0057459C"/>
    <w:rsid w:val="00574614"/>
    <w:rsid w:val="005746D2"/>
    <w:rsid w:val="00574923"/>
    <w:rsid w:val="00575140"/>
    <w:rsid w:val="0057534A"/>
    <w:rsid w:val="005754CE"/>
    <w:rsid w:val="00575602"/>
    <w:rsid w:val="005756B2"/>
    <w:rsid w:val="005758EF"/>
    <w:rsid w:val="005760B4"/>
    <w:rsid w:val="00576694"/>
    <w:rsid w:val="0057697D"/>
    <w:rsid w:val="00577232"/>
    <w:rsid w:val="00577424"/>
    <w:rsid w:val="005774F0"/>
    <w:rsid w:val="005805BC"/>
    <w:rsid w:val="00580ACA"/>
    <w:rsid w:val="00580B88"/>
    <w:rsid w:val="00580BF4"/>
    <w:rsid w:val="00580E11"/>
    <w:rsid w:val="005811B1"/>
    <w:rsid w:val="0058164A"/>
    <w:rsid w:val="00581D7B"/>
    <w:rsid w:val="00581E43"/>
    <w:rsid w:val="005822BD"/>
    <w:rsid w:val="00582FC4"/>
    <w:rsid w:val="00583079"/>
    <w:rsid w:val="0058351A"/>
    <w:rsid w:val="0058370A"/>
    <w:rsid w:val="005837B5"/>
    <w:rsid w:val="005839B2"/>
    <w:rsid w:val="00583D8F"/>
    <w:rsid w:val="00583FFE"/>
    <w:rsid w:val="005845C6"/>
    <w:rsid w:val="00584E04"/>
    <w:rsid w:val="005850E6"/>
    <w:rsid w:val="0058555A"/>
    <w:rsid w:val="005857BF"/>
    <w:rsid w:val="00585922"/>
    <w:rsid w:val="0058593C"/>
    <w:rsid w:val="00585A4D"/>
    <w:rsid w:val="00586058"/>
    <w:rsid w:val="0058616F"/>
    <w:rsid w:val="005866E6"/>
    <w:rsid w:val="005867E3"/>
    <w:rsid w:val="00586A8A"/>
    <w:rsid w:val="00586DDF"/>
    <w:rsid w:val="0058721A"/>
    <w:rsid w:val="0058737F"/>
    <w:rsid w:val="005877F8"/>
    <w:rsid w:val="00587ACB"/>
    <w:rsid w:val="0059014F"/>
    <w:rsid w:val="0059044E"/>
    <w:rsid w:val="005909D0"/>
    <w:rsid w:val="00590E34"/>
    <w:rsid w:val="00590E78"/>
    <w:rsid w:val="00590F36"/>
    <w:rsid w:val="00590FD9"/>
    <w:rsid w:val="00591228"/>
    <w:rsid w:val="0059186A"/>
    <w:rsid w:val="00591956"/>
    <w:rsid w:val="00591B98"/>
    <w:rsid w:val="00591E5E"/>
    <w:rsid w:val="00591FD1"/>
    <w:rsid w:val="005925C8"/>
    <w:rsid w:val="00592841"/>
    <w:rsid w:val="00592A1D"/>
    <w:rsid w:val="00592A2D"/>
    <w:rsid w:val="00592C5F"/>
    <w:rsid w:val="005934E8"/>
    <w:rsid w:val="00593602"/>
    <w:rsid w:val="005938FA"/>
    <w:rsid w:val="00593F5A"/>
    <w:rsid w:val="00593FF9"/>
    <w:rsid w:val="0059419A"/>
    <w:rsid w:val="00594396"/>
    <w:rsid w:val="00594440"/>
    <w:rsid w:val="00594EC6"/>
    <w:rsid w:val="005951FE"/>
    <w:rsid w:val="005957BF"/>
    <w:rsid w:val="00595A70"/>
    <w:rsid w:val="00595B4F"/>
    <w:rsid w:val="00596252"/>
    <w:rsid w:val="005967CC"/>
    <w:rsid w:val="005971B9"/>
    <w:rsid w:val="005A0210"/>
    <w:rsid w:val="005A0397"/>
    <w:rsid w:val="005A04B7"/>
    <w:rsid w:val="005A23FC"/>
    <w:rsid w:val="005A273A"/>
    <w:rsid w:val="005A2D50"/>
    <w:rsid w:val="005A3811"/>
    <w:rsid w:val="005A40E3"/>
    <w:rsid w:val="005A4126"/>
    <w:rsid w:val="005A4420"/>
    <w:rsid w:val="005A4F3E"/>
    <w:rsid w:val="005A5755"/>
    <w:rsid w:val="005A58E1"/>
    <w:rsid w:val="005A6186"/>
    <w:rsid w:val="005A645B"/>
    <w:rsid w:val="005A66B6"/>
    <w:rsid w:val="005A722D"/>
    <w:rsid w:val="005A731F"/>
    <w:rsid w:val="005A7F4E"/>
    <w:rsid w:val="005B0035"/>
    <w:rsid w:val="005B00E9"/>
    <w:rsid w:val="005B080D"/>
    <w:rsid w:val="005B08CD"/>
    <w:rsid w:val="005B0BFD"/>
    <w:rsid w:val="005B0D55"/>
    <w:rsid w:val="005B0DDE"/>
    <w:rsid w:val="005B0ECE"/>
    <w:rsid w:val="005B11A6"/>
    <w:rsid w:val="005B1406"/>
    <w:rsid w:val="005B1A89"/>
    <w:rsid w:val="005B1BF3"/>
    <w:rsid w:val="005B1FC7"/>
    <w:rsid w:val="005B234D"/>
    <w:rsid w:val="005B2791"/>
    <w:rsid w:val="005B2AB7"/>
    <w:rsid w:val="005B2E03"/>
    <w:rsid w:val="005B2F88"/>
    <w:rsid w:val="005B3ADE"/>
    <w:rsid w:val="005B3F77"/>
    <w:rsid w:val="005B443A"/>
    <w:rsid w:val="005B5375"/>
    <w:rsid w:val="005B58D4"/>
    <w:rsid w:val="005B6CFF"/>
    <w:rsid w:val="005B6D13"/>
    <w:rsid w:val="005B6EDC"/>
    <w:rsid w:val="005B79AC"/>
    <w:rsid w:val="005B7D81"/>
    <w:rsid w:val="005C001E"/>
    <w:rsid w:val="005C032C"/>
    <w:rsid w:val="005C1035"/>
    <w:rsid w:val="005C129B"/>
    <w:rsid w:val="005C1345"/>
    <w:rsid w:val="005C14F8"/>
    <w:rsid w:val="005C1667"/>
    <w:rsid w:val="005C1E25"/>
    <w:rsid w:val="005C1F5E"/>
    <w:rsid w:val="005C223C"/>
    <w:rsid w:val="005C2443"/>
    <w:rsid w:val="005C24D3"/>
    <w:rsid w:val="005C2C01"/>
    <w:rsid w:val="005C2C0B"/>
    <w:rsid w:val="005C2F4B"/>
    <w:rsid w:val="005C32E3"/>
    <w:rsid w:val="005C35EA"/>
    <w:rsid w:val="005C36E5"/>
    <w:rsid w:val="005C3EBF"/>
    <w:rsid w:val="005C43D6"/>
    <w:rsid w:val="005C520D"/>
    <w:rsid w:val="005C538E"/>
    <w:rsid w:val="005C57D4"/>
    <w:rsid w:val="005C593D"/>
    <w:rsid w:val="005C5CCF"/>
    <w:rsid w:val="005C6030"/>
    <w:rsid w:val="005C61FD"/>
    <w:rsid w:val="005C662C"/>
    <w:rsid w:val="005C665C"/>
    <w:rsid w:val="005C68C7"/>
    <w:rsid w:val="005C6A43"/>
    <w:rsid w:val="005C6A6E"/>
    <w:rsid w:val="005C6E5D"/>
    <w:rsid w:val="005C7124"/>
    <w:rsid w:val="005C7618"/>
    <w:rsid w:val="005C782D"/>
    <w:rsid w:val="005C79F1"/>
    <w:rsid w:val="005C7FC5"/>
    <w:rsid w:val="005D04F6"/>
    <w:rsid w:val="005D0AB0"/>
    <w:rsid w:val="005D0EEB"/>
    <w:rsid w:val="005D12E5"/>
    <w:rsid w:val="005D139F"/>
    <w:rsid w:val="005D16BC"/>
    <w:rsid w:val="005D16EF"/>
    <w:rsid w:val="005D1AFA"/>
    <w:rsid w:val="005D1C06"/>
    <w:rsid w:val="005D1EC1"/>
    <w:rsid w:val="005D2175"/>
    <w:rsid w:val="005D246F"/>
    <w:rsid w:val="005D2D32"/>
    <w:rsid w:val="005D2F1F"/>
    <w:rsid w:val="005D31AB"/>
    <w:rsid w:val="005D32C3"/>
    <w:rsid w:val="005D3E4A"/>
    <w:rsid w:val="005D3E85"/>
    <w:rsid w:val="005D4DB5"/>
    <w:rsid w:val="005D568F"/>
    <w:rsid w:val="005D569B"/>
    <w:rsid w:val="005D59EF"/>
    <w:rsid w:val="005D5CEE"/>
    <w:rsid w:val="005D63A5"/>
    <w:rsid w:val="005D6C31"/>
    <w:rsid w:val="005D704D"/>
    <w:rsid w:val="005D7145"/>
    <w:rsid w:val="005D7C4B"/>
    <w:rsid w:val="005D7CEF"/>
    <w:rsid w:val="005D7DFA"/>
    <w:rsid w:val="005D7E2E"/>
    <w:rsid w:val="005E1353"/>
    <w:rsid w:val="005E159C"/>
    <w:rsid w:val="005E1B0E"/>
    <w:rsid w:val="005E276D"/>
    <w:rsid w:val="005E2BB7"/>
    <w:rsid w:val="005E3887"/>
    <w:rsid w:val="005E3CF2"/>
    <w:rsid w:val="005E446B"/>
    <w:rsid w:val="005E4709"/>
    <w:rsid w:val="005E4AC1"/>
    <w:rsid w:val="005E4DE6"/>
    <w:rsid w:val="005E4F68"/>
    <w:rsid w:val="005E5082"/>
    <w:rsid w:val="005E50FA"/>
    <w:rsid w:val="005E61E8"/>
    <w:rsid w:val="005E628A"/>
    <w:rsid w:val="005E62B7"/>
    <w:rsid w:val="005E637D"/>
    <w:rsid w:val="005E6644"/>
    <w:rsid w:val="005E696A"/>
    <w:rsid w:val="005E6A56"/>
    <w:rsid w:val="005E7746"/>
    <w:rsid w:val="005F05FB"/>
    <w:rsid w:val="005F1347"/>
    <w:rsid w:val="005F274C"/>
    <w:rsid w:val="005F2F12"/>
    <w:rsid w:val="005F3041"/>
    <w:rsid w:val="005F380F"/>
    <w:rsid w:val="005F3F74"/>
    <w:rsid w:val="005F4025"/>
    <w:rsid w:val="005F4154"/>
    <w:rsid w:val="005F45FA"/>
    <w:rsid w:val="005F4909"/>
    <w:rsid w:val="005F4B76"/>
    <w:rsid w:val="005F5517"/>
    <w:rsid w:val="005F58D9"/>
    <w:rsid w:val="005F6739"/>
    <w:rsid w:val="005F682E"/>
    <w:rsid w:val="005F6885"/>
    <w:rsid w:val="005F689C"/>
    <w:rsid w:val="005F6AC9"/>
    <w:rsid w:val="005F6BDD"/>
    <w:rsid w:val="005F6EEB"/>
    <w:rsid w:val="005F7010"/>
    <w:rsid w:val="005F76A1"/>
    <w:rsid w:val="005F79B1"/>
    <w:rsid w:val="005F7E61"/>
    <w:rsid w:val="00600801"/>
    <w:rsid w:val="006009E5"/>
    <w:rsid w:val="0060109C"/>
    <w:rsid w:val="00601323"/>
    <w:rsid w:val="00601DB5"/>
    <w:rsid w:val="006026C1"/>
    <w:rsid w:val="006027AA"/>
    <w:rsid w:val="0060404B"/>
    <w:rsid w:val="00604369"/>
    <w:rsid w:val="00604A6D"/>
    <w:rsid w:val="00604DDC"/>
    <w:rsid w:val="006051B2"/>
    <w:rsid w:val="006053FA"/>
    <w:rsid w:val="00607354"/>
    <w:rsid w:val="006073AC"/>
    <w:rsid w:val="00607522"/>
    <w:rsid w:val="0060753D"/>
    <w:rsid w:val="00610B05"/>
    <w:rsid w:val="00610EC5"/>
    <w:rsid w:val="006118E0"/>
    <w:rsid w:val="00611F19"/>
    <w:rsid w:val="00611F39"/>
    <w:rsid w:val="00612210"/>
    <w:rsid w:val="00612C33"/>
    <w:rsid w:val="006143AA"/>
    <w:rsid w:val="0061445A"/>
    <w:rsid w:val="00614B6D"/>
    <w:rsid w:val="00614D9B"/>
    <w:rsid w:val="00614E7B"/>
    <w:rsid w:val="006155BE"/>
    <w:rsid w:val="006158FA"/>
    <w:rsid w:val="00615D88"/>
    <w:rsid w:val="00615FD8"/>
    <w:rsid w:val="006160AC"/>
    <w:rsid w:val="006160F6"/>
    <w:rsid w:val="00616E4E"/>
    <w:rsid w:val="0061703D"/>
    <w:rsid w:val="006177C3"/>
    <w:rsid w:val="00617CBD"/>
    <w:rsid w:val="00620322"/>
    <w:rsid w:val="006204FB"/>
    <w:rsid w:val="006205BF"/>
    <w:rsid w:val="006221F3"/>
    <w:rsid w:val="006226CC"/>
    <w:rsid w:val="00622EBF"/>
    <w:rsid w:val="00622F7B"/>
    <w:rsid w:val="006241BF"/>
    <w:rsid w:val="00624A5B"/>
    <w:rsid w:val="00624CCB"/>
    <w:rsid w:val="00625B49"/>
    <w:rsid w:val="00625D66"/>
    <w:rsid w:val="00625D6F"/>
    <w:rsid w:val="006264A3"/>
    <w:rsid w:val="00627715"/>
    <w:rsid w:val="0063085F"/>
    <w:rsid w:val="006309DA"/>
    <w:rsid w:val="00630B40"/>
    <w:rsid w:val="00630E44"/>
    <w:rsid w:val="00630E83"/>
    <w:rsid w:val="00630EF0"/>
    <w:rsid w:val="0063108E"/>
    <w:rsid w:val="00631581"/>
    <w:rsid w:val="006316A6"/>
    <w:rsid w:val="00631CA7"/>
    <w:rsid w:val="00632470"/>
    <w:rsid w:val="00632540"/>
    <w:rsid w:val="0063278D"/>
    <w:rsid w:val="006329B9"/>
    <w:rsid w:val="00632AFC"/>
    <w:rsid w:val="00632BA0"/>
    <w:rsid w:val="00632CE5"/>
    <w:rsid w:val="00633B68"/>
    <w:rsid w:val="00633B9E"/>
    <w:rsid w:val="00634523"/>
    <w:rsid w:val="006345DE"/>
    <w:rsid w:val="0063460A"/>
    <w:rsid w:val="0063478C"/>
    <w:rsid w:val="0063478E"/>
    <w:rsid w:val="006348DA"/>
    <w:rsid w:val="0063591F"/>
    <w:rsid w:val="00635B90"/>
    <w:rsid w:val="00635C27"/>
    <w:rsid w:val="00635D47"/>
    <w:rsid w:val="00635DE6"/>
    <w:rsid w:val="00635F22"/>
    <w:rsid w:val="00635F75"/>
    <w:rsid w:val="00637402"/>
    <w:rsid w:val="00637873"/>
    <w:rsid w:val="00637ADF"/>
    <w:rsid w:val="00637C80"/>
    <w:rsid w:val="0064025F"/>
    <w:rsid w:val="00640E88"/>
    <w:rsid w:val="006411A5"/>
    <w:rsid w:val="00641866"/>
    <w:rsid w:val="0064195E"/>
    <w:rsid w:val="00641AC5"/>
    <w:rsid w:val="006420DC"/>
    <w:rsid w:val="006422D1"/>
    <w:rsid w:val="006424EF"/>
    <w:rsid w:val="0064270E"/>
    <w:rsid w:val="00642863"/>
    <w:rsid w:val="0064303F"/>
    <w:rsid w:val="006431AC"/>
    <w:rsid w:val="006431F4"/>
    <w:rsid w:val="006431F9"/>
    <w:rsid w:val="00643DBB"/>
    <w:rsid w:val="00643EA5"/>
    <w:rsid w:val="00644802"/>
    <w:rsid w:val="00644985"/>
    <w:rsid w:val="00645521"/>
    <w:rsid w:val="00645A21"/>
    <w:rsid w:val="00645EBB"/>
    <w:rsid w:val="00645F80"/>
    <w:rsid w:val="00645FB2"/>
    <w:rsid w:val="00646263"/>
    <w:rsid w:val="00646647"/>
    <w:rsid w:val="006466CB"/>
    <w:rsid w:val="00646CA7"/>
    <w:rsid w:val="006472F1"/>
    <w:rsid w:val="0064774D"/>
    <w:rsid w:val="00647775"/>
    <w:rsid w:val="0064796F"/>
    <w:rsid w:val="00647B2A"/>
    <w:rsid w:val="00650065"/>
    <w:rsid w:val="00650824"/>
    <w:rsid w:val="00650B91"/>
    <w:rsid w:val="00652DBA"/>
    <w:rsid w:val="00652F95"/>
    <w:rsid w:val="0065404B"/>
    <w:rsid w:val="00654BDB"/>
    <w:rsid w:val="00654F94"/>
    <w:rsid w:val="00654FCF"/>
    <w:rsid w:val="0065500E"/>
    <w:rsid w:val="00655498"/>
    <w:rsid w:val="00655E63"/>
    <w:rsid w:val="0065606C"/>
    <w:rsid w:val="006565FE"/>
    <w:rsid w:val="006566E3"/>
    <w:rsid w:val="006568B1"/>
    <w:rsid w:val="00656A9C"/>
    <w:rsid w:val="00656B5F"/>
    <w:rsid w:val="00656CC5"/>
    <w:rsid w:val="006570AD"/>
    <w:rsid w:val="00657394"/>
    <w:rsid w:val="00657435"/>
    <w:rsid w:val="00657552"/>
    <w:rsid w:val="006606B7"/>
    <w:rsid w:val="006612A0"/>
    <w:rsid w:val="0066151D"/>
    <w:rsid w:val="00661E59"/>
    <w:rsid w:val="00662901"/>
    <w:rsid w:val="00662B1E"/>
    <w:rsid w:val="00662BC7"/>
    <w:rsid w:val="0066326A"/>
    <w:rsid w:val="006639D2"/>
    <w:rsid w:val="006642B4"/>
    <w:rsid w:val="00664657"/>
    <w:rsid w:val="0066468D"/>
    <w:rsid w:val="00664800"/>
    <w:rsid w:val="0066484F"/>
    <w:rsid w:val="0066495C"/>
    <w:rsid w:val="00664C40"/>
    <w:rsid w:val="00665000"/>
    <w:rsid w:val="006653D6"/>
    <w:rsid w:val="0066547F"/>
    <w:rsid w:val="00665CA6"/>
    <w:rsid w:val="00666061"/>
    <w:rsid w:val="006663C7"/>
    <w:rsid w:val="006668B9"/>
    <w:rsid w:val="00666E39"/>
    <w:rsid w:val="0066769D"/>
    <w:rsid w:val="006676ED"/>
    <w:rsid w:val="0067145D"/>
    <w:rsid w:val="00671589"/>
    <w:rsid w:val="0067191F"/>
    <w:rsid w:val="00671B14"/>
    <w:rsid w:val="00671B95"/>
    <w:rsid w:val="00671C17"/>
    <w:rsid w:val="00671D01"/>
    <w:rsid w:val="00671DD9"/>
    <w:rsid w:val="00671DE6"/>
    <w:rsid w:val="00672ADC"/>
    <w:rsid w:val="00672E17"/>
    <w:rsid w:val="00672FCF"/>
    <w:rsid w:val="006737C5"/>
    <w:rsid w:val="00674529"/>
    <w:rsid w:val="006746D7"/>
    <w:rsid w:val="0067471C"/>
    <w:rsid w:val="00674BB2"/>
    <w:rsid w:val="00675611"/>
    <w:rsid w:val="00675F7E"/>
    <w:rsid w:val="0067656B"/>
    <w:rsid w:val="00676CDF"/>
    <w:rsid w:val="00676E7D"/>
    <w:rsid w:val="00676FE4"/>
    <w:rsid w:val="006773CA"/>
    <w:rsid w:val="006777B0"/>
    <w:rsid w:val="006778D2"/>
    <w:rsid w:val="006778F7"/>
    <w:rsid w:val="00677917"/>
    <w:rsid w:val="00677A9B"/>
    <w:rsid w:val="00677AC2"/>
    <w:rsid w:val="00677BAA"/>
    <w:rsid w:val="00677F19"/>
    <w:rsid w:val="006802D8"/>
    <w:rsid w:val="006809B1"/>
    <w:rsid w:val="00680BEB"/>
    <w:rsid w:val="006822D5"/>
    <w:rsid w:val="0068232F"/>
    <w:rsid w:val="00682721"/>
    <w:rsid w:val="0068279C"/>
    <w:rsid w:val="00682BCD"/>
    <w:rsid w:val="006832D1"/>
    <w:rsid w:val="00683993"/>
    <w:rsid w:val="00684065"/>
    <w:rsid w:val="00684592"/>
    <w:rsid w:val="00684811"/>
    <w:rsid w:val="00684A30"/>
    <w:rsid w:val="00684F84"/>
    <w:rsid w:val="00684FF4"/>
    <w:rsid w:val="0068507A"/>
    <w:rsid w:val="006852FF"/>
    <w:rsid w:val="0068536F"/>
    <w:rsid w:val="00686661"/>
    <w:rsid w:val="006873D0"/>
    <w:rsid w:val="00687801"/>
    <w:rsid w:val="00687831"/>
    <w:rsid w:val="0068783D"/>
    <w:rsid w:val="00687ED7"/>
    <w:rsid w:val="0069033F"/>
    <w:rsid w:val="006904F2"/>
    <w:rsid w:val="006911F4"/>
    <w:rsid w:val="006913DE"/>
    <w:rsid w:val="0069148D"/>
    <w:rsid w:val="006914BD"/>
    <w:rsid w:val="0069150B"/>
    <w:rsid w:val="006915C7"/>
    <w:rsid w:val="006917C5"/>
    <w:rsid w:val="006919DC"/>
    <w:rsid w:val="00692437"/>
    <w:rsid w:val="00692F06"/>
    <w:rsid w:val="00692FF4"/>
    <w:rsid w:val="006931A3"/>
    <w:rsid w:val="00694336"/>
    <w:rsid w:val="00694A14"/>
    <w:rsid w:val="0069540E"/>
    <w:rsid w:val="00695499"/>
    <w:rsid w:val="00695C7E"/>
    <w:rsid w:val="00695E26"/>
    <w:rsid w:val="00696044"/>
    <w:rsid w:val="006967BC"/>
    <w:rsid w:val="00696C6E"/>
    <w:rsid w:val="00696CA5"/>
    <w:rsid w:val="00696CB0"/>
    <w:rsid w:val="00696E13"/>
    <w:rsid w:val="006970AA"/>
    <w:rsid w:val="00697133"/>
    <w:rsid w:val="006971C9"/>
    <w:rsid w:val="006975BC"/>
    <w:rsid w:val="0069763E"/>
    <w:rsid w:val="006979FD"/>
    <w:rsid w:val="00697A8C"/>
    <w:rsid w:val="00697B53"/>
    <w:rsid w:val="00697CDF"/>
    <w:rsid w:val="00697DAD"/>
    <w:rsid w:val="006A030A"/>
    <w:rsid w:val="006A0319"/>
    <w:rsid w:val="006A0F87"/>
    <w:rsid w:val="006A1118"/>
    <w:rsid w:val="006A1D39"/>
    <w:rsid w:val="006A1D6C"/>
    <w:rsid w:val="006A1DA1"/>
    <w:rsid w:val="006A1EB0"/>
    <w:rsid w:val="006A2099"/>
    <w:rsid w:val="006A2D20"/>
    <w:rsid w:val="006A311A"/>
    <w:rsid w:val="006A37CF"/>
    <w:rsid w:val="006A3BB5"/>
    <w:rsid w:val="006A415E"/>
    <w:rsid w:val="006A449C"/>
    <w:rsid w:val="006A4EC8"/>
    <w:rsid w:val="006A5874"/>
    <w:rsid w:val="006A5880"/>
    <w:rsid w:val="006A5B30"/>
    <w:rsid w:val="006A6A54"/>
    <w:rsid w:val="006A731C"/>
    <w:rsid w:val="006A756D"/>
    <w:rsid w:val="006A75BA"/>
    <w:rsid w:val="006A75D9"/>
    <w:rsid w:val="006A7B40"/>
    <w:rsid w:val="006A7D20"/>
    <w:rsid w:val="006B090B"/>
    <w:rsid w:val="006B1A38"/>
    <w:rsid w:val="006B1B22"/>
    <w:rsid w:val="006B1E24"/>
    <w:rsid w:val="006B2774"/>
    <w:rsid w:val="006B35E2"/>
    <w:rsid w:val="006B377F"/>
    <w:rsid w:val="006B440B"/>
    <w:rsid w:val="006B4478"/>
    <w:rsid w:val="006B44BF"/>
    <w:rsid w:val="006B4DA0"/>
    <w:rsid w:val="006B568A"/>
    <w:rsid w:val="006B5B23"/>
    <w:rsid w:val="006B5F1F"/>
    <w:rsid w:val="006B631E"/>
    <w:rsid w:val="006B6E69"/>
    <w:rsid w:val="006B6FA0"/>
    <w:rsid w:val="006B7239"/>
    <w:rsid w:val="006B7315"/>
    <w:rsid w:val="006B7456"/>
    <w:rsid w:val="006B7806"/>
    <w:rsid w:val="006B7F4F"/>
    <w:rsid w:val="006B7FBD"/>
    <w:rsid w:val="006C01B9"/>
    <w:rsid w:val="006C0AEC"/>
    <w:rsid w:val="006C0EDF"/>
    <w:rsid w:val="006C10BB"/>
    <w:rsid w:val="006C11AF"/>
    <w:rsid w:val="006C2231"/>
    <w:rsid w:val="006C2AE6"/>
    <w:rsid w:val="006C2DB9"/>
    <w:rsid w:val="006C31FA"/>
    <w:rsid w:val="006C3235"/>
    <w:rsid w:val="006C3270"/>
    <w:rsid w:val="006C356D"/>
    <w:rsid w:val="006C36BB"/>
    <w:rsid w:val="006C38D4"/>
    <w:rsid w:val="006C3AAB"/>
    <w:rsid w:val="006C3B04"/>
    <w:rsid w:val="006C3B82"/>
    <w:rsid w:val="006C4201"/>
    <w:rsid w:val="006C460A"/>
    <w:rsid w:val="006C4618"/>
    <w:rsid w:val="006C4E34"/>
    <w:rsid w:val="006C51D5"/>
    <w:rsid w:val="006C5956"/>
    <w:rsid w:val="006C5A2B"/>
    <w:rsid w:val="006C5C0F"/>
    <w:rsid w:val="006C614F"/>
    <w:rsid w:val="006C6559"/>
    <w:rsid w:val="006C69BA"/>
    <w:rsid w:val="006C7585"/>
    <w:rsid w:val="006C772B"/>
    <w:rsid w:val="006C78F6"/>
    <w:rsid w:val="006C7971"/>
    <w:rsid w:val="006C798A"/>
    <w:rsid w:val="006D155E"/>
    <w:rsid w:val="006D2015"/>
    <w:rsid w:val="006D2B2F"/>
    <w:rsid w:val="006D2B68"/>
    <w:rsid w:val="006D2C1B"/>
    <w:rsid w:val="006D3966"/>
    <w:rsid w:val="006D4253"/>
    <w:rsid w:val="006D42D6"/>
    <w:rsid w:val="006D4642"/>
    <w:rsid w:val="006D4A4D"/>
    <w:rsid w:val="006D4C3A"/>
    <w:rsid w:val="006D51DD"/>
    <w:rsid w:val="006D55EA"/>
    <w:rsid w:val="006D5615"/>
    <w:rsid w:val="006D57CF"/>
    <w:rsid w:val="006D5E87"/>
    <w:rsid w:val="006D5EFE"/>
    <w:rsid w:val="006D6545"/>
    <w:rsid w:val="006D6747"/>
    <w:rsid w:val="006D67A6"/>
    <w:rsid w:val="006D6805"/>
    <w:rsid w:val="006D6F56"/>
    <w:rsid w:val="006D7181"/>
    <w:rsid w:val="006D7BDD"/>
    <w:rsid w:val="006D7E84"/>
    <w:rsid w:val="006E0860"/>
    <w:rsid w:val="006E0A81"/>
    <w:rsid w:val="006E103B"/>
    <w:rsid w:val="006E10F3"/>
    <w:rsid w:val="006E1362"/>
    <w:rsid w:val="006E1A49"/>
    <w:rsid w:val="006E1C3F"/>
    <w:rsid w:val="006E1D41"/>
    <w:rsid w:val="006E28FD"/>
    <w:rsid w:val="006E3177"/>
    <w:rsid w:val="006E3709"/>
    <w:rsid w:val="006E3D87"/>
    <w:rsid w:val="006E3E42"/>
    <w:rsid w:val="006E3FC7"/>
    <w:rsid w:val="006E4084"/>
    <w:rsid w:val="006E4BF4"/>
    <w:rsid w:val="006E5448"/>
    <w:rsid w:val="006E54B8"/>
    <w:rsid w:val="006E59AC"/>
    <w:rsid w:val="006E5AF1"/>
    <w:rsid w:val="006E5BA1"/>
    <w:rsid w:val="006E643C"/>
    <w:rsid w:val="006E672C"/>
    <w:rsid w:val="006E6752"/>
    <w:rsid w:val="006E6BF2"/>
    <w:rsid w:val="006E6D15"/>
    <w:rsid w:val="006E70B6"/>
    <w:rsid w:val="006E7906"/>
    <w:rsid w:val="006E7957"/>
    <w:rsid w:val="006E7C70"/>
    <w:rsid w:val="006E7F33"/>
    <w:rsid w:val="006E7FB5"/>
    <w:rsid w:val="006F0811"/>
    <w:rsid w:val="006F14E1"/>
    <w:rsid w:val="006F1775"/>
    <w:rsid w:val="006F1AD4"/>
    <w:rsid w:val="006F1B22"/>
    <w:rsid w:val="006F1C4A"/>
    <w:rsid w:val="006F1DCB"/>
    <w:rsid w:val="006F1E26"/>
    <w:rsid w:val="006F1EE4"/>
    <w:rsid w:val="006F29A7"/>
    <w:rsid w:val="006F2AC1"/>
    <w:rsid w:val="006F2B75"/>
    <w:rsid w:val="006F2EA5"/>
    <w:rsid w:val="006F3035"/>
    <w:rsid w:val="006F3577"/>
    <w:rsid w:val="006F35C0"/>
    <w:rsid w:val="006F392B"/>
    <w:rsid w:val="006F3A51"/>
    <w:rsid w:val="006F3F76"/>
    <w:rsid w:val="006F4129"/>
    <w:rsid w:val="006F440D"/>
    <w:rsid w:val="006F4B9F"/>
    <w:rsid w:val="006F53E3"/>
    <w:rsid w:val="006F5E4C"/>
    <w:rsid w:val="006F6151"/>
    <w:rsid w:val="006F6435"/>
    <w:rsid w:val="006F64F7"/>
    <w:rsid w:val="007004A7"/>
    <w:rsid w:val="007004B5"/>
    <w:rsid w:val="007004EC"/>
    <w:rsid w:val="007005DA"/>
    <w:rsid w:val="00700660"/>
    <w:rsid w:val="007006B3"/>
    <w:rsid w:val="00700BB4"/>
    <w:rsid w:val="00700FBD"/>
    <w:rsid w:val="007015F7"/>
    <w:rsid w:val="00702013"/>
    <w:rsid w:val="00702040"/>
    <w:rsid w:val="007021B6"/>
    <w:rsid w:val="00702257"/>
    <w:rsid w:val="0070236B"/>
    <w:rsid w:val="00702429"/>
    <w:rsid w:val="007033C6"/>
    <w:rsid w:val="0070352B"/>
    <w:rsid w:val="0070398B"/>
    <w:rsid w:val="00703B01"/>
    <w:rsid w:val="00703B18"/>
    <w:rsid w:val="00703C97"/>
    <w:rsid w:val="00704624"/>
    <w:rsid w:val="007049FC"/>
    <w:rsid w:val="007052C8"/>
    <w:rsid w:val="00705463"/>
    <w:rsid w:val="00705480"/>
    <w:rsid w:val="0070566B"/>
    <w:rsid w:val="007057A7"/>
    <w:rsid w:val="00705D81"/>
    <w:rsid w:val="00705E0B"/>
    <w:rsid w:val="00705E4F"/>
    <w:rsid w:val="007060A7"/>
    <w:rsid w:val="00706185"/>
    <w:rsid w:val="00706411"/>
    <w:rsid w:val="00706DD8"/>
    <w:rsid w:val="00707543"/>
    <w:rsid w:val="00707F0C"/>
    <w:rsid w:val="00707FF5"/>
    <w:rsid w:val="00710046"/>
    <w:rsid w:val="00710D1D"/>
    <w:rsid w:val="00710EF6"/>
    <w:rsid w:val="00711B2C"/>
    <w:rsid w:val="0071229D"/>
    <w:rsid w:val="007123F7"/>
    <w:rsid w:val="007125F7"/>
    <w:rsid w:val="00712690"/>
    <w:rsid w:val="00712934"/>
    <w:rsid w:val="00712EB1"/>
    <w:rsid w:val="007131E9"/>
    <w:rsid w:val="007139F3"/>
    <w:rsid w:val="00713A0B"/>
    <w:rsid w:val="00714020"/>
    <w:rsid w:val="007143A8"/>
    <w:rsid w:val="0071471D"/>
    <w:rsid w:val="00714F93"/>
    <w:rsid w:val="00715110"/>
    <w:rsid w:val="007158B6"/>
    <w:rsid w:val="007159A1"/>
    <w:rsid w:val="00715E3A"/>
    <w:rsid w:val="00716F2B"/>
    <w:rsid w:val="007172B7"/>
    <w:rsid w:val="00717311"/>
    <w:rsid w:val="00717468"/>
    <w:rsid w:val="00717C86"/>
    <w:rsid w:val="00720472"/>
    <w:rsid w:val="00721369"/>
    <w:rsid w:val="0072186C"/>
    <w:rsid w:val="00721A0D"/>
    <w:rsid w:val="00721A85"/>
    <w:rsid w:val="00722164"/>
    <w:rsid w:val="00722245"/>
    <w:rsid w:val="0072227E"/>
    <w:rsid w:val="00722389"/>
    <w:rsid w:val="0072240E"/>
    <w:rsid w:val="00722583"/>
    <w:rsid w:val="00722724"/>
    <w:rsid w:val="00722B28"/>
    <w:rsid w:val="007232E7"/>
    <w:rsid w:val="0072382A"/>
    <w:rsid w:val="00723B3C"/>
    <w:rsid w:val="00723CE5"/>
    <w:rsid w:val="00723F98"/>
    <w:rsid w:val="00724199"/>
    <w:rsid w:val="00724726"/>
    <w:rsid w:val="0072559E"/>
    <w:rsid w:val="00725C8B"/>
    <w:rsid w:val="00725F98"/>
    <w:rsid w:val="00725FFD"/>
    <w:rsid w:val="0072637E"/>
    <w:rsid w:val="00726E75"/>
    <w:rsid w:val="007271EC"/>
    <w:rsid w:val="00730004"/>
    <w:rsid w:val="00730B7D"/>
    <w:rsid w:val="00731896"/>
    <w:rsid w:val="007324FB"/>
    <w:rsid w:val="00732B23"/>
    <w:rsid w:val="0073305A"/>
    <w:rsid w:val="007331B3"/>
    <w:rsid w:val="00733936"/>
    <w:rsid w:val="00734087"/>
    <w:rsid w:val="007342E0"/>
    <w:rsid w:val="00734438"/>
    <w:rsid w:val="007344E4"/>
    <w:rsid w:val="0073498E"/>
    <w:rsid w:val="00734A51"/>
    <w:rsid w:val="00734CC3"/>
    <w:rsid w:val="00734D70"/>
    <w:rsid w:val="007350A7"/>
    <w:rsid w:val="007355E0"/>
    <w:rsid w:val="007360FB"/>
    <w:rsid w:val="007364BD"/>
    <w:rsid w:val="00736662"/>
    <w:rsid w:val="00736742"/>
    <w:rsid w:val="00736AAA"/>
    <w:rsid w:val="007377E7"/>
    <w:rsid w:val="0073783B"/>
    <w:rsid w:val="0074038C"/>
    <w:rsid w:val="00740D87"/>
    <w:rsid w:val="00740F91"/>
    <w:rsid w:val="00741302"/>
    <w:rsid w:val="007414D7"/>
    <w:rsid w:val="00741585"/>
    <w:rsid w:val="007418EE"/>
    <w:rsid w:val="007419A1"/>
    <w:rsid w:val="00741D7A"/>
    <w:rsid w:val="007423A6"/>
    <w:rsid w:val="00742B83"/>
    <w:rsid w:val="00743992"/>
    <w:rsid w:val="00743A46"/>
    <w:rsid w:val="00743FCA"/>
    <w:rsid w:val="007442CC"/>
    <w:rsid w:val="007443FE"/>
    <w:rsid w:val="0074486C"/>
    <w:rsid w:val="00744AB0"/>
    <w:rsid w:val="00744C55"/>
    <w:rsid w:val="0074532E"/>
    <w:rsid w:val="007453E8"/>
    <w:rsid w:val="0074554B"/>
    <w:rsid w:val="00746A0E"/>
    <w:rsid w:val="00746B51"/>
    <w:rsid w:val="00746C54"/>
    <w:rsid w:val="00746D34"/>
    <w:rsid w:val="007472F0"/>
    <w:rsid w:val="007475D5"/>
    <w:rsid w:val="00747C1F"/>
    <w:rsid w:val="00750463"/>
    <w:rsid w:val="007504F1"/>
    <w:rsid w:val="0075135A"/>
    <w:rsid w:val="00751379"/>
    <w:rsid w:val="007513B0"/>
    <w:rsid w:val="007513F9"/>
    <w:rsid w:val="00751509"/>
    <w:rsid w:val="007515D1"/>
    <w:rsid w:val="0075166E"/>
    <w:rsid w:val="00751D3B"/>
    <w:rsid w:val="0075213D"/>
    <w:rsid w:val="007521DE"/>
    <w:rsid w:val="00752466"/>
    <w:rsid w:val="00752794"/>
    <w:rsid w:val="00752EA0"/>
    <w:rsid w:val="0075312B"/>
    <w:rsid w:val="0075317E"/>
    <w:rsid w:val="007531C0"/>
    <w:rsid w:val="00753658"/>
    <w:rsid w:val="00753930"/>
    <w:rsid w:val="00753DE5"/>
    <w:rsid w:val="007545A7"/>
    <w:rsid w:val="007546CA"/>
    <w:rsid w:val="00754FA7"/>
    <w:rsid w:val="0075573E"/>
    <w:rsid w:val="00755766"/>
    <w:rsid w:val="00756497"/>
    <w:rsid w:val="007564B0"/>
    <w:rsid w:val="00756712"/>
    <w:rsid w:val="00756D29"/>
    <w:rsid w:val="00756F08"/>
    <w:rsid w:val="00756F9F"/>
    <w:rsid w:val="00757A94"/>
    <w:rsid w:val="00757B36"/>
    <w:rsid w:val="00757D37"/>
    <w:rsid w:val="00757F70"/>
    <w:rsid w:val="00760C49"/>
    <w:rsid w:val="00760F7F"/>
    <w:rsid w:val="007619BA"/>
    <w:rsid w:val="00761CD7"/>
    <w:rsid w:val="00761D97"/>
    <w:rsid w:val="00763621"/>
    <w:rsid w:val="0076368A"/>
    <w:rsid w:val="00763AEA"/>
    <w:rsid w:val="00763CF5"/>
    <w:rsid w:val="00764329"/>
    <w:rsid w:val="007645E6"/>
    <w:rsid w:val="00764979"/>
    <w:rsid w:val="00764BEF"/>
    <w:rsid w:val="00764F59"/>
    <w:rsid w:val="007650A4"/>
    <w:rsid w:val="00765AEA"/>
    <w:rsid w:val="007661F0"/>
    <w:rsid w:val="00766C9E"/>
    <w:rsid w:val="0076712B"/>
    <w:rsid w:val="0076741E"/>
    <w:rsid w:val="00767466"/>
    <w:rsid w:val="00767532"/>
    <w:rsid w:val="007675A4"/>
    <w:rsid w:val="00767CED"/>
    <w:rsid w:val="00770136"/>
    <w:rsid w:val="007702DD"/>
    <w:rsid w:val="00770543"/>
    <w:rsid w:val="00770883"/>
    <w:rsid w:val="00770939"/>
    <w:rsid w:val="00770C5D"/>
    <w:rsid w:val="00770E77"/>
    <w:rsid w:val="00771275"/>
    <w:rsid w:val="00771A20"/>
    <w:rsid w:val="00771A9F"/>
    <w:rsid w:val="00771D1F"/>
    <w:rsid w:val="007720AC"/>
    <w:rsid w:val="007727B8"/>
    <w:rsid w:val="007729C9"/>
    <w:rsid w:val="00772A6D"/>
    <w:rsid w:val="00772C35"/>
    <w:rsid w:val="007731F9"/>
    <w:rsid w:val="00773472"/>
    <w:rsid w:val="0077359E"/>
    <w:rsid w:val="0077395B"/>
    <w:rsid w:val="00773C10"/>
    <w:rsid w:val="00774206"/>
    <w:rsid w:val="00775F28"/>
    <w:rsid w:val="00775FB2"/>
    <w:rsid w:val="00776D5D"/>
    <w:rsid w:val="007774C8"/>
    <w:rsid w:val="00777749"/>
    <w:rsid w:val="00777C3D"/>
    <w:rsid w:val="0078094F"/>
    <w:rsid w:val="00780E2D"/>
    <w:rsid w:val="00781AA6"/>
    <w:rsid w:val="00781AAB"/>
    <w:rsid w:val="00782748"/>
    <w:rsid w:val="00782E63"/>
    <w:rsid w:val="00782EDA"/>
    <w:rsid w:val="0078322D"/>
    <w:rsid w:val="007832E9"/>
    <w:rsid w:val="007834B6"/>
    <w:rsid w:val="007838C4"/>
    <w:rsid w:val="00784077"/>
    <w:rsid w:val="00785449"/>
    <w:rsid w:val="00785913"/>
    <w:rsid w:val="00786B55"/>
    <w:rsid w:val="0078745B"/>
    <w:rsid w:val="0078746D"/>
    <w:rsid w:val="00787A83"/>
    <w:rsid w:val="00787CC6"/>
    <w:rsid w:val="00787CEB"/>
    <w:rsid w:val="007901DB"/>
    <w:rsid w:val="0079109A"/>
    <w:rsid w:val="00791414"/>
    <w:rsid w:val="00791646"/>
    <w:rsid w:val="00791BA6"/>
    <w:rsid w:val="007926C1"/>
    <w:rsid w:val="00792AA9"/>
    <w:rsid w:val="00792CAB"/>
    <w:rsid w:val="00792E85"/>
    <w:rsid w:val="00793075"/>
    <w:rsid w:val="007934F4"/>
    <w:rsid w:val="00793628"/>
    <w:rsid w:val="007936C2"/>
    <w:rsid w:val="007939B9"/>
    <w:rsid w:val="007939F6"/>
    <w:rsid w:val="00793CFC"/>
    <w:rsid w:val="00794221"/>
    <w:rsid w:val="007945B4"/>
    <w:rsid w:val="00794908"/>
    <w:rsid w:val="007950D4"/>
    <w:rsid w:val="00795145"/>
    <w:rsid w:val="0079559D"/>
    <w:rsid w:val="007965F2"/>
    <w:rsid w:val="00796C40"/>
    <w:rsid w:val="007970D1"/>
    <w:rsid w:val="007972DE"/>
    <w:rsid w:val="007973A2"/>
    <w:rsid w:val="00797BFF"/>
    <w:rsid w:val="00797D99"/>
    <w:rsid w:val="007A01E9"/>
    <w:rsid w:val="007A0663"/>
    <w:rsid w:val="007A0A05"/>
    <w:rsid w:val="007A1505"/>
    <w:rsid w:val="007A1B54"/>
    <w:rsid w:val="007A1B56"/>
    <w:rsid w:val="007A1CE8"/>
    <w:rsid w:val="007A2154"/>
    <w:rsid w:val="007A228C"/>
    <w:rsid w:val="007A2423"/>
    <w:rsid w:val="007A305D"/>
    <w:rsid w:val="007A3116"/>
    <w:rsid w:val="007A32AB"/>
    <w:rsid w:val="007A353D"/>
    <w:rsid w:val="007A3548"/>
    <w:rsid w:val="007A3655"/>
    <w:rsid w:val="007A373E"/>
    <w:rsid w:val="007A3816"/>
    <w:rsid w:val="007A5082"/>
    <w:rsid w:val="007A5441"/>
    <w:rsid w:val="007A58B7"/>
    <w:rsid w:val="007A59E0"/>
    <w:rsid w:val="007A5A9B"/>
    <w:rsid w:val="007A5C44"/>
    <w:rsid w:val="007A5C62"/>
    <w:rsid w:val="007A5DEE"/>
    <w:rsid w:val="007A6705"/>
    <w:rsid w:val="007A69A1"/>
    <w:rsid w:val="007A6DD5"/>
    <w:rsid w:val="007A6F1D"/>
    <w:rsid w:val="007A6FD6"/>
    <w:rsid w:val="007A7635"/>
    <w:rsid w:val="007B0389"/>
    <w:rsid w:val="007B04F8"/>
    <w:rsid w:val="007B09FB"/>
    <w:rsid w:val="007B0B5D"/>
    <w:rsid w:val="007B1114"/>
    <w:rsid w:val="007B17CE"/>
    <w:rsid w:val="007B1B52"/>
    <w:rsid w:val="007B1DA1"/>
    <w:rsid w:val="007B2287"/>
    <w:rsid w:val="007B24DD"/>
    <w:rsid w:val="007B2DE6"/>
    <w:rsid w:val="007B3279"/>
    <w:rsid w:val="007B34A1"/>
    <w:rsid w:val="007B3D61"/>
    <w:rsid w:val="007B3F98"/>
    <w:rsid w:val="007B4862"/>
    <w:rsid w:val="007B49C2"/>
    <w:rsid w:val="007B53D2"/>
    <w:rsid w:val="007B57DB"/>
    <w:rsid w:val="007B5C15"/>
    <w:rsid w:val="007B66C9"/>
    <w:rsid w:val="007B719E"/>
    <w:rsid w:val="007B7827"/>
    <w:rsid w:val="007B7E29"/>
    <w:rsid w:val="007B7F53"/>
    <w:rsid w:val="007C1051"/>
    <w:rsid w:val="007C1199"/>
    <w:rsid w:val="007C13EF"/>
    <w:rsid w:val="007C1E84"/>
    <w:rsid w:val="007C243E"/>
    <w:rsid w:val="007C3C1F"/>
    <w:rsid w:val="007C3C81"/>
    <w:rsid w:val="007C48E8"/>
    <w:rsid w:val="007C4B05"/>
    <w:rsid w:val="007C4DF0"/>
    <w:rsid w:val="007C4EDB"/>
    <w:rsid w:val="007C51A8"/>
    <w:rsid w:val="007C6227"/>
    <w:rsid w:val="007C694A"/>
    <w:rsid w:val="007C6E51"/>
    <w:rsid w:val="007C738F"/>
    <w:rsid w:val="007C7D59"/>
    <w:rsid w:val="007D0D22"/>
    <w:rsid w:val="007D1FB0"/>
    <w:rsid w:val="007D2175"/>
    <w:rsid w:val="007D23F1"/>
    <w:rsid w:val="007D28F3"/>
    <w:rsid w:val="007D2A6E"/>
    <w:rsid w:val="007D2B76"/>
    <w:rsid w:val="007D30D7"/>
    <w:rsid w:val="007D3ABF"/>
    <w:rsid w:val="007D3AF5"/>
    <w:rsid w:val="007D3BD0"/>
    <w:rsid w:val="007D3E5A"/>
    <w:rsid w:val="007D406E"/>
    <w:rsid w:val="007D462C"/>
    <w:rsid w:val="007D46BA"/>
    <w:rsid w:val="007D5168"/>
    <w:rsid w:val="007D59F1"/>
    <w:rsid w:val="007D6102"/>
    <w:rsid w:val="007D66AA"/>
    <w:rsid w:val="007D6822"/>
    <w:rsid w:val="007D6E70"/>
    <w:rsid w:val="007D7768"/>
    <w:rsid w:val="007D7942"/>
    <w:rsid w:val="007D7AD5"/>
    <w:rsid w:val="007E0ABF"/>
    <w:rsid w:val="007E0F28"/>
    <w:rsid w:val="007E13BD"/>
    <w:rsid w:val="007E1564"/>
    <w:rsid w:val="007E1CE1"/>
    <w:rsid w:val="007E1DC2"/>
    <w:rsid w:val="007E2889"/>
    <w:rsid w:val="007E2B5E"/>
    <w:rsid w:val="007E2B7E"/>
    <w:rsid w:val="007E3074"/>
    <w:rsid w:val="007E3244"/>
    <w:rsid w:val="007E36E1"/>
    <w:rsid w:val="007E409B"/>
    <w:rsid w:val="007E4D8D"/>
    <w:rsid w:val="007E4FEF"/>
    <w:rsid w:val="007E5393"/>
    <w:rsid w:val="007E5B07"/>
    <w:rsid w:val="007E60FF"/>
    <w:rsid w:val="007E66DF"/>
    <w:rsid w:val="007E7132"/>
    <w:rsid w:val="007E7519"/>
    <w:rsid w:val="007E768E"/>
    <w:rsid w:val="007E79C1"/>
    <w:rsid w:val="007F005F"/>
    <w:rsid w:val="007F026B"/>
    <w:rsid w:val="007F039D"/>
    <w:rsid w:val="007F0507"/>
    <w:rsid w:val="007F0D39"/>
    <w:rsid w:val="007F11A2"/>
    <w:rsid w:val="007F1327"/>
    <w:rsid w:val="007F1684"/>
    <w:rsid w:val="007F1700"/>
    <w:rsid w:val="007F1875"/>
    <w:rsid w:val="007F193D"/>
    <w:rsid w:val="007F1D5E"/>
    <w:rsid w:val="007F217A"/>
    <w:rsid w:val="007F21FC"/>
    <w:rsid w:val="007F24A7"/>
    <w:rsid w:val="007F2945"/>
    <w:rsid w:val="007F2DE9"/>
    <w:rsid w:val="007F372D"/>
    <w:rsid w:val="007F4334"/>
    <w:rsid w:val="007F45AE"/>
    <w:rsid w:val="007F5096"/>
    <w:rsid w:val="007F5956"/>
    <w:rsid w:val="007F626F"/>
    <w:rsid w:val="007F664A"/>
    <w:rsid w:val="007F776D"/>
    <w:rsid w:val="007F7955"/>
    <w:rsid w:val="007F7B72"/>
    <w:rsid w:val="00800195"/>
    <w:rsid w:val="00800DDE"/>
    <w:rsid w:val="00800FFB"/>
    <w:rsid w:val="00801304"/>
    <w:rsid w:val="00801CA7"/>
    <w:rsid w:val="00801E99"/>
    <w:rsid w:val="008020B6"/>
    <w:rsid w:val="008021C2"/>
    <w:rsid w:val="00802512"/>
    <w:rsid w:val="00802658"/>
    <w:rsid w:val="00803370"/>
    <w:rsid w:val="00803938"/>
    <w:rsid w:val="00804448"/>
    <w:rsid w:val="00804774"/>
    <w:rsid w:val="008048E8"/>
    <w:rsid w:val="00804A49"/>
    <w:rsid w:val="00804D9E"/>
    <w:rsid w:val="00804EAD"/>
    <w:rsid w:val="0080507E"/>
    <w:rsid w:val="00805476"/>
    <w:rsid w:val="008058C3"/>
    <w:rsid w:val="00805D62"/>
    <w:rsid w:val="00805EFC"/>
    <w:rsid w:val="00806BE7"/>
    <w:rsid w:val="00807210"/>
    <w:rsid w:val="00807F4E"/>
    <w:rsid w:val="00810007"/>
    <w:rsid w:val="0081067D"/>
    <w:rsid w:val="0081074C"/>
    <w:rsid w:val="00810B7F"/>
    <w:rsid w:val="00810E5C"/>
    <w:rsid w:val="00810FB1"/>
    <w:rsid w:val="008117B4"/>
    <w:rsid w:val="00811EBD"/>
    <w:rsid w:val="0081349C"/>
    <w:rsid w:val="0081375E"/>
    <w:rsid w:val="008138CB"/>
    <w:rsid w:val="00814026"/>
    <w:rsid w:val="008141C2"/>
    <w:rsid w:val="00814CCE"/>
    <w:rsid w:val="00815023"/>
    <w:rsid w:val="008154B5"/>
    <w:rsid w:val="0081570C"/>
    <w:rsid w:val="00815908"/>
    <w:rsid w:val="00815F25"/>
    <w:rsid w:val="00816268"/>
    <w:rsid w:val="00816D59"/>
    <w:rsid w:val="0081746C"/>
    <w:rsid w:val="00817C86"/>
    <w:rsid w:val="00820536"/>
    <w:rsid w:val="00820578"/>
    <w:rsid w:val="0082092B"/>
    <w:rsid w:val="00820930"/>
    <w:rsid w:val="00820BD8"/>
    <w:rsid w:val="008211EA"/>
    <w:rsid w:val="00821D93"/>
    <w:rsid w:val="00821DB1"/>
    <w:rsid w:val="00821E67"/>
    <w:rsid w:val="008229DD"/>
    <w:rsid w:val="00822E21"/>
    <w:rsid w:val="00823398"/>
    <w:rsid w:val="00823944"/>
    <w:rsid w:val="00823C1A"/>
    <w:rsid w:val="00823D78"/>
    <w:rsid w:val="0082452E"/>
    <w:rsid w:val="008246B1"/>
    <w:rsid w:val="00824AA7"/>
    <w:rsid w:val="00824C06"/>
    <w:rsid w:val="008260A8"/>
    <w:rsid w:val="008264FE"/>
    <w:rsid w:val="00826879"/>
    <w:rsid w:val="00826C49"/>
    <w:rsid w:val="00826CA4"/>
    <w:rsid w:val="0082729C"/>
    <w:rsid w:val="00827EAD"/>
    <w:rsid w:val="00830163"/>
    <w:rsid w:val="00830655"/>
    <w:rsid w:val="00830850"/>
    <w:rsid w:val="0083188C"/>
    <w:rsid w:val="00831A8E"/>
    <w:rsid w:val="00831B43"/>
    <w:rsid w:val="00831EF0"/>
    <w:rsid w:val="00831F12"/>
    <w:rsid w:val="00831F9C"/>
    <w:rsid w:val="00831FD1"/>
    <w:rsid w:val="008327E8"/>
    <w:rsid w:val="008341A6"/>
    <w:rsid w:val="00834913"/>
    <w:rsid w:val="00834E28"/>
    <w:rsid w:val="008351F2"/>
    <w:rsid w:val="00835553"/>
    <w:rsid w:val="008356E1"/>
    <w:rsid w:val="00835CF1"/>
    <w:rsid w:val="008364BB"/>
    <w:rsid w:val="00836DC4"/>
    <w:rsid w:val="00837122"/>
    <w:rsid w:val="0083727A"/>
    <w:rsid w:val="00837CC4"/>
    <w:rsid w:val="00837E7B"/>
    <w:rsid w:val="00840457"/>
    <w:rsid w:val="008408A4"/>
    <w:rsid w:val="00840B0A"/>
    <w:rsid w:val="008416FC"/>
    <w:rsid w:val="00841A0A"/>
    <w:rsid w:val="008427C7"/>
    <w:rsid w:val="008435A0"/>
    <w:rsid w:val="008437F1"/>
    <w:rsid w:val="0084399B"/>
    <w:rsid w:val="00843BA3"/>
    <w:rsid w:val="00843D8D"/>
    <w:rsid w:val="00844153"/>
    <w:rsid w:val="0084458F"/>
    <w:rsid w:val="00844E4F"/>
    <w:rsid w:val="00846037"/>
    <w:rsid w:val="008460AE"/>
    <w:rsid w:val="008463C4"/>
    <w:rsid w:val="00846651"/>
    <w:rsid w:val="008466E3"/>
    <w:rsid w:val="00846A50"/>
    <w:rsid w:val="008478D5"/>
    <w:rsid w:val="00847A44"/>
    <w:rsid w:val="00847A82"/>
    <w:rsid w:val="00847CF0"/>
    <w:rsid w:val="00850EC0"/>
    <w:rsid w:val="008510DB"/>
    <w:rsid w:val="00851355"/>
    <w:rsid w:val="00851CA9"/>
    <w:rsid w:val="00851F0E"/>
    <w:rsid w:val="00851F89"/>
    <w:rsid w:val="0085231B"/>
    <w:rsid w:val="0085253E"/>
    <w:rsid w:val="008525F3"/>
    <w:rsid w:val="008526DD"/>
    <w:rsid w:val="0085302C"/>
    <w:rsid w:val="008533DA"/>
    <w:rsid w:val="00853882"/>
    <w:rsid w:val="00853971"/>
    <w:rsid w:val="00853B08"/>
    <w:rsid w:val="00853FE6"/>
    <w:rsid w:val="008553EB"/>
    <w:rsid w:val="008558B0"/>
    <w:rsid w:val="00855E3D"/>
    <w:rsid w:val="008561CC"/>
    <w:rsid w:val="008564F9"/>
    <w:rsid w:val="00856795"/>
    <w:rsid w:val="008568B3"/>
    <w:rsid w:val="008568CC"/>
    <w:rsid w:val="00856DCF"/>
    <w:rsid w:val="0085704E"/>
    <w:rsid w:val="00857383"/>
    <w:rsid w:val="008573C6"/>
    <w:rsid w:val="0085757E"/>
    <w:rsid w:val="0085794F"/>
    <w:rsid w:val="008579C2"/>
    <w:rsid w:val="00857BA7"/>
    <w:rsid w:val="00857CB1"/>
    <w:rsid w:val="0086036B"/>
    <w:rsid w:val="0086135B"/>
    <w:rsid w:val="00861AF0"/>
    <w:rsid w:val="00861AFF"/>
    <w:rsid w:val="00861B09"/>
    <w:rsid w:val="00861BD6"/>
    <w:rsid w:val="00861E76"/>
    <w:rsid w:val="00862B4C"/>
    <w:rsid w:val="00862C39"/>
    <w:rsid w:val="00862E7F"/>
    <w:rsid w:val="0086306F"/>
    <w:rsid w:val="008630FD"/>
    <w:rsid w:val="00863495"/>
    <w:rsid w:val="0086359D"/>
    <w:rsid w:val="00863AF1"/>
    <w:rsid w:val="0086411E"/>
    <w:rsid w:val="00864339"/>
    <w:rsid w:val="008649D1"/>
    <w:rsid w:val="00864C37"/>
    <w:rsid w:val="00864C44"/>
    <w:rsid w:val="00864DFF"/>
    <w:rsid w:val="008654AE"/>
    <w:rsid w:val="00865AF9"/>
    <w:rsid w:val="00866359"/>
    <w:rsid w:val="00866DA7"/>
    <w:rsid w:val="00866EC6"/>
    <w:rsid w:val="00867162"/>
    <w:rsid w:val="00867394"/>
    <w:rsid w:val="0086741C"/>
    <w:rsid w:val="008674CD"/>
    <w:rsid w:val="00867C7D"/>
    <w:rsid w:val="008703BA"/>
    <w:rsid w:val="008720E9"/>
    <w:rsid w:val="00872786"/>
    <w:rsid w:val="00872894"/>
    <w:rsid w:val="00873235"/>
    <w:rsid w:val="008733F2"/>
    <w:rsid w:val="008737FD"/>
    <w:rsid w:val="00873AB8"/>
    <w:rsid w:val="00873CFC"/>
    <w:rsid w:val="00873D3F"/>
    <w:rsid w:val="00873E32"/>
    <w:rsid w:val="008742D1"/>
    <w:rsid w:val="00874507"/>
    <w:rsid w:val="008745A2"/>
    <w:rsid w:val="00874778"/>
    <w:rsid w:val="008752CE"/>
    <w:rsid w:val="00875994"/>
    <w:rsid w:val="00875A18"/>
    <w:rsid w:val="00875A99"/>
    <w:rsid w:val="0087622C"/>
    <w:rsid w:val="00876D70"/>
    <w:rsid w:val="00877778"/>
    <w:rsid w:val="00877A46"/>
    <w:rsid w:val="00877F90"/>
    <w:rsid w:val="00880760"/>
    <w:rsid w:val="00880798"/>
    <w:rsid w:val="00880D58"/>
    <w:rsid w:val="00880FD6"/>
    <w:rsid w:val="008810A8"/>
    <w:rsid w:val="008811C5"/>
    <w:rsid w:val="00881475"/>
    <w:rsid w:val="008819D4"/>
    <w:rsid w:val="00881A80"/>
    <w:rsid w:val="00881E95"/>
    <w:rsid w:val="008825FE"/>
    <w:rsid w:val="008835D2"/>
    <w:rsid w:val="00883BBA"/>
    <w:rsid w:val="00883BE6"/>
    <w:rsid w:val="00884635"/>
    <w:rsid w:val="008846ED"/>
    <w:rsid w:val="00884F7D"/>
    <w:rsid w:val="00885613"/>
    <w:rsid w:val="008858AD"/>
    <w:rsid w:val="00885C22"/>
    <w:rsid w:val="00885FD7"/>
    <w:rsid w:val="00886918"/>
    <w:rsid w:val="008869C4"/>
    <w:rsid w:val="00886D7E"/>
    <w:rsid w:val="0088717D"/>
    <w:rsid w:val="00887461"/>
    <w:rsid w:val="008878AF"/>
    <w:rsid w:val="008878FC"/>
    <w:rsid w:val="00887D46"/>
    <w:rsid w:val="00890301"/>
    <w:rsid w:val="008908C7"/>
    <w:rsid w:val="00891A49"/>
    <w:rsid w:val="00892035"/>
    <w:rsid w:val="0089204D"/>
    <w:rsid w:val="00892669"/>
    <w:rsid w:val="0089357F"/>
    <w:rsid w:val="00893DC8"/>
    <w:rsid w:val="00893FD1"/>
    <w:rsid w:val="008945FF"/>
    <w:rsid w:val="008953E5"/>
    <w:rsid w:val="008959F7"/>
    <w:rsid w:val="00895CA0"/>
    <w:rsid w:val="00895E93"/>
    <w:rsid w:val="00895FD1"/>
    <w:rsid w:val="00896120"/>
    <w:rsid w:val="00896867"/>
    <w:rsid w:val="00896AFA"/>
    <w:rsid w:val="00896B2E"/>
    <w:rsid w:val="00896F09"/>
    <w:rsid w:val="0089724A"/>
    <w:rsid w:val="0089732B"/>
    <w:rsid w:val="0089740A"/>
    <w:rsid w:val="008976DC"/>
    <w:rsid w:val="00897AC0"/>
    <w:rsid w:val="00897CA0"/>
    <w:rsid w:val="00897D64"/>
    <w:rsid w:val="008A0472"/>
    <w:rsid w:val="008A083E"/>
    <w:rsid w:val="008A086E"/>
    <w:rsid w:val="008A1665"/>
    <w:rsid w:val="008A1C1C"/>
    <w:rsid w:val="008A2477"/>
    <w:rsid w:val="008A28A2"/>
    <w:rsid w:val="008A2930"/>
    <w:rsid w:val="008A3007"/>
    <w:rsid w:val="008A336E"/>
    <w:rsid w:val="008A3EE2"/>
    <w:rsid w:val="008A42A7"/>
    <w:rsid w:val="008A4349"/>
    <w:rsid w:val="008A4F7D"/>
    <w:rsid w:val="008A57CB"/>
    <w:rsid w:val="008A5E22"/>
    <w:rsid w:val="008A6EB4"/>
    <w:rsid w:val="008A70B1"/>
    <w:rsid w:val="008A7463"/>
    <w:rsid w:val="008A7CCE"/>
    <w:rsid w:val="008A7D91"/>
    <w:rsid w:val="008B00C5"/>
    <w:rsid w:val="008B015A"/>
    <w:rsid w:val="008B02A2"/>
    <w:rsid w:val="008B0571"/>
    <w:rsid w:val="008B072E"/>
    <w:rsid w:val="008B0B59"/>
    <w:rsid w:val="008B13C9"/>
    <w:rsid w:val="008B1A99"/>
    <w:rsid w:val="008B21FB"/>
    <w:rsid w:val="008B2E68"/>
    <w:rsid w:val="008B31F1"/>
    <w:rsid w:val="008B3ABE"/>
    <w:rsid w:val="008B4724"/>
    <w:rsid w:val="008B4EB6"/>
    <w:rsid w:val="008B6BFF"/>
    <w:rsid w:val="008B7AE4"/>
    <w:rsid w:val="008B7C50"/>
    <w:rsid w:val="008B7EDD"/>
    <w:rsid w:val="008C0184"/>
    <w:rsid w:val="008C032A"/>
    <w:rsid w:val="008C04F6"/>
    <w:rsid w:val="008C0A44"/>
    <w:rsid w:val="008C0A62"/>
    <w:rsid w:val="008C10A9"/>
    <w:rsid w:val="008C1477"/>
    <w:rsid w:val="008C180C"/>
    <w:rsid w:val="008C2923"/>
    <w:rsid w:val="008C2A36"/>
    <w:rsid w:val="008C2A58"/>
    <w:rsid w:val="008C2A77"/>
    <w:rsid w:val="008C2BF5"/>
    <w:rsid w:val="008C30EE"/>
    <w:rsid w:val="008C346D"/>
    <w:rsid w:val="008C376B"/>
    <w:rsid w:val="008C3773"/>
    <w:rsid w:val="008C3776"/>
    <w:rsid w:val="008C3E0C"/>
    <w:rsid w:val="008C4542"/>
    <w:rsid w:val="008C45B2"/>
    <w:rsid w:val="008C47A4"/>
    <w:rsid w:val="008C5279"/>
    <w:rsid w:val="008C5747"/>
    <w:rsid w:val="008C5DDB"/>
    <w:rsid w:val="008C667C"/>
    <w:rsid w:val="008C69E2"/>
    <w:rsid w:val="008C6B7B"/>
    <w:rsid w:val="008C6EC9"/>
    <w:rsid w:val="008C7869"/>
    <w:rsid w:val="008D00A1"/>
    <w:rsid w:val="008D0336"/>
    <w:rsid w:val="008D03FD"/>
    <w:rsid w:val="008D0CFB"/>
    <w:rsid w:val="008D1446"/>
    <w:rsid w:val="008D1F7B"/>
    <w:rsid w:val="008D201D"/>
    <w:rsid w:val="008D22D7"/>
    <w:rsid w:val="008D288C"/>
    <w:rsid w:val="008D2B91"/>
    <w:rsid w:val="008D2C45"/>
    <w:rsid w:val="008D2EBB"/>
    <w:rsid w:val="008D2FD6"/>
    <w:rsid w:val="008D32A6"/>
    <w:rsid w:val="008D36FA"/>
    <w:rsid w:val="008D39F5"/>
    <w:rsid w:val="008D3BFC"/>
    <w:rsid w:val="008D3C5B"/>
    <w:rsid w:val="008D3E30"/>
    <w:rsid w:val="008D3E56"/>
    <w:rsid w:val="008D3F18"/>
    <w:rsid w:val="008D430D"/>
    <w:rsid w:val="008D4549"/>
    <w:rsid w:val="008D487B"/>
    <w:rsid w:val="008D4B9A"/>
    <w:rsid w:val="008D4BD5"/>
    <w:rsid w:val="008D4C44"/>
    <w:rsid w:val="008D4D21"/>
    <w:rsid w:val="008D55ED"/>
    <w:rsid w:val="008D5BE8"/>
    <w:rsid w:val="008D5BFC"/>
    <w:rsid w:val="008D5FDC"/>
    <w:rsid w:val="008D5FF6"/>
    <w:rsid w:val="008D631F"/>
    <w:rsid w:val="008D640A"/>
    <w:rsid w:val="008D6AA2"/>
    <w:rsid w:val="008D6BD0"/>
    <w:rsid w:val="008D6FCD"/>
    <w:rsid w:val="008D7DCD"/>
    <w:rsid w:val="008E049A"/>
    <w:rsid w:val="008E0D14"/>
    <w:rsid w:val="008E1610"/>
    <w:rsid w:val="008E2443"/>
    <w:rsid w:val="008E2467"/>
    <w:rsid w:val="008E254F"/>
    <w:rsid w:val="008E271A"/>
    <w:rsid w:val="008E28DD"/>
    <w:rsid w:val="008E2967"/>
    <w:rsid w:val="008E2A60"/>
    <w:rsid w:val="008E2E89"/>
    <w:rsid w:val="008E2FE2"/>
    <w:rsid w:val="008E315C"/>
    <w:rsid w:val="008E3894"/>
    <w:rsid w:val="008E3BB6"/>
    <w:rsid w:val="008E3E26"/>
    <w:rsid w:val="008E40AC"/>
    <w:rsid w:val="008E50A5"/>
    <w:rsid w:val="008E5360"/>
    <w:rsid w:val="008E5432"/>
    <w:rsid w:val="008E59C9"/>
    <w:rsid w:val="008E5AA5"/>
    <w:rsid w:val="008E5CFD"/>
    <w:rsid w:val="008E5D4E"/>
    <w:rsid w:val="008E5E2F"/>
    <w:rsid w:val="008E5EBF"/>
    <w:rsid w:val="008E6739"/>
    <w:rsid w:val="008E6A67"/>
    <w:rsid w:val="008E6BA2"/>
    <w:rsid w:val="008E6C9C"/>
    <w:rsid w:val="008E7A59"/>
    <w:rsid w:val="008E7B9F"/>
    <w:rsid w:val="008F0464"/>
    <w:rsid w:val="008F0684"/>
    <w:rsid w:val="008F1134"/>
    <w:rsid w:val="008F1337"/>
    <w:rsid w:val="008F1F45"/>
    <w:rsid w:val="008F2430"/>
    <w:rsid w:val="008F2568"/>
    <w:rsid w:val="008F27E8"/>
    <w:rsid w:val="008F2B02"/>
    <w:rsid w:val="008F33A5"/>
    <w:rsid w:val="008F3489"/>
    <w:rsid w:val="008F3FEA"/>
    <w:rsid w:val="008F4162"/>
    <w:rsid w:val="008F48F7"/>
    <w:rsid w:val="008F4B7D"/>
    <w:rsid w:val="008F4F50"/>
    <w:rsid w:val="008F50A8"/>
    <w:rsid w:val="008F5153"/>
    <w:rsid w:val="008F56AE"/>
    <w:rsid w:val="008F5A62"/>
    <w:rsid w:val="008F5FC1"/>
    <w:rsid w:val="008F62F4"/>
    <w:rsid w:val="008F6546"/>
    <w:rsid w:val="008F7336"/>
    <w:rsid w:val="008F75A0"/>
    <w:rsid w:val="008F7BFD"/>
    <w:rsid w:val="008F7EEC"/>
    <w:rsid w:val="00900827"/>
    <w:rsid w:val="00900A9B"/>
    <w:rsid w:val="00901E23"/>
    <w:rsid w:val="00901FE0"/>
    <w:rsid w:val="0090216C"/>
    <w:rsid w:val="0090254B"/>
    <w:rsid w:val="00902778"/>
    <w:rsid w:val="0090342E"/>
    <w:rsid w:val="00903AE4"/>
    <w:rsid w:val="009041AE"/>
    <w:rsid w:val="00904A1E"/>
    <w:rsid w:val="00904CDB"/>
    <w:rsid w:val="00904D0D"/>
    <w:rsid w:val="00904DC5"/>
    <w:rsid w:val="00905937"/>
    <w:rsid w:val="009061BF"/>
    <w:rsid w:val="0090655E"/>
    <w:rsid w:val="00906583"/>
    <w:rsid w:val="009066A7"/>
    <w:rsid w:val="00906765"/>
    <w:rsid w:val="009070DE"/>
    <w:rsid w:val="009079E4"/>
    <w:rsid w:val="00907B11"/>
    <w:rsid w:val="00907E65"/>
    <w:rsid w:val="00907FDF"/>
    <w:rsid w:val="009101F7"/>
    <w:rsid w:val="009104F3"/>
    <w:rsid w:val="009105B8"/>
    <w:rsid w:val="009108C5"/>
    <w:rsid w:val="00910D52"/>
    <w:rsid w:val="00911411"/>
    <w:rsid w:val="00911C52"/>
    <w:rsid w:val="00911C5E"/>
    <w:rsid w:val="00912C05"/>
    <w:rsid w:val="00912C50"/>
    <w:rsid w:val="00913775"/>
    <w:rsid w:val="00913AC4"/>
    <w:rsid w:val="00913CDD"/>
    <w:rsid w:val="00914EFB"/>
    <w:rsid w:val="00914FA0"/>
    <w:rsid w:val="009152EE"/>
    <w:rsid w:val="0091553F"/>
    <w:rsid w:val="0091564E"/>
    <w:rsid w:val="00915CD9"/>
    <w:rsid w:val="00915DC3"/>
    <w:rsid w:val="009169CB"/>
    <w:rsid w:val="00916C77"/>
    <w:rsid w:val="00916C78"/>
    <w:rsid w:val="00916F62"/>
    <w:rsid w:val="009174CA"/>
    <w:rsid w:val="00917A81"/>
    <w:rsid w:val="009202A9"/>
    <w:rsid w:val="0092047E"/>
    <w:rsid w:val="009205EA"/>
    <w:rsid w:val="00920A48"/>
    <w:rsid w:val="00920B82"/>
    <w:rsid w:val="00921384"/>
    <w:rsid w:val="0092157E"/>
    <w:rsid w:val="009215A2"/>
    <w:rsid w:val="009215E9"/>
    <w:rsid w:val="00921CCB"/>
    <w:rsid w:val="0092217B"/>
    <w:rsid w:val="009223F8"/>
    <w:rsid w:val="009237D0"/>
    <w:rsid w:val="00923849"/>
    <w:rsid w:val="00924A52"/>
    <w:rsid w:val="00924B16"/>
    <w:rsid w:val="0092512D"/>
    <w:rsid w:val="00925A8E"/>
    <w:rsid w:val="00925B41"/>
    <w:rsid w:val="00926466"/>
    <w:rsid w:val="00926BA0"/>
    <w:rsid w:val="00927CA7"/>
    <w:rsid w:val="00927D90"/>
    <w:rsid w:val="00927F3D"/>
    <w:rsid w:val="00927FCE"/>
    <w:rsid w:val="00930A4F"/>
    <w:rsid w:val="00930E5C"/>
    <w:rsid w:val="00931198"/>
    <w:rsid w:val="0093170D"/>
    <w:rsid w:val="009317FA"/>
    <w:rsid w:val="0093188C"/>
    <w:rsid w:val="00932176"/>
    <w:rsid w:val="0093257A"/>
    <w:rsid w:val="0093271E"/>
    <w:rsid w:val="00932D8E"/>
    <w:rsid w:val="00932DF8"/>
    <w:rsid w:val="00933B8A"/>
    <w:rsid w:val="00933F52"/>
    <w:rsid w:val="0093415D"/>
    <w:rsid w:val="0093430C"/>
    <w:rsid w:val="0093482D"/>
    <w:rsid w:val="00934D33"/>
    <w:rsid w:val="00934E30"/>
    <w:rsid w:val="0093542A"/>
    <w:rsid w:val="0093560B"/>
    <w:rsid w:val="00935976"/>
    <w:rsid w:val="00935C03"/>
    <w:rsid w:val="009364E3"/>
    <w:rsid w:val="009370FD"/>
    <w:rsid w:val="009378BA"/>
    <w:rsid w:val="00937F8F"/>
    <w:rsid w:val="0094039C"/>
    <w:rsid w:val="0094095B"/>
    <w:rsid w:val="00940DBF"/>
    <w:rsid w:val="00940EFF"/>
    <w:rsid w:val="009416A5"/>
    <w:rsid w:val="00941920"/>
    <w:rsid w:val="00941FF1"/>
    <w:rsid w:val="00942240"/>
    <w:rsid w:val="009423C2"/>
    <w:rsid w:val="00942622"/>
    <w:rsid w:val="0094289A"/>
    <w:rsid w:val="009429E4"/>
    <w:rsid w:val="00942BA7"/>
    <w:rsid w:val="00942BA8"/>
    <w:rsid w:val="00943285"/>
    <w:rsid w:val="0094390B"/>
    <w:rsid w:val="00943C34"/>
    <w:rsid w:val="00943D2F"/>
    <w:rsid w:val="00944244"/>
    <w:rsid w:val="0094424A"/>
    <w:rsid w:val="00944A26"/>
    <w:rsid w:val="009453B2"/>
    <w:rsid w:val="00945ED3"/>
    <w:rsid w:val="009465ED"/>
    <w:rsid w:val="00946E4C"/>
    <w:rsid w:val="00947184"/>
    <w:rsid w:val="009472FE"/>
    <w:rsid w:val="00947723"/>
    <w:rsid w:val="009506F3"/>
    <w:rsid w:val="00950C6B"/>
    <w:rsid w:val="00951532"/>
    <w:rsid w:val="009515BA"/>
    <w:rsid w:val="00951C16"/>
    <w:rsid w:val="00951E61"/>
    <w:rsid w:val="00952468"/>
    <w:rsid w:val="009526DC"/>
    <w:rsid w:val="00952F99"/>
    <w:rsid w:val="0095309B"/>
    <w:rsid w:val="009534C7"/>
    <w:rsid w:val="00953C55"/>
    <w:rsid w:val="00953E81"/>
    <w:rsid w:val="0095434E"/>
    <w:rsid w:val="0095475F"/>
    <w:rsid w:val="009552A4"/>
    <w:rsid w:val="00955456"/>
    <w:rsid w:val="00955B82"/>
    <w:rsid w:val="00955F11"/>
    <w:rsid w:val="0095630F"/>
    <w:rsid w:val="00956BDA"/>
    <w:rsid w:val="00956D86"/>
    <w:rsid w:val="00956F4B"/>
    <w:rsid w:val="0095702E"/>
    <w:rsid w:val="009570DC"/>
    <w:rsid w:val="00957103"/>
    <w:rsid w:val="009572D5"/>
    <w:rsid w:val="00957C42"/>
    <w:rsid w:val="00957F54"/>
    <w:rsid w:val="009602CC"/>
    <w:rsid w:val="0096033D"/>
    <w:rsid w:val="00960DF1"/>
    <w:rsid w:val="00960DFB"/>
    <w:rsid w:val="0096136B"/>
    <w:rsid w:val="00961501"/>
    <w:rsid w:val="00961BF7"/>
    <w:rsid w:val="009624C7"/>
    <w:rsid w:val="00962652"/>
    <w:rsid w:val="0096282A"/>
    <w:rsid w:val="009633F8"/>
    <w:rsid w:val="00963505"/>
    <w:rsid w:val="00963C2F"/>
    <w:rsid w:val="00963C47"/>
    <w:rsid w:val="0096447E"/>
    <w:rsid w:val="009647F8"/>
    <w:rsid w:val="0096505F"/>
    <w:rsid w:val="0096525A"/>
    <w:rsid w:val="009653DD"/>
    <w:rsid w:val="00965B10"/>
    <w:rsid w:val="00965EDB"/>
    <w:rsid w:val="00966089"/>
    <w:rsid w:val="00966676"/>
    <w:rsid w:val="00966CDC"/>
    <w:rsid w:val="00966EFE"/>
    <w:rsid w:val="009670D1"/>
    <w:rsid w:val="00967397"/>
    <w:rsid w:val="00967445"/>
    <w:rsid w:val="0096756A"/>
    <w:rsid w:val="00967C44"/>
    <w:rsid w:val="009702EF"/>
    <w:rsid w:val="009703EF"/>
    <w:rsid w:val="00970718"/>
    <w:rsid w:val="0097088B"/>
    <w:rsid w:val="00970CE2"/>
    <w:rsid w:val="0097115D"/>
    <w:rsid w:val="009717E0"/>
    <w:rsid w:val="0097245F"/>
    <w:rsid w:val="00972805"/>
    <w:rsid w:val="00972B8D"/>
    <w:rsid w:val="00973331"/>
    <w:rsid w:val="00973485"/>
    <w:rsid w:val="0097349B"/>
    <w:rsid w:val="00973723"/>
    <w:rsid w:val="009738D7"/>
    <w:rsid w:val="00973901"/>
    <w:rsid w:val="00973C75"/>
    <w:rsid w:val="00973D8A"/>
    <w:rsid w:val="00973F86"/>
    <w:rsid w:val="009741F2"/>
    <w:rsid w:val="0097450A"/>
    <w:rsid w:val="00974A1D"/>
    <w:rsid w:val="00975114"/>
    <w:rsid w:val="00975153"/>
    <w:rsid w:val="009755E3"/>
    <w:rsid w:val="0097561F"/>
    <w:rsid w:val="00975941"/>
    <w:rsid w:val="009760F2"/>
    <w:rsid w:val="00976109"/>
    <w:rsid w:val="009763F6"/>
    <w:rsid w:val="00977807"/>
    <w:rsid w:val="00977DB3"/>
    <w:rsid w:val="00977EDA"/>
    <w:rsid w:val="0098029B"/>
    <w:rsid w:val="0098050D"/>
    <w:rsid w:val="009805BB"/>
    <w:rsid w:val="009805DB"/>
    <w:rsid w:val="009806C2"/>
    <w:rsid w:val="00981068"/>
    <w:rsid w:val="00981A00"/>
    <w:rsid w:val="009821DC"/>
    <w:rsid w:val="00982603"/>
    <w:rsid w:val="0098299B"/>
    <w:rsid w:val="00982E67"/>
    <w:rsid w:val="00983286"/>
    <w:rsid w:val="00983483"/>
    <w:rsid w:val="00983F05"/>
    <w:rsid w:val="00983FC4"/>
    <w:rsid w:val="00984372"/>
    <w:rsid w:val="00984682"/>
    <w:rsid w:val="00984854"/>
    <w:rsid w:val="00984875"/>
    <w:rsid w:val="009848C6"/>
    <w:rsid w:val="00984AEC"/>
    <w:rsid w:val="00984B95"/>
    <w:rsid w:val="00984D9F"/>
    <w:rsid w:val="00985750"/>
    <w:rsid w:val="00985B1E"/>
    <w:rsid w:val="009861E0"/>
    <w:rsid w:val="0098681D"/>
    <w:rsid w:val="00986A68"/>
    <w:rsid w:val="00986F78"/>
    <w:rsid w:val="0098740B"/>
    <w:rsid w:val="009878E0"/>
    <w:rsid w:val="00987BFD"/>
    <w:rsid w:val="009905EF"/>
    <w:rsid w:val="0099085C"/>
    <w:rsid w:val="00990D10"/>
    <w:rsid w:val="00990FFB"/>
    <w:rsid w:val="00991056"/>
    <w:rsid w:val="0099112E"/>
    <w:rsid w:val="00991355"/>
    <w:rsid w:val="00991703"/>
    <w:rsid w:val="009918D6"/>
    <w:rsid w:val="0099211A"/>
    <w:rsid w:val="009921CA"/>
    <w:rsid w:val="00992985"/>
    <w:rsid w:val="00992C0A"/>
    <w:rsid w:val="009933B0"/>
    <w:rsid w:val="00993F2B"/>
    <w:rsid w:val="009946FF"/>
    <w:rsid w:val="009947F2"/>
    <w:rsid w:val="00994B02"/>
    <w:rsid w:val="00995534"/>
    <w:rsid w:val="00995809"/>
    <w:rsid w:val="00995904"/>
    <w:rsid w:val="00995CD6"/>
    <w:rsid w:val="00995F7E"/>
    <w:rsid w:val="0099670A"/>
    <w:rsid w:val="00996803"/>
    <w:rsid w:val="009971D3"/>
    <w:rsid w:val="0099735D"/>
    <w:rsid w:val="0099735E"/>
    <w:rsid w:val="00997610"/>
    <w:rsid w:val="00997A87"/>
    <w:rsid w:val="00997F69"/>
    <w:rsid w:val="009A0259"/>
    <w:rsid w:val="009A0585"/>
    <w:rsid w:val="009A0F4B"/>
    <w:rsid w:val="009A27EC"/>
    <w:rsid w:val="009A348F"/>
    <w:rsid w:val="009A3BD8"/>
    <w:rsid w:val="009A3DCF"/>
    <w:rsid w:val="009A3E3D"/>
    <w:rsid w:val="009A400F"/>
    <w:rsid w:val="009A4887"/>
    <w:rsid w:val="009A4DF0"/>
    <w:rsid w:val="009A504D"/>
    <w:rsid w:val="009A5103"/>
    <w:rsid w:val="009A5BB2"/>
    <w:rsid w:val="009A5E11"/>
    <w:rsid w:val="009A62DE"/>
    <w:rsid w:val="009A6620"/>
    <w:rsid w:val="009A69D9"/>
    <w:rsid w:val="009A6B2B"/>
    <w:rsid w:val="009A6BA8"/>
    <w:rsid w:val="009A7ECA"/>
    <w:rsid w:val="009B00CF"/>
    <w:rsid w:val="009B1165"/>
    <w:rsid w:val="009B24CD"/>
    <w:rsid w:val="009B254B"/>
    <w:rsid w:val="009B290A"/>
    <w:rsid w:val="009B29B7"/>
    <w:rsid w:val="009B2AB7"/>
    <w:rsid w:val="009B2EE2"/>
    <w:rsid w:val="009B30B0"/>
    <w:rsid w:val="009B368F"/>
    <w:rsid w:val="009B3F52"/>
    <w:rsid w:val="009B4264"/>
    <w:rsid w:val="009B43C5"/>
    <w:rsid w:val="009B43F8"/>
    <w:rsid w:val="009B4573"/>
    <w:rsid w:val="009B50A6"/>
    <w:rsid w:val="009B5183"/>
    <w:rsid w:val="009B524B"/>
    <w:rsid w:val="009B562F"/>
    <w:rsid w:val="009B5AEE"/>
    <w:rsid w:val="009B6BFE"/>
    <w:rsid w:val="009B6D57"/>
    <w:rsid w:val="009B6E6B"/>
    <w:rsid w:val="009B6EE4"/>
    <w:rsid w:val="009B6F85"/>
    <w:rsid w:val="009B794B"/>
    <w:rsid w:val="009B7FFE"/>
    <w:rsid w:val="009C005F"/>
    <w:rsid w:val="009C0807"/>
    <w:rsid w:val="009C1502"/>
    <w:rsid w:val="009C17BC"/>
    <w:rsid w:val="009C1A89"/>
    <w:rsid w:val="009C1E90"/>
    <w:rsid w:val="009C2E74"/>
    <w:rsid w:val="009C2FAB"/>
    <w:rsid w:val="009C30C9"/>
    <w:rsid w:val="009C3350"/>
    <w:rsid w:val="009C3CC3"/>
    <w:rsid w:val="009C417C"/>
    <w:rsid w:val="009C57BB"/>
    <w:rsid w:val="009C5AC2"/>
    <w:rsid w:val="009C5C27"/>
    <w:rsid w:val="009C6677"/>
    <w:rsid w:val="009C6BAC"/>
    <w:rsid w:val="009C6D44"/>
    <w:rsid w:val="009C6DF2"/>
    <w:rsid w:val="009C71BD"/>
    <w:rsid w:val="009C7857"/>
    <w:rsid w:val="009C792B"/>
    <w:rsid w:val="009D0407"/>
    <w:rsid w:val="009D1323"/>
    <w:rsid w:val="009D173D"/>
    <w:rsid w:val="009D1B9B"/>
    <w:rsid w:val="009D1C54"/>
    <w:rsid w:val="009D1EBD"/>
    <w:rsid w:val="009D1F17"/>
    <w:rsid w:val="009D208E"/>
    <w:rsid w:val="009D25E1"/>
    <w:rsid w:val="009D2F48"/>
    <w:rsid w:val="009D33CE"/>
    <w:rsid w:val="009D3550"/>
    <w:rsid w:val="009D36DB"/>
    <w:rsid w:val="009D39E7"/>
    <w:rsid w:val="009D39F7"/>
    <w:rsid w:val="009D3C0D"/>
    <w:rsid w:val="009D3D4F"/>
    <w:rsid w:val="009D3DF0"/>
    <w:rsid w:val="009D45DC"/>
    <w:rsid w:val="009D4A3C"/>
    <w:rsid w:val="009D4F7D"/>
    <w:rsid w:val="009D5555"/>
    <w:rsid w:val="009D5EA3"/>
    <w:rsid w:val="009D604B"/>
    <w:rsid w:val="009D6906"/>
    <w:rsid w:val="009D70ED"/>
    <w:rsid w:val="009D7DE5"/>
    <w:rsid w:val="009D7EB5"/>
    <w:rsid w:val="009D7FCD"/>
    <w:rsid w:val="009E034A"/>
    <w:rsid w:val="009E0D2B"/>
    <w:rsid w:val="009E1F66"/>
    <w:rsid w:val="009E2383"/>
    <w:rsid w:val="009E28FF"/>
    <w:rsid w:val="009E29A9"/>
    <w:rsid w:val="009E2E7A"/>
    <w:rsid w:val="009E2F43"/>
    <w:rsid w:val="009E321C"/>
    <w:rsid w:val="009E40C9"/>
    <w:rsid w:val="009E41CF"/>
    <w:rsid w:val="009E43E5"/>
    <w:rsid w:val="009E4AF2"/>
    <w:rsid w:val="009E52F5"/>
    <w:rsid w:val="009E53FB"/>
    <w:rsid w:val="009E5A53"/>
    <w:rsid w:val="009E5D57"/>
    <w:rsid w:val="009E5EE9"/>
    <w:rsid w:val="009E5F4A"/>
    <w:rsid w:val="009E6062"/>
    <w:rsid w:val="009E68D3"/>
    <w:rsid w:val="009E69F6"/>
    <w:rsid w:val="009E6B6A"/>
    <w:rsid w:val="009E6B80"/>
    <w:rsid w:val="009E6ECA"/>
    <w:rsid w:val="009E6F38"/>
    <w:rsid w:val="009E7572"/>
    <w:rsid w:val="009E7CF8"/>
    <w:rsid w:val="009E7D7C"/>
    <w:rsid w:val="009F01B9"/>
    <w:rsid w:val="009F04E2"/>
    <w:rsid w:val="009F0837"/>
    <w:rsid w:val="009F0847"/>
    <w:rsid w:val="009F16F4"/>
    <w:rsid w:val="009F193A"/>
    <w:rsid w:val="009F1ABD"/>
    <w:rsid w:val="009F1E13"/>
    <w:rsid w:val="009F25B4"/>
    <w:rsid w:val="009F3580"/>
    <w:rsid w:val="009F395A"/>
    <w:rsid w:val="009F398A"/>
    <w:rsid w:val="009F3BD5"/>
    <w:rsid w:val="009F3BEF"/>
    <w:rsid w:val="009F4365"/>
    <w:rsid w:val="009F4462"/>
    <w:rsid w:val="009F4FBB"/>
    <w:rsid w:val="009F5980"/>
    <w:rsid w:val="009F59BA"/>
    <w:rsid w:val="009F5A22"/>
    <w:rsid w:val="009F5A2A"/>
    <w:rsid w:val="009F6D03"/>
    <w:rsid w:val="009F731B"/>
    <w:rsid w:val="00A0031F"/>
    <w:rsid w:val="00A00998"/>
    <w:rsid w:val="00A00B96"/>
    <w:rsid w:val="00A0114B"/>
    <w:rsid w:val="00A02006"/>
    <w:rsid w:val="00A02153"/>
    <w:rsid w:val="00A0228D"/>
    <w:rsid w:val="00A0238F"/>
    <w:rsid w:val="00A02AE3"/>
    <w:rsid w:val="00A03107"/>
    <w:rsid w:val="00A035AE"/>
    <w:rsid w:val="00A04931"/>
    <w:rsid w:val="00A04990"/>
    <w:rsid w:val="00A05539"/>
    <w:rsid w:val="00A055DA"/>
    <w:rsid w:val="00A056D2"/>
    <w:rsid w:val="00A058E9"/>
    <w:rsid w:val="00A05DA6"/>
    <w:rsid w:val="00A06513"/>
    <w:rsid w:val="00A065DB"/>
    <w:rsid w:val="00A067DD"/>
    <w:rsid w:val="00A077E1"/>
    <w:rsid w:val="00A07B53"/>
    <w:rsid w:val="00A07BEC"/>
    <w:rsid w:val="00A07CDF"/>
    <w:rsid w:val="00A07ECF"/>
    <w:rsid w:val="00A10629"/>
    <w:rsid w:val="00A10709"/>
    <w:rsid w:val="00A10C2F"/>
    <w:rsid w:val="00A113A2"/>
    <w:rsid w:val="00A11C14"/>
    <w:rsid w:val="00A1218B"/>
    <w:rsid w:val="00A12DFF"/>
    <w:rsid w:val="00A132DB"/>
    <w:rsid w:val="00A13CCA"/>
    <w:rsid w:val="00A13F70"/>
    <w:rsid w:val="00A14316"/>
    <w:rsid w:val="00A146CC"/>
    <w:rsid w:val="00A14D6B"/>
    <w:rsid w:val="00A14D89"/>
    <w:rsid w:val="00A15542"/>
    <w:rsid w:val="00A156D2"/>
    <w:rsid w:val="00A159E2"/>
    <w:rsid w:val="00A15D44"/>
    <w:rsid w:val="00A1655C"/>
    <w:rsid w:val="00A16CDE"/>
    <w:rsid w:val="00A16F35"/>
    <w:rsid w:val="00A17255"/>
    <w:rsid w:val="00A17765"/>
    <w:rsid w:val="00A1778D"/>
    <w:rsid w:val="00A179A3"/>
    <w:rsid w:val="00A17D91"/>
    <w:rsid w:val="00A20586"/>
    <w:rsid w:val="00A20DE3"/>
    <w:rsid w:val="00A20E00"/>
    <w:rsid w:val="00A21AEC"/>
    <w:rsid w:val="00A22073"/>
    <w:rsid w:val="00A220FB"/>
    <w:rsid w:val="00A223C6"/>
    <w:rsid w:val="00A223D8"/>
    <w:rsid w:val="00A225F3"/>
    <w:rsid w:val="00A228EF"/>
    <w:rsid w:val="00A2352F"/>
    <w:rsid w:val="00A23810"/>
    <w:rsid w:val="00A2385E"/>
    <w:rsid w:val="00A23A81"/>
    <w:rsid w:val="00A23D61"/>
    <w:rsid w:val="00A23DCC"/>
    <w:rsid w:val="00A24AE7"/>
    <w:rsid w:val="00A24CA3"/>
    <w:rsid w:val="00A24D35"/>
    <w:rsid w:val="00A24E47"/>
    <w:rsid w:val="00A254FF"/>
    <w:rsid w:val="00A25D0C"/>
    <w:rsid w:val="00A26193"/>
    <w:rsid w:val="00A2634F"/>
    <w:rsid w:val="00A265CF"/>
    <w:rsid w:val="00A265EB"/>
    <w:rsid w:val="00A26AAF"/>
    <w:rsid w:val="00A26C0D"/>
    <w:rsid w:val="00A279C2"/>
    <w:rsid w:val="00A300E3"/>
    <w:rsid w:val="00A30DAF"/>
    <w:rsid w:val="00A30EC2"/>
    <w:rsid w:val="00A311B6"/>
    <w:rsid w:val="00A317EB"/>
    <w:rsid w:val="00A31C25"/>
    <w:rsid w:val="00A329C3"/>
    <w:rsid w:val="00A32DB0"/>
    <w:rsid w:val="00A334F1"/>
    <w:rsid w:val="00A3412C"/>
    <w:rsid w:val="00A34281"/>
    <w:rsid w:val="00A34781"/>
    <w:rsid w:val="00A34C4A"/>
    <w:rsid w:val="00A34E1A"/>
    <w:rsid w:val="00A35815"/>
    <w:rsid w:val="00A36052"/>
    <w:rsid w:val="00A363B9"/>
    <w:rsid w:val="00A36699"/>
    <w:rsid w:val="00A3696E"/>
    <w:rsid w:val="00A36D26"/>
    <w:rsid w:val="00A3714C"/>
    <w:rsid w:val="00A375EE"/>
    <w:rsid w:val="00A37AF2"/>
    <w:rsid w:val="00A37B14"/>
    <w:rsid w:val="00A37D8A"/>
    <w:rsid w:val="00A40512"/>
    <w:rsid w:val="00A4056E"/>
    <w:rsid w:val="00A40880"/>
    <w:rsid w:val="00A4126A"/>
    <w:rsid w:val="00A4173F"/>
    <w:rsid w:val="00A4191F"/>
    <w:rsid w:val="00A41DA1"/>
    <w:rsid w:val="00A420F5"/>
    <w:rsid w:val="00A424C6"/>
    <w:rsid w:val="00A42536"/>
    <w:rsid w:val="00A436ED"/>
    <w:rsid w:val="00A43D14"/>
    <w:rsid w:val="00A4478E"/>
    <w:rsid w:val="00A44841"/>
    <w:rsid w:val="00A44FC0"/>
    <w:rsid w:val="00A4503E"/>
    <w:rsid w:val="00A45134"/>
    <w:rsid w:val="00A455F2"/>
    <w:rsid w:val="00A458F6"/>
    <w:rsid w:val="00A459A9"/>
    <w:rsid w:val="00A45AD4"/>
    <w:rsid w:val="00A467D7"/>
    <w:rsid w:val="00A46D82"/>
    <w:rsid w:val="00A470DF"/>
    <w:rsid w:val="00A50229"/>
    <w:rsid w:val="00A50539"/>
    <w:rsid w:val="00A50591"/>
    <w:rsid w:val="00A50804"/>
    <w:rsid w:val="00A50CF3"/>
    <w:rsid w:val="00A511EC"/>
    <w:rsid w:val="00A51863"/>
    <w:rsid w:val="00A52319"/>
    <w:rsid w:val="00A52A50"/>
    <w:rsid w:val="00A530DE"/>
    <w:rsid w:val="00A537CB"/>
    <w:rsid w:val="00A53FE4"/>
    <w:rsid w:val="00A546F3"/>
    <w:rsid w:val="00A54820"/>
    <w:rsid w:val="00A56113"/>
    <w:rsid w:val="00A56D8C"/>
    <w:rsid w:val="00A571B1"/>
    <w:rsid w:val="00A571DA"/>
    <w:rsid w:val="00A57639"/>
    <w:rsid w:val="00A57773"/>
    <w:rsid w:val="00A6045C"/>
    <w:rsid w:val="00A60B74"/>
    <w:rsid w:val="00A60D06"/>
    <w:rsid w:val="00A60D30"/>
    <w:rsid w:val="00A60EE0"/>
    <w:rsid w:val="00A613F6"/>
    <w:rsid w:val="00A615A1"/>
    <w:rsid w:val="00A6173C"/>
    <w:rsid w:val="00A617C1"/>
    <w:rsid w:val="00A61BE1"/>
    <w:rsid w:val="00A61DC6"/>
    <w:rsid w:val="00A61E4E"/>
    <w:rsid w:val="00A62309"/>
    <w:rsid w:val="00A623BF"/>
    <w:rsid w:val="00A62978"/>
    <w:rsid w:val="00A62A2B"/>
    <w:rsid w:val="00A62EEE"/>
    <w:rsid w:val="00A630FA"/>
    <w:rsid w:val="00A63778"/>
    <w:rsid w:val="00A639D8"/>
    <w:rsid w:val="00A63F2F"/>
    <w:rsid w:val="00A63FF9"/>
    <w:rsid w:val="00A64E96"/>
    <w:rsid w:val="00A6510B"/>
    <w:rsid w:val="00A6547B"/>
    <w:rsid w:val="00A656D9"/>
    <w:rsid w:val="00A65827"/>
    <w:rsid w:val="00A65A50"/>
    <w:rsid w:val="00A65BE8"/>
    <w:rsid w:val="00A65CAE"/>
    <w:rsid w:val="00A65CDA"/>
    <w:rsid w:val="00A65EBF"/>
    <w:rsid w:val="00A66021"/>
    <w:rsid w:val="00A66054"/>
    <w:rsid w:val="00A667A0"/>
    <w:rsid w:val="00A66988"/>
    <w:rsid w:val="00A669EE"/>
    <w:rsid w:val="00A66B26"/>
    <w:rsid w:val="00A66C95"/>
    <w:rsid w:val="00A67132"/>
    <w:rsid w:val="00A67888"/>
    <w:rsid w:val="00A679A6"/>
    <w:rsid w:val="00A67AF5"/>
    <w:rsid w:val="00A67E94"/>
    <w:rsid w:val="00A7010A"/>
    <w:rsid w:val="00A70351"/>
    <w:rsid w:val="00A703B2"/>
    <w:rsid w:val="00A70569"/>
    <w:rsid w:val="00A707E6"/>
    <w:rsid w:val="00A70953"/>
    <w:rsid w:val="00A70CC1"/>
    <w:rsid w:val="00A70F59"/>
    <w:rsid w:val="00A71520"/>
    <w:rsid w:val="00A71628"/>
    <w:rsid w:val="00A7162F"/>
    <w:rsid w:val="00A71CFA"/>
    <w:rsid w:val="00A72C12"/>
    <w:rsid w:val="00A7317D"/>
    <w:rsid w:val="00A73DD6"/>
    <w:rsid w:val="00A748B3"/>
    <w:rsid w:val="00A74C02"/>
    <w:rsid w:val="00A753A5"/>
    <w:rsid w:val="00A75864"/>
    <w:rsid w:val="00A76630"/>
    <w:rsid w:val="00A7678B"/>
    <w:rsid w:val="00A775DE"/>
    <w:rsid w:val="00A80957"/>
    <w:rsid w:val="00A812F8"/>
    <w:rsid w:val="00A81496"/>
    <w:rsid w:val="00A816D9"/>
    <w:rsid w:val="00A81933"/>
    <w:rsid w:val="00A81B13"/>
    <w:rsid w:val="00A81D36"/>
    <w:rsid w:val="00A81E8D"/>
    <w:rsid w:val="00A825AD"/>
    <w:rsid w:val="00A82AD7"/>
    <w:rsid w:val="00A83520"/>
    <w:rsid w:val="00A83A0A"/>
    <w:rsid w:val="00A83C42"/>
    <w:rsid w:val="00A83D13"/>
    <w:rsid w:val="00A8405A"/>
    <w:rsid w:val="00A8480C"/>
    <w:rsid w:val="00A853BD"/>
    <w:rsid w:val="00A85410"/>
    <w:rsid w:val="00A85585"/>
    <w:rsid w:val="00A85BE7"/>
    <w:rsid w:val="00A85FC3"/>
    <w:rsid w:val="00A865C7"/>
    <w:rsid w:val="00A86840"/>
    <w:rsid w:val="00A868DA"/>
    <w:rsid w:val="00A86C2A"/>
    <w:rsid w:val="00A86D20"/>
    <w:rsid w:val="00A87677"/>
    <w:rsid w:val="00A9058D"/>
    <w:rsid w:val="00A90C73"/>
    <w:rsid w:val="00A910BD"/>
    <w:rsid w:val="00A9189C"/>
    <w:rsid w:val="00A918DE"/>
    <w:rsid w:val="00A927BD"/>
    <w:rsid w:val="00A92F14"/>
    <w:rsid w:val="00A93278"/>
    <w:rsid w:val="00A933E0"/>
    <w:rsid w:val="00A93466"/>
    <w:rsid w:val="00A93ACE"/>
    <w:rsid w:val="00A9477E"/>
    <w:rsid w:val="00A95151"/>
    <w:rsid w:val="00A95938"/>
    <w:rsid w:val="00A959CE"/>
    <w:rsid w:val="00A95C74"/>
    <w:rsid w:val="00A95E9A"/>
    <w:rsid w:val="00A96388"/>
    <w:rsid w:val="00A968B6"/>
    <w:rsid w:val="00A974CE"/>
    <w:rsid w:val="00A97622"/>
    <w:rsid w:val="00A97853"/>
    <w:rsid w:val="00A97C47"/>
    <w:rsid w:val="00AA0DA6"/>
    <w:rsid w:val="00AA1A4E"/>
    <w:rsid w:val="00AA205C"/>
    <w:rsid w:val="00AA29C2"/>
    <w:rsid w:val="00AA349F"/>
    <w:rsid w:val="00AA35A8"/>
    <w:rsid w:val="00AA37AF"/>
    <w:rsid w:val="00AA385D"/>
    <w:rsid w:val="00AA3962"/>
    <w:rsid w:val="00AA3A01"/>
    <w:rsid w:val="00AA3CFB"/>
    <w:rsid w:val="00AA579A"/>
    <w:rsid w:val="00AA5DBB"/>
    <w:rsid w:val="00AA5E61"/>
    <w:rsid w:val="00AA63CF"/>
    <w:rsid w:val="00AA67F8"/>
    <w:rsid w:val="00AA69DA"/>
    <w:rsid w:val="00AA7455"/>
    <w:rsid w:val="00AA7676"/>
    <w:rsid w:val="00AA76D0"/>
    <w:rsid w:val="00AA789D"/>
    <w:rsid w:val="00AA7FF7"/>
    <w:rsid w:val="00AB01ED"/>
    <w:rsid w:val="00AB030D"/>
    <w:rsid w:val="00AB097E"/>
    <w:rsid w:val="00AB09C5"/>
    <w:rsid w:val="00AB0DE5"/>
    <w:rsid w:val="00AB11B2"/>
    <w:rsid w:val="00AB129A"/>
    <w:rsid w:val="00AB130D"/>
    <w:rsid w:val="00AB1BC8"/>
    <w:rsid w:val="00AB1D5D"/>
    <w:rsid w:val="00AB1FEF"/>
    <w:rsid w:val="00AB240E"/>
    <w:rsid w:val="00AB24F4"/>
    <w:rsid w:val="00AB2857"/>
    <w:rsid w:val="00AB34AB"/>
    <w:rsid w:val="00AB44C2"/>
    <w:rsid w:val="00AB461F"/>
    <w:rsid w:val="00AB4C5B"/>
    <w:rsid w:val="00AB4CA3"/>
    <w:rsid w:val="00AB5464"/>
    <w:rsid w:val="00AB5534"/>
    <w:rsid w:val="00AB57CC"/>
    <w:rsid w:val="00AB5CB4"/>
    <w:rsid w:val="00AB6569"/>
    <w:rsid w:val="00AB66F7"/>
    <w:rsid w:val="00AB684C"/>
    <w:rsid w:val="00AB6D09"/>
    <w:rsid w:val="00AB6F31"/>
    <w:rsid w:val="00AB6FF3"/>
    <w:rsid w:val="00AC0111"/>
    <w:rsid w:val="00AC0230"/>
    <w:rsid w:val="00AC0B2A"/>
    <w:rsid w:val="00AC0E8E"/>
    <w:rsid w:val="00AC0F2A"/>
    <w:rsid w:val="00AC0FDB"/>
    <w:rsid w:val="00AC1560"/>
    <w:rsid w:val="00AC15C1"/>
    <w:rsid w:val="00AC1AC4"/>
    <w:rsid w:val="00AC2D03"/>
    <w:rsid w:val="00AC3E25"/>
    <w:rsid w:val="00AC3F42"/>
    <w:rsid w:val="00AC494C"/>
    <w:rsid w:val="00AC529B"/>
    <w:rsid w:val="00AC5805"/>
    <w:rsid w:val="00AC59AA"/>
    <w:rsid w:val="00AC5BC7"/>
    <w:rsid w:val="00AC5C0E"/>
    <w:rsid w:val="00AC5D7A"/>
    <w:rsid w:val="00AC5E52"/>
    <w:rsid w:val="00AC622B"/>
    <w:rsid w:val="00AC654A"/>
    <w:rsid w:val="00AC69FC"/>
    <w:rsid w:val="00AC6C94"/>
    <w:rsid w:val="00AC7055"/>
    <w:rsid w:val="00AC738D"/>
    <w:rsid w:val="00AC7B7D"/>
    <w:rsid w:val="00AC7EE4"/>
    <w:rsid w:val="00AC7F9B"/>
    <w:rsid w:val="00AD006C"/>
    <w:rsid w:val="00AD0207"/>
    <w:rsid w:val="00AD0A1E"/>
    <w:rsid w:val="00AD0A73"/>
    <w:rsid w:val="00AD1389"/>
    <w:rsid w:val="00AD1447"/>
    <w:rsid w:val="00AD17D6"/>
    <w:rsid w:val="00AD1936"/>
    <w:rsid w:val="00AD2FB0"/>
    <w:rsid w:val="00AD4073"/>
    <w:rsid w:val="00AD4212"/>
    <w:rsid w:val="00AD4654"/>
    <w:rsid w:val="00AD62B5"/>
    <w:rsid w:val="00AD7151"/>
    <w:rsid w:val="00AD71D7"/>
    <w:rsid w:val="00AD77EB"/>
    <w:rsid w:val="00AD7D59"/>
    <w:rsid w:val="00AD7FC0"/>
    <w:rsid w:val="00AE0489"/>
    <w:rsid w:val="00AE0495"/>
    <w:rsid w:val="00AE08FF"/>
    <w:rsid w:val="00AE0A1A"/>
    <w:rsid w:val="00AE0CB6"/>
    <w:rsid w:val="00AE0D07"/>
    <w:rsid w:val="00AE0E67"/>
    <w:rsid w:val="00AE0EB1"/>
    <w:rsid w:val="00AE10BD"/>
    <w:rsid w:val="00AE144D"/>
    <w:rsid w:val="00AE16E7"/>
    <w:rsid w:val="00AE1CDD"/>
    <w:rsid w:val="00AE1D88"/>
    <w:rsid w:val="00AE1E1F"/>
    <w:rsid w:val="00AE230E"/>
    <w:rsid w:val="00AE2D33"/>
    <w:rsid w:val="00AE3287"/>
    <w:rsid w:val="00AE330D"/>
    <w:rsid w:val="00AE3D49"/>
    <w:rsid w:val="00AE3FD8"/>
    <w:rsid w:val="00AE411A"/>
    <w:rsid w:val="00AE48A3"/>
    <w:rsid w:val="00AE493A"/>
    <w:rsid w:val="00AE54AF"/>
    <w:rsid w:val="00AE5F19"/>
    <w:rsid w:val="00AE5F96"/>
    <w:rsid w:val="00AE5FCE"/>
    <w:rsid w:val="00AE6333"/>
    <w:rsid w:val="00AE6D1C"/>
    <w:rsid w:val="00AE73C0"/>
    <w:rsid w:val="00AE766C"/>
    <w:rsid w:val="00AE79CB"/>
    <w:rsid w:val="00AE7E4B"/>
    <w:rsid w:val="00AE7EE0"/>
    <w:rsid w:val="00AF00AB"/>
    <w:rsid w:val="00AF00FB"/>
    <w:rsid w:val="00AF01A9"/>
    <w:rsid w:val="00AF0533"/>
    <w:rsid w:val="00AF07E1"/>
    <w:rsid w:val="00AF1225"/>
    <w:rsid w:val="00AF1650"/>
    <w:rsid w:val="00AF1AE9"/>
    <w:rsid w:val="00AF1B5B"/>
    <w:rsid w:val="00AF1BCB"/>
    <w:rsid w:val="00AF1C33"/>
    <w:rsid w:val="00AF2640"/>
    <w:rsid w:val="00AF2C21"/>
    <w:rsid w:val="00AF2EBE"/>
    <w:rsid w:val="00AF330F"/>
    <w:rsid w:val="00AF3526"/>
    <w:rsid w:val="00AF36FB"/>
    <w:rsid w:val="00AF3CF3"/>
    <w:rsid w:val="00AF3F48"/>
    <w:rsid w:val="00AF4063"/>
    <w:rsid w:val="00AF4902"/>
    <w:rsid w:val="00AF4B2F"/>
    <w:rsid w:val="00AF4D7D"/>
    <w:rsid w:val="00AF5358"/>
    <w:rsid w:val="00AF541C"/>
    <w:rsid w:val="00AF54C7"/>
    <w:rsid w:val="00AF561F"/>
    <w:rsid w:val="00AF59C4"/>
    <w:rsid w:val="00AF5FB6"/>
    <w:rsid w:val="00AF601B"/>
    <w:rsid w:val="00AF6057"/>
    <w:rsid w:val="00AF6297"/>
    <w:rsid w:val="00AF6516"/>
    <w:rsid w:val="00AF67E3"/>
    <w:rsid w:val="00AF6836"/>
    <w:rsid w:val="00AF685B"/>
    <w:rsid w:val="00AF6EA9"/>
    <w:rsid w:val="00AF7260"/>
    <w:rsid w:val="00AF7A23"/>
    <w:rsid w:val="00B000E1"/>
    <w:rsid w:val="00B007F1"/>
    <w:rsid w:val="00B00AD9"/>
    <w:rsid w:val="00B00D12"/>
    <w:rsid w:val="00B0210E"/>
    <w:rsid w:val="00B024FE"/>
    <w:rsid w:val="00B02523"/>
    <w:rsid w:val="00B0261C"/>
    <w:rsid w:val="00B031CA"/>
    <w:rsid w:val="00B049A9"/>
    <w:rsid w:val="00B05627"/>
    <w:rsid w:val="00B058C1"/>
    <w:rsid w:val="00B05DD8"/>
    <w:rsid w:val="00B060B8"/>
    <w:rsid w:val="00B06117"/>
    <w:rsid w:val="00B0613A"/>
    <w:rsid w:val="00B06238"/>
    <w:rsid w:val="00B06E6A"/>
    <w:rsid w:val="00B07505"/>
    <w:rsid w:val="00B079D5"/>
    <w:rsid w:val="00B07A4D"/>
    <w:rsid w:val="00B07CED"/>
    <w:rsid w:val="00B1007B"/>
    <w:rsid w:val="00B102D1"/>
    <w:rsid w:val="00B10388"/>
    <w:rsid w:val="00B104BA"/>
    <w:rsid w:val="00B10DD4"/>
    <w:rsid w:val="00B10FAD"/>
    <w:rsid w:val="00B114A1"/>
    <w:rsid w:val="00B1186D"/>
    <w:rsid w:val="00B11B8E"/>
    <w:rsid w:val="00B11D42"/>
    <w:rsid w:val="00B12162"/>
    <w:rsid w:val="00B12226"/>
    <w:rsid w:val="00B13DA5"/>
    <w:rsid w:val="00B1437A"/>
    <w:rsid w:val="00B14AAA"/>
    <w:rsid w:val="00B14FC7"/>
    <w:rsid w:val="00B1510F"/>
    <w:rsid w:val="00B160D1"/>
    <w:rsid w:val="00B171F3"/>
    <w:rsid w:val="00B17D0D"/>
    <w:rsid w:val="00B17D67"/>
    <w:rsid w:val="00B17E2E"/>
    <w:rsid w:val="00B2128F"/>
    <w:rsid w:val="00B21A8D"/>
    <w:rsid w:val="00B22057"/>
    <w:rsid w:val="00B220BA"/>
    <w:rsid w:val="00B223D1"/>
    <w:rsid w:val="00B2268F"/>
    <w:rsid w:val="00B226C9"/>
    <w:rsid w:val="00B22924"/>
    <w:rsid w:val="00B232FC"/>
    <w:rsid w:val="00B23F25"/>
    <w:rsid w:val="00B24DA0"/>
    <w:rsid w:val="00B25461"/>
    <w:rsid w:val="00B2583F"/>
    <w:rsid w:val="00B25883"/>
    <w:rsid w:val="00B25C8E"/>
    <w:rsid w:val="00B25F4B"/>
    <w:rsid w:val="00B263D3"/>
    <w:rsid w:val="00B26C98"/>
    <w:rsid w:val="00B27AC0"/>
    <w:rsid w:val="00B30500"/>
    <w:rsid w:val="00B306C3"/>
    <w:rsid w:val="00B313FB"/>
    <w:rsid w:val="00B315C9"/>
    <w:rsid w:val="00B318E9"/>
    <w:rsid w:val="00B31E1B"/>
    <w:rsid w:val="00B32262"/>
    <w:rsid w:val="00B332CF"/>
    <w:rsid w:val="00B335BB"/>
    <w:rsid w:val="00B33710"/>
    <w:rsid w:val="00B337EC"/>
    <w:rsid w:val="00B33A6B"/>
    <w:rsid w:val="00B33AE7"/>
    <w:rsid w:val="00B340FB"/>
    <w:rsid w:val="00B342A9"/>
    <w:rsid w:val="00B34AEB"/>
    <w:rsid w:val="00B34D43"/>
    <w:rsid w:val="00B35085"/>
    <w:rsid w:val="00B35113"/>
    <w:rsid w:val="00B356D4"/>
    <w:rsid w:val="00B35B9E"/>
    <w:rsid w:val="00B35CF5"/>
    <w:rsid w:val="00B361F0"/>
    <w:rsid w:val="00B36290"/>
    <w:rsid w:val="00B3661A"/>
    <w:rsid w:val="00B36A1E"/>
    <w:rsid w:val="00B36C2F"/>
    <w:rsid w:val="00B36EBB"/>
    <w:rsid w:val="00B37290"/>
    <w:rsid w:val="00B4002A"/>
    <w:rsid w:val="00B40347"/>
    <w:rsid w:val="00B40420"/>
    <w:rsid w:val="00B405D8"/>
    <w:rsid w:val="00B40755"/>
    <w:rsid w:val="00B411E9"/>
    <w:rsid w:val="00B41D9A"/>
    <w:rsid w:val="00B42085"/>
    <w:rsid w:val="00B42663"/>
    <w:rsid w:val="00B43712"/>
    <w:rsid w:val="00B43807"/>
    <w:rsid w:val="00B43909"/>
    <w:rsid w:val="00B43BD7"/>
    <w:rsid w:val="00B43CAD"/>
    <w:rsid w:val="00B43EA4"/>
    <w:rsid w:val="00B43F90"/>
    <w:rsid w:val="00B44441"/>
    <w:rsid w:val="00B44561"/>
    <w:rsid w:val="00B44939"/>
    <w:rsid w:val="00B44CDB"/>
    <w:rsid w:val="00B44D1D"/>
    <w:rsid w:val="00B44D46"/>
    <w:rsid w:val="00B44F3C"/>
    <w:rsid w:val="00B451DC"/>
    <w:rsid w:val="00B45AE0"/>
    <w:rsid w:val="00B45FF8"/>
    <w:rsid w:val="00B46071"/>
    <w:rsid w:val="00B46273"/>
    <w:rsid w:val="00B46848"/>
    <w:rsid w:val="00B46943"/>
    <w:rsid w:val="00B4695C"/>
    <w:rsid w:val="00B46B99"/>
    <w:rsid w:val="00B46C6C"/>
    <w:rsid w:val="00B471D2"/>
    <w:rsid w:val="00B47789"/>
    <w:rsid w:val="00B479EA"/>
    <w:rsid w:val="00B502C9"/>
    <w:rsid w:val="00B510B1"/>
    <w:rsid w:val="00B5117D"/>
    <w:rsid w:val="00B51EA6"/>
    <w:rsid w:val="00B52311"/>
    <w:rsid w:val="00B54AE7"/>
    <w:rsid w:val="00B54C48"/>
    <w:rsid w:val="00B5546A"/>
    <w:rsid w:val="00B554DD"/>
    <w:rsid w:val="00B56009"/>
    <w:rsid w:val="00B56039"/>
    <w:rsid w:val="00B5610C"/>
    <w:rsid w:val="00B561E7"/>
    <w:rsid w:val="00B5652D"/>
    <w:rsid w:val="00B5666D"/>
    <w:rsid w:val="00B56704"/>
    <w:rsid w:val="00B56F46"/>
    <w:rsid w:val="00B577E6"/>
    <w:rsid w:val="00B57C5A"/>
    <w:rsid w:val="00B57C85"/>
    <w:rsid w:val="00B57FCD"/>
    <w:rsid w:val="00B6004B"/>
    <w:rsid w:val="00B60489"/>
    <w:rsid w:val="00B605A4"/>
    <w:rsid w:val="00B607B9"/>
    <w:rsid w:val="00B60997"/>
    <w:rsid w:val="00B60C6E"/>
    <w:rsid w:val="00B611C0"/>
    <w:rsid w:val="00B612CA"/>
    <w:rsid w:val="00B6194B"/>
    <w:rsid w:val="00B61ABC"/>
    <w:rsid w:val="00B61CD4"/>
    <w:rsid w:val="00B61CDE"/>
    <w:rsid w:val="00B61D48"/>
    <w:rsid w:val="00B622EF"/>
    <w:rsid w:val="00B623E2"/>
    <w:rsid w:val="00B62C3E"/>
    <w:rsid w:val="00B62E9C"/>
    <w:rsid w:val="00B62EB6"/>
    <w:rsid w:val="00B62FA6"/>
    <w:rsid w:val="00B63273"/>
    <w:rsid w:val="00B6362F"/>
    <w:rsid w:val="00B63EE1"/>
    <w:rsid w:val="00B6406A"/>
    <w:rsid w:val="00B64172"/>
    <w:rsid w:val="00B6429A"/>
    <w:rsid w:val="00B6432D"/>
    <w:rsid w:val="00B6448C"/>
    <w:rsid w:val="00B6487F"/>
    <w:rsid w:val="00B65085"/>
    <w:rsid w:val="00B6513E"/>
    <w:rsid w:val="00B65677"/>
    <w:rsid w:val="00B6571B"/>
    <w:rsid w:val="00B65FA2"/>
    <w:rsid w:val="00B660C1"/>
    <w:rsid w:val="00B6620B"/>
    <w:rsid w:val="00B66584"/>
    <w:rsid w:val="00B669E5"/>
    <w:rsid w:val="00B67504"/>
    <w:rsid w:val="00B702A9"/>
    <w:rsid w:val="00B703E7"/>
    <w:rsid w:val="00B7059B"/>
    <w:rsid w:val="00B70F3D"/>
    <w:rsid w:val="00B71270"/>
    <w:rsid w:val="00B71473"/>
    <w:rsid w:val="00B71485"/>
    <w:rsid w:val="00B72202"/>
    <w:rsid w:val="00B723FD"/>
    <w:rsid w:val="00B725A4"/>
    <w:rsid w:val="00B7297F"/>
    <w:rsid w:val="00B729B2"/>
    <w:rsid w:val="00B72F78"/>
    <w:rsid w:val="00B72FF9"/>
    <w:rsid w:val="00B73A63"/>
    <w:rsid w:val="00B73DC8"/>
    <w:rsid w:val="00B74742"/>
    <w:rsid w:val="00B7560D"/>
    <w:rsid w:val="00B75A1B"/>
    <w:rsid w:val="00B760AB"/>
    <w:rsid w:val="00B76201"/>
    <w:rsid w:val="00B76217"/>
    <w:rsid w:val="00B76E4A"/>
    <w:rsid w:val="00B76F3F"/>
    <w:rsid w:val="00B7726D"/>
    <w:rsid w:val="00B77941"/>
    <w:rsid w:val="00B77E79"/>
    <w:rsid w:val="00B80828"/>
    <w:rsid w:val="00B809B0"/>
    <w:rsid w:val="00B80E3F"/>
    <w:rsid w:val="00B81FE9"/>
    <w:rsid w:val="00B82213"/>
    <w:rsid w:val="00B82528"/>
    <w:rsid w:val="00B825B4"/>
    <w:rsid w:val="00B82A2E"/>
    <w:rsid w:val="00B82A8C"/>
    <w:rsid w:val="00B82B6A"/>
    <w:rsid w:val="00B82D64"/>
    <w:rsid w:val="00B82D99"/>
    <w:rsid w:val="00B83808"/>
    <w:rsid w:val="00B84100"/>
    <w:rsid w:val="00B84179"/>
    <w:rsid w:val="00B848F7"/>
    <w:rsid w:val="00B8495C"/>
    <w:rsid w:val="00B84A59"/>
    <w:rsid w:val="00B84BDE"/>
    <w:rsid w:val="00B85109"/>
    <w:rsid w:val="00B85173"/>
    <w:rsid w:val="00B853F8"/>
    <w:rsid w:val="00B85589"/>
    <w:rsid w:val="00B8562C"/>
    <w:rsid w:val="00B85DDF"/>
    <w:rsid w:val="00B86014"/>
    <w:rsid w:val="00B86307"/>
    <w:rsid w:val="00B864AB"/>
    <w:rsid w:val="00B86612"/>
    <w:rsid w:val="00B86CE7"/>
    <w:rsid w:val="00B86E61"/>
    <w:rsid w:val="00B90C04"/>
    <w:rsid w:val="00B90DAB"/>
    <w:rsid w:val="00B90EBE"/>
    <w:rsid w:val="00B91283"/>
    <w:rsid w:val="00B91FB3"/>
    <w:rsid w:val="00B92467"/>
    <w:rsid w:val="00B930E4"/>
    <w:rsid w:val="00B935B4"/>
    <w:rsid w:val="00B93AE4"/>
    <w:rsid w:val="00B93C99"/>
    <w:rsid w:val="00B9477B"/>
    <w:rsid w:val="00B94817"/>
    <w:rsid w:val="00B94E3C"/>
    <w:rsid w:val="00B95100"/>
    <w:rsid w:val="00B9525A"/>
    <w:rsid w:val="00B9540D"/>
    <w:rsid w:val="00B95D9F"/>
    <w:rsid w:val="00B96306"/>
    <w:rsid w:val="00B9669F"/>
    <w:rsid w:val="00B96721"/>
    <w:rsid w:val="00B967C6"/>
    <w:rsid w:val="00B96838"/>
    <w:rsid w:val="00B96A8F"/>
    <w:rsid w:val="00B96CAA"/>
    <w:rsid w:val="00B96EF7"/>
    <w:rsid w:val="00B9779A"/>
    <w:rsid w:val="00BA0648"/>
    <w:rsid w:val="00BA09D6"/>
    <w:rsid w:val="00BA0AFD"/>
    <w:rsid w:val="00BA0BA0"/>
    <w:rsid w:val="00BA0C64"/>
    <w:rsid w:val="00BA13DD"/>
    <w:rsid w:val="00BA2157"/>
    <w:rsid w:val="00BA21B3"/>
    <w:rsid w:val="00BA2368"/>
    <w:rsid w:val="00BA2859"/>
    <w:rsid w:val="00BA2C46"/>
    <w:rsid w:val="00BA30E4"/>
    <w:rsid w:val="00BA3102"/>
    <w:rsid w:val="00BA34B9"/>
    <w:rsid w:val="00BA4687"/>
    <w:rsid w:val="00BA4C08"/>
    <w:rsid w:val="00BA59A5"/>
    <w:rsid w:val="00BA5F8E"/>
    <w:rsid w:val="00BA60BE"/>
    <w:rsid w:val="00BA66AD"/>
    <w:rsid w:val="00BA66C5"/>
    <w:rsid w:val="00BA68C9"/>
    <w:rsid w:val="00BA6993"/>
    <w:rsid w:val="00BA6B48"/>
    <w:rsid w:val="00BA72EA"/>
    <w:rsid w:val="00BA7852"/>
    <w:rsid w:val="00BA796B"/>
    <w:rsid w:val="00BB024E"/>
    <w:rsid w:val="00BB0A4C"/>
    <w:rsid w:val="00BB1BA1"/>
    <w:rsid w:val="00BB1D58"/>
    <w:rsid w:val="00BB22DF"/>
    <w:rsid w:val="00BB2369"/>
    <w:rsid w:val="00BB269B"/>
    <w:rsid w:val="00BB26C1"/>
    <w:rsid w:val="00BB27FC"/>
    <w:rsid w:val="00BB2BB5"/>
    <w:rsid w:val="00BB2CD0"/>
    <w:rsid w:val="00BB2F82"/>
    <w:rsid w:val="00BB3258"/>
    <w:rsid w:val="00BB3BC7"/>
    <w:rsid w:val="00BB3E15"/>
    <w:rsid w:val="00BB3FBD"/>
    <w:rsid w:val="00BB42E0"/>
    <w:rsid w:val="00BB4462"/>
    <w:rsid w:val="00BB46F2"/>
    <w:rsid w:val="00BB498E"/>
    <w:rsid w:val="00BB570C"/>
    <w:rsid w:val="00BB62CB"/>
    <w:rsid w:val="00BB74B1"/>
    <w:rsid w:val="00BC01CF"/>
    <w:rsid w:val="00BC06A0"/>
    <w:rsid w:val="00BC08B7"/>
    <w:rsid w:val="00BC091C"/>
    <w:rsid w:val="00BC0CFA"/>
    <w:rsid w:val="00BC0F84"/>
    <w:rsid w:val="00BC1437"/>
    <w:rsid w:val="00BC1977"/>
    <w:rsid w:val="00BC1A8D"/>
    <w:rsid w:val="00BC1F6F"/>
    <w:rsid w:val="00BC2A1F"/>
    <w:rsid w:val="00BC2EC7"/>
    <w:rsid w:val="00BC3089"/>
    <w:rsid w:val="00BC4254"/>
    <w:rsid w:val="00BC4C3D"/>
    <w:rsid w:val="00BC4DAD"/>
    <w:rsid w:val="00BC4FBE"/>
    <w:rsid w:val="00BC5040"/>
    <w:rsid w:val="00BC549F"/>
    <w:rsid w:val="00BC6129"/>
    <w:rsid w:val="00BC6138"/>
    <w:rsid w:val="00BC6348"/>
    <w:rsid w:val="00BC641D"/>
    <w:rsid w:val="00BC6674"/>
    <w:rsid w:val="00BC66CA"/>
    <w:rsid w:val="00BC6744"/>
    <w:rsid w:val="00BC6874"/>
    <w:rsid w:val="00BC718F"/>
    <w:rsid w:val="00BC7BBA"/>
    <w:rsid w:val="00BD0795"/>
    <w:rsid w:val="00BD08E3"/>
    <w:rsid w:val="00BD13EC"/>
    <w:rsid w:val="00BD140E"/>
    <w:rsid w:val="00BD1438"/>
    <w:rsid w:val="00BD19B2"/>
    <w:rsid w:val="00BD1F89"/>
    <w:rsid w:val="00BD20A4"/>
    <w:rsid w:val="00BD21F5"/>
    <w:rsid w:val="00BD2A8C"/>
    <w:rsid w:val="00BD2DAE"/>
    <w:rsid w:val="00BD2DF0"/>
    <w:rsid w:val="00BD3109"/>
    <w:rsid w:val="00BD3120"/>
    <w:rsid w:val="00BD3452"/>
    <w:rsid w:val="00BD368F"/>
    <w:rsid w:val="00BD3B73"/>
    <w:rsid w:val="00BD3CBA"/>
    <w:rsid w:val="00BD3D09"/>
    <w:rsid w:val="00BD4170"/>
    <w:rsid w:val="00BD5111"/>
    <w:rsid w:val="00BD5144"/>
    <w:rsid w:val="00BD5269"/>
    <w:rsid w:val="00BD535F"/>
    <w:rsid w:val="00BD5418"/>
    <w:rsid w:val="00BD5929"/>
    <w:rsid w:val="00BD5DF7"/>
    <w:rsid w:val="00BD601B"/>
    <w:rsid w:val="00BD69CC"/>
    <w:rsid w:val="00BD6FA6"/>
    <w:rsid w:val="00BD76F3"/>
    <w:rsid w:val="00BD7999"/>
    <w:rsid w:val="00BD7BCB"/>
    <w:rsid w:val="00BD7C9E"/>
    <w:rsid w:val="00BE046B"/>
    <w:rsid w:val="00BE0EAB"/>
    <w:rsid w:val="00BE100D"/>
    <w:rsid w:val="00BE1167"/>
    <w:rsid w:val="00BE13CD"/>
    <w:rsid w:val="00BE1AD6"/>
    <w:rsid w:val="00BE1E7E"/>
    <w:rsid w:val="00BE2611"/>
    <w:rsid w:val="00BE2FDC"/>
    <w:rsid w:val="00BE37AD"/>
    <w:rsid w:val="00BE3AE3"/>
    <w:rsid w:val="00BE3BB3"/>
    <w:rsid w:val="00BE464F"/>
    <w:rsid w:val="00BE4681"/>
    <w:rsid w:val="00BE46F3"/>
    <w:rsid w:val="00BE4C31"/>
    <w:rsid w:val="00BE52BA"/>
    <w:rsid w:val="00BE53CA"/>
    <w:rsid w:val="00BE5925"/>
    <w:rsid w:val="00BE5C50"/>
    <w:rsid w:val="00BE5EF7"/>
    <w:rsid w:val="00BE5F01"/>
    <w:rsid w:val="00BE5FBD"/>
    <w:rsid w:val="00BE6001"/>
    <w:rsid w:val="00BE608F"/>
    <w:rsid w:val="00BE624B"/>
    <w:rsid w:val="00BE6BBA"/>
    <w:rsid w:val="00BE70F4"/>
    <w:rsid w:val="00BE7335"/>
    <w:rsid w:val="00BE7A2E"/>
    <w:rsid w:val="00BE7DB9"/>
    <w:rsid w:val="00BF081E"/>
    <w:rsid w:val="00BF0BDF"/>
    <w:rsid w:val="00BF0C27"/>
    <w:rsid w:val="00BF0F63"/>
    <w:rsid w:val="00BF116F"/>
    <w:rsid w:val="00BF1479"/>
    <w:rsid w:val="00BF197C"/>
    <w:rsid w:val="00BF2398"/>
    <w:rsid w:val="00BF2D9C"/>
    <w:rsid w:val="00BF2EA1"/>
    <w:rsid w:val="00BF34E1"/>
    <w:rsid w:val="00BF3DE4"/>
    <w:rsid w:val="00BF3ECB"/>
    <w:rsid w:val="00BF404E"/>
    <w:rsid w:val="00BF4240"/>
    <w:rsid w:val="00BF5257"/>
    <w:rsid w:val="00BF57C0"/>
    <w:rsid w:val="00BF6247"/>
    <w:rsid w:val="00BF690A"/>
    <w:rsid w:val="00BF6BF6"/>
    <w:rsid w:val="00BF6DB1"/>
    <w:rsid w:val="00BF6EFF"/>
    <w:rsid w:val="00BF76C9"/>
    <w:rsid w:val="00BF7783"/>
    <w:rsid w:val="00BF7907"/>
    <w:rsid w:val="00BF79F6"/>
    <w:rsid w:val="00C0078B"/>
    <w:rsid w:val="00C00998"/>
    <w:rsid w:val="00C00E01"/>
    <w:rsid w:val="00C00FD7"/>
    <w:rsid w:val="00C01123"/>
    <w:rsid w:val="00C0146A"/>
    <w:rsid w:val="00C01821"/>
    <w:rsid w:val="00C01C67"/>
    <w:rsid w:val="00C01C93"/>
    <w:rsid w:val="00C01D4A"/>
    <w:rsid w:val="00C01D58"/>
    <w:rsid w:val="00C01E20"/>
    <w:rsid w:val="00C01E46"/>
    <w:rsid w:val="00C02291"/>
    <w:rsid w:val="00C02BFE"/>
    <w:rsid w:val="00C02D4B"/>
    <w:rsid w:val="00C0304E"/>
    <w:rsid w:val="00C03C1F"/>
    <w:rsid w:val="00C03C75"/>
    <w:rsid w:val="00C03F10"/>
    <w:rsid w:val="00C04244"/>
    <w:rsid w:val="00C04758"/>
    <w:rsid w:val="00C04D6F"/>
    <w:rsid w:val="00C0533D"/>
    <w:rsid w:val="00C05A8A"/>
    <w:rsid w:val="00C05DEC"/>
    <w:rsid w:val="00C0640D"/>
    <w:rsid w:val="00C064FB"/>
    <w:rsid w:val="00C06576"/>
    <w:rsid w:val="00C06C3E"/>
    <w:rsid w:val="00C071B2"/>
    <w:rsid w:val="00C0742B"/>
    <w:rsid w:val="00C07762"/>
    <w:rsid w:val="00C07867"/>
    <w:rsid w:val="00C07FB1"/>
    <w:rsid w:val="00C1019E"/>
    <w:rsid w:val="00C1049B"/>
    <w:rsid w:val="00C10572"/>
    <w:rsid w:val="00C11E57"/>
    <w:rsid w:val="00C1218E"/>
    <w:rsid w:val="00C123EB"/>
    <w:rsid w:val="00C12C58"/>
    <w:rsid w:val="00C12FBC"/>
    <w:rsid w:val="00C12FC8"/>
    <w:rsid w:val="00C13A95"/>
    <w:rsid w:val="00C13B6F"/>
    <w:rsid w:val="00C1463E"/>
    <w:rsid w:val="00C14677"/>
    <w:rsid w:val="00C14DF3"/>
    <w:rsid w:val="00C14EC9"/>
    <w:rsid w:val="00C15230"/>
    <w:rsid w:val="00C155B6"/>
    <w:rsid w:val="00C1585C"/>
    <w:rsid w:val="00C1684A"/>
    <w:rsid w:val="00C1685E"/>
    <w:rsid w:val="00C171DB"/>
    <w:rsid w:val="00C17200"/>
    <w:rsid w:val="00C1745F"/>
    <w:rsid w:val="00C17855"/>
    <w:rsid w:val="00C17DEB"/>
    <w:rsid w:val="00C2065E"/>
    <w:rsid w:val="00C20E53"/>
    <w:rsid w:val="00C21245"/>
    <w:rsid w:val="00C213BF"/>
    <w:rsid w:val="00C21457"/>
    <w:rsid w:val="00C21A65"/>
    <w:rsid w:val="00C21E06"/>
    <w:rsid w:val="00C21EB8"/>
    <w:rsid w:val="00C22224"/>
    <w:rsid w:val="00C22243"/>
    <w:rsid w:val="00C2263C"/>
    <w:rsid w:val="00C22839"/>
    <w:rsid w:val="00C233E7"/>
    <w:rsid w:val="00C23721"/>
    <w:rsid w:val="00C23EB9"/>
    <w:rsid w:val="00C23FC1"/>
    <w:rsid w:val="00C245C0"/>
    <w:rsid w:val="00C2470E"/>
    <w:rsid w:val="00C24F8F"/>
    <w:rsid w:val="00C264A1"/>
    <w:rsid w:val="00C26926"/>
    <w:rsid w:val="00C2781E"/>
    <w:rsid w:val="00C279BC"/>
    <w:rsid w:val="00C27B28"/>
    <w:rsid w:val="00C30318"/>
    <w:rsid w:val="00C3044C"/>
    <w:rsid w:val="00C3085C"/>
    <w:rsid w:val="00C30C14"/>
    <w:rsid w:val="00C311C9"/>
    <w:rsid w:val="00C3140B"/>
    <w:rsid w:val="00C31DD2"/>
    <w:rsid w:val="00C32B09"/>
    <w:rsid w:val="00C33A5B"/>
    <w:rsid w:val="00C33BE2"/>
    <w:rsid w:val="00C33C1C"/>
    <w:rsid w:val="00C3400A"/>
    <w:rsid w:val="00C3469B"/>
    <w:rsid w:val="00C34852"/>
    <w:rsid w:val="00C34A76"/>
    <w:rsid w:val="00C34BBE"/>
    <w:rsid w:val="00C350FA"/>
    <w:rsid w:val="00C351AF"/>
    <w:rsid w:val="00C35482"/>
    <w:rsid w:val="00C35598"/>
    <w:rsid w:val="00C359DA"/>
    <w:rsid w:val="00C3626A"/>
    <w:rsid w:val="00C36EFC"/>
    <w:rsid w:val="00C37D1F"/>
    <w:rsid w:val="00C40D0D"/>
    <w:rsid w:val="00C40D4C"/>
    <w:rsid w:val="00C419D2"/>
    <w:rsid w:val="00C42017"/>
    <w:rsid w:val="00C42E53"/>
    <w:rsid w:val="00C43C47"/>
    <w:rsid w:val="00C45A42"/>
    <w:rsid w:val="00C45AD3"/>
    <w:rsid w:val="00C45E33"/>
    <w:rsid w:val="00C462EA"/>
    <w:rsid w:val="00C46496"/>
    <w:rsid w:val="00C46AB2"/>
    <w:rsid w:val="00C4709A"/>
    <w:rsid w:val="00C47105"/>
    <w:rsid w:val="00C47187"/>
    <w:rsid w:val="00C4730D"/>
    <w:rsid w:val="00C475B5"/>
    <w:rsid w:val="00C47BAF"/>
    <w:rsid w:val="00C47C9D"/>
    <w:rsid w:val="00C503AC"/>
    <w:rsid w:val="00C504AE"/>
    <w:rsid w:val="00C50824"/>
    <w:rsid w:val="00C50906"/>
    <w:rsid w:val="00C50E86"/>
    <w:rsid w:val="00C51545"/>
    <w:rsid w:val="00C51729"/>
    <w:rsid w:val="00C51AD8"/>
    <w:rsid w:val="00C5208F"/>
    <w:rsid w:val="00C5262C"/>
    <w:rsid w:val="00C527C1"/>
    <w:rsid w:val="00C52F94"/>
    <w:rsid w:val="00C53063"/>
    <w:rsid w:val="00C5334B"/>
    <w:rsid w:val="00C5372B"/>
    <w:rsid w:val="00C537CB"/>
    <w:rsid w:val="00C53DD8"/>
    <w:rsid w:val="00C544DA"/>
    <w:rsid w:val="00C54684"/>
    <w:rsid w:val="00C54B3F"/>
    <w:rsid w:val="00C55500"/>
    <w:rsid w:val="00C55718"/>
    <w:rsid w:val="00C5599D"/>
    <w:rsid w:val="00C55CE1"/>
    <w:rsid w:val="00C56040"/>
    <w:rsid w:val="00C561B0"/>
    <w:rsid w:val="00C565D7"/>
    <w:rsid w:val="00C5662F"/>
    <w:rsid w:val="00C5690B"/>
    <w:rsid w:val="00C56C75"/>
    <w:rsid w:val="00C56D94"/>
    <w:rsid w:val="00C56EFE"/>
    <w:rsid w:val="00C5707D"/>
    <w:rsid w:val="00C57D38"/>
    <w:rsid w:val="00C57F6E"/>
    <w:rsid w:val="00C57F7F"/>
    <w:rsid w:val="00C60049"/>
    <w:rsid w:val="00C60C8F"/>
    <w:rsid w:val="00C60F75"/>
    <w:rsid w:val="00C614AF"/>
    <w:rsid w:val="00C62150"/>
    <w:rsid w:val="00C62667"/>
    <w:rsid w:val="00C62D73"/>
    <w:rsid w:val="00C62F24"/>
    <w:rsid w:val="00C63311"/>
    <w:rsid w:val="00C635BD"/>
    <w:rsid w:val="00C63728"/>
    <w:rsid w:val="00C63AA1"/>
    <w:rsid w:val="00C64A69"/>
    <w:rsid w:val="00C64BA4"/>
    <w:rsid w:val="00C65C9C"/>
    <w:rsid w:val="00C6605A"/>
    <w:rsid w:val="00C662B8"/>
    <w:rsid w:val="00C66B34"/>
    <w:rsid w:val="00C66FAA"/>
    <w:rsid w:val="00C6787F"/>
    <w:rsid w:val="00C67C26"/>
    <w:rsid w:val="00C7012D"/>
    <w:rsid w:val="00C7070C"/>
    <w:rsid w:val="00C710B8"/>
    <w:rsid w:val="00C724CC"/>
    <w:rsid w:val="00C72828"/>
    <w:rsid w:val="00C7295C"/>
    <w:rsid w:val="00C72C1E"/>
    <w:rsid w:val="00C7361A"/>
    <w:rsid w:val="00C73650"/>
    <w:rsid w:val="00C7376D"/>
    <w:rsid w:val="00C73965"/>
    <w:rsid w:val="00C73AE2"/>
    <w:rsid w:val="00C7427E"/>
    <w:rsid w:val="00C7485C"/>
    <w:rsid w:val="00C74978"/>
    <w:rsid w:val="00C750EF"/>
    <w:rsid w:val="00C753D7"/>
    <w:rsid w:val="00C75450"/>
    <w:rsid w:val="00C757B5"/>
    <w:rsid w:val="00C759DB"/>
    <w:rsid w:val="00C75B60"/>
    <w:rsid w:val="00C75B9B"/>
    <w:rsid w:val="00C7649E"/>
    <w:rsid w:val="00C76A63"/>
    <w:rsid w:val="00C7761B"/>
    <w:rsid w:val="00C776C2"/>
    <w:rsid w:val="00C77BB8"/>
    <w:rsid w:val="00C77F25"/>
    <w:rsid w:val="00C8037A"/>
    <w:rsid w:val="00C805CF"/>
    <w:rsid w:val="00C806D0"/>
    <w:rsid w:val="00C809F7"/>
    <w:rsid w:val="00C80B50"/>
    <w:rsid w:val="00C815D6"/>
    <w:rsid w:val="00C8198C"/>
    <w:rsid w:val="00C8256C"/>
    <w:rsid w:val="00C82DB9"/>
    <w:rsid w:val="00C839B7"/>
    <w:rsid w:val="00C84559"/>
    <w:rsid w:val="00C84C46"/>
    <w:rsid w:val="00C84E11"/>
    <w:rsid w:val="00C851BB"/>
    <w:rsid w:val="00C8534A"/>
    <w:rsid w:val="00C855ED"/>
    <w:rsid w:val="00C85A37"/>
    <w:rsid w:val="00C85FB4"/>
    <w:rsid w:val="00C863A1"/>
    <w:rsid w:val="00C86A8D"/>
    <w:rsid w:val="00C8737F"/>
    <w:rsid w:val="00C875E1"/>
    <w:rsid w:val="00C87883"/>
    <w:rsid w:val="00C8798B"/>
    <w:rsid w:val="00C87EC8"/>
    <w:rsid w:val="00C9019C"/>
    <w:rsid w:val="00C903CE"/>
    <w:rsid w:val="00C90702"/>
    <w:rsid w:val="00C90E2F"/>
    <w:rsid w:val="00C9152F"/>
    <w:rsid w:val="00C917B3"/>
    <w:rsid w:val="00C9196E"/>
    <w:rsid w:val="00C929E6"/>
    <w:rsid w:val="00C92ED7"/>
    <w:rsid w:val="00C930FF"/>
    <w:rsid w:val="00C94293"/>
    <w:rsid w:val="00C9483E"/>
    <w:rsid w:val="00C94AF2"/>
    <w:rsid w:val="00C94ED2"/>
    <w:rsid w:val="00C9557F"/>
    <w:rsid w:val="00C95D09"/>
    <w:rsid w:val="00C96336"/>
    <w:rsid w:val="00C963B5"/>
    <w:rsid w:val="00C96A29"/>
    <w:rsid w:val="00C96A48"/>
    <w:rsid w:val="00C96D60"/>
    <w:rsid w:val="00C96D9A"/>
    <w:rsid w:val="00C97391"/>
    <w:rsid w:val="00C976F9"/>
    <w:rsid w:val="00C977AB"/>
    <w:rsid w:val="00C97AA5"/>
    <w:rsid w:val="00C97C52"/>
    <w:rsid w:val="00C97FBB"/>
    <w:rsid w:val="00CA010B"/>
    <w:rsid w:val="00CA01E3"/>
    <w:rsid w:val="00CA02B0"/>
    <w:rsid w:val="00CA02ED"/>
    <w:rsid w:val="00CA062F"/>
    <w:rsid w:val="00CA08E8"/>
    <w:rsid w:val="00CA0F98"/>
    <w:rsid w:val="00CA1531"/>
    <w:rsid w:val="00CA1F9B"/>
    <w:rsid w:val="00CA2164"/>
    <w:rsid w:val="00CA2559"/>
    <w:rsid w:val="00CA30E4"/>
    <w:rsid w:val="00CA3323"/>
    <w:rsid w:val="00CA357E"/>
    <w:rsid w:val="00CA4070"/>
    <w:rsid w:val="00CA48D3"/>
    <w:rsid w:val="00CA4B72"/>
    <w:rsid w:val="00CA4FA0"/>
    <w:rsid w:val="00CA5479"/>
    <w:rsid w:val="00CA591F"/>
    <w:rsid w:val="00CA5FDE"/>
    <w:rsid w:val="00CA62FF"/>
    <w:rsid w:val="00CA684B"/>
    <w:rsid w:val="00CA69B4"/>
    <w:rsid w:val="00CA6C91"/>
    <w:rsid w:val="00CA7136"/>
    <w:rsid w:val="00CA7384"/>
    <w:rsid w:val="00CA7468"/>
    <w:rsid w:val="00CA7736"/>
    <w:rsid w:val="00CA798A"/>
    <w:rsid w:val="00CA7B9F"/>
    <w:rsid w:val="00CA7DF3"/>
    <w:rsid w:val="00CA7F37"/>
    <w:rsid w:val="00CB0310"/>
    <w:rsid w:val="00CB042A"/>
    <w:rsid w:val="00CB052A"/>
    <w:rsid w:val="00CB0760"/>
    <w:rsid w:val="00CB09B9"/>
    <w:rsid w:val="00CB0A82"/>
    <w:rsid w:val="00CB0CAE"/>
    <w:rsid w:val="00CB129B"/>
    <w:rsid w:val="00CB1609"/>
    <w:rsid w:val="00CB1F3C"/>
    <w:rsid w:val="00CB237E"/>
    <w:rsid w:val="00CB23E3"/>
    <w:rsid w:val="00CB2845"/>
    <w:rsid w:val="00CB2947"/>
    <w:rsid w:val="00CB2DDD"/>
    <w:rsid w:val="00CB3915"/>
    <w:rsid w:val="00CB4372"/>
    <w:rsid w:val="00CB4598"/>
    <w:rsid w:val="00CB480E"/>
    <w:rsid w:val="00CB4C4E"/>
    <w:rsid w:val="00CB5F1A"/>
    <w:rsid w:val="00CB6162"/>
    <w:rsid w:val="00CB6D9D"/>
    <w:rsid w:val="00CB6F61"/>
    <w:rsid w:val="00CB763C"/>
    <w:rsid w:val="00CB7747"/>
    <w:rsid w:val="00CB7CEA"/>
    <w:rsid w:val="00CC06FD"/>
    <w:rsid w:val="00CC0B30"/>
    <w:rsid w:val="00CC0C5E"/>
    <w:rsid w:val="00CC0EE6"/>
    <w:rsid w:val="00CC16D0"/>
    <w:rsid w:val="00CC183F"/>
    <w:rsid w:val="00CC1ADB"/>
    <w:rsid w:val="00CC1B12"/>
    <w:rsid w:val="00CC1EAC"/>
    <w:rsid w:val="00CC2485"/>
    <w:rsid w:val="00CC3695"/>
    <w:rsid w:val="00CC3C93"/>
    <w:rsid w:val="00CC418E"/>
    <w:rsid w:val="00CC49BB"/>
    <w:rsid w:val="00CC5343"/>
    <w:rsid w:val="00CC615A"/>
    <w:rsid w:val="00CC671D"/>
    <w:rsid w:val="00CC6816"/>
    <w:rsid w:val="00CC6FA7"/>
    <w:rsid w:val="00CC72E9"/>
    <w:rsid w:val="00CC730C"/>
    <w:rsid w:val="00CC758C"/>
    <w:rsid w:val="00CC76CB"/>
    <w:rsid w:val="00CD0A7C"/>
    <w:rsid w:val="00CD0B7C"/>
    <w:rsid w:val="00CD0F22"/>
    <w:rsid w:val="00CD115A"/>
    <w:rsid w:val="00CD193E"/>
    <w:rsid w:val="00CD1E86"/>
    <w:rsid w:val="00CD20B3"/>
    <w:rsid w:val="00CD260E"/>
    <w:rsid w:val="00CD27E1"/>
    <w:rsid w:val="00CD28AE"/>
    <w:rsid w:val="00CD2B7D"/>
    <w:rsid w:val="00CD3509"/>
    <w:rsid w:val="00CD3B8E"/>
    <w:rsid w:val="00CD3E7B"/>
    <w:rsid w:val="00CD4135"/>
    <w:rsid w:val="00CD4255"/>
    <w:rsid w:val="00CD5BE8"/>
    <w:rsid w:val="00CD6D35"/>
    <w:rsid w:val="00CD6DA4"/>
    <w:rsid w:val="00CD7AF5"/>
    <w:rsid w:val="00CE07AF"/>
    <w:rsid w:val="00CE0F0D"/>
    <w:rsid w:val="00CE1560"/>
    <w:rsid w:val="00CE1676"/>
    <w:rsid w:val="00CE1A19"/>
    <w:rsid w:val="00CE25B3"/>
    <w:rsid w:val="00CE2660"/>
    <w:rsid w:val="00CE27DB"/>
    <w:rsid w:val="00CE28D5"/>
    <w:rsid w:val="00CE2C35"/>
    <w:rsid w:val="00CE325B"/>
    <w:rsid w:val="00CE33F4"/>
    <w:rsid w:val="00CE3605"/>
    <w:rsid w:val="00CE3ED1"/>
    <w:rsid w:val="00CE3EDD"/>
    <w:rsid w:val="00CE45D3"/>
    <w:rsid w:val="00CE4700"/>
    <w:rsid w:val="00CE5327"/>
    <w:rsid w:val="00CE5B12"/>
    <w:rsid w:val="00CE5B41"/>
    <w:rsid w:val="00CE5FE6"/>
    <w:rsid w:val="00CE60EB"/>
    <w:rsid w:val="00CE685A"/>
    <w:rsid w:val="00CE6B7B"/>
    <w:rsid w:val="00CE6DCF"/>
    <w:rsid w:val="00CE6E23"/>
    <w:rsid w:val="00CE6EB5"/>
    <w:rsid w:val="00CE7237"/>
    <w:rsid w:val="00CE7288"/>
    <w:rsid w:val="00CE793C"/>
    <w:rsid w:val="00CF053E"/>
    <w:rsid w:val="00CF0876"/>
    <w:rsid w:val="00CF087E"/>
    <w:rsid w:val="00CF0B28"/>
    <w:rsid w:val="00CF0DAC"/>
    <w:rsid w:val="00CF0E4C"/>
    <w:rsid w:val="00CF0E80"/>
    <w:rsid w:val="00CF0FA4"/>
    <w:rsid w:val="00CF1431"/>
    <w:rsid w:val="00CF1544"/>
    <w:rsid w:val="00CF1D3D"/>
    <w:rsid w:val="00CF1E90"/>
    <w:rsid w:val="00CF21FC"/>
    <w:rsid w:val="00CF256A"/>
    <w:rsid w:val="00CF29BB"/>
    <w:rsid w:val="00CF3040"/>
    <w:rsid w:val="00CF33FF"/>
    <w:rsid w:val="00CF34E6"/>
    <w:rsid w:val="00CF3BE8"/>
    <w:rsid w:val="00CF3C80"/>
    <w:rsid w:val="00CF3D61"/>
    <w:rsid w:val="00CF3F1A"/>
    <w:rsid w:val="00CF3F9F"/>
    <w:rsid w:val="00CF41B3"/>
    <w:rsid w:val="00CF47F9"/>
    <w:rsid w:val="00CF4D5E"/>
    <w:rsid w:val="00CF4F05"/>
    <w:rsid w:val="00CF531B"/>
    <w:rsid w:val="00CF539E"/>
    <w:rsid w:val="00CF5F63"/>
    <w:rsid w:val="00CF6355"/>
    <w:rsid w:val="00CF6794"/>
    <w:rsid w:val="00CF765C"/>
    <w:rsid w:val="00D0026A"/>
    <w:rsid w:val="00D006A4"/>
    <w:rsid w:val="00D00905"/>
    <w:rsid w:val="00D00A2B"/>
    <w:rsid w:val="00D00C8C"/>
    <w:rsid w:val="00D014A9"/>
    <w:rsid w:val="00D02384"/>
    <w:rsid w:val="00D025A9"/>
    <w:rsid w:val="00D02F77"/>
    <w:rsid w:val="00D03481"/>
    <w:rsid w:val="00D037C4"/>
    <w:rsid w:val="00D03F40"/>
    <w:rsid w:val="00D04951"/>
    <w:rsid w:val="00D04B1F"/>
    <w:rsid w:val="00D050DE"/>
    <w:rsid w:val="00D05355"/>
    <w:rsid w:val="00D05927"/>
    <w:rsid w:val="00D05AFF"/>
    <w:rsid w:val="00D065F8"/>
    <w:rsid w:val="00D069BE"/>
    <w:rsid w:val="00D0718D"/>
    <w:rsid w:val="00D075EC"/>
    <w:rsid w:val="00D07836"/>
    <w:rsid w:val="00D1035E"/>
    <w:rsid w:val="00D103E6"/>
    <w:rsid w:val="00D10712"/>
    <w:rsid w:val="00D10C57"/>
    <w:rsid w:val="00D11AAA"/>
    <w:rsid w:val="00D125AE"/>
    <w:rsid w:val="00D1291A"/>
    <w:rsid w:val="00D12E3E"/>
    <w:rsid w:val="00D13315"/>
    <w:rsid w:val="00D13D99"/>
    <w:rsid w:val="00D13E02"/>
    <w:rsid w:val="00D13E39"/>
    <w:rsid w:val="00D144EF"/>
    <w:rsid w:val="00D145F5"/>
    <w:rsid w:val="00D146BC"/>
    <w:rsid w:val="00D14756"/>
    <w:rsid w:val="00D147C0"/>
    <w:rsid w:val="00D14D1D"/>
    <w:rsid w:val="00D154DB"/>
    <w:rsid w:val="00D15501"/>
    <w:rsid w:val="00D1562D"/>
    <w:rsid w:val="00D15E6D"/>
    <w:rsid w:val="00D15E9C"/>
    <w:rsid w:val="00D15FEA"/>
    <w:rsid w:val="00D164C9"/>
    <w:rsid w:val="00D16907"/>
    <w:rsid w:val="00D16AFA"/>
    <w:rsid w:val="00D16DAA"/>
    <w:rsid w:val="00D16DDF"/>
    <w:rsid w:val="00D1708B"/>
    <w:rsid w:val="00D1739C"/>
    <w:rsid w:val="00D17A05"/>
    <w:rsid w:val="00D20CB3"/>
    <w:rsid w:val="00D20D0E"/>
    <w:rsid w:val="00D214BC"/>
    <w:rsid w:val="00D21B89"/>
    <w:rsid w:val="00D21D69"/>
    <w:rsid w:val="00D220E4"/>
    <w:rsid w:val="00D22885"/>
    <w:rsid w:val="00D23471"/>
    <w:rsid w:val="00D23597"/>
    <w:rsid w:val="00D23FF5"/>
    <w:rsid w:val="00D2410A"/>
    <w:rsid w:val="00D252C3"/>
    <w:rsid w:val="00D252CD"/>
    <w:rsid w:val="00D25394"/>
    <w:rsid w:val="00D25857"/>
    <w:rsid w:val="00D25A6E"/>
    <w:rsid w:val="00D26630"/>
    <w:rsid w:val="00D26741"/>
    <w:rsid w:val="00D26B47"/>
    <w:rsid w:val="00D270E3"/>
    <w:rsid w:val="00D274CB"/>
    <w:rsid w:val="00D27641"/>
    <w:rsid w:val="00D27897"/>
    <w:rsid w:val="00D27EB3"/>
    <w:rsid w:val="00D3012F"/>
    <w:rsid w:val="00D30463"/>
    <w:rsid w:val="00D3084E"/>
    <w:rsid w:val="00D30935"/>
    <w:rsid w:val="00D311AB"/>
    <w:rsid w:val="00D3193B"/>
    <w:rsid w:val="00D31F5F"/>
    <w:rsid w:val="00D322A0"/>
    <w:rsid w:val="00D3296D"/>
    <w:rsid w:val="00D33948"/>
    <w:rsid w:val="00D33E3B"/>
    <w:rsid w:val="00D3426A"/>
    <w:rsid w:val="00D344CB"/>
    <w:rsid w:val="00D34980"/>
    <w:rsid w:val="00D34C94"/>
    <w:rsid w:val="00D35485"/>
    <w:rsid w:val="00D359D2"/>
    <w:rsid w:val="00D3656A"/>
    <w:rsid w:val="00D37377"/>
    <w:rsid w:val="00D37433"/>
    <w:rsid w:val="00D40691"/>
    <w:rsid w:val="00D409E6"/>
    <w:rsid w:val="00D40C4C"/>
    <w:rsid w:val="00D413C8"/>
    <w:rsid w:val="00D413EF"/>
    <w:rsid w:val="00D41D77"/>
    <w:rsid w:val="00D42FFE"/>
    <w:rsid w:val="00D43134"/>
    <w:rsid w:val="00D435EE"/>
    <w:rsid w:val="00D43F21"/>
    <w:rsid w:val="00D4503A"/>
    <w:rsid w:val="00D4512B"/>
    <w:rsid w:val="00D452B9"/>
    <w:rsid w:val="00D455D8"/>
    <w:rsid w:val="00D4595E"/>
    <w:rsid w:val="00D46100"/>
    <w:rsid w:val="00D4693B"/>
    <w:rsid w:val="00D47480"/>
    <w:rsid w:val="00D50037"/>
    <w:rsid w:val="00D50168"/>
    <w:rsid w:val="00D506B1"/>
    <w:rsid w:val="00D50E72"/>
    <w:rsid w:val="00D513D0"/>
    <w:rsid w:val="00D518A5"/>
    <w:rsid w:val="00D524CA"/>
    <w:rsid w:val="00D52589"/>
    <w:rsid w:val="00D529A1"/>
    <w:rsid w:val="00D532E5"/>
    <w:rsid w:val="00D53D01"/>
    <w:rsid w:val="00D54915"/>
    <w:rsid w:val="00D54956"/>
    <w:rsid w:val="00D54D3C"/>
    <w:rsid w:val="00D5534A"/>
    <w:rsid w:val="00D55613"/>
    <w:rsid w:val="00D558ED"/>
    <w:rsid w:val="00D55B68"/>
    <w:rsid w:val="00D56220"/>
    <w:rsid w:val="00D56343"/>
    <w:rsid w:val="00D5655A"/>
    <w:rsid w:val="00D5675F"/>
    <w:rsid w:val="00D56C4B"/>
    <w:rsid w:val="00D56F45"/>
    <w:rsid w:val="00D57230"/>
    <w:rsid w:val="00D5782B"/>
    <w:rsid w:val="00D57B85"/>
    <w:rsid w:val="00D60F51"/>
    <w:rsid w:val="00D614D4"/>
    <w:rsid w:val="00D61758"/>
    <w:rsid w:val="00D61889"/>
    <w:rsid w:val="00D618FB"/>
    <w:rsid w:val="00D621FD"/>
    <w:rsid w:val="00D6229A"/>
    <w:rsid w:val="00D6271F"/>
    <w:rsid w:val="00D6293B"/>
    <w:rsid w:val="00D62EED"/>
    <w:rsid w:val="00D63140"/>
    <w:rsid w:val="00D63C39"/>
    <w:rsid w:val="00D645E2"/>
    <w:rsid w:val="00D6474B"/>
    <w:rsid w:val="00D64A9D"/>
    <w:rsid w:val="00D6536D"/>
    <w:rsid w:val="00D65D53"/>
    <w:rsid w:val="00D65E5A"/>
    <w:rsid w:val="00D663CB"/>
    <w:rsid w:val="00D664C2"/>
    <w:rsid w:val="00D66514"/>
    <w:rsid w:val="00D66518"/>
    <w:rsid w:val="00D669F2"/>
    <w:rsid w:val="00D669FF"/>
    <w:rsid w:val="00D66B12"/>
    <w:rsid w:val="00D66F1F"/>
    <w:rsid w:val="00D670CC"/>
    <w:rsid w:val="00D67659"/>
    <w:rsid w:val="00D677D3"/>
    <w:rsid w:val="00D67BAF"/>
    <w:rsid w:val="00D70368"/>
    <w:rsid w:val="00D704C4"/>
    <w:rsid w:val="00D70597"/>
    <w:rsid w:val="00D710F3"/>
    <w:rsid w:val="00D7150E"/>
    <w:rsid w:val="00D71F61"/>
    <w:rsid w:val="00D7253A"/>
    <w:rsid w:val="00D72636"/>
    <w:rsid w:val="00D72D0E"/>
    <w:rsid w:val="00D72DFA"/>
    <w:rsid w:val="00D73108"/>
    <w:rsid w:val="00D73181"/>
    <w:rsid w:val="00D73541"/>
    <w:rsid w:val="00D73959"/>
    <w:rsid w:val="00D73E19"/>
    <w:rsid w:val="00D743CC"/>
    <w:rsid w:val="00D74424"/>
    <w:rsid w:val="00D74690"/>
    <w:rsid w:val="00D74889"/>
    <w:rsid w:val="00D7489D"/>
    <w:rsid w:val="00D74B70"/>
    <w:rsid w:val="00D74BA9"/>
    <w:rsid w:val="00D74BF9"/>
    <w:rsid w:val="00D7508F"/>
    <w:rsid w:val="00D75129"/>
    <w:rsid w:val="00D7579A"/>
    <w:rsid w:val="00D757E8"/>
    <w:rsid w:val="00D758B9"/>
    <w:rsid w:val="00D75D2E"/>
    <w:rsid w:val="00D75E26"/>
    <w:rsid w:val="00D762F4"/>
    <w:rsid w:val="00D7641E"/>
    <w:rsid w:val="00D7643E"/>
    <w:rsid w:val="00D76932"/>
    <w:rsid w:val="00D775AB"/>
    <w:rsid w:val="00D77EE5"/>
    <w:rsid w:val="00D80B13"/>
    <w:rsid w:val="00D80EE5"/>
    <w:rsid w:val="00D816B3"/>
    <w:rsid w:val="00D81C1D"/>
    <w:rsid w:val="00D82029"/>
    <w:rsid w:val="00D8221D"/>
    <w:rsid w:val="00D822CF"/>
    <w:rsid w:val="00D82513"/>
    <w:rsid w:val="00D82721"/>
    <w:rsid w:val="00D82955"/>
    <w:rsid w:val="00D82C85"/>
    <w:rsid w:val="00D82F98"/>
    <w:rsid w:val="00D8307C"/>
    <w:rsid w:val="00D833DC"/>
    <w:rsid w:val="00D83641"/>
    <w:rsid w:val="00D83A6A"/>
    <w:rsid w:val="00D83E85"/>
    <w:rsid w:val="00D83EEF"/>
    <w:rsid w:val="00D844A1"/>
    <w:rsid w:val="00D848EF"/>
    <w:rsid w:val="00D85131"/>
    <w:rsid w:val="00D85163"/>
    <w:rsid w:val="00D851DE"/>
    <w:rsid w:val="00D8525F"/>
    <w:rsid w:val="00D8531C"/>
    <w:rsid w:val="00D85624"/>
    <w:rsid w:val="00D85FB5"/>
    <w:rsid w:val="00D86133"/>
    <w:rsid w:val="00D86B70"/>
    <w:rsid w:val="00D86E9A"/>
    <w:rsid w:val="00D87071"/>
    <w:rsid w:val="00D87081"/>
    <w:rsid w:val="00D87A14"/>
    <w:rsid w:val="00D87F6B"/>
    <w:rsid w:val="00D87F80"/>
    <w:rsid w:val="00D9020F"/>
    <w:rsid w:val="00D9077D"/>
    <w:rsid w:val="00D90A3F"/>
    <w:rsid w:val="00D90A83"/>
    <w:rsid w:val="00D90B54"/>
    <w:rsid w:val="00D90DA0"/>
    <w:rsid w:val="00D90F23"/>
    <w:rsid w:val="00D911E7"/>
    <w:rsid w:val="00D9154B"/>
    <w:rsid w:val="00D91C8F"/>
    <w:rsid w:val="00D91E51"/>
    <w:rsid w:val="00D91E70"/>
    <w:rsid w:val="00D9307F"/>
    <w:rsid w:val="00D932DC"/>
    <w:rsid w:val="00D93401"/>
    <w:rsid w:val="00D9356E"/>
    <w:rsid w:val="00D935DC"/>
    <w:rsid w:val="00D937D4"/>
    <w:rsid w:val="00D93910"/>
    <w:rsid w:val="00D93E2F"/>
    <w:rsid w:val="00D944F2"/>
    <w:rsid w:val="00D94E7C"/>
    <w:rsid w:val="00D95BF9"/>
    <w:rsid w:val="00D96106"/>
    <w:rsid w:val="00D963B2"/>
    <w:rsid w:val="00D967D9"/>
    <w:rsid w:val="00D9680F"/>
    <w:rsid w:val="00D96965"/>
    <w:rsid w:val="00D9717A"/>
    <w:rsid w:val="00D977C6"/>
    <w:rsid w:val="00D978D3"/>
    <w:rsid w:val="00D97E7D"/>
    <w:rsid w:val="00D97E89"/>
    <w:rsid w:val="00D97FBE"/>
    <w:rsid w:val="00DA02E5"/>
    <w:rsid w:val="00DA04C7"/>
    <w:rsid w:val="00DA060C"/>
    <w:rsid w:val="00DA0CE2"/>
    <w:rsid w:val="00DA1160"/>
    <w:rsid w:val="00DA1296"/>
    <w:rsid w:val="00DA1E5A"/>
    <w:rsid w:val="00DA1E6F"/>
    <w:rsid w:val="00DA2900"/>
    <w:rsid w:val="00DA2E9A"/>
    <w:rsid w:val="00DA3783"/>
    <w:rsid w:val="00DA3991"/>
    <w:rsid w:val="00DA39B9"/>
    <w:rsid w:val="00DA3B14"/>
    <w:rsid w:val="00DA3D81"/>
    <w:rsid w:val="00DA47BC"/>
    <w:rsid w:val="00DA49D7"/>
    <w:rsid w:val="00DA4C23"/>
    <w:rsid w:val="00DA5195"/>
    <w:rsid w:val="00DA531B"/>
    <w:rsid w:val="00DA548E"/>
    <w:rsid w:val="00DA5566"/>
    <w:rsid w:val="00DA56A0"/>
    <w:rsid w:val="00DA67DB"/>
    <w:rsid w:val="00DA6EB1"/>
    <w:rsid w:val="00DA735C"/>
    <w:rsid w:val="00DA77C9"/>
    <w:rsid w:val="00DA7865"/>
    <w:rsid w:val="00DB06E4"/>
    <w:rsid w:val="00DB092E"/>
    <w:rsid w:val="00DB0F86"/>
    <w:rsid w:val="00DB1245"/>
    <w:rsid w:val="00DB1BA6"/>
    <w:rsid w:val="00DB1CAD"/>
    <w:rsid w:val="00DB20C0"/>
    <w:rsid w:val="00DB270C"/>
    <w:rsid w:val="00DB278C"/>
    <w:rsid w:val="00DB2AA1"/>
    <w:rsid w:val="00DB2FEC"/>
    <w:rsid w:val="00DB31C9"/>
    <w:rsid w:val="00DB31FE"/>
    <w:rsid w:val="00DB324F"/>
    <w:rsid w:val="00DB378A"/>
    <w:rsid w:val="00DB3FDE"/>
    <w:rsid w:val="00DB4312"/>
    <w:rsid w:val="00DB575F"/>
    <w:rsid w:val="00DB5FAB"/>
    <w:rsid w:val="00DB6098"/>
    <w:rsid w:val="00DB6195"/>
    <w:rsid w:val="00DB6545"/>
    <w:rsid w:val="00DB6633"/>
    <w:rsid w:val="00DB7149"/>
    <w:rsid w:val="00DB734B"/>
    <w:rsid w:val="00DB76E3"/>
    <w:rsid w:val="00DB78E1"/>
    <w:rsid w:val="00DB7F6F"/>
    <w:rsid w:val="00DC02E4"/>
    <w:rsid w:val="00DC0701"/>
    <w:rsid w:val="00DC083C"/>
    <w:rsid w:val="00DC09F2"/>
    <w:rsid w:val="00DC1293"/>
    <w:rsid w:val="00DC12F6"/>
    <w:rsid w:val="00DC14D4"/>
    <w:rsid w:val="00DC1C41"/>
    <w:rsid w:val="00DC25D2"/>
    <w:rsid w:val="00DC29CF"/>
    <w:rsid w:val="00DC2A78"/>
    <w:rsid w:val="00DC342D"/>
    <w:rsid w:val="00DC35B6"/>
    <w:rsid w:val="00DC3C41"/>
    <w:rsid w:val="00DC3E8E"/>
    <w:rsid w:val="00DC4156"/>
    <w:rsid w:val="00DC5054"/>
    <w:rsid w:val="00DC5A38"/>
    <w:rsid w:val="00DC5C9A"/>
    <w:rsid w:val="00DC5E5E"/>
    <w:rsid w:val="00DC63F4"/>
    <w:rsid w:val="00DC7701"/>
    <w:rsid w:val="00DC7BFA"/>
    <w:rsid w:val="00DC7F82"/>
    <w:rsid w:val="00DD0036"/>
    <w:rsid w:val="00DD0063"/>
    <w:rsid w:val="00DD01BE"/>
    <w:rsid w:val="00DD0287"/>
    <w:rsid w:val="00DD0498"/>
    <w:rsid w:val="00DD09F5"/>
    <w:rsid w:val="00DD1642"/>
    <w:rsid w:val="00DD16E3"/>
    <w:rsid w:val="00DD1A8B"/>
    <w:rsid w:val="00DD1BCB"/>
    <w:rsid w:val="00DD1D24"/>
    <w:rsid w:val="00DD1D25"/>
    <w:rsid w:val="00DD1D74"/>
    <w:rsid w:val="00DD2117"/>
    <w:rsid w:val="00DD2620"/>
    <w:rsid w:val="00DD283B"/>
    <w:rsid w:val="00DD28BC"/>
    <w:rsid w:val="00DD2A46"/>
    <w:rsid w:val="00DD2B87"/>
    <w:rsid w:val="00DD33A6"/>
    <w:rsid w:val="00DD353A"/>
    <w:rsid w:val="00DD371D"/>
    <w:rsid w:val="00DD387E"/>
    <w:rsid w:val="00DD3890"/>
    <w:rsid w:val="00DD3A34"/>
    <w:rsid w:val="00DD4246"/>
    <w:rsid w:val="00DD44C4"/>
    <w:rsid w:val="00DD4AAF"/>
    <w:rsid w:val="00DD547F"/>
    <w:rsid w:val="00DD6226"/>
    <w:rsid w:val="00DD6A54"/>
    <w:rsid w:val="00DD7E10"/>
    <w:rsid w:val="00DE006A"/>
    <w:rsid w:val="00DE0522"/>
    <w:rsid w:val="00DE0F45"/>
    <w:rsid w:val="00DE12E5"/>
    <w:rsid w:val="00DE135C"/>
    <w:rsid w:val="00DE165E"/>
    <w:rsid w:val="00DE1831"/>
    <w:rsid w:val="00DE1A4D"/>
    <w:rsid w:val="00DE1DCF"/>
    <w:rsid w:val="00DE2092"/>
    <w:rsid w:val="00DE2274"/>
    <w:rsid w:val="00DE3764"/>
    <w:rsid w:val="00DE3D96"/>
    <w:rsid w:val="00DE3E03"/>
    <w:rsid w:val="00DE40E5"/>
    <w:rsid w:val="00DE482E"/>
    <w:rsid w:val="00DE4BA0"/>
    <w:rsid w:val="00DE4FFC"/>
    <w:rsid w:val="00DE5899"/>
    <w:rsid w:val="00DE58B6"/>
    <w:rsid w:val="00DE5900"/>
    <w:rsid w:val="00DE5DE5"/>
    <w:rsid w:val="00DE641C"/>
    <w:rsid w:val="00DE7081"/>
    <w:rsid w:val="00DE78F0"/>
    <w:rsid w:val="00DF0390"/>
    <w:rsid w:val="00DF0706"/>
    <w:rsid w:val="00DF0D8A"/>
    <w:rsid w:val="00DF1349"/>
    <w:rsid w:val="00DF15C1"/>
    <w:rsid w:val="00DF1CA4"/>
    <w:rsid w:val="00DF1D8B"/>
    <w:rsid w:val="00DF1FDC"/>
    <w:rsid w:val="00DF2384"/>
    <w:rsid w:val="00DF282C"/>
    <w:rsid w:val="00DF2D40"/>
    <w:rsid w:val="00DF327A"/>
    <w:rsid w:val="00DF3447"/>
    <w:rsid w:val="00DF3630"/>
    <w:rsid w:val="00DF3D96"/>
    <w:rsid w:val="00DF3DE6"/>
    <w:rsid w:val="00DF3EF4"/>
    <w:rsid w:val="00DF449A"/>
    <w:rsid w:val="00DF456A"/>
    <w:rsid w:val="00DF4B31"/>
    <w:rsid w:val="00DF5573"/>
    <w:rsid w:val="00DF56B5"/>
    <w:rsid w:val="00DF6006"/>
    <w:rsid w:val="00DF639D"/>
    <w:rsid w:val="00DF6524"/>
    <w:rsid w:val="00DF70B2"/>
    <w:rsid w:val="00DF72D1"/>
    <w:rsid w:val="00DF734F"/>
    <w:rsid w:val="00DF780C"/>
    <w:rsid w:val="00DF7C58"/>
    <w:rsid w:val="00E005D4"/>
    <w:rsid w:val="00E00DA7"/>
    <w:rsid w:val="00E00EA9"/>
    <w:rsid w:val="00E02589"/>
    <w:rsid w:val="00E02687"/>
    <w:rsid w:val="00E029F3"/>
    <w:rsid w:val="00E02D3D"/>
    <w:rsid w:val="00E02DC4"/>
    <w:rsid w:val="00E03111"/>
    <w:rsid w:val="00E031F9"/>
    <w:rsid w:val="00E03392"/>
    <w:rsid w:val="00E03C27"/>
    <w:rsid w:val="00E03E1B"/>
    <w:rsid w:val="00E041DA"/>
    <w:rsid w:val="00E04299"/>
    <w:rsid w:val="00E0471E"/>
    <w:rsid w:val="00E049EF"/>
    <w:rsid w:val="00E04B29"/>
    <w:rsid w:val="00E04D88"/>
    <w:rsid w:val="00E0551E"/>
    <w:rsid w:val="00E05D22"/>
    <w:rsid w:val="00E06058"/>
    <w:rsid w:val="00E06113"/>
    <w:rsid w:val="00E063D0"/>
    <w:rsid w:val="00E06B56"/>
    <w:rsid w:val="00E06D9A"/>
    <w:rsid w:val="00E07134"/>
    <w:rsid w:val="00E07364"/>
    <w:rsid w:val="00E0747B"/>
    <w:rsid w:val="00E074BA"/>
    <w:rsid w:val="00E077B2"/>
    <w:rsid w:val="00E10006"/>
    <w:rsid w:val="00E10009"/>
    <w:rsid w:val="00E1026E"/>
    <w:rsid w:val="00E10282"/>
    <w:rsid w:val="00E1107E"/>
    <w:rsid w:val="00E11405"/>
    <w:rsid w:val="00E115EE"/>
    <w:rsid w:val="00E11B19"/>
    <w:rsid w:val="00E120E8"/>
    <w:rsid w:val="00E12377"/>
    <w:rsid w:val="00E12B41"/>
    <w:rsid w:val="00E13059"/>
    <w:rsid w:val="00E14786"/>
    <w:rsid w:val="00E14C6B"/>
    <w:rsid w:val="00E14CA4"/>
    <w:rsid w:val="00E14FEC"/>
    <w:rsid w:val="00E150C9"/>
    <w:rsid w:val="00E158E3"/>
    <w:rsid w:val="00E15C73"/>
    <w:rsid w:val="00E15E89"/>
    <w:rsid w:val="00E15F03"/>
    <w:rsid w:val="00E16853"/>
    <w:rsid w:val="00E16898"/>
    <w:rsid w:val="00E16AA1"/>
    <w:rsid w:val="00E17062"/>
    <w:rsid w:val="00E1743F"/>
    <w:rsid w:val="00E17478"/>
    <w:rsid w:val="00E179A4"/>
    <w:rsid w:val="00E17B67"/>
    <w:rsid w:val="00E17C98"/>
    <w:rsid w:val="00E17F98"/>
    <w:rsid w:val="00E20403"/>
    <w:rsid w:val="00E204CA"/>
    <w:rsid w:val="00E20E3A"/>
    <w:rsid w:val="00E21ECF"/>
    <w:rsid w:val="00E2212D"/>
    <w:rsid w:val="00E2249F"/>
    <w:rsid w:val="00E225CA"/>
    <w:rsid w:val="00E22BF4"/>
    <w:rsid w:val="00E235A9"/>
    <w:rsid w:val="00E2477D"/>
    <w:rsid w:val="00E2590A"/>
    <w:rsid w:val="00E26845"/>
    <w:rsid w:val="00E27230"/>
    <w:rsid w:val="00E3020A"/>
    <w:rsid w:val="00E305CF"/>
    <w:rsid w:val="00E30A18"/>
    <w:rsid w:val="00E30A58"/>
    <w:rsid w:val="00E30CF5"/>
    <w:rsid w:val="00E30D2A"/>
    <w:rsid w:val="00E317CB"/>
    <w:rsid w:val="00E31CA2"/>
    <w:rsid w:val="00E32252"/>
    <w:rsid w:val="00E325D8"/>
    <w:rsid w:val="00E32AAB"/>
    <w:rsid w:val="00E3322A"/>
    <w:rsid w:val="00E332F9"/>
    <w:rsid w:val="00E33521"/>
    <w:rsid w:val="00E33807"/>
    <w:rsid w:val="00E338F0"/>
    <w:rsid w:val="00E3464C"/>
    <w:rsid w:val="00E349D9"/>
    <w:rsid w:val="00E34A1E"/>
    <w:rsid w:val="00E360DE"/>
    <w:rsid w:val="00E364BC"/>
    <w:rsid w:val="00E3667E"/>
    <w:rsid w:val="00E371A8"/>
    <w:rsid w:val="00E373D1"/>
    <w:rsid w:val="00E37A49"/>
    <w:rsid w:val="00E37AC9"/>
    <w:rsid w:val="00E403A0"/>
    <w:rsid w:val="00E4047E"/>
    <w:rsid w:val="00E4094D"/>
    <w:rsid w:val="00E41265"/>
    <w:rsid w:val="00E41BB6"/>
    <w:rsid w:val="00E42669"/>
    <w:rsid w:val="00E42A97"/>
    <w:rsid w:val="00E42CA1"/>
    <w:rsid w:val="00E432FF"/>
    <w:rsid w:val="00E433D2"/>
    <w:rsid w:val="00E43EE7"/>
    <w:rsid w:val="00E44151"/>
    <w:rsid w:val="00E444F8"/>
    <w:rsid w:val="00E445CF"/>
    <w:rsid w:val="00E44A1D"/>
    <w:rsid w:val="00E44E98"/>
    <w:rsid w:val="00E452ED"/>
    <w:rsid w:val="00E45304"/>
    <w:rsid w:val="00E4633C"/>
    <w:rsid w:val="00E46515"/>
    <w:rsid w:val="00E46568"/>
    <w:rsid w:val="00E46BCB"/>
    <w:rsid w:val="00E46F98"/>
    <w:rsid w:val="00E471C1"/>
    <w:rsid w:val="00E473F0"/>
    <w:rsid w:val="00E47479"/>
    <w:rsid w:val="00E47513"/>
    <w:rsid w:val="00E4790A"/>
    <w:rsid w:val="00E47B7D"/>
    <w:rsid w:val="00E50038"/>
    <w:rsid w:val="00E5036C"/>
    <w:rsid w:val="00E50CDD"/>
    <w:rsid w:val="00E51254"/>
    <w:rsid w:val="00E515F2"/>
    <w:rsid w:val="00E51726"/>
    <w:rsid w:val="00E5186E"/>
    <w:rsid w:val="00E51DCA"/>
    <w:rsid w:val="00E52493"/>
    <w:rsid w:val="00E53729"/>
    <w:rsid w:val="00E5373B"/>
    <w:rsid w:val="00E53D36"/>
    <w:rsid w:val="00E54963"/>
    <w:rsid w:val="00E54E98"/>
    <w:rsid w:val="00E553D2"/>
    <w:rsid w:val="00E55D77"/>
    <w:rsid w:val="00E55E00"/>
    <w:rsid w:val="00E55E67"/>
    <w:rsid w:val="00E56053"/>
    <w:rsid w:val="00E561FA"/>
    <w:rsid w:val="00E5648C"/>
    <w:rsid w:val="00E56FE8"/>
    <w:rsid w:val="00E57025"/>
    <w:rsid w:val="00E57127"/>
    <w:rsid w:val="00E57AF3"/>
    <w:rsid w:val="00E57E7F"/>
    <w:rsid w:val="00E600DC"/>
    <w:rsid w:val="00E605FE"/>
    <w:rsid w:val="00E60AEF"/>
    <w:rsid w:val="00E60EC6"/>
    <w:rsid w:val="00E6222F"/>
    <w:rsid w:val="00E62966"/>
    <w:rsid w:val="00E62E12"/>
    <w:rsid w:val="00E63135"/>
    <w:rsid w:val="00E63475"/>
    <w:rsid w:val="00E63BD5"/>
    <w:rsid w:val="00E63DE0"/>
    <w:rsid w:val="00E63EDA"/>
    <w:rsid w:val="00E64223"/>
    <w:rsid w:val="00E647C1"/>
    <w:rsid w:val="00E64CCA"/>
    <w:rsid w:val="00E65063"/>
    <w:rsid w:val="00E655E0"/>
    <w:rsid w:val="00E65791"/>
    <w:rsid w:val="00E657F9"/>
    <w:rsid w:val="00E65A36"/>
    <w:rsid w:val="00E66C53"/>
    <w:rsid w:val="00E67C51"/>
    <w:rsid w:val="00E719EE"/>
    <w:rsid w:val="00E721D2"/>
    <w:rsid w:val="00E7325C"/>
    <w:rsid w:val="00E736E4"/>
    <w:rsid w:val="00E73D4D"/>
    <w:rsid w:val="00E7400C"/>
    <w:rsid w:val="00E741A3"/>
    <w:rsid w:val="00E74833"/>
    <w:rsid w:val="00E74A30"/>
    <w:rsid w:val="00E753DF"/>
    <w:rsid w:val="00E75CD0"/>
    <w:rsid w:val="00E75FA9"/>
    <w:rsid w:val="00E76BB1"/>
    <w:rsid w:val="00E77B47"/>
    <w:rsid w:val="00E8009B"/>
    <w:rsid w:val="00E800F3"/>
    <w:rsid w:val="00E80505"/>
    <w:rsid w:val="00E8076D"/>
    <w:rsid w:val="00E8147C"/>
    <w:rsid w:val="00E81ECB"/>
    <w:rsid w:val="00E820D3"/>
    <w:rsid w:val="00E82A16"/>
    <w:rsid w:val="00E82F7D"/>
    <w:rsid w:val="00E83633"/>
    <w:rsid w:val="00E83ADA"/>
    <w:rsid w:val="00E83B09"/>
    <w:rsid w:val="00E83BE7"/>
    <w:rsid w:val="00E83F5F"/>
    <w:rsid w:val="00E8415A"/>
    <w:rsid w:val="00E8433E"/>
    <w:rsid w:val="00E84425"/>
    <w:rsid w:val="00E84580"/>
    <w:rsid w:val="00E845CD"/>
    <w:rsid w:val="00E84B05"/>
    <w:rsid w:val="00E85777"/>
    <w:rsid w:val="00E85BB3"/>
    <w:rsid w:val="00E8615F"/>
    <w:rsid w:val="00E8623F"/>
    <w:rsid w:val="00E862C8"/>
    <w:rsid w:val="00E864CF"/>
    <w:rsid w:val="00E864EE"/>
    <w:rsid w:val="00E86904"/>
    <w:rsid w:val="00E86D15"/>
    <w:rsid w:val="00E87266"/>
    <w:rsid w:val="00E87BFE"/>
    <w:rsid w:val="00E87CA5"/>
    <w:rsid w:val="00E87F78"/>
    <w:rsid w:val="00E9180A"/>
    <w:rsid w:val="00E91B68"/>
    <w:rsid w:val="00E91D9C"/>
    <w:rsid w:val="00E91DBB"/>
    <w:rsid w:val="00E91E75"/>
    <w:rsid w:val="00E921E2"/>
    <w:rsid w:val="00E924A0"/>
    <w:rsid w:val="00E925FF"/>
    <w:rsid w:val="00E92750"/>
    <w:rsid w:val="00E92E5F"/>
    <w:rsid w:val="00E93016"/>
    <w:rsid w:val="00E931EC"/>
    <w:rsid w:val="00E93699"/>
    <w:rsid w:val="00E93755"/>
    <w:rsid w:val="00E94184"/>
    <w:rsid w:val="00E94DB9"/>
    <w:rsid w:val="00E95021"/>
    <w:rsid w:val="00E952FA"/>
    <w:rsid w:val="00E954A2"/>
    <w:rsid w:val="00E956B8"/>
    <w:rsid w:val="00E9570E"/>
    <w:rsid w:val="00E9584F"/>
    <w:rsid w:val="00E9587D"/>
    <w:rsid w:val="00E959D4"/>
    <w:rsid w:val="00E959EA"/>
    <w:rsid w:val="00E95ECE"/>
    <w:rsid w:val="00E962A9"/>
    <w:rsid w:val="00E96535"/>
    <w:rsid w:val="00E966AD"/>
    <w:rsid w:val="00E96CEF"/>
    <w:rsid w:val="00E971B3"/>
    <w:rsid w:val="00E975C1"/>
    <w:rsid w:val="00E97A98"/>
    <w:rsid w:val="00E97E47"/>
    <w:rsid w:val="00EA03D7"/>
    <w:rsid w:val="00EA0975"/>
    <w:rsid w:val="00EA0B69"/>
    <w:rsid w:val="00EA0DB3"/>
    <w:rsid w:val="00EA1299"/>
    <w:rsid w:val="00EA16A0"/>
    <w:rsid w:val="00EA1CCC"/>
    <w:rsid w:val="00EA23D5"/>
    <w:rsid w:val="00EA327E"/>
    <w:rsid w:val="00EA34B3"/>
    <w:rsid w:val="00EA39E4"/>
    <w:rsid w:val="00EA3D64"/>
    <w:rsid w:val="00EA3D86"/>
    <w:rsid w:val="00EA466C"/>
    <w:rsid w:val="00EA4D4B"/>
    <w:rsid w:val="00EA4E35"/>
    <w:rsid w:val="00EA508B"/>
    <w:rsid w:val="00EA5571"/>
    <w:rsid w:val="00EA5BDB"/>
    <w:rsid w:val="00EA5F70"/>
    <w:rsid w:val="00EA60B7"/>
    <w:rsid w:val="00EA60EF"/>
    <w:rsid w:val="00EA6C19"/>
    <w:rsid w:val="00EA6DC6"/>
    <w:rsid w:val="00EA768F"/>
    <w:rsid w:val="00EA7E5F"/>
    <w:rsid w:val="00EB0456"/>
    <w:rsid w:val="00EB06B4"/>
    <w:rsid w:val="00EB07C5"/>
    <w:rsid w:val="00EB083C"/>
    <w:rsid w:val="00EB0E33"/>
    <w:rsid w:val="00EB15BB"/>
    <w:rsid w:val="00EB275E"/>
    <w:rsid w:val="00EB2992"/>
    <w:rsid w:val="00EB306B"/>
    <w:rsid w:val="00EB39C0"/>
    <w:rsid w:val="00EB3D76"/>
    <w:rsid w:val="00EB3F6A"/>
    <w:rsid w:val="00EB40D3"/>
    <w:rsid w:val="00EB422B"/>
    <w:rsid w:val="00EB4700"/>
    <w:rsid w:val="00EB48F1"/>
    <w:rsid w:val="00EB4BB1"/>
    <w:rsid w:val="00EB5C0B"/>
    <w:rsid w:val="00EB6182"/>
    <w:rsid w:val="00EB631E"/>
    <w:rsid w:val="00EB6360"/>
    <w:rsid w:val="00EB729C"/>
    <w:rsid w:val="00EB73FF"/>
    <w:rsid w:val="00EB7613"/>
    <w:rsid w:val="00EB7754"/>
    <w:rsid w:val="00EB78FE"/>
    <w:rsid w:val="00EB7AA8"/>
    <w:rsid w:val="00EB7F55"/>
    <w:rsid w:val="00EC0296"/>
    <w:rsid w:val="00EC06F0"/>
    <w:rsid w:val="00EC0B31"/>
    <w:rsid w:val="00EC1556"/>
    <w:rsid w:val="00EC170B"/>
    <w:rsid w:val="00EC1A7D"/>
    <w:rsid w:val="00EC1B4D"/>
    <w:rsid w:val="00EC21BC"/>
    <w:rsid w:val="00EC230A"/>
    <w:rsid w:val="00EC27E9"/>
    <w:rsid w:val="00EC2B22"/>
    <w:rsid w:val="00EC3216"/>
    <w:rsid w:val="00EC334D"/>
    <w:rsid w:val="00EC3DC2"/>
    <w:rsid w:val="00EC4048"/>
    <w:rsid w:val="00EC430C"/>
    <w:rsid w:val="00EC455A"/>
    <w:rsid w:val="00EC47F6"/>
    <w:rsid w:val="00EC4BD5"/>
    <w:rsid w:val="00EC51A1"/>
    <w:rsid w:val="00EC525C"/>
    <w:rsid w:val="00EC5941"/>
    <w:rsid w:val="00EC5C26"/>
    <w:rsid w:val="00EC6130"/>
    <w:rsid w:val="00EC62AF"/>
    <w:rsid w:val="00EC6489"/>
    <w:rsid w:val="00EC6668"/>
    <w:rsid w:val="00EC6DAC"/>
    <w:rsid w:val="00EC7FD9"/>
    <w:rsid w:val="00ED015F"/>
    <w:rsid w:val="00ED0421"/>
    <w:rsid w:val="00ED0511"/>
    <w:rsid w:val="00ED071B"/>
    <w:rsid w:val="00ED07AE"/>
    <w:rsid w:val="00ED0CB6"/>
    <w:rsid w:val="00ED11D9"/>
    <w:rsid w:val="00ED17B9"/>
    <w:rsid w:val="00ED17C7"/>
    <w:rsid w:val="00ED1B27"/>
    <w:rsid w:val="00ED1C99"/>
    <w:rsid w:val="00ED21F1"/>
    <w:rsid w:val="00ED2553"/>
    <w:rsid w:val="00ED26F2"/>
    <w:rsid w:val="00ED2900"/>
    <w:rsid w:val="00ED2992"/>
    <w:rsid w:val="00ED3755"/>
    <w:rsid w:val="00ED388E"/>
    <w:rsid w:val="00ED3CD7"/>
    <w:rsid w:val="00ED3FE6"/>
    <w:rsid w:val="00ED45E9"/>
    <w:rsid w:val="00ED479D"/>
    <w:rsid w:val="00ED5350"/>
    <w:rsid w:val="00ED6706"/>
    <w:rsid w:val="00ED6A73"/>
    <w:rsid w:val="00ED6D84"/>
    <w:rsid w:val="00ED6F26"/>
    <w:rsid w:val="00ED7090"/>
    <w:rsid w:val="00ED73F5"/>
    <w:rsid w:val="00ED78A3"/>
    <w:rsid w:val="00ED797B"/>
    <w:rsid w:val="00ED7BA4"/>
    <w:rsid w:val="00EE03E8"/>
    <w:rsid w:val="00EE0416"/>
    <w:rsid w:val="00EE054F"/>
    <w:rsid w:val="00EE0780"/>
    <w:rsid w:val="00EE0AA9"/>
    <w:rsid w:val="00EE0F5A"/>
    <w:rsid w:val="00EE1108"/>
    <w:rsid w:val="00EE130B"/>
    <w:rsid w:val="00EE15DF"/>
    <w:rsid w:val="00EE1AB5"/>
    <w:rsid w:val="00EE1D00"/>
    <w:rsid w:val="00EE2218"/>
    <w:rsid w:val="00EE2495"/>
    <w:rsid w:val="00EE29A1"/>
    <w:rsid w:val="00EE2FCD"/>
    <w:rsid w:val="00EE30E4"/>
    <w:rsid w:val="00EE3DF4"/>
    <w:rsid w:val="00EE4436"/>
    <w:rsid w:val="00EE445F"/>
    <w:rsid w:val="00EE478C"/>
    <w:rsid w:val="00EE489D"/>
    <w:rsid w:val="00EE4C13"/>
    <w:rsid w:val="00EE4D87"/>
    <w:rsid w:val="00EE4DAF"/>
    <w:rsid w:val="00EE52C5"/>
    <w:rsid w:val="00EE531E"/>
    <w:rsid w:val="00EE58E8"/>
    <w:rsid w:val="00EE60EC"/>
    <w:rsid w:val="00EE72BF"/>
    <w:rsid w:val="00EE7B48"/>
    <w:rsid w:val="00EE7D98"/>
    <w:rsid w:val="00EF033E"/>
    <w:rsid w:val="00EF03D4"/>
    <w:rsid w:val="00EF07A5"/>
    <w:rsid w:val="00EF251D"/>
    <w:rsid w:val="00EF25BE"/>
    <w:rsid w:val="00EF2718"/>
    <w:rsid w:val="00EF3152"/>
    <w:rsid w:val="00EF356E"/>
    <w:rsid w:val="00EF3591"/>
    <w:rsid w:val="00EF36A3"/>
    <w:rsid w:val="00EF5467"/>
    <w:rsid w:val="00EF54FB"/>
    <w:rsid w:val="00EF557D"/>
    <w:rsid w:val="00EF5628"/>
    <w:rsid w:val="00EF563D"/>
    <w:rsid w:val="00EF5674"/>
    <w:rsid w:val="00EF5CF0"/>
    <w:rsid w:val="00EF5FBD"/>
    <w:rsid w:val="00EF65A7"/>
    <w:rsid w:val="00EF67D5"/>
    <w:rsid w:val="00EF6C47"/>
    <w:rsid w:val="00EF6D6A"/>
    <w:rsid w:val="00EF6E2E"/>
    <w:rsid w:val="00EF77C5"/>
    <w:rsid w:val="00EF7883"/>
    <w:rsid w:val="00EF7FFB"/>
    <w:rsid w:val="00F00051"/>
    <w:rsid w:val="00F000A5"/>
    <w:rsid w:val="00F00304"/>
    <w:rsid w:val="00F00764"/>
    <w:rsid w:val="00F00C98"/>
    <w:rsid w:val="00F014EC"/>
    <w:rsid w:val="00F02044"/>
    <w:rsid w:val="00F027D5"/>
    <w:rsid w:val="00F034C8"/>
    <w:rsid w:val="00F03520"/>
    <w:rsid w:val="00F04297"/>
    <w:rsid w:val="00F04595"/>
    <w:rsid w:val="00F045E1"/>
    <w:rsid w:val="00F04E9F"/>
    <w:rsid w:val="00F05102"/>
    <w:rsid w:val="00F05CB0"/>
    <w:rsid w:val="00F06077"/>
    <w:rsid w:val="00F064F7"/>
    <w:rsid w:val="00F066F7"/>
    <w:rsid w:val="00F06701"/>
    <w:rsid w:val="00F072F5"/>
    <w:rsid w:val="00F0758D"/>
    <w:rsid w:val="00F077B2"/>
    <w:rsid w:val="00F07828"/>
    <w:rsid w:val="00F07DAC"/>
    <w:rsid w:val="00F10482"/>
    <w:rsid w:val="00F10B72"/>
    <w:rsid w:val="00F116E0"/>
    <w:rsid w:val="00F11872"/>
    <w:rsid w:val="00F118FE"/>
    <w:rsid w:val="00F11B25"/>
    <w:rsid w:val="00F11CC4"/>
    <w:rsid w:val="00F1275D"/>
    <w:rsid w:val="00F12D11"/>
    <w:rsid w:val="00F138A7"/>
    <w:rsid w:val="00F14362"/>
    <w:rsid w:val="00F14ED9"/>
    <w:rsid w:val="00F153CE"/>
    <w:rsid w:val="00F159E6"/>
    <w:rsid w:val="00F15D9E"/>
    <w:rsid w:val="00F16356"/>
    <w:rsid w:val="00F16389"/>
    <w:rsid w:val="00F1643F"/>
    <w:rsid w:val="00F16E5B"/>
    <w:rsid w:val="00F16E71"/>
    <w:rsid w:val="00F1707E"/>
    <w:rsid w:val="00F17404"/>
    <w:rsid w:val="00F179AB"/>
    <w:rsid w:val="00F207A3"/>
    <w:rsid w:val="00F20F60"/>
    <w:rsid w:val="00F211DB"/>
    <w:rsid w:val="00F21490"/>
    <w:rsid w:val="00F21797"/>
    <w:rsid w:val="00F21835"/>
    <w:rsid w:val="00F22131"/>
    <w:rsid w:val="00F225B5"/>
    <w:rsid w:val="00F22CDF"/>
    <w:rsid w:val="00F22E7F"/>
    <w:rsid w:val="00F23644"/>
    <w:rsid w:val="00F23BBE"/>
    <w:rsid w:val="00F23BC4"/>
    <w:rsid w:val="00F23F54"/>
    <w:rsid w:val="00F24AD6"/>
    <w:rsid w:val="00F2520D"/>
    <w:rsid w:val="00F2557B"/>
    <w:rsid w:val="00F27039"/>
    <w:rsid w:val="00F270BF"/>
    <w:rsid w:val="00F276DF"/>
    <w:rsid w:val="00F27838"/>
    <w:rsid w:val="00F30051"/>
    <w:rsid w:val="00F30183"/>
    <w:rsid w:val="00F30419"/>
    <w:rsid w:val="00F30476"/>
    <w:rsid w:val="00F305F6"/>
    <w:rsid w:val="00F308BF"/>
    <w:rsid w:val="00F312EC"/>
    <w:rsid w:val="00F31759"/>
    <w:rsid w:val="00F3183C"/>
    <w:rsid w:val="00F318EC"/>
    <w:rsid w:val="00F31B86"/>
    <w:rsid w:val="00F3203D"/>
    <w:rsid w:val="00F3231C"/>
    <w:rsid w:val="00F32392"/>
    <w:rsid w:val="00F327DF"/>
    <w:rsid w:val="00F3290E"/>
    <w:rsid w:val="00F32A0A"/>
    <w:rsid w:val="00F3300F"/>
    <w:rsid w:val="00F331A8"/>
    <w:rsid w:val="00F33232"/>
    <w:rsid w:val="00F338BA"/>
    <w:rsid w:val="00F339AD"/>
    <w:rsid w:val="00F33A56"/>
    <w:rsid w:val="00F33AFB"/>
    <w:rsid w:val="00F33B87"/>
    <w:rsid w:val="00F33C60"/>
    <w:rsid w:val="00F34287"/>
    <w:rsid w:val="00F343EC"/>
    <w:rsid w:val="00F34B99"/>
    <w:rsid w:val="00F34E55"/>
    <w:rsid w:val="00F34FD4"/>
    <w:rsid w:val="00F359B5"/>
    <w:rsid w:val="00F36596"/>
    <w:rsid w:val="00F36A25"/>
    <w:rsid w:val="00F36FC9"/>
    <w:rsid w:val="00F36FF2"/>
    <w:rsid w:val="00F375CE"/>
    <w:rsid w:val="00F37A6E"/>
    <w:rsid w:val="00F401A8"/>
    <w:rsid w:val="00F40572"/>
    <w:rsid w:val="00F40794"/>
    <w:rsid w:val="00F409EF"/>
    <w:rsid w:val="00F40B1D"/>
    <w:rsid w:val="00F40BA6"/>
    <w:rsid w:val="00F40D3D"/>
    <w:rsid w:val="00F41867"/>
    <w:rsid w:val="00F41A63"/>
    <w:rsid w:val="00F41D44"/>
    <w:rsid w:val="00F42331"/>
    <w:rsid w:val="00F423E6"/>
    <w:rsid w:val="00F42AB2"/>
    <w:rsid w:val="00F42FC1"/>
    <w:rsid w:val="00F438AF"/>
    <w:rsid w:val="00F43935"/>
    <w:rsid w:val="00F43E7C"/>
    <w:rsid w:val="00F44235"/>
    <w:rsid w:val="00F445AA"/>
    <w:rsid w:val="00F4480E"/>
    <w:rsid w:val="00F448BA"/>
    <w:rsid w:val="00F44AC3"/>
    <w:rsid w:val="00F44ACB"/>
    <w:rsid w:val="00F44C45"/>
    <w:rsid w:val="00F45B4C"/>
    <w:rsid w:val="00F45B9C"/>
    <w:rsid w:val="00F45E3C"/>
    <w:rsid w:val="00F45ED1"/>
    <w:rsid w:val="00F4632C"/>
    <w:rsid w:val="00F463C4"/>
    <w:rsid w:val="00F47310"/>
    <w:rsid w:val="00F502D6"/>
    <w:rsid w:val="00F50F4C"/>
    <w:rsid w:val="00F510F5"/>
    <w:rsid w:val="00F514C6"/>
    <w:rsid w:val="00F51548"/>
    <w:rsid w:val="00F521AD"/>
    <w:rsid w:val="00F52C51"/>
    <w:rsid w:val="00F52F66"/>
    <w:rsid w:val="00F544EE"/>
    <w:rsid w:val="00F5525A"/>
    <w:rsid w:val="00F553C7"/>
    <w:rsid w:val="00F55461"/>
    <w:rsid w:val="00F55646"/>
    <w:rsid w:val="00F55D6F"/>
    <w:rsid w:val="00F5642A"/>
    <w:rsid w:val="00F5647A"/>
    <w:rsid w:val="00F56ECA"/>
    <w:rsid w:val="00F5745A"/>
    <w:rsid w:val="00F576E6"/>
    <w:rsid w:val="00F5786A"/>
    <w:rsid w:val="00F57878"/>
    <w:rsid w:val="00F57E8C"/>
    <w:rsid w:val="00F60839"/>
    <w:rsid w:val="00F60845"/>
    <w:rsid w:val="00F60EF0"/>
    <w:rsid w:val="00F60FA2"/>
    <w:rsid w:val="00F613A0"/>
    <w:rsid w:val="00F61A4F"/>
    <w:rsid w:val="00F61DB0"/>
    <w:rsid w:val="00F624E2"/>
    <w:rsid w:val="00F62686"/>
    <w:rsid w:val="00F62763"/>
    <w:rsid w:val="00F62D27"/>
    <w:rsid w:val="00F62E59"/>
    <w:rsid w:val="00F6361D"/>
    <w:rsid w:val="00F63899"/>
    <w:rsid w:val="00F63A88"/>
    <w:rsid w:val="00F6403E"/>
    <w:rsid w:val="00F64D25"/>
    <w:rsid w:val="00F65E14"/>
    <w:rsid w:val="00F66103"/>
    <w:rsid w:val="00F661D2"/>
    <w:rsid w:val="00F66395"/>
    <w:rsid w:val="00F671A8"/>
    <w:rsid w:val="00F672D8"/>
    <w:rsid w:val="00F67659"/>
    <w:rsid w:val="00F67BE5"/>
    <w:rsid w:val="00F67F21"/>
    <w:rsid w:val="00F70491"/>
    <w:rsid w:val="00F70654"/>
    <w:rsid w:val="00F7088A"/>
    <w:rsid w:val="00F711A6"/>
    <w:rsid w:val="00F71906"/>
    <w:rsid w:val="00F719DA"/>
    <w:rsid w:val="00F71B15"/>
    <w:rsid w:val="00F72607"/>
    <w:rsid w:val="00F7274D"/>
    <w:rsid w:val="00F73154"/>
    <w:rsid w:val="00F7358E"/>
    <w:rsid w:val="00F7373F"/>
    <w:rsid w:val="00F73DEA"/>
    <w:rsid w:val="00F74219"/>
    <w:rsid w:val="00F7426E"/>
    <w:rsid w:val="00F74A43"/>
    <w:rsid w:val="00F74A5E"/>
    <w:rsid w:val="00F74FD5"/>
    <w:rsid w:val="00F75326"/>
    <w:rsid w:val="00F756D0"/>
    <w:rsid w:val="00F75A7A"/>
    <w:rsid w:val="00F75DD7"/>
    <w:rsid w:val="00F76467"/>
    <w:rsid w:val="00F77411"/>
    <w:rsid w:val="00F77D99"/>
    <w:rsid w:val="00F8017E"/>
    <w:rsid w:val="00F80393"/>
    <w:rsid w:val="00F805BB"/>
    <w:rsid w:val="00F807CF"/>
    <w:rsid w:val="00F80CE2"/>
    <w:rsid w:val="00F80F6E"/>
    <w:rsid w:val="00F8106A"/>
    <w:rsid w:val="00F81B87"/>
    <w:rsid w:val="00F81BBA"/>
    <w:rsid w:val="00F81C99"/>
    <w:rsid w:val="00F82152"/>
    <w:rsid w:val="00F82801"/>
    <w:rsid w:val="00F829C5"/>
    <w:rsid w:val="00F82C8F"/>
    <w:rsid w:val="00F83033"/>
    <w:rsid w:val="00F83133"/>
    <w:rsid w:val="00F83C57"/>
    <w:rsid w:val="00F83D79"/>
    <w:rsid w:val="00F844F5"/>
    <w:rsid w:val="00F8471E"/>
    <w:rsid w:val="00F848B0"/>
    <w:rsid w:val="00F85830"/>
    <w:rsid w:val="00F85B6A"/>
    <w:rsid w:val="00F85E74"/>
    <w:rsid w:val="00F8607C"/>
    <w:rsid w:val="00F86895"/>
    <w:rsid w:val="00F869EF"/>
    <w:rsid w:val="00F87056"/>
    <w:rsid w:val="00F87342"/>
    <w:rsid w:val="00F873C0"/>
    <w:rsid w:val="00F873F0"/>
    <w:rsid w:val="00F87F68"/>
    <w:rsid w:val="00F87FCC"/>
    <w:rsid w:val="00F903D1"/>
    <w:rsid w:val="00F90585"/>
    <w:rsid w:val="00F90599"/>
    <w:rsid w:val="00F9069F"/>
    <w:rsid w:val="00F90A03"/>
    <w:rsid w:val="00F90D21"/>
    <w:rsid w:val="00F90D66"/>
    <w:rsid w:val="00F91114"/>
    <w:rsid w:val="00F91217"/>
    <w:rsid w:val="00F9139C"/>
    <w:rsid w:val="00F9207A"/>
    <w:rsid w:val="00F921DF"/>
    <w:rsid w:val="00F92239"/>
    <w:rsid w:val="00F923AF"/>
    <w:rsid w:val="00F927CD"/>
    <w:rsid w:val="00F9293F"/>
    <w:rsid w:val="00F92D3C"/>
    <w:rsid w:val="00F92E1F"/>
    <w:rsid w:val="00F93217"/>
    <w:rsid w:val="00F93476"/>
    <w:rsid w:val="00F935B4"/>
    <w:rsid w:val="00F9389F"/>
    <w:rsid w:val="00F93BBA"/>
    <w:rsid w:val="00F93D44"/>
    <w:rsid w:val="00F93FF2"/>
    <w:rsid w:val="00F9416D"/>
    <w:rsid w:val="00F94365"/>
    <w:rsid w:val="00F94479"/>
    <w:rsid w:val="00F94A59"/>
    <w:rsid w:val="00F954E5"/>
    <w:rsid w:val="00F966E5"/>
    <w:rsid w:val="00F968CA"/>
    <w:rsid w:val="00F96A26"/>
    <w:rsid w:val="00F96E6A"/>
    <w:rsid w:val="00F971B7"/>
    <w:rsid w:val="00F97C72"/>
    <w:rsid w:val="00FA049C"/>
    <w:rsid w:val="00FA0BC7"/>
    <w:rsid w:val="00FA0E64"/>
    <w:rsid w:val="00FA1770"/>
    <w:rsid w:val="00FA1CEA"/>
    <w:rsid w:val="00FA1ECB"/>
    <w:rsid w:val="00FA20BF"/>
    <w:rsid w:val="00FA2448"/>
    <w:rsid w:val="00FA2A11"/>
    <w:rsid w:val="00FA2B21"/>
    <w:rsid w:val="00FA2FAF"/>
    <w:rsid w:val="00FA3034"/>
    <w:rsid w:val="00FA31CF"/>
    <w:rsid w:val="00FA3501"/>
    <w:rsid w:val="00FA3761"/>
    <w:rsid w:val="00FA3791"/>
    <w:rsid w:val="00FA3E26"/>
    <w:rsid w:val="00FA4A88"/>
    <w:rsid w:val="00FA4B41"/>
    <w:rsid w:val="00FA5358"/>
    <w:rsid w:val="00FA5821"/>
    <w:rsid w:val="00FA5EB4"/>
    <w:rsid w:val="00FA6E0E"/>
    <w:rsid w:val="00FA79BA"/>
    <w:rsid w:val="00FA7E61"/>
    <w:rsid w:val="00FB1640"/>
    <w:rsid w:val="00FB166C"/>
    <w:rsid w:val="00FB1EBD"/>
    <w:rsid w:val="00FB1F81"/>
    <w:rsid w:val="00FB28EE"/>
    <w:rsid w:val="00FB2CB4"/>
    <w:rsid w:val="00FB36ED"/>
    <w:rsid w:val="00FB41D5"/>
    <w:rsid w:val="00FB42D2"/>
    <w:rsid w:val="00FB4B52"/>
    <w:rsid w:val="00FB50B2"/>
    <w:rsid w:val="00FB51AD"/>
    <w:rsid w:val="00FB523B"/>
    <w:rsid w:val="00FB5321"/>
    <w:rsid w:val="00FB6214"/>
    <w:rsid w:val="00FB645F"/>
    <w:rsid w:val="00FB6A2A"/>
    <w:rsid w:val="00FB6CFC"/>
    <w:rsid w:val="00FB6FA7"/>
    <w:rsid w:val="00FB7196"/>
    <w:rsid w:val="00FB790C"/>
    <w:rsid w:val="00FB7964"/>
    <w:rsid w:val="00FB7ECF"/>
    <w:rsid w:val="00FC06C4"/>
    <w:rsid w:val="00FC0AB4"/>
    <w:rsid w:val="00FC181C"/>
    <w:rsid w:val="00FC1CA5"/>
    <w:rsid w:val="00FC1EC7"/>
    <w:rsid w:val="00FC2594"/>
    <w:rsid w:val="00FC2907"/>
    <w:rsid w:val="00FC2EC6"/>
    <w:rsid w:val="00FC3954"/>
    <w:rsid w:val="00FC448F"/>
    <w:rsid w:val="00FC45AF"/>
    <w:rsid w:val="00FC4713"/>
    <w:rsid w:val="00FC48B7"/>
    <w:rsid w:val="00FC494C"/>
    <w:rsid w:val="00FC4A79"/>
    <w:rsid w:val="00FC4E57"/>
    <w:rsid w:val="00FC530E"/>
    <w:rsid w:val="00FC53DC"/>
    <w:rsid w:val="00FC55B7"/>
    <w:rsid w:val="00FC5C51"/>
    <w:rsid w:val="00FC5DE1"/>
    <w:rsid w:val="00FC5E83"/>
    <w:rsid w:val="00FC5FD6"/>
    <w:rsid w:val="00FC6145"/>
    <w:rsid w:val="00FC69EB"/>
    <w:rsid w:val="00FC723A"/>
    <w:rsid w:val="00FC7B74"/>
    <w:rsid w:val="00FC7E88"/>
    <w:rsid w:val="00FD0549"/>
    <w:rsid w:val="00FD0FF1"/>
    <w:rsid w:val="00FD110D"/>
    <w:rsid w:val="00FD116F"/>
    <w:rsid w:val="00FD14DF"/>
    <w:rsid w:val="00FD14EB"/>
    <w:rsid w:val="00FD178B"/>
    <w:rsid w:val="00FD1CB2"/>
    <w:rsid w:val="00FD1E93"/>
    <w:rsid w:val="00FD218C"/>
    <w:rsid w:val="00FD2D97"/>
    <w:rsid w:val="00FD328C"/>
    <w:rsid w:val="00FD3745"/>
    <w:rsid w:val="00FD384A"/>
    <w:rsid w:val="00FD3C14"/>
    <w:rsid w:val="00FD48C6"/>
    <w:rsid w:val="00FD4C95"/>
    <w:rsid w:val="00FD5912"/>
    <w:rsid w:val="00FD6AA4"/>
    <w:rsid w:val="00FD6DD1"/>
    <w:rsid w:val="00FD73E4"/>
    <w:rsid w:val="00FD7E12"/>
    <w:rsid w:val="00FE01E8"/>
    <w:rsid w:val="00FE14FC"/>
    <w:rsid w:val="00FE1FD5"/>
    <w:rsid w:val="00FE2995"/>
    <w:rsid w:val="00FE2E63"/>
    <w:rsid w:val="00FE4001"/>
    <w:rsid w:val="00FE4904"/>
    <w:rsid w:val="00FE5BE7"/>
    <w:rsid w:val="00FE631F"/>
    <w:rsid w:val="00FE76A2"/>
    <w:rsid w:val="00FE7757"/>
    <w:rsid w:val="00FE7977"/>
    <w:rsid w:val="00FE7C03"/>
    <w:rsid w:val="00FE7E7D"/>
    <w:rsid w:val="00FF052B"/>
    <w:rsid w:val="00FF09C5"/>
    <w:rsid w:val="00FF0FF7"/>
    <w:rsid w:val="00FF13D7"/>
    <w:rsid w:val="00FF1659"/>
    <w:rsid w:val="00FF171D"/>
    <w:rsid w:val="00FF1FF7"/>
    <w:rsid w:val="00FF248C"/>
    <w:rsid w:val="00FF2BC7"/>
    <w:rsid w:val="00FF2CD1"/>
    <w:rsid w:val="00FF2E06"/>
    <w:rsid w:val="00FF45AF"/>
    <w:rsid w:val="00FF4776"/>
    <w:rsid w:val="00FF4A63"/>
    <w:rsid w:val="00FF4FB3"/>
    <w:rsid w:val="00FF5464"/>
    <w:rsid w:val="00FF5CE1"/>
    <w:rsid w:val="00FF64DB"/>
    <w:rsid w:val="00FF6719"/>
    <w:rsid w:val="00FF766B"/>
    <w:rsid w:val="00FF79CD"/>
    <w:rsid w:val="00FF7D8A"/>
    <w:rsid w:val="01227D26"/>
    <w:rsid w:val="01505F15"/>
    <w:rsid w:val="015C5E96"/>
    <w:rsid w:val="01756B40"/>
    <w:rsid w:val="01AF0E8E"/>
    <w:rsid w:val="01CF2EBF"/>
    <w:rsid w:val="01E97279"/>
    <w:rsid w:val="025E3625"/>
    <w:rsid w:val="0292535F"/>
    <w:rsid w:val="02B47651"/>
    <w:rsid w:val="02ED6112"/>
    <w:rsid w:val="032936F6"/>
    <w:rsid w:val="032B09E8"/>
    <w:rsid w:val="03526D7F"/>
    <w:rsid w:val="04094FA1"/>
    <w:rsid w:val="04307445"/>
    <w:rsid w:val="04BC223F"/>
    <w:rsid w:val="04D30835"/>
    <w:rsid w:val="04DF0173"/>
    <w:rsid w:val="05080D49"/>
    <w:rsid w:val="0522697C"/>
    <w:rsid w:val="054C666E"/>
    <w:rsid w:val="05706B86"/>
    <w:rsid w:val="05800A23"/>
    <w:rsid w:val="058E606C"/>
    <w:rsid w:val="059554A6"/>
    <w:rsid w:val="06E5543C"/>
    <w:rsid w:val="074B3C8B"/>
    <w:rsid w:val="078B414B"/>
    <w:rsid w:val="07E44589"/>
    <w:rsid w:val="0814145B"/>
    <w:rsid w:val="08167EB9"/>
    <w:rsid w:val="082272DF"/>
    <w:rsid w:val="08346591"/>
    <w:rsid w:val="089D4136"/>
    <w:rsid w:val="08A16908"/>
    <w:rsid w:val="0982512D"/>
    <w:rsid w:val="098B2CC4"/>
    <w:rsid w:val="09C9203C"/>
    <w:rsid w:val="0A2F120F"/>
    <w:rsid w:val="0A9B6453"/>
    <w:rsid w:val="0AB64589"/>
    <w:rsid w:val="0B080929"/>
    <w:rsid w:val="0B2935CF"/>
    <w:rsid w:val="0B3316D4"/>
    <w:rsid w:val="0B412BBC"/>
    <w:rsid w:val="0B446AEB"/>
    <w:rsid w:val="0B51063B"/>
    <w:rsid w:val="0B63498A"/>
    <w:rsid w:val="0B67288B"/>
    <w:rsid w:val="0B7D4ED7"/>
    <w:rsid w:val="0BE55986"/>
    <w:rsid w:val="0BE90DBB"/>
    <w:rsid w:val="0C0A1AE2"/>
    <w:rsid w:val="0C3B5076"/>
    <w:rsid w:val="0C4F1BEB"/>
    <w:rsid w:val="0C5B233E"/>
    <w:rsid w:val="0C96100F"/>
    <w:rsid w:val="0CE73720"/>
    <w:rsid w:val="0D062000"/>
    <w:rsid w:val="0D1F3993"/>
    <w:rsid w:val="0D3D37F2"/>
    <w:rsid w:val="0DD26D65"/>
    <w:rsid w:val="0DEA1BCB"/>
    <w:rsid w:val="0DED346A"/>
    <w:rsid w:val="0DFA2769"/>
    <w:rsid w:val="0E0B38F0"/>
    <w:rsid w:val="0E880BF6"/>
    <w:rsid w:val="0E8F2773"/>
    <w:rsid w:val="0E9E6512"/>
    <w:rsid w:val="0EC732F2"/>
    <w:rsid w:val="0F390DFE"/>
    <w:rsid w:val="0F9811B3"/>
    <w:rsid w:val="0F981358"/>
    <w:rsid w:val="0FAE3EEE"/>
    <w:rsid w:val="100E0482"/>
    <w:rsid w:val="102C480D"/>
    <w:rsid w:val="10366D35"/>
    <w:rsid w:val="10601A98"/>
    <w:rsid w:val="10845536"/>
    <w:rsid w:val="10C81F6C"/>
    <w:rsid w:val="11AC16B8"/>
    <w:rsid w:val="126C2829"/>
    <w:rsid w:val="129B20D8"/>
    <w:rsid w:val="12B93ABF"/>
    <w:rsid w:val="12D270D2"/>
    <w:rsid w:val="12F10F2E"/>
    <w:rsid w:val="12F72695"/>
    <w:rsid w:val="13A00166"/>
    <w:rsid w:val="13FA068E"/>
    <w:rsid w:val="13FF37F9"/>
    <w:rsid w:val="14A26217"/>
    <w:rsid w:val="14AA3833"/>
    <w:rsid w:val="14D7452C"/>
    <w:rsid w:val="150247F4"/>
    <w:rsid w:val="150D385F"/>
    <w:rsid w:val="1537321C"/>
    <w:rsid w:val="15571597"/>
    <w:rsid w:val="15772D75"/>
    <w:rsid w:val="15BD48A6"/>
    <w:rsid w:val="15FD3023"/>
    <w:rsid w:val="15FE66AB"/>
    <w:rsid w:val="1606156C"/>
    <w:rsid w:val="1657134E"/>
    <w:rsid w:val="16DE39D4"/>
    <w:rsid w:val="16E011E7"/>
    <w:rsid w:val="16EB42BE"/>
    <w:rsid w:val="1710475A"/>
    <w:rsid w:val="17163A31"/>
    <w:rsid w:val="17166233"/>
    <w:rsid w:val="1732567D"/>
    <w:rsid w:val="1750136A"/>
    <w:rsid w:val="17B3070A"/>
    <w:rsid w:val="17EA27C8"/>
    <w:rsid w:val="18114AE8"/>
    <w:rsid w:val="18274D23"/>
    <w:rsid w:val="186E51A7"/>
    <w:rsid w:val="18842C1C"/>
    <w:rsid w:val="18CA697C"/>
    <w:rsid w:val="191904F4"/>
    <w:rsid w:val="195425EF"/>
    <w:rsid w:val="198B3B37"/>
    <w:rsid w:val="19B3544D"/>
    <w:rsid w:val="19C31523"/>
    <w:rsid w:val="1A0701E5"/>
    <w:rsid w:val="1A0E6C42"/>
    <w:rsid w:val="1A5A1E87"/>
    <w:rsid w:val="1A613321"/>
    <w:rsid w:val="1A9923D9"/>
    <w:rsid w:val="1AF0494D"/>
    <w:rsid w:val="1AFB27F7"/>
    <w:rsid w:val="1AFE7587"/>
    <w:rsid w:val="1B7F7413"/>
    <w:rsid w:val="1BA00775"/>
    <w:rsid w:val="1BD956BB"/>
    <w:rsid w:val="1C353490"/>
    <w:rsid w:val="1C8812E8"/>
    <w:rsid w:val="1C956D37"/>
    <w:rsid w:val="1CE25C7A"/>
    <w:rsid w:val="1D70376F"/>
    <w:rsid w:val="1DC32EB9"/>
    <w:rsid w:val="1DF41403"/>
    <w:rsid w:val="1DFB74DD"/>
    <w:rsid w:val="1E562C25"/>
    <w:rsid w:val="1E7458AC"/>
    <w:rsid w:val="1E9C0CBF"/>
    <w:rsid w:val="1EB80019"/>
    <w:rsid w:val="1ED211EB"/>
    <w:rsid w:val="1ED657E9"/>
    <w:rsid w:val="1EE752E3"/>
    <w:rsid w:val="1F2C223E"/>
    <w:rsid w:val="1F3A4035"/>
    <w:rsid w:val="1F6D7836"/>
    <w:rsid w:val="1F6F682C"/>
    <w:rsid w:val="1FC23CA6"/>
    <w:rsid w:val="2004179D"/>
    <w:rsid w:val="202D76F6"/>
    <w:rsid w:val="20651585"/>
    <w:rsid w:val="20AC7CD9"/>
    <w:rsid w:val="20EC5803"/>
    <w:rsid w:val="20EC75B1"/>
    <w:rsid w:val="21156B08"/>
    <w:rsid w:val="21B0162B"/>
    <w:rsid w:val="21C64F02"/>
    <w:rsid w:val="21DF0EC4"/>
    <w:rsid w:val="21FF4095"/>
    <w:rsid w:val="222137DD"/>
    <w:rsid w:val="224F1BA5"/>
    <w:rsid w:val="22715FC0"/>
    <w:rsid w:val="22A355B5"/>
    <w:rsid w:val="22DC3B9F"/>
    <w:rsid w:val="22FD5AA5"/>
    <w:rsid w:val="23211EE9"/>
    <w:rsid w:val="23246089"/>
    <w:rsid w:val="237C2E6E"/>
    <w:rsid w:val="240B2444"/>
    <w:rsid w:val="24137107"/>
    <w:rsid w:val="241412F8"/>
    <w:rsid w:val="242E7421"/>
    <w:rsid w:val="24CC27EB"/>
    <w:rsid w:val="24E53B28"/>
    <w:rsid w:val="25184C86"/>
    <w:rsid w:val="25372986"/>
    <w:rsid w:val="25394C40"/>
    <w:rsid w:val="256027EB"/>
    <w:rsid w:val="25760CE3"/>
    <w:rsid w:val="259B00BD"/>
    <w:rsid w:val="25B76063"/>
    <w:rsid w:val="25D32AED"/>
    <w:rsid w:val="25E5250A"/>
    <w:rsid w:val="261E35A3"/>
    <w:rsid w:val="26513373"/>
    <w:rsid w:val="265A320F"/>
    <w:rsid w:val="266B5687"/>
    <w:rsid w:val="26D81736"/>
    <w:rsid w:val="26FC4AB8"/>
    <w:rsid w:val="273B3040"/>
    <w:rsid w:val="276A122F"/>
    <w:rsid w:val="27C043B5"/>
    <w:rsid w:val="28025865"/>
    <w:rsid w:val="285919D0"/>
    <w:rsid w:val="289171D5"/>
    <w:rsid w:val="28976054"/>
    <w:rsid w:val="28D011FA"/>
    <w:rsid w:val="29CE3CF8"/>
    <w:rsid w:val="29D33558"/>
    <w:rsid w:val="29FA689B"/>
    <w:rsid w:val="29FF45A0"/>
    <w:rsid w:val="2A143825"/>
    <w:rsid w:val="2A2E0011"/>
    <w:rsid w:val="2A846D7C"/>
    <w:rsid w:val="2ADB2B70"/>
    <w:rsid w:val="2B1541E7"/>
    <w:rsid w:val="2B163BA8"/>
    <w:rsid w:val="2B571088"/>
    <w:rsid w:val="2C143D80"/>
    <w:rsid w:val="2C3E2BDD"/>
    <w:rsid w:val="2C4C0C9C"/>
    <w:rsid w:val="2CAC34BC"/>
    <w:rsid w:val="2D525D84"/>
    <w:rsid w:val="2DFF65AA"/>
    <w:rsid w:val="2E395380"/>
    <w:rsid w:val="2E41006F"/>
    <w:rsid w:val="2EEC31F1"/>
    <w:rsid w:val="2EF7419D"/>
    <w:rsid w:val="2F5B6B77"/>
    <w:rsid w:val="2F956542"/>
    <w:rsid w:val="2FA03E0F"/>
    <w:rsid w:val="30330D58"/>
    <w:rsid w:val="3046098A"/>
    <w:rsid w:val="305E5633"/>
    <w:rsid w:val="306C426A"/>
    <w:rsid w:val="3071362F"/>
    <w:rsid w:val="30895A2D"/>
    <w:rsid w:val="30F229C1"/>
    <w:rsid w:val="30F97172"/>
    <w:rsid w:val="31605BAF"/>
    <w:rsid w:val="31E55B89"/>
    <w:rsid w:val="31E81A6A"/>
    <w:rsid w:val="31EB2FAF"/>
    <w:rsid w:val="32252923"/>
    <w:rsid w:val="326F3B9E"/>
    <w:rsid w:val="327F6ED0"/>
    <w:rsid w:val="32E96DDF"/>
    <w:rsid w:val="3315277A"/>
    <w:rsid w:val="335A141B"/>
    <w:rsid w:val="336128CF"/>
    <w:rsid w:val="33D20888"/>
    <w:rsid w:val="34202321"/>
    <w:rsid w:val="345243A1"/>
    <w:rsid w:val="34563525"/>
    <w:rsid w:val="346408E5"/>
    <w:rsid w:val="347679D1"/>
    <w:rsid w:val="354F1926"/>
    <w:rsid w:val="355552CD"/>
    <w:rsid w:val="355D23D3"/>
    <w:rsid w:val="35A15BE5"/>
    <w:rsid w:val="35F1412C"/>
    <w:rsid w:val="36154BBA"/>
    <w:rsid w:val="361B0B4C"/>
    <w:rsid w:val="362903BC"/>
    <w:rsid w:val="36511F38"/>
    <w:rsid w:val="36525D05"/>
    <w:rsid w:val="367F5952"/>
    <w:rsid w:val="36A35073"/>
    <w:rsid w:val="36B722CC"/>
    <w:rsid w:val="377C7827"/>
    <w:rsid w:val="37B073B9"/>
    <w:rsid w:val="38370E25"/>
    <w:rsid w:val="384A1AF6"/>
    <w:rsid w:val="384F3C2F"/>
    <w:rsid w:val="38624702"/>
    <w:rsid w:val="38686121"/>
    <w:rsid w:val="38754708"/>
    <w:rsid w:val="38CC1D4A"/>
    <w:rsid w:val="39553AED"/>
    <w:rsid w:val="395A6317"/>
    <w:rsid w:val="398443D3"/>
    <w:rsid w:val="3A0E0140"/>
    <w:rsid w:val="3A1A2DF8"/>
    <w:rsid w:val="3A3A0FCC"/>
    <w:rsid w:val="3A5E1F81"/>
    <w:rsid w:val="3B42216A"/>
    <w:rsid w:val="3BA34EEB"/>
    <w:rsid w:val="3C3420E0"/>
    <w:rsid w:val="3C7B60AB"/>
    <w:rsid w:val="3C7C5835"/>
    <w:rsid w:val="3C886A25"/>
    <w:rsid w:val="3C8A1D00"/>
    <w:rsid w:val="3C8D359E"/>
    <w:rsid w:val="3C9608CA"/>
    <w:rsid w:val="3CAD4CD2"/>
    <w:rsid w:val="3CBB7CB3"/>
    <w:rsid w:val="3CF4186F"/>
    <w:rsid w:val="3D1005A2"/>
    <w:rsid w:val="3D504B04"/>
    <w:rsid w:val="3D5D7415"/>
    <w:rsid w:val="3D9077EA"/>
    <w:rsid w:val="3E4F3AEC"/>
    <w:rsid w:val="3E75253C"/>
    <w:rsid w:val="3EC15781"/>
    <w:rsid w:val="3EDE6333"/>
    <w:rsid w:val="3EF047E5"/>
    <w:rsid w:val="3FD07349"/>
    <w:rsid w:val="3FE10BA7"/>
    <w:rsid w:val="3FE7793D"/>
    <w:rsid w:val="3FF923E3"/>
    <w:rsid w:val="3FF951E8"/>
    <w:rsid w:val="4016208B"/>
    <w:rsid w:val="40BC26A4"/>
    <w:rsid w:val="40FB141E"/>
    <w:rsid w:val="4196196B"/>
    <w:rsid w:val="41B43398"/>
    <w:rsid w:val="41C872E7"/>
    <w:rsid w:val="42112D74"/>
    <w:rsid w:val="42194BC6"/>
    <w:rsid w:val="42B908BB"/>
    <w:rsid w:val="42CA03A0"/>
    <w:rsid w:val="432A1125"/>
    <w:rsid w:val="43382AAC"/>
    <w:rsid w:val="433D570F"/>
    <w:rsid w:val="438C3C06"/>
    <w:rsid w:val="438C45B0"/>
    <w:rsid w:val="43C04E6B"/>
    <w:rsid w:val="44224F14"/>
    <w:rsid w:val="44E5721A"/>
    <w:rsid w:val="44E91969"/>
    <w:rsid w:val="45196C78"/>
    <w:rsid w:val="45A51959"/>
    <w:rsid w:val="45AB0F97"/>
    <w:rsid w:val="460E39A2"/>
    <w:rsid w:val="4629258A"/>
    <w:rsid w:val="46713F31"/>
    <w:rsid w:val="46826BF3"/>
    <w:rsid w:val="46853538"/>
    <w:rsid w:val="46AF05B5"/>
    <w:rsid w:val="46C56C95"/>
    <w:rsid w:val="47291919"/>
    <w:rsid w:val="47A3011A"/>
    <w:rsid w:val="47DA236A"/>
    <w:rsid w:val="47DF38EE"/>
    <w:rsid w:val="47EA6784"/>
    <w:rsid w:val="48BB14A6"/>
    <w:rsid w:val="48E27218"/>
    <w:rsid w:val="48EA0C0D"/>
    <w:rsid w:val="49615088"/>
    <w:rsid w:val="49746212"/>
    <w:rsid w:val="498C10DF"/>
    <w:rsid w:val="499139ED"/>
    <w:rsid w:val="49F730C9"/>
    <w:rsid w:val="49FC4C5B"/>
    <w:rsid w:val="4A61575B"/>
    <w:rsid w:val="4A7D2EA4"/>
    <w:rsid w:val="4AEA4AAF"/>
    <w:rsid w:val="4AF92549"/>
    <w:rsid w:val="4B10647C"/>
    <w:rsid w:val="4B35552D"/>
    <w:rsid w:val="4B573C52"/>
    <w:rsid w:val="4B754B55"/>
    <w:rsid w:val="4B8702BE"/>
    <w:rsid w:val="4B8E7C95"/>
    <w:rsid w:val="4BB03837"/>
    <w:rsid w:val="4BFE6267"/>
    <w:rsid w:val="4C09416D"/>
    <w:rsid w:val="4C417F01"/>
    <w:rsid w:val="4C5E6928"/>
    <w:rsid w:val="4C80113D"/>
    <w:rsid w:val="4CAB7964"/>
    <w:rsid w:val="4CDB7659"/>
    <w:rsid w:val="4CFA776D"/>
    <w:rsid w:val="4D0553D3"/>
    <w:rsid w:val="4D297313"/>
    <w:rsid w:val="4D4920C2"/>
    <w:rsid w:val="4D897DB2"/>
    <w:rsid w:val="4DAC4B98"/>
    <w:rsid w:val="4E026539"/>
    <w:rsid w:val="4E077B10"/>
    <w:rsid w:val="4E16336A"/>
    <w:rsid w:val="4E41068C"/>
    <w:rsid w:val="4E633B92"/>
    <w:rsid w:val="4E6F51FA"/>
    <w:rsid w:val="4EC43B4B"/>
    <w:rsid w:val="4EC6619A"/>
    <w:rsid w:val="4F2951D5"/>
    <w:rsid w:val="4F352D1D"/>
    <w:rsid w:val="4F8647F4"/>
    <w:rsid w:val="4F911547"/>
    <w:rsid w:val="4F961996"/>
    <w:rsid w:val="4FBC5C6C"/>
    <w:rsid w:val="4FBF719F"/>
    <w:rsid w:val="502142D2"/>
    <w:rsid w:val="50940F47"/>
    <w:rsid w:val="50BF63A3"/>
    <w:rsid w:val="511432A7"/>
    <w:rsid w:val="514E3FCE"/>
    <w:rsid w:val="51EB2DE9"/>
    <w:rsid w:val="51F64AEC"/>
    <w:rsid w:val="52470AAC"/>
    <w:rsid w:val="52DA0198"/>
    <w:rsid w:val="52DC2128"/>
    <w:rsid w:val="52F66570"/>
    <w:rsid w:val="53693EA0"/>
    <w:rsid w:val="54331D94"/>
    <w:rsid w:val="543C5B7E"/>
    <w:rsid w:val="544E0320"/>
    <w:rsid w:val="54A17506"/>
    <w:rsid w:val="54DC2EBD"/>
    <w:rsid w:val="5504213E"/>
    <w:rsid w:val="5538633F"/>
    <w:rsid w:val="564C54A9"/>
    <w:rsid w:val="56617B1E"/>
    <w:rsid w:val="573D1198"/>
    <w:rsid w:val="57660D0A"/>
    <w:rsid w:val="57BE0A6D"/>
    <w:rsid w:val="57E8163C"/>
    <w:rsid w:val="57FA6696"/>
    <w:rsid w:val="57FC04FF"/>
    <w:rsid w:val="584C66F6"/>
    <w:rsid w:val="58E10AA2"/>
    <w:rsid w:val="58E3535C"/>
    <w:rsid w:val="59070609"/>
    <w:rsid w:val="59751EBC"/>
    <w:rsid w:val="59811127"/>
    <w:rsid w:val="59835FFD"/>
    <w:rsid w:val="59A815C0"/>
    <w:rsid w:val="59B612D3"/>
    <w:rsid w:val="59EB3D5E"/>
    <w:rsid w:val="5A3B68D8"/>
    <w:rsid w:val="5A96263C"/>
    <w:rsid w:val="5AE00D43"/>
    <w:rsid w:val="5B09785F"/>
    <w:rsid w:val="5B1E5FDD"/>
    <w:rsid w:val="5B306813"/>
    <w:rsid w:val="5B3B0B27"/>
    <w:rsid w:val="5B6805AB"/>
    <w:rsid w:val="5B7C4AB2"/>
    <w:rsid w:val="5BA5225B"/>
    <w:rsid w:val="5C381321"/>
    <w:rsid w:val="5CDB38B2"/>
    <w:rsid w:val="5D973E25"/>
    <w:rsid w:val="5DB5674A"/>
    <w:rsid w:val="5DC32E6C"/>
    <w:rsid w:val="5E1D6F42"/>
    <w:rsid w:val="5E6E250B"/>
    <w:rsid w:val="5E7B6DDF"/>
    <w:rsid w:val="5E8014F0"/>
    <w:rsid w:val="5EA07AA3"/>
    <w:rsid w:val="5ECC7D70"/>
    <w:rsid w:val="5ECE61CF"/>
    <w:rsid w:val="5EFF1C82"/>
    <w:rsid w:val="5F13572D"/>
    <w:rsid w:val="5F6A4A67"/>
    <w:rsid w:val="5F93686E"/>
    <w:rsid w:val="600339F4"/>
    <w:rsid w:val="6065020A"/>
    <w:rsid w:val="606C1354"/>
    <w:rsid w:val="607B5C80"/>
    <w:rsid w:val="60C220B9"/>
    <w:rsid w:val="60C767CF"/>
    <w:rsid w:val="61251748"/>
    <w:rsid w:val="61E752E4"/>
    <w:rsid w:val="621C0D9D"/>
    <w:rsid w:val="622F5243"/>
    <w:rsid w:val="62AB6CDD"/>
    <w:rsid w:val="630B32EB"/>
    <w:rsid w:val="63211123"/>
    <w:rsid w:val="634E142A"/>
    <w:rsid w:val="63544033"/>
    <w:rsid w:val="6377272F"/>
    <w:rsid w:val="63772DB4"/>
    <w:rsid w:val="63892FA5"/>
    <w:rsid w:val="63B42C4A"/>
    <w:rsid w:val="63C93FB1"/>
    <w:rsid w:val="641B16E1"/>
    <w:rsid w:val="642D6D2D"/>
    <w:rsid w:val="643F33D7"/>
    <w:rsid w:val="644B1C6A"/>
    <w:rsid w:val="64BE613B"/>
    <w:rsid w:val="64C53799"/>
    <w:rsid w:val="64C708FC"/>
    <w:rsid w:val="64D64874"/>
    <w:rsid w:val="65501489"/>
    <w:rsid w:val="65B31A18"/>
    <w:rsid w:val="65C02367"/>
    <w:rsid w:val="65F0031D"/>
    <w:rsid w:val="660D28EF"/>
    <w:rsid w:val="66DE5151"/>
    <w:rsid w:val="672C0174"/>
    <w:rsid w:val="674236BA"/>
    <w:rsid w:val="67675347"/>
    <w:rsid w:val="676F1B28"/>
    <w:rsid w:val="67875AB5"/>
    <w:rsid w:val="679C316D"/>
    <w:rsid w:val="679E240E"/>
    <w:rsid w:val="682E06F1"/>
    <w:rsid w:val="68AE5A6D"/>
    <w:rsid w:val="68BF5E47"/>
    <w:rsid w:val="69232A11"/>
    <w:rsid w:val="69603C65"/>
    <w:rsid w:val="697E5F7D"/>
    <w:rsid w:val="69975E68"/>
    <w:rsid w:val="69E252A4"/>
    <w:rsid w:val="69FC1E52"/>
    <w:rsid w:val="6A246A40"/>
    <w:rsid w:val="6A502AF1"/>
    <w:rsid w:val="6A711327"/>
    <w:rsid w:val="6AA656A7"/>
    <w:rsid w:val="6ACB5AC8"/>
    <w:rsid w:val="6B0D1787"/>
    <w:rsid w:val="6B5F609C"/>
    <w:rsid w:val="6B647909"/>
    <w:rsid w:val="6B7A40E4"/>
    <w:rsid w:val="6B947BF0"/>
    <w:rsid w:val="6BDD334B"/>
    <w:rsid w:val="6BE24F6A"/>
    <w:rsid w:val="6BF109BE"/>
    <w:rsid w:val="6C1C5C06"/>
    <w:rsid w:val="6C355D54"/>
    <w:rsid w:val="6C405821"/>
    <w:rsid w:val="6C6D0B73"/>
    <w:rsid w:val="6C7C0658"/>
    <w:rsid w:val="6CB55C73"/>
    <w:rsid w:val="6CBF7D74"/>
    <w:rsid w:val="6D002F63"/>
    <w:rsid w:val="6D151F3F"/>
    <w:rsid w:val="6DA5433C"/>
    <w:rsid w:val="6DCA59B4"/>
    <w:rsid w:val="6E4A6704"/>
    <w:rsid w:val="6E6B7334"/>
    <w:rsid w:val="6E776E55"/>
    <w:rsid w:val="6E7D028F"/>
    <w:rsid w:val="6ECE1671"/>
    <w:rsid w:val="6EDC1FE0"/>
    <w:rsid w:val="6EFB2331"/>
    <w:rsid w:val="6F393B8A"/>
    <w:rsid w:val="6FB92695"/>
    <w:rsid w:val="6FFB6495"/>
    <w:rsid w:val="70553DF8"/>
    <w:rsid w:val="706758D9"/>
    <w:rsid w:val="70E73392"/>
    <w:rsid w:val="70F457AE"/>
    <w:rsid w:val="70F961C1"/>
    <w:rsid w:val="711E4002"/>
    <w:rsid w:val="71991D6D"/>
    <w:rsid w:val="71A420D7"/>
    <w:rsid w:val="71B72890"/>
    <w:rsid w:val="720F1517"/>
    <w:rsid w:val="72EA3A76"/>
    <w:rsid w:val="72FB48EE"/>
    <w:rsid w:val="73397A01"/>
    <w:rsid w:val="734868A5"/>
    <w:rsid w:val="73840550"/>
    <w:rsid w:val="73EF07D9"/>
    <w:rsid w:val="740C55CD"/>
    <w:rsid w:val="74253B04"/>
    <w:rsid w:val="743C4CEA"/>
    <w:rsid w:val="74604B19"/>
    <w:rsid w:val="74C4779E"/>
    <w:rsid w:val="74C55A2F"/>
    <w:rsid w:val="74DA2B1D"/>
    <w:rsid w:val="74F3598D"/>
    <w:rsid w:val="74F71921"/>
    <w:rsid w:val="750951B1"/>
    <w:rsid w:val="751F7DD4"/>
    <w:rsid w:val="75A24063"/>
    <w:rsid w:val="75A95892"/>
    <w:rsid w:val="75B55C07"/>
    <w:rsid w:val="75B570E6"/>
    <w:rsid w:val="75C86E53"/>
    <w:rsid w:val="75F33242"/>
    <w:rsid w:val="762322A2"/>
    <w:rsid w:val="766F3739"/>
    <w:rsid w:val="76BB13D7"/>
    <w:rsid w:val="76F672B1"/>
    <w:rsid w:val="76FB1F6E"/>
    <w:rsid w:val="7728037B"/>
    <w:rsid w:val="7742049C"/>
    <w:rsid w:val="77765AD7"/>
    <w:rsid w:val="778F5328"/>
    <w:rsid w:val="77D9322D"/>
    <w:rsid w:val="780F6F82"/>
    <w:rsid w:val="782A5B6A"/>
    <w:rsid w:val="787279DC"/>
    <w:rsid w:val="78CC7F1A"/>
    <w:rsid w:val="793D4148"/>
    <w:rsid w:val="7992208B"/>
    <w:rsid w:val="7A796645"/>
    <w:rsid w:val="7AAC6D0A"/>
    <w:rsid w:val="7AB71CD1"/>
    <w:rsid w:val="7AB94F83"/>
    <w:rsid w:val="7AC03CE6"/>
    <w:rsid w:val="7BC63DFB"/>
    <w:rsid w:val="7C167C6D"/>
    <w:rsid w:val="7C460A98"/>
    <w:rsid w:val="7C801CAB"/>
    <w:rsid w:val="7CAA04DB"/>
    <w:rsid w:val="7CBC0D5A"/>
    <w:rsid w:val="7D05458C"/>
    <w:rsid w:val="7D093F07"/>
    <w:rsid w:val="7D151ACA"/>
    <w:rsid w:val="7D603DDC"/>
    <w:rsid w:val="7D860C2E"/>
    <w:rsid w:val="7DFC6C46"/>
    <w:rsid w:val="7E0E3838"/>
    <w:rsid w:val="7E1C5C65"/>
    <w:rsid w:val="7E4709BA"/>
    <w:rsid w:val="7FCF0A6D"/>
    <w:rsid w:val="B7D940A4"/>
    <w:rsid w:val="DAA90370"/>
    <w:rsid w:val="F49D4A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iPriority="99" w:semiHidden="0" w:name="index 2"/>
    <w:lsdException w:qFormat="1" w:uiPriority="0" w:semiHidden="0" w:name="index 3"/>
    <w:lsdException w:qFormat="1" w:uiPriority="0"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iPriority="99" w:semiHidden="0" w:name="index heading"/>
    <w:lsdException w:qFormat="1" w:unhideWhenUsed="0" w:uiPriority="0" w:semiHidden="0" w:name="caption"/>
    <w:lsdException w:qFormat="1" w:uiPriority="99" w:semiHidden="0" w:name="table of figures"/>
    <w:lsdException w:qFormat="1" w:uiPriority="99" w:semiHidden="0" w:name="envelope address"/>
    <w:lsdException w:qFormat="1"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0" w:semiHidden="0" w:name="page number"/>
    <w:lsdException w:qFormat="1" w:uiPriority="99" w:semiHidden="0" w:name="endnote reference"/>
    <w:lsdException w:qFormat="1" w:uiPriority="0" w:semiHidden="0" w:name="endnote text"/>
    <w:lsdException w:qFormat="1" w:uiPriority="99" w:semiHidden="0" w:name="table of authorities"/>
    <w:lsdException w:qFormat="1" w:uiPriority="99" w:semiHidden="0" w:name="macro"/>
    <w:lsdException w:qFormat="1" w:unhideWhenUsed="0" w:uiPriority="0" w:semiHidden="0" w:name="toa heading"/>
    <w:lsdException w:qFormat="1" w:unhideWhenUsed="0" w:uiPriority="79" w:semiHidden="0" w:name="List"/>
    <w:lsdException w:qFormat="1" w:unhideWhenUsed="0" w:uiPriority="78" w:semiHidden="0" w:name="List Bullet"/>
    <w:lsdException w:qFormat="1" w:unhideWhenUsed="0" w:uiPriority="78" w:semiHidden="0" w:name="List Number"/>
    <w:lsdException w:qFormat="1" w:unhideWhenUsed="0" w:uiPriority="79" w:semiHidden="0" w:name="List 2"/>
    <w:lsdException w:qFormat="1" w:uiPriority="79" w:semiHidden="0" w:name="List 3"/>
    <w:lsdException w:qFormat="1" w:uiPriority="79" w:semiHidden="0" w:name="List 4"/>
    <w:lsdException w:qFormat="1" w:uiPriority="79" w:semiHidden="0" w:name="List 5"/>
    <w:lsdException w:qFormat="1" w:unhideWhenUsed="0" w:uiPriority="78" w:semiHidden="0" w:name="List Bullet 2"/>
    <w:lsdException w:qFormat="1" w:uiPriority="78" w:semiHidden="0" w:name="List Bullet 3"/>
    <w:lsdException w:qFormat="1" w:uiPriority="78" w:semiHidden="0" w:name="List Bullet 4"/>
    <w:lsdException w:qFormat="1" w:uiPriority="78" w:semiHidden="0" w:name="List Bullet 5"/>
    <w:lsdException w:qFormat="1" w:unhideWhenUsed="0" w:uiPriority="78" w:semiHidden="0" w:name="List Number 2"/>
    <w:lsdException w:qFormat="1" w:uiPriority="78" w:semiHidden="0" w:name="List Number 3"/>
    <w:lsdException w:qFormat="1" w:uiPriority="78" w:semiHidden="0" w:name="List Number 4"/>
    <w:lsdException w:qFormat="1" w:uiPriority="78" w:semiHidden="0" w:name="List Number 5"/>
    <w:lsdException w:qFormat="1" w:unhideWhenUsed="0" w:uiPriority="0" w:semiHidden="0" w:name="Title"/>
    <w:lsdException w:qFormat="1" w:uiPriority="99" w:semiHidden="0" w:name="Closing"/>
    <w:lsdException w:qFormat="1" w:uiPriority="99"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qFormat="1" w:unhideWhenUsed="0" w:uiPriority="80" w:semiHidden="0" w:name="List Continue"/>
    <w:lsdException w:qFormat="1" w:unhideWhenUsed="0" w:uiPriority="0" w:semiHidden="0" w:name="List Continue 2"/>
    <w:lsdException w:qFormat="1" w:uiPriority="80" w:semiHidden="0" w:name="List Continue 3"/>
    <w:lsdException w:qFormat="1" w:uiPriority="80" w:semiHidden="0" w:name="List Continue 4"/>
    <w:lsdException w:qFormat="1" w:uiPriority="80" w:semiHidden="0" w:name="List Continue 5"/>
    <w:lsdException w:unhideWhenUsed="0" w:uiPriority="0" w:semiHidden="0" w:name="Message Header"/>
    <w:lsdException w:qFormat="1" w:unhideWhenUsed="0" w:uiPriority="0" w:semiHidden="0" w:name="Subtitle"/>
    <w:lsdException w:qFormat="1" w:uiPriority="0" w:semiHidden="0"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iPriority="99" w:semiHidden="0" w:name="E-mail Signature"/>
    <w:lsdException w:qFormat="1" w:unhideWhenUsed="0" w:uiPriority="99" w:semiHidden="0" w:name="Normal (Web)"/>
    <w:lsdException w:qFormat="1" w:uiPriority="99" w:semiHidden="0" w:name="HTML Acronym"/>
    <w:lsdException w:qFormat="1" w:uiPriority="99" w:semiHidden="0"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15"/>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114"/>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99"/>
    <w:qFormat/>
    <w:uiPriority w:val="0"/>
    <w:pPr>
      <w:keepNext/>
      <w:keepLines/>
      <w:spacing w:before="260" w:after="260" w:line="416" w:lineRule="auto"/>
      <w:outlineLvl w:val="2"/>
    </w:pPr>
    <w:rPr>
      <w:b/>
      <w:bCs/>
      <w:sz w:val="32"/>
      <w:szCs w:val="32"/>
    </w:rPr>
  </w:style>
  <w:style w:type="paragraph" w:styleId="6">
    <w:name w:val="heading 4"/>
    <w:basedOn w:val="1"/>
    <w:next w:val="1"/>
    <w:link w:val="176"/>
    <w:unhideWhenUsed/>
    <w:qFormat/>
    <w:uiPriority w:val="0"/>
    <w:pPr>
      <w:keepNext/>
      <w:keepLines/>
      <w:widowControl/>
      <w:spacing w:before="80" w:line="288" w:lineRule="auto"/>
      <w:jc w:val="left"/>
      <w:outlineLvl w:val="3"/>
    </w:pPr>
    <w:rPr>
      <w:rFonts w:ascii="Calibri Light" w:hAnsi="Calibri Light"/>
      <w:color w:val="70AD47"/>
      <w:kern w:val="0"/>
      <w:sz w:val="22"/>
      <w:szCs w:val="22"/>
    </w:rPr>
  </w:style>
  <w:style w:type="paragraph" w:styleId="7">
    <w:name w:val="heading 5"/>
    <w:basedOn w:val="1"/>
    <w:next w:val="1"/>
    <w:link w:val="177"/>
    <w:unhideWhenUsed/>
    <w:qFormat/>
    <w:uiPriority w:val="0"/>
    <w:pPr>
      <w:keepNext/>
      <w:keepLines/>
      <w:widowControl/>
      <w:spacing w:before="40" w:line="288" w:lineRule="auto"/>
      <w:jc w:val="left"/>
      <w:outlineLvl w:val="4"/>
    </w:pPr>
    <w:rPr>
      <w:rFonts w:ascii="Calibri Light" w:hAnsi="Calibri Light"/>
      <w:i/>
      <w:iCs/>
      <w:color w:val="70AD47"/>
      <w:kern w:val="0"/>
      <w:sz w:val="22"/>
      <w:szCs w:val="22"/>
    </w:rPr>
  </w:style>
  <w:style w:type="paragraph" w:styleId="8">
    <w:name w:val="heading 6"/>
    <w:basedOn w:val="1"/>
    <w:next w:val="1"/>
    <w:link w:val="178"/>
    <w:unhideWhenUsed/>
    <w:qFormat/>
    <w:uiPriority w:val="0"/>
    <w:pPr>
      <w:keepNext/>
      <w:keepLines/>
      <w:widowControl/>
      <w:spacing w:before="40" w:line="288" w:lineRule="auto"/>
      <w:jc w:val="left"/>
      <w:outlineLvl w:val="5"/>
    </w:pPr>
    <w:rPr>
      <w:rFonts w:ascii="Calibri Light" w:hAnsi="Calibri Light"/>
      <w:color w:val="70AD47"/>
      <w:kern w:val="0"/>
      <w:szCs w:val="21"/>
    </w:rPr>
  </w:style>
  <w:style w:type="paragraph" w:styleId="9">
    <w:name w:val="heading 7"/>
    <w:basedOn w:val="1"/>
    <w:next w:val="1"/>
    <w:link w:val="179"/>
    <w:unhideWhenUsed/>
    <w:qFormat/>
    <w:uiPriority w:val="0"/>
    <w:pPr>
      <w:keepNext/>
      <w:keepLines/>
      <w:widowControl/>
      <w:spacing w:before="40" w:line="288" w:lineRule="auto"/>
      <w:jc w:val="left"/>
      <w:outlineLvl w:val="6"/>
    </w:pPr>
    <w:rPr>
      <w:rFonts w:ascii="Calibri Light" w:hAnsi="Calibri Light"/>
      <w:b/>
      <w:bCs/>
      <w:color w:val="70AD47"/>
      <w:kern w:val="0"/>
      <w:szCs w:val="21"/>
    </w:rPr>
  </w:style>
  <w:style w:type="paragraph" w:styleId="10">
    <w:name w:val="heading 8"/>
    <w:basedOn w:val="1"/>
    <w:next w:val="1"/>
    <w:link w:val="180"/>
    <w:unhideWhenUsed/>
    <w:qFormat/>
    <w:uiPriority w:val="0"/>
    <w:pPr>
      <w:keepNext/>
      <w:keepLines/>
      <w:widowControl/>
      <w:spacing w:before="40" w:line="288" w:lineRule="auto"/>
      <w:jc w:val="left"/>
      <w:outlineLvl w:val="7"/>
    </w:pPr>
    <w:rPr>
      <w:rFonts w:ascii="Calibri Light" w:hAnsi="Calibri Light"/>
      <w:b/>
      <w:bCs/>
      <w:i/>
      <w:iCs/>
      <w:color w:val="70AD47"/>
      <w:kern w:val="0"/>
      <w:sz w:val="20"/>
    </w:rPr>
  </w:style>
  <w:style w:type="paragraph" w:styleId="11">
    <w:name w:val="heading 9"/>
    <w:basedOn w:val="1"/>
    <w:next w:val="1"/>
    <w:link w:val="181"/>
    <w:unhideWhenUsed/>
    <w:qFormat/>
    <w:uiPriority w:val="0"/>
    <w:pPr>
      <w:keepNext/>
      <w:keepLines/>
      <w:widowControl/>
      <w:spacing w:before="40" w:line="288" w:lineRule="auto"/>
      <w:jc w:val="left"/>
      <w:outlineLvl w:val="8"/>
    </w:pPr>
    <w:rPr>
      <w:rFonts w:ascii="Calibri Light" w:hAnsi="Calibri Light"/>
      <w:i/>
      <w:iCs/>
      <w:color w:val="70AD47"/>
      <w:kern w:val="0"/>
      <w:sz w:val="20"/>
    </w:rPr>
  </w:style>
  <w:style w:type="character" w:default="1" w:styleId="84">
    <w:name w:val="Default Paragraph Font"/>
    <w:semiHidden/>
    <w:unhideWhenUsed/>
    <w:qFormat/>
    <w:uiPriority w:val="1"/>
  </w:style>
  <w:style w:type="table" w:default="1" w:styleId="82">
    <w:name w:val="Normal Table"/>
    <w:semiHidden/>
    <w:unhideWhenUsed/>
    <w:qFormat/>
    <w:uiPriority w:val="99"/>
    <w:tblPr>
      <w:tblCellMar>
        <w:top w:w="0" w:type="dxa"/>
        <w:left w:w="108" w:type="dxa"/>
        <w:bottom w:w="0" w:type="dxa"/>
        <w:right w:w="108" w:type="dxa"/>
      </w:tblCellMar>
    </w:tblPr>
  </w:style>
  <w:style w:type="paragraph" w:styleId="2">
    <w:name w:val="macro"/>
    <w:basedOn w:val="1"/>
    <w:link w:val="264"/>
    <w:unhideWhenUsed/>
    <w:qFormat/>
    <w:uiPriority w:val="99"/>
    <w:pPr>
      <w:tabs>
        <w:tab w:val="left" w:pos="480"/>
        <w:tab w:val="left" w:pos="960"/>
        <w:tab w:val="left" w:pos="1440"/>
        <w:tab w:val="left" w:pos="1920"/>
        <w:tab w:val="left" w:pos="2400"/>
        <w:tab w:val="left" w:pos="2880"/>
        <w:tab w:val="left" w:pos="3360"/>
        <w:tab w:val="left" w:pos="3840"/>
        <w:tab w:val="left" w:pos="4320"/>
      </w:tabs>
      <w:spacing w:after="160"/>
    </w:pPr>
    <w:rPr>
      <w:rFonts w:ascii="Consolas" w:hAnsi="Consolas" w:cs="Consolas"/>
    </w:rPr>
  </w:style>
  <w:style w:type="paragraph" w:styleId="12">
    <w:name w:val="List 3"/>
    <w:basedOn w:val="13"/>
    <w:unhideWhenUsed/>
    <w:qFormat/>
    <w:uiPriority w:val="79"/>
    <w:pPr>
      <w:tabs>
        <w:tab w:val="left" w:pos="1275"/>
      </w:tabs>
      <w:ind w:left="1275" w:hanging="425"/>
    </w:pPr>
    <w:rPr>
      <w:rFonts w:eastAsia="宋体"/>
      <w:sz w:val="21"/>
    </w:rPr>
  </w:style>
  <w:style w:type="paragraph" w:styleId="13">
    <w:name w:val="List 2"/>
    <w:basedOn w:val="1"/>
    <w:qFormat/>
    <w:uiPriority w:val="79"/>
    <w:pPr>
      <w:spacing w:after="160"/>
      <w:ind w:left="840" w:hanging="420"/>
    </w:pPr>
    <w:rPr>
      <w:rFonts w:eastAsia="楷体_GB2312"/>
      <w:sz w:val="32"/>
    </w:rPr>
  </w:style>
  <w:style w:type="paragraph" w:styleId="14">
    <w:name w:val="List Number 2"/>
    <w:basedOn w:val="15"/>
    <w:qFormat/>
    <w:uiPriority w:val="78"/>
    <w:pPr>
      <w:numPr>
        <w:ilvl w:val="1"/>
      </w:numPr>
      <w:tabs>
        <w:tab w:val="left" w:pos="425"/>
      </w:tabs>
    </w:pPr>
  </w:style>
  <w:style w:type="paragraph" w:styleId="15">
    <w:name w:val="List Number"/>
    <w:basedOn w:val="1"/>
    <w:qFormat/>
    <w:uiPriority w:val="78"/>
    <w:pPr>
      <w:numPr>
        <w:ilvl w:val="0"/>
        <w:numId w:val="1"/>
      </w:numPr>
      <w:spacing w:after="160"/>
    </w:pPr>
  </w:style>
  <w:style w:type="paragraph" w:styleId="16">
    <w:name w:val="table of authorities"/>
    <w:basedOn w:val="1"/>
    <w:next w:val="1"/>
    <w:unhideWhenUsed/>
    <w:qFormat/>
    <w:uiPriority w:val="99"/>
    <w:pPr>
      <w:spacing w:after="160"/>
      <w:ind w:left="200" w:hanging="200"/>
    </w:pPr>
  </w:style>
  <w:style w:type="paragraph" w:styleId="17">
    <w:name w:val="List Bullet 4"/>
    <w:basedOn w:val="18"/>
    <w:unhideWhenUsed/>
    <w:qFormat/>
    <w:uiPriority w:val="78"/>
    <w:pPr>
      <w:numPr>
        <w:ilvl w:val="3"/>
      </w:numPr>
      <w:tabs>
        <w:tab w:val="left" w:pos="425"/>
      </w:tabs>
    </w:pPr>
  </w:style>
  <w:style w:type="paragraph" w:styleId="18">
    <w:name w:val="List Bullet 3"/>
    <w:basedOn w:val="19"/>
    <w:unhideWhenUsed/>
    <w:qFormat/>
    <w:uiPriority w:val="78"/>
    <w:pPr>
      <w:numPr>
        <w:ilvl w:val="2"/>
      </w:numPr>
      <w:tabs>
        <w:tab w:val="left" w:pos="425"/>
      </w:tabs>
    </w:pPr>
  </w:style>
  <w:style w:type="paragraph" w:styleId="19">
    <w:name w:val="List Bullet 2"/>
    <w:basedOn w:val="20"/>
    <w:qFormat/>
    <w:uiPriority w:val="78"/>
    <w:pPr>
      <w:numPr>
        <w:ilvl w:val="1"/>
      </w:numPr>
      <w:tabs>
        <w:tab w:val="left" w:pos="425"/>
      </w:tabs>
    </w:pPr>
  </w:style>
  <w:style w:type="paragraph" w:styleId="20">
    <w:name w:val="List Bullet"/>
    <w:basedOn w:val="1"/>
    <w:qFormat/>
    <w:uiPriority w:val="78"/>
    <w:pPr>
      <w:numPr>
        <w:ilvl w:val="0"/>
        <w:numId w:val="2"/>
      </w:numPr>
      <w:spacing w:after="160"/>
    </w:pPr>
  </w:style>
  <w:style w:type="paragraph" w:styleId="21">
    <w:name w:val="index 8"/>
    <w:basedOn w:val="22"/>
    <w:next w:val="1"/>
    <w:unhideWhenUsed/>
    <w:qFormat/>
    <w:uiPriority w:val="99"/>
    <w:pPr>
      <w:tabs>
        <w:tab w:val="right" w:leader="dot" w:pos="4394"/>
      </w:tabs>
      <w:spacing w:after="160"/>
      <w:ind w:left="1984" w:hanging="992"/>
    </w:pPr>
    <w:rPr>
      <w:sz w:val="16"/>
      <w:szCs w:val="16"/>
    </w:rPr>
  </w:style>
  <w:style w:type="paragraph" w:styleId="22">
    <w:name w:val="index 1"/>
    <w:basedOn w:val="1"/>
    <w:next w:val="1"/>
    <w:qFormat/>
    <w:uiPriority w:val="0"/>
    <w:rPr>
      <w:sz w:val="24"/>
      <w:szCs w:val="24"/>
    </w:rPr>
  </w:style>
  <w:style w:type="paragraph" w:styleId="23">
    <w:name w:val="E-mail Signature"/>
    <w:basedOn w:val="1"/>
    <w:link w:val="265"/>
    <w:unhideWhenUsed/>
    <w:qFormat/>
    <w:uiPriority w:val="99"/>
    <w:pPr>
      <w:spacing w:after="160"/>
    </w:pPr>
  </w:style>
  <w:style w:type="paragraph" w:styleId="24">
    <w:name w:val="Normal Indent"/>
    <w:basedOn w:val="1"/>
    <w:link w:val="298"/>
    <w:qFormat/>
    <w:uiPriority w:val="0"/>
    <w:pPr>
      <w:widowControl/>
      <w:spacing w:after="200" w:line="288" w:lineRule="auto"/>
      <w:ind w:firstLine="420"/>
      <w:jc w:val="left"/>
    </w:pPr>
    <w:rPr>
      <w:rFonts w:ascii="等线" w:hAnsi="等线" w:eastAsia="等线"/>
      <w:kern w:val="0"/>
      <w:szCs w:val="21"/>
    </w:rPr>
  </w:style>
  <w:style w:type="paragraph" w:styleId="25">
    <w:name w:val="caption"/>
    <w:basedOn w:val="1"/>
    <w:next w:val="1"/>
    <w:qFormat/>
    <w:uiPriority w:val="0"/>
    <w:pPr>
      <w:spacing w:before="152" w:after="160"/>
    </w:pPr>
    <w:rPr>
      <w:rFonts w:ascii="Arial" w:hAnsi="Arial" w:eastAsia="黑体" w:cs="Arial"/>
      <w:sz w:val="20"/>
    </w:rPr>
  </w:style>
  <w:style w:type="paragraph" w:styleId="26">
    <w:name w:val="index 5"/>
    <w:basedOn w:val="22"/>
    <w:next w:val="1"/>
    <w:unhideWhenUsed/>
    <w:qFormat/>
    <w:uiPriority w:val="99"/>
    <w:pPr>
      <w:tabs>
        <w:tab w:val="right" w:leader="dot" w:pos="4394"/>
      </w:tabs>
      <w:spacing w:after="160"/>
      <w:ind w:left="1134" w:hanging="567"/>
    </w:pPr>
    <w:rPr>
      <w:sz w:val="16"/>
      <w:szCs w:val="16"/>
    </w:rPr>
  </w:style>
  <w:style w:type="paragraph" w:styleId="27">
    <w:name w:val="envelope address"/>
    <w:basedOn w:val="1"/>
    <w:unhideWhenUsed/>
    <w:qFormat/>
    <w:uiPriority w:val="99"/>
    <w:pPr>
      <w:framePr w:w="4320" w:h="2160" w:hRule="exact" w:hSpace="141" w:wrap="around" w:vAnchor="margin" w:hAnchor="page" w:xAlign="center" w:yAlign="bottom"/>
      <w:spacing w:after="160"/>
      <w:ind w:left="1"/>
    </w:pPr>
    <w:rPr>
      <w:rFonts w:ascii="Arial" w:hAnsi="Arial" w:eastAsia="Arial Unicode MS" w:cs="Arial"/>
    </w:rPr>
  </w:style>
  <w:style w:type="paragraph" w:styleId="28">
    <w:name w:val="Document Map"/>
    <w:basedOn w:val="1"/>
    <w:link w:val="109"/>
    <w:qFormat/>
    <w:uiPriority w:val="0"/>
    <w:pPr>
      <w:shd w:val="clear" w:color="auto" w:fill="000080"/>
    </w:pPr>
    <w:rPr>
      <w:sz w:val="24"/>
      <w:szCs w:val="24"/>
    </w:rPr>
  </w:style>
  <w:style w:type="paragraph" w:styleId="29">
    <w:name w:val="toa heading"/>
    <w:basedOn w:val="1"/>
    <w:next w:val="1"/>
    <w:qFormat/>
    <w:uiPriority w:val="0"/>
    <w:pPr>
      <w:spacing w:before="120"/>
    </w:pPr>
    <w:rPr>
      <w:rFonts w:ascii="Arial" w:hAnsi="Arial" w:cs="Arial"/>
      <w:sz w:val="24"/>
      <w:szCs w:val="24"/>
    </w:rPr>
  </w:style>
  <w:style w:type="paragraph" w:styleId="30">
    <w:name w:val="annotation text"/>
    <w:basedOn w:val="1"/>
    <w:link w:val="105"/>
    <w:qFormat/>
    <w:uiPriority w:val="99"/>
    <w:pPr>
      <w:jc w:val="left"/>
    </w:pPr>
  </w:style>
  <w:style w:type="paragraph" w:styleId="31">
    <w:name w:val="index 6"/>
    <w:basedOn w:val="22"/>
    <w:next w:val="1"/>
    <w:unhideWhenUsed/>
    <w:qFormat/>
    <w:uiPriority w:val="99"/>
    <w:pPr>
      <w:tabs>
        <w:tab w:val="right" w:leader="dot" w:pos="4394"/>
      </w:tabs>
      <w:spacing w:after="160"/>
      <w:ind w:left="1418" w:hanging="709"/>
    </w:pPr>
    <w:rPr>
      <w:sz w:val="16"/>
      <w:szCs w:val="16"/>
    </w:rPr>
  </w:style>
  <w:style w:type="paragraph" w:styleId="32">
    <w:name w:val="Salutation"/>
    <w:basedOn w:val="1"/>
    <w:next w:val="1"/>
    <w:link w:val="345"/>
    <w:unhideWhenUsed/>
    <w:qFormat/>
    <w:uiPriority w:val="0"/>
    <w:pPr>
      <w:spacing w:after="160"/>
    </w:pPr>
  </w:style>
  <w:style w:type="paragraph" w:styleId="33">
    <w:name w:val="Body Text 3"/>
    <w:basedOn w:val="1"/>
    <w:link w:val="187"/>
    <w:qFormat/>
    <w:uiPriority w:val="0"/>
    <w:pPr>
      <w:widowControl/>
      <w:spacing w:after="200" w:line="360" w:lineRule="auto"/>
      <w:jc w:val="left"/>
    </w:pPr>
    <w:rPr>
      <w:rFonts w:ascii="等线" w:hAnsi="等线" w:eastAsia="等线"/>
      <w:kern w:val="0"/>
      <w:sz w:val="24"/>
    </w:rPr>
  </w:style>
  <w:style w:type="paragraph" w:styleId="34">
    <w:name w:val="Closing"/>
    <w:basedOn w:val="1"/>
    <w:link w:val="267"/>
    <w:unhideWhenUsed/>
    <w:qFormat/>
    <w:uiPriority w:val="99"/>
    <w:pPr>
      <w:spacing w:after="160"/>
      <w:ind w:left="4252"/>
    </w:pPr>
  </w:style>
  <w:style w:type="paragraph" w:styleId="35">
    <w:name w:val="Body Text"/>
    <w:basedOn w:val="1"/>
    <w:link w:val="246"/>
    <w:qFormat/>
    <w:uiPriority w:val="1"/>
    <w:rPr>
      <w:rFonts w:ascii="仿宋_GB2312" w:eastAsia="仿宋_GB2312"/>
      <w:sz w:val="32"/>
    </w:rPr>
  </w:style>
  <w:style w:type="paragraph" w:styleId="36">
    <w:name w:val="Body Text Indent"/>
    <w:basedOn w:val="1"/>
    <w:link w:val="170"/>
    <w:qFormat/>
    <w:uiPriority w:val="0"/>
    <w:pPr>
      <w:spacing w:after="120"/>
      <w:ind w:left="420" w:leftChars="200"/>
    </w:pPr>
  </w:style>
  <w:style w:type="paragraph" w:styleId="37">
    <w:name w:val="List Number 3"/>
    <w:basedOn w:val="14"/>
    <w:unhideWhenUsed/>
    <w:qFormat/>
    <w:uiPriority w:val="78"/>
    <w:pPr>
      <w:numPr>
        <w:ilvl w:val="2"/>
      </w:numPr>
    </w:pPr>
  </w:style>
  <w:style w:type="paragraph" w:styleId="38">
    <w:name w:val="List Continue"/>
    <w:basedOn w:val="1"/>
    <w:qFormat/>
    <w:uiPriority w:val="80"/>
    <w:pPr>
      <w:numPr>
        <w:ilvl w:val="0"/>
        <w:numId w:val="3"/>
      </w:numPr>
      <w:spacing w:after="160"/>
    </w:pPr>
  </w:style>
  <w:style w:type="paragraph" w:styleId="39">
    <w:name w:val="Block Text"/>
    <w:basedOn w:val="1"/>
    <w:qFormat/>
    <w:uiPriority w:val="0"/>
    <w:pPr>
      <w:widowControl/>
      <w:spacing w:after="200" w:line="360" w:lineRule="auto"/>
      <w:ind w:left="-2" w:leftChars="-1" w:right="-7" w:firstLine="2"/>
      <w:jc w:val="left"/>
    </w:pPr>
    <w:rPr>
      <w:rFonts w:ascii="宋体" w:hAnsi="等线" w:eastAsia="等线"/>
      <w:kern w:val="0"/>
      <w:sz w:val="24"/>
    </w:rPr>
  </w:style>
  <w:style w:type="paragraph" w:styleId="40">
    <w:name w:val="HTML Address"/>
    <w:basedOn w:val="1"/>
    <w:link w:val="268"/>
    <w:unhideWhenUsed/>
    <w:qFormat/>
    <w:uiPriority w:val="99"/>
    <w:pPr>
      <w:spacing w:after="160"/>
    </w:pPr>
    <w:rPr>
      <w:i/>
      <w:iCs/>
    </w:rPr>
  </w:style>
  <w:style w:type="paragraph" w:styleId="41">
    <w:name w:val="index 4"/>
    <w:basedOn w:val="1"/>
    <w:next w:val="1"/>
    <w:unhideWhenUsed/>
    <w:qFormat/>
    <w:uiPriority w:val="0"/>
    <w:pPr>
      <w:ind w:left="600" w:leftChars="600"/>
    </w:pPr>
  </w:style>
  <w:style w:type="paragraph" w:styleId="42">
    <w:name w:val="toc 5"/>
    <w:basedOn w:val="1"/>
    <w:next w:val="1"/>
    <w:qFormat/>
    <w:uiPriority w:val="39"/>
    <w:pPr>
      <w:ind w:left="1680" w:leftChars="800"/>
    </w:pPr>
  </w:style>
  <w:style w:type="paragraph" w:styleId="43">
    <w:name w:val="toc 3"/>
    <w:basedOn w:val="1"/>
    <w:next w:val="1"/>
    <w:qFormat/>
    <w:uiPriority w:val="39"/>
    <w:pPr>
      <w:ind w:left="840" w:leftChars="400"/>
    </w:pPr>
  </w:style>
  <w:style w:type="paragraph" w:styleId="44">
    <w:name w:val="Plain Text"/>
    <w:basedOn w:val="1"/>
    <w:link w:val="110"/>
    <w:qFormat/>
    <w:uiPriority w:val="0"/>
    <w:rPr>
      <w:rFonts w:ascii="宋体" w:hAnsi="Courier New"/>
    </w:rPr>
  </w:style>
  <w:style w:type="paragraph" w:styleId="45">
    <w:name w:val="List Bullet 5"/>
    <w:basedOn w:val="17"/>
    <w:unhideWhenUsed/>
    <w:qFormat/>
    <w:uiPriority w:val="78"/>
    <w:pPr>
      <w:numPr>
        <w:ilvl w:val="4"/>
      </w:numPr>
    </w:pPr>
  </w:style>
  <w:style w:type="paragraph" w:styleId="46">
    <w:name w:val="List Number 4"/>
    <w:basedOn w:val="37"/>
    <w:unhideWhenUsed/>
    <w:qFormat/>
    <w:uiPriority w:val="78"/>
    <w:pPr>
      <w:numPr>
        <w:ilvl w:val="3"/>
      </w:numPr>
    </w:pPr>
  </w:style>
  <w:style w:type="paragraph" w:styleId="47">
    <w:name w:val="index 3"/>
    <w:basedOn w:val="22"/>
    <w:next w:val="1"/>
    <w:unhideWhenUsed/>
    <w:qFormat/>
    <w:uiPriority w:val="0"/>
    <w:pPr>
      <w:tabs>
        <w:tab w:val="right" w:leader="dot" w:pos="4394"/>
      </w:tabs>
      <w:spacing w:after="160"/>
      <w:ind w:left="568" w:hanging="284"/>
    </w:pPr>
    <w:rPr>
      <w:sz w:val="16"/>
      <w:szCs w:val="16"/>
    </w:rPr>
  </w:style>
  <w:style w:type="paragraph" w:styleId="48">
    <w:name w:val="Date"/>
    <w:basedOn w:val="1"/>
    <w:next w:val="1"/>
    <w:link w:val="113"/>
    <w:qFormat/>
    <w:uiPriority w:val="99"/>
    <w:pPr>
      <w:ind w:left="100" w:leftChars="2500"/>
    </w:pPr>
    <w:rPr>
      <w:sz w:val="24"/>
      <w:szCs w:val="24"/>
    </w:rPr>
  </w:style>
  <w:style w:type="paragraph" w:styleId="49">
    <w:name w:val="Body Text Indent 2"/>
    <w:basedOn w:val="1"/>
    <w:link w:val="103"/>
    <w:qFormat/>
    <w:uiPriority w:val="0"/>
    <w:pPr>
      <w:spacing w:after="120" w:line="480" w:lineRule="auto"/>
      <w:ind w:left="420" w:leftChars="200"/>
    </w:pPr>
  </w:style>
  <w:style w:type="paragraph" w:styleId="50">
    <w:name w:val="endnote text"/>
    <w:basedOn w:val="1"/>
    <w:link w:val="322"/>
    <w:unhideWhenUsed/>
    <w:qFormat/>
    <w:uiPriority w:val="0"/>
    <w:pPr>
      <w:spacing w:after="100" w:line="269" w:lineRule="auto"/>
    </w:pPr>
    <w:rPr>
      <w:sz w:val="15"/>
      <w:szCs w:val="15"/>
    </w:rPr>
  </w:style>
  <w:style w:type="paragraph" w:styleId="51">
    <w:name w:val="List Continue 5"/>
    <w:basedOn w:val="52"/>
    <w:unhideWhenUsed/>
    <w:qFormat/>
    <w:uiPriority w:val="80"/>
    <w:pPr>
      <w:numPr>
        <w:ilvl w:val="4"/>
      </w:numPr>
    </w:pPr>
  </w:style>
  <w:style w:type="paragraph" w:styleId="52">
    <w:name w:val="List Continue 4"/>
    <w:basedOn w:val="53"/>
    <w:unhideWhenUsed/>
    <w:qFormat/>
    <w:uiPriority w:val="80"/>
    <w:pPr>
      <w:numPr>
        <w:ilvl w:val="3"/>
      </w:numPr>
    </w:pPr>
  </w:style>
  <w:style w:type="paragraph" w:styleId="53">
    <w:name w:val="List Continue 3"/>
    <w:basedOn w:val="54"/>
    <w:unhideWhenUsed/>
    <w:qFormat/>
    <w:uiPriority w:val="80"/>
    <w:pPr>
      <w:numPr>
        <w:ilvl w:val="2"/>
      </w:numPr>
      <w:ind w:left="1282" w:firstLine="0"/>
    </w:pPr>
  </w:style>
  <w:style w:type="paragraph" w:styleId="54">
    <w:name w:val="List Continue 2"/>
    <w:basedOn w:val="38"/>
    <w:qFormat/>
    <w:uiPriority w:val="0"/>
    <w:pPr>
      <w:numPr>
        <w:ilvl w:val="1"/>
      </w:numPr>
      <w:ind w:left="851" w:firstLine="0"/>
    </w:pPr>
  </w:style>
  <w:style w:type="paragraph" w:styleId="55">
    <w:name w:val="Balloon Text"/>
    <w:basedOn w:val="1"/>
    <w:link w:val="118"/>
    <w:qFormat/>
    <w:uiPriority w:val="99"/>
    <w:rPr>
      <w:sz w:val="18"/>
      <w:szCs w:val="18"/>
    </w:rPr>
  </w:style>
  <w:style w:type="paragraph" w:styleId="56">
    <w:name w:val="footer"/>
    <w:basedOn w:val="1"/>
    <w:link w:val="106"/>
    <w:qFormat/>
    <w:uiPriority w:val="99"/>
    <w:pPr>
      <w:tabs>
        <w:tab w:val="center" w:pos="4153"/>
        <w:tab w:val="right" w:pos="8306"/>
      </w:tabs>
      <w:snapToGrid w:val="0"/>
      <w:jc w:val="left"/>
    </w:pPr>
    <w:rPr>
      <w:sz w:val="18"/>
      <w:szCs w:val="18"/>
    </w:rPr>
  </w:style>
  <w:style w:type="paragraph" w:styleId="57">
    <w:name w:val="envelope return"/>
    <w:basedOn w:val="1"/>
    <w:unhideWhenUsed/>
    <w:qFormat/>
    <w:uiPriority w:val="99"/>
    <w:pPr>
      <w:snapToGrid w:val="0"/>
    </w:pPr>
    <w:rPr>
      <w:rFonts w:ascii="Arial" w:hAnsi="Arial"/>
    </w:rPr>
  </w:style>
  <w:style w:type="paragraph" w:styleId="58">
    <w:name w:val="header"/>
    <w:basedOn w:val="1"/>
    <w:link w:val="111"/>
    <w:qFormat/>
    <w:uiPriority w:val="99"/>
    <w:pPr>
      <w:pBdr>
        <w:bottom w:val="single" w:color="auto" w:sz="6" w:space="1"/>
      </w:pBdr>
      <w:tabs>
        <w:tab w:val="center" w:pos="4153"/>
        <w:tab w:val="right" w:pos="8306"/>
      </w:tabs>
      <w:snapToGrid w:val="0"/>
      <w:jc w:val="center"/>
    </w:pPr>
    <w:rPr>
      <w:sz w:val="18"/>
      <w:szCs w:val="18"/>
    </w:rPr>
  </w:style>
  <w:style w:type="paragraph" w:styleId="59">
    <w:name w:val="Signature"/>
    <w:basedOn w:val="1"/>
    <w:link w:val="270"/>
    <w:unhideWhenUsed/>
    <w:qFormat/>
    <w:uiPriority w:val="99"/>
    <w:pPr>
      <w:spacing w:after="160"/>
      <w:ind w:left="4252"/>
    </w:pPr>
  </w:style>
  <w:style w:type="paragraph" w:styleId="60">
    <w:name w:val="toc 1"/>
    <w:basedOn w:val="1"/>
    <w:next w:val="1"/>
    <w:qFormat/>
    <w:uiPriority w:val="39"/>
    <w:pPr>
      <w:adjustRightInd w:val="0"/>
      <w:spacing w:before="120" w:after="120" w:line="312" w:lineRule="atLeast"/>
      <w:jc w:val="left"/>
      <w:textAlignment w:val="baseline"/>
    </w:pPr>
    <w:rPr>
      <w:rFonts w:ascii="Calibri" w:hAnsi="Calibri"/>
      <w:b/>
      <w:bCs/>
      <w:caps/>
      <w:kern w:val="0"/>
      <w:sz w:val="20"/>
    </w:rPr>
  </w:style>
  <w:style w:type="paragraph" w:styleId="61">
    <w:name w:val="toc 4"/>
    <w:basedOn w:val="1"/>
    <w:next w:val="1"/>
    <w:qFormat/>
    <w:uiPriority w:val="39"/>
    <w:pPr>
      <w:ind w:left="1260" w:leftChars="600"/>
    </w:pPr>
  </w:style>
  <w:style w:type="paragraph" w:styleId="62">
    <w:name w:val="index heading"/>
    <w:basedOn w:val="63"/>
    <w:next w:val="22"/>
    <w:unhideWhenUsed/>
    <w:qFormat/>
    <w:uiPriority w:val="99"/>
  </w:style>
  <w:style w:type="paragraph" w:customStyle="1" w:styleId="63">
    <w:name w:val="TOC 标题1"/>
    <w:basedOn w:val="3"/>
    <w:next w:val="1"/>
    <w:qFormat/>
    <w:uiPriority w:val="0"/>
    <w:pPr>
      <w:spacing w:before="480" w:after="240" w:line="240" w:lineRule="auto"/>
      <w:contextualSpacing/>
      <w:outlineLvl w:val="9"/>
    </w:pPr>
    <w:rPr>
      <w:rFonts w:ascii="Cambria" w:hAnsi="Cambria" w:cs="Angsana New"/>
      <w:b w:val="0"/>
      <w:bCs w:val="0"/>
      <w:color w:val="4F81BD"/>
      <w:kern w:val="2"/>
      <w:sz w:val="48"/>
      <w:szCs w:val="48"/>
    </w:rPr>
  </w:style>
  <w:style w:type="paragraph" w:styleId="64">
    <w:name w:val="Subtitle"/>
    <w:basedOn w:val="1"/>
    <w:next w:val="1"/>
    <w:link w:val="221"/>
    <w:qFormat/>
    <w:uiPriority w:val="0"/>
    <w:pPr>
      <w:widowControl/>
      <w:spacing w:after="200"/>
      <w:jc w:val="left"/>
    </w:pPr>
    <w:rPr>
      <w:rFonts w:ascii="Calibri Light" w:hAnsi="Calibri Light"/>
      <w:kern w:val="0"/>
      <w:sz w:val="30"/>
      <w:szCs w:val="30"/>
    </w:rPr>
  </w:style>
  <w:style w:type="paragraph" w:styleId="65">
    <w:name w:val="List Number 5"/>
    <w:basedOn w:val="46"/>
    <w:unhideWhenUsed/>
    <w:qFormat/>
    <w:uiPriority w:val="78"/>
    <w:pPr>
      <w:numPr>
        <w:ilvl w:val="4"/>
      </w:numPr>
    </w:pPr>
  </w:style>
  <w:style w:type="paragraph" w:styleId="66">
    <w:name w:val="List"/>
    <w:basedOn w:val="1"/>
    <w:qFormat/>
    <w:uiPriority w:val="79"/>
    <w:pPr>
      <w:ind w:left="420" w:hanging="420"/>
    </w:pPr>
  </w:style>
  <w:style w:type="paragraph" w:styleId="67">
    <w:name w:val="footnote text"/>
    <w:basedOn w:val="1"/>
    <w:link w:val="233"/>
    <w:qFormat/>
    <w:uiPriority w:val="0"/>
    <w:pPr>
      <w:widowControl/>
      <w:snapToGrid w:val="0"/>
      <w:spacing w:after="200" w:line="288" w:lineRule="auto"/>
      <w:jc w:val="left"/>
    </w:pPr>
    <w:rPr>
      <w:rFonts w:ascii="等线" w:hAnsi="等线" w:eastAsia="等线"/>
      <w:kern w:val="0"/>
      <w:sz w:val="18"/>
      <w:szCs w:val="18"/>
    </w:rPr>
  </w:style>
  <w:style w:type="paragraph" w:styleId="68">
    <w:name w:val="List 5"/>
    <w:basedOn w:val="69"/>
    <w:unhideWhenUsed/>
    <w:qFormat/>
    <w:uiPriority w:val="79"/>
    <w:pPr>
      <w:tabs>
        <w:tab w:val="left" w:pos="1700"/>
        <w:tab w:val="left" w:pos="2125"/>
      </w:tabs>
      <w:ind w:left="2125"/>
    </w:pPr>
  </w:style>
  <w:style w:type="paragraph" w:styleId="69">
    <w:name w:val="List 4"/>
    <w:basedOn w:val="12"/>
    <w:unhideWhenUsed/>
    <w:qFormat/>
    <w:uiPriority w:val="79"/>
    <w:pPr>
      <w:tabs>
        <w:tab w:val="left" w:pos="1700"/>
        <w:tab w:val="clear" w:pos="1275"/>
      </w:tabs>
      <w:ind w:left="1700"/>
    </w:pPr>
  </w:style>
  <w:style w:type="paragraph" w:styleId="70">
    <w:name w:val="Body Text Indent 3"/>
    <w:basedOn w:val="1"/>
    <w:link w:val="102"/>
    <w:qFormat/>
    <w:uiPriority w:val="0"/>
    <w:pPr>
      <w:spacing w:after="120"/>
      <w:ind w:left="420" w:leftChars="200"/>
    </w:pPr>
    <w:rPr>
      <w:sz w:val="16"/>
      <w:szCs w:val="16"/>
    </w:rPr>
  </w:style>
  <w:style w:type="paragraph" w:styleId="71">
    <w:name w:val="index 7"/>
    <w:basedOn w:val="22"/>
    <w:next w:val="1"/>
    <w:unhideWhenUsed/>
    <w:qFormat/>
    <w:uiPriority w:val="99"/>
    <w:pPr>
      <w:tabs>
        <w:tab w:val="right" w:leader="dot" w:pos="4394"/>
      </w:tabs>
      <w:spacing w:after="160"/>
      <w:ind w:left="1702" w:hanging="851"/>
    </w:pPr>
    <w:rPr>
      <w:sz w:val="16"/>
      <w:szCs w:val="16"/>
    </w:rPr>
  </w:style>
  <w:style w:type="paragraph" w:styleId="72">
    <w:name w:val="index 9"/>
    <w:basedOn w:val="22"/>
    <w:next w:val="1"/>
    <w:unhideWhenUsed/>
    <w:qFormat/>
    <w:uiPriority w:val="99"/>
    <w:pPr>
      <w:tabs>
        <w:tab w:val="right" w:leader="dot" w:pos="4394"/>
      </w:tabs>
      <w:spacing w:after="160"/>
      <w:ind w:left="2268" w:hanging="1134"/>
    </w:pPr>
    <w:rPr>
      <w:sz w:val="16"/>
      <w:szCs w:val="16"/>
    </w:rPr>
  </w:style>
  <w:style w:type="paragraph" w:styleId="73">
    <w:name w:val="table of figures"/>
    <w:basedOn w:val="63"/>
    <w:next w:val="1"/>
    <w:unhideWhenUsed/>
    <w:qFormat/>
    <w:uiPriority w:val="99"/>
    <w:pPr>
      <w:spacing w:after="0"/>
    </w:pPr>
  </w:style>
  <w:style w:type="paragraph" w:styleId="74">
    <w:name w:val="toc 2"/>
    <w:basedOn w:val="1"/>
    <w:next w:val="1"/>
    <w:unhideWhenUsed/>
    <w:qFormat/>
    <w:uiPriority w:val="39"/>
    <w:pPr>
      <w:ind w:left="420" w:leftChars="200"/>
    </w:pPr>
  </w:style>
  <w:style w:type="paragraph" w:styleId="75">
    <w:name w:val="Body Text 2"/>
    <w:basedOn w:val="1"/>
    <w:link w:val="182"/>
    <w:qFormat/>
    <w:uiPriority w:val="0"/>
    <w:pPr>
      <w:widowControl/>
      <w:spacing w:after="200" w:line="288" w:lineRule="auto"/>
      <w:jc w:val="left"/>
    </w:pPr>
    <w:rPr>
      <w:rFonts w:ascii="等线" w:hAnsi="等线" w:eastAsia="等线"/>
      <w:color w:val="FF0000"/>
      <w:kern w:val="0"/>
      <w:szCs w:val="21"/>
    </w:rPr>
  </w:style>
  <w:style w:type="paragraph" w:styleId="76">
    <w:name w:val="HTML Preformatted"/>
    <w:basedOn w:val="1"/>
    <w:link w:val="2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88" w:lineRule="auto"/>
      <w:jc w:val="left"/>
    </w:pPr>
    <w:rPr>
      <w:rFonts w:ascii="宋体" w:hAnsi="宋体" w:eastAsia="等线" w:cs="宋体"/>
      <w:kern w:val="0"/>
      <w:sz w:val="24"/>
      <w:szCs w:val="21"/>
    </w:rPr>
  </w:style>
  <w:style w:type="paragraph" w:styleId="77">
    <w:name w:val="Normal (Web)"/>
    <w:basedOn w:val="1"/>
    <w:qFormat/>
    <w:uiPriority w:val="99"/>
    <w:pPr>
      <w:widowControl/>
      <w:spacing w:before="100" w:beforeAutospacing="1" w:after="100" w:afterAutospacing="1" w:line="288" w:lineRule="auto"/>
      <w:jc w:val="left"/>
    </w:pPr>
    <w:rPr>
      <w:rFonts w:ascii="宋体" w:hAnsi="宋体" w:eastAsia="等线" w:cs="宋体"/>
      <w:kern w:val="0"/>
      <w:sz w:val="24"/>
      <w:szCs w:val="21"/>
    </w:rPr>
  </w:style>
  <w:style w:type="paragraph" w:styleId="78">
    <w:name w:val="index 2"/>
    <w:basedOn w:val="22"/>
    <w:next w:val="1"/>
    <w:unhideWhenUsed/>
    <w:qFormat/>
    <w:uiPriority w:val="99"/>
    <w:pPr>
      <w:tabs>
        <w:tab w:val="right" w:leader="dot" w:pos="4394"/>
      </w:tabs>
      <w:spacing w:after="160"/>
      <w:ind w:left="284" w:hanging="142"/>
    </w:pPr>
    <w:rPr>
      <w:sz w:val="16"/>
      <w:szCs w:val="16"/>
    </w:rPr>
  </w:style>
  <w:style w:type="paragraph" w:styleId="79">
    <w:name w:val="Title"/>
    <w:basedOn w:val="1"/>
    <w:next w:val="1"/>
    <w:link w:val="119"/>
    <w:qFormat/>
    <w:uiPriority w:val="0"/>
    <w:pPr>
      <w:spacing w:before="160" w:after="40" w:line="0" w:lineRule="atLeast"/>
      <w:ind w:left="425" w:hanging="425"/>
      <w:jc w:val="left"/>
      <w:outlineLvl w:val="0"/>
    </w:pPr>
    <w:rPr>
      <w:rFonts w:ascii="Arial" w:hAnsi="Arial"/>
      <w:b/>
      <w:bCs/>
      <w:sz w:val="32"/>
      <w:szCs w:val="32"/>
    </w:rPr>
  </w:style>
  <w:style w:type="paragraph" w:styleId="80">
    <w:name w:val="annotation subject"/>
    <w:basedOn w:val="30"/>
    <w:next w:val="30"/>
    <w:link w:val="101"/>
    <w:qFormat/>
    <w:uiPriority w:val="99"/>
    <w:rPr>
      <w:b/>
      <w:bCs/>
    </w:rPr>
  </w:style>
  <w:style w:type="paragraph" w:styleId="81">
    <w:name w:val="Body Text First Indent 2"/>
    <w:basedOn w:val="36"/>
    <w:link w:val="648"/>
    <w:unhideWhenUsed/>
    <w:qFormat/>
    <w:uiPriority w:val="99"/>
    <w:pPr>
      <w:ind w:firstLine="420" w:firstLineChars="200"/>
    </w:pPr>
  </w:style>
  <w:style w:type="table" w:styleId="83">
    <w:name w:val="Table Grid"/>
    <w:basedOn w:val="8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5">
    <w:name w:val="Strong"/>
    <w:qFormat/>
    <w:uiPriority w:val="22"/>
    <w:rPr>
      <w:b/>
    </w:rPr>
  </w:style>
  <w:style w:type="character" w:styleId="86">
    <w:name w:val="endnote reference"/>
    <w:unhideWhenUsed/>
    <w:qFormat/>
    <w:uiPriority w:val="99"/>
    <w:rPr>
      <w:vertAlign w:val="superscript"/>
    </w:rPr>
  </w:style>
  <w:style w:type="character" w:styleId="87">
    <w:name w:val="page number"/>
    <w:basedOn w:val="84"/>
    <w:qFormat/>
    <w:uiPriority w:val="0"/>
  </w:style>
  <w:style w:type="character" w:styleId="88">
    <w:name w:val="FollowedHyperlink"/>
    <w:qFormat/>
    <w:uiPriority w:val="0"/>
    <w:rPr>
      <w:color w:val="800080"/>
      <w:u w:val="single"/>
    </w:rPr>
  </w:style>
  <w:style w:type="character" w:styleId="89">
    <w:name w:val="Emphasis"/>
    <w:qFormat/>
    <w:uiPriority w:val="20"/>
    <w:rPr>
      <w:i/>
      <w:iCs/>
      <w:color w:val="70AD47"/>
    </w:rPr>
  </w:style>
  <w:style w:type="character" w:styleId="90">
    <w:name w:val="line number"/>
    <w:qFormat/>
    <w:uiPriority w:val="99"/>
    <w:rPr>
      <w:rFonts w:cs="Times New Roman"/>
    </w:rPr>
  </w:style>
  <w:style w:type="character" w:styleId="91">
    <w:name w:val="HTML Definition"/>
    <w:unhideWhenUsed/>
    <w:qFormat/>
    <w:uiPriority w:val="99"/>
    <w:rPr>
      <w:i/>
      <w:iCs/>
    </w:rPr>
  </w:style>
  <w:style w:type="character" w:styleId="92">
    <w:name w:val="HTML Acronym"/>
    <w:unhideWhenUsed/>
    <w:qFormat/>
    <w:uiPriority w:val="99"/>
  </w:style>
  <w:style w:type="character" w:styleId="93">
    <w:name w:val="Hyperlink"/>
    <w:basedOn w:val="84"/>
    <w:qFormat/>
    <w:uiPriority w:val="99"/>
    <w:rPr>
      <w:rFonts w:cs="Times New Roman"/>
      <w:color w:val="1F4F88"/>
      <w:u w:val="none"/>
    </w:rPr>
  </w:style>
  <w:style w:type="character" w:styleId="94">
    <w:name w:val="HTML Code"/>
    <w:unhideWhenUsed/>
    <w:qFormat/>
    <w:uiPriority w:val="99"/>
    <w:rPr>
      <w:rFonts w:ascii="Consolas" w:hAnsi="Consolas" w:cs="Consolas"/>
      <w:sz w:val="20"/>
      <w:szCs w:val="20"/>
    </w:rPr>
  </w:style>
  <w:style w:type="character" w:styleId="95">
    <w:name w:val="annotation reference"/>
    <w:qFormat/>
    <w:uiPriority w:val="99"/>
    <w:rPr>
      <w:sz w:val="21"/>
      <w:szCs w:val="21"/>
    </w:rPr>
  </w:style>
  <w:style w:type="character" w:styleId="96">
    <w:name w:val="HTML Cite"/>
    <w:unhideWhenUsed/>
    <w:qFormat/>
    <w:uiPriority w:val="99"/>
    <w:rPr>
      <w:i/>
      <w:iCs/>
    </w:rPr>
  </w:style>
  <w:style w:type="character" w:styleId="97">
    <w:name w:val="footnote reference"/>
    <w:qFormat/>
    <w:uiPriority w:val="99"/>
    <w:rPr>
      <w:vertAlign w:val="superscript"/>
    </w:rPr>
  </w:style>
  <w:style w:type="character" w:styleId="98">
    <w:name w:val="HTML Keyboard"/>
    <w:unhideWhenUsed/>
    <w:qFormat/>
    <w:uiPriority w:val="99"/>
    <w:rPr>
      <w:rFonts w:ascii="Consolas" w:hAnsi="Consolas" w:cs="Consolas"/>
      <w:sz w:val="20"/>
      <w:szCs w:val="20"/>
    </w:rPr>
  </w:style>
  <w:style w:type="character" w:customStyle="1" w:styleId="99">
    <w:name w:val="标题 3 字符"/>
    <w:link w:val="5"/>
    <w:semiHidden/>
    <w:qFormat/>
    <w:uiPriority w:val="9"/>
    <w:rPr>
      <w:b/>
      <w:bCs/>
      <w:kern w:val="2"/>
      <w:sz w:val="32"/>
      <w:szCs w:val="32"/>
    </w:rPr>
  </w:style>
  <w:style w:type="character" w:customStyle="1" w:styleId="100">
    <w:name w:val="纯文本 Char"/>
    <w:qFormat/>
    <w:uiPriority w:val="0"/>
    <w:rPr>
      <w:rFonts w:ascii="宋体" w:hAnsi="Courier New" w:eastAsia="宋体"/>
      <w:kern w:val="2"/>
      <w:sz w:val="21"/>
      <w:lang w:val="en-US" w:eastAsia="zh-CN" w:bidi="ar-SA"/>
    </w:rPr>
  </w:style>
  <w:style w:type="character" w:customStyle="1" w:styleId="101">
    <w:name w:val="批注主题 字符"/>
    <w:link w:val="80"/>
    <w:qFormat/>
    <w:uiPriority w:val="0"/>
    <w:rPr>
      <w:b/>
      <w:bCs/>
      <w:kern w:val="2"/>
      <w:sz w:val="21"/>
    </w:rPr>
  </w:style>
  <w:style w:type="character" w:customStyle="1" w:styleId="102">
    <w:name w:val="正文文本缩进 3 字符"/>
    <w:link w:val="70"/>
    <w:qFormat/>
    <w:uiPriority w:val="0"/>
    <w:rPr>
      <w:kern w:val="2"/>
      <w:sz w:val="16"/>
      <w:szCs w:val="16"/>
    </w:rPr>
  </w:style>
  <w:style w:type="character" w:customStyle="1" w:styleId="103">
    <w:name w:val="正文文本缩进 2 字符"/>
    <w:link w:val="49"/>
    <w:qFormat/>
    <w:uiPriority w:val="0"/>
    <w:rPr>
      <w:kern w:val="2"/>
      <w:sz w:val="21"/>
    </w:rPr>
  </w:style>
  <w:style w:type="character" w:customStyle="1" w:styleId="104">
    <w:name w:val="Char Char3"/>
    <w:qFormat/>
    <w:uiPriority w:val="0"/>
    <w:rPr>
      <w:rFonts w:ascii="宋体" w:hAnsi="Courier New" w:eastAsia="宋体"/>
      <w:kern w:val="2"/>
      <w:sz w:val="21"/>
      <w:lang w:val="en-US" w:eastAsia="zh-CN" w:bidi="ar-SA"/>
    </w:rPr>
  </w:style>
  <w:style w:type="character" w:customStyle="1" w:styleId="105">
    <w:name w:val="批注文字 字符1"/>
    <w:link w:val="30"/>
    <w:qFormat/>
    <w:uiPriority w:val="99"/>
    <w:rPr>
      <w:kern w:val="2"/>
      <w:sz w:val="21"/>
    </w:rPr>
  </w:style>
  <w:style w:type="character" w:customStyle="1" w:styleId="106">
    <w:name w:val="页脚 字符"/>
    <w:link w:val="56"/>
    <w:qFormat/>
    <w:uiPriority w:val="99"/>
    <w:rPr>
      <w:kern w:val="2"/>
      <w:sz w:val="18"/>
      <w:szCs w:val="18"/>
    </w:rPr>
  </w:style>
  <w:style w:type="character" w:customStyle="1" w:styleId="107">
    <w:name w:val="标书一级标题 字符"/>
    <w:link w:val="108"/>
    <w:qFormat/>
    <w:uiPriority w:val="0"/>
    <w:rPr>
      <w:rFonts w:eastAsia="黑体"/>
      <w:bCs/>
      <w:color w:val="000000"/>
      <w:kern w:val="44"/>
      <w:sz w:val="30"/>
      <w:szCs w:val="24"/>
    </w:rPr>
  </w:style>
  <w:style w:type="paragraph" w:customStyle="1" w:styleId="108">
    <w:name w:val="标书一级标题"/>
    <w:basedOn w:val="3"/>
    <w:link w:val="107"/>
    <w:qFormat/>
    <w:uiPriority w:val="0"/>
    <w:pPr>
      <w:spacing w:before="0" w:after="0" w:line="240" w:lineRule="auto"/>
      <w:jc w:val="center"/>
    </w:pPr>
    <w:rPr>
      <w:rFonts w:eastAsia="黑体"/>
      <w:b w:val="0"/>
      <w:color w:val="000000"/>
      <w:sz w:val="30"/>
      <w:szCs w:val="24"/>
    </w:rPr>
  </w:style>
  <w:style w:type="character" w:customStyle="1" w:styleId="109">
    <w:name w:val="文档结构图 字符"/>
    <w:link w:val="28"/>
    <w:qFormat/>
    <w:uiPriority w:val="0"/>
    <w:rPr>
      <w:kern w:val="2"/>
      <w:sz w:val="24"/>
      <w:szCs w:val="24"/>
      <w:shd w:val="clear" w:color="auto" w:fill="000080"/>
    </w:rPr>
  </w:style>
  <w:style w:type="character" w:customStyle="1" w:styleId="110">
    <w:name w:val="纯文本 字符1"/>
    <w:link w:val="44"/>
    <w:qFormat/>
    <w:uiPriority w:val="0"/>
    <w:rPr>
      <w:rFonts w:ascii="宋体" w:hAnsi="Courier New" w:eastAsia="宋体"/>
      <w:kern w:val="2"/>
      <w:sz w:val="21"/>
      <w:lang w:val="en-US" w:eastAsia="zh-CN" w:bidi="ar-SA"/>
    </w:rPr>
  </w:style>
  <w:style w:type="character" w:customStyle="1" w:styleId="111">
    <w:name w:val="页眉 字符"/>
    <w:link w:val="58"/>
    <w:qFormat/>
    <w:uiPriority w:val="99"/>
    <w:rPr>
      <w:rFonts w:eastAsia="宋体"/>
      <w:kern w:val="2"/>
      <w:sz w:val="18"/>
      <w:szCs w:val="18"/>
      <w:lang w:val="en-US" w:eastAsia="zh-CN" w:bidi="ar-SA"/>
    </w:rPr>
  </w:style>
  <w:style w:type="character" w:customStyle="1" w:styleId="112">
    <w:name w:val="apple-converted-space"/>
    <w:basedOn w:val="84"/>
    <w:qFormat/>
    <w:uiPriority w:val="0"/>
  </w:style>
  <w:style w:type="character" w:customStyle="1" w:styleId="113">
    <w:name w:val="日期 字符"/>
    <w:link w:val="48"/>
    <w:qFormat/>
    <w:uiPriority w:val="99"/>
    <w:rPr>
      <w:kern w:val="2"/>
      <w:sz w:val="24"/>
      <w:szCs w:val="24"/>
    </w:rPr>
  </w:style>
  <w:style w:type="character" w:customStyle="1" w:styleId="114">
    <w:name w:val="标题 2 字符"/>
    <w:link w:val="4"/>
    <w:qFormat/>
    <w:uiPriority w:val="9"/>
    <w:rPr>
      <w:rFonts w:ascii="Arial" w:hAnsi="Arial" w:eastAsia="黑体"/>
      <w:b/>
      <w:bCs/>
      <w:kern w:val="2"/>
      <w:sz w:val="32"/>
      <w:szCs w:val="32"/>
    </w:rPr>
  </w:style>
  <w:style w:type="character" w:customStyle="1" w:styleId="115">
    <w:name w:val="标题 1 字符"/>
    <w:link w:val="3"/>
    <w:qFormat/>
    <w:uiPriority w:val="9"/>
    <w:rPr>
      <w:b/>
      <w:bCs/>
      <w:kern w:val="44"/>
      <w:sz w:val="44"/>
      <w:szCs w:val="44"/>
    </w:rPr>
  </w:style>
  <w:style w:type="character" w:customStyle="1" w:styleId="116">
    <w:name w:val="纯文本 字符"/>
    <w:qFormat/>
    <w:uiPriority w:val="0"/>
    <w:rPr>
      <w:rFonts w:ascii="宋体" w:hAnsi="Courier New" w:eastAsia="宋体" w:cs="Times New Roman"/>
      <w:szCs w:val="20"/>
    </w:rPr>
  </w:style>
  <w:style w:type="character" w:customStyle="1" w:styleId="117">
    <w:name w:val="Char Char2"/>
    <w:qFormat/>
    <w:uiPriority w:val="0"/>
    <w:rPr>
      <w:rFonts w:ascii="宋体" w:hAnsi="Courier New" w:cs="宋体"/>
      <w:kern w:val="2"/>
      <w:sz w:val="21"/>
      <w:szCs w:val="21"/>
    </w:rPr>
  </w:style>
  <w:style w:type="character" w:customStyle="1" w:styleId="118">
    <w:name w:val="批注框文本 字符"/>
    <w:link w:val="55"/>
    <w:qFormat/>
    <w:uiPriority w:val="0"/>
    <w:rPr>
      <w:kern w:val="2"/>
      <w:sz w:val="18"/>
      <w:szCs w:val="18"/>
    </w:rPr>
  </w:style>
  <w:style w:type="character" w:customStyle="1" w:styleId="119">
    <w:name w:val="标题 字符"/>
    <w:link w:val="79"/>
    <w:qFormat/>
    <w:uiPriority w:val="0"/>
    <w:rPr>
      <w:rFonts w:ascii="Arial" w:hAnsi="Arial" w:cs="Arial"/>
      <w:b/>
      <w:bCs/>
      <w:kern w:val="2"/>
      <w:sz w:val="32"/>
      <w:szCs w:val="32"/>
    </w:rPr>
  </w:style>
  <w:style w:type="character" w:customStyle="1" w:styleId="120">
    <w:name w:val="BODY TEXT Char"/>
    <w:link w:val="121"/>
    <w:qFormat/>
    <w:uiPriority w:val="0"/>
    <w:rPr>
      <w:rFonts w:eastAsia="新宋体"/>
      <w:kern w:val="2"/>
      <w:sz w:val="21"/>
      <w:szCs w:val="21"/>
    </w:rPr>
  </w:style>
  <w:style w:type="paragraph" w:customStyle="1" w:styleId="121">
    <w:name w:val="正文文本1"/>
    <w:basedOn w:val="1"/>
    <w:link w:val="120"/>
    <w:qFormat/>
    <w:uiPriority w:val="0"/>
    <w:pPr>
      <w:adjustRightInd w:val="0"/>
      <w:spacing w:before="120" w:after="120" w:afterLines="50" w:line="280" w:lineRule="atLeast"/>
      <w:textAlignment w:val="baseline"/>
    </w:pPr>
    <w:rPr>
      <w:rFonts w:eastAsia="新宋体"/>
      <w:szCs w:val="21"/>
    </w:rPr>
  </w:style>
  <w:style w:type="character" w:customStyle="1" w:styleId="122">
    <w:name w:val="HTML Markup"/>
    <w:qFormat/>
    <w:uiPriority w:val="0"/>
    <w:rPr>
      <w:vanish/>
      <w:color w:val="FF0000"/>
    </w:rPr>
  </w:style>
  <w:style w:type="character" w:customStyle="1" w:styleId="123">
    <w:name w:val="Char Char5"/>
    <w:qFormat/>
    <w:uiPriority w:val="0"/>
    <w:rPr>
      <w:rFonts w:ascii="宋体" w:hAnsi="Courier New" w:eastAsia="宋体"/>
      <w:kern w:val="2"/>
      <w:sz w:val="21"/>
      <w:lang w:val="en-US" w:eastAsia="zh-CN" w:bidi="ar-SA"/>
    </w:rPr>
  </w:style>
  <w:style w:type="character" w:customStyle="1" w:styleId="124">
    <w:name w:val="标书正文格式 字符"/>
    <w:link w:val="125"/>
    <w:qFormat/>
    <w:uiPriority w:val="0"/>
    <w:rPr>
      <w:rFonts w:ascii="宋体" w:hAnsi="宋体"/>
      <w:color w:val="000000"/>
      <w:kern w:val="2"/>
      <w:sz w:val="24"/>
      <w:szCs w:val="24"/>
    </w:rPr>
  </w:style>
  <w:style w:type="paragraph" w:customStyle="1" w:styleId="125">
    <w:name w:val="标书正文格式"/>
    <w:basedOn w:val="44"/>
    <w:link w:val="124"/>
    <w:qFormat/>
    <w:uiPriority w:val="0"/>
    <w:pPr>
      <w:spacing w:line="360" w:lineRule="auto"/>
      <w:ind w:firstLine="200" w:firstLineChars="200"/>
    </w:pPr>
    <w:rPr>
      <w:rFonts w:hAnsi="宋体"/>
      <w:color w:val="000000"/>
      <w:sz w:val="24"/>
      <w:szCs w:val="24"/>
    </w:rPr>
  </w:style>
  <w:style w:type="character" w:customStyle="1" w:styleId="126">
    <w:name w:val="标书二级标题 字符"/>
    <w:link w:val="127"/>
    <w:qFormat/>
    <w:uiPriority w:val="0"/>
    <w:rPr>
      <w:rFonts w:ascii="宋体" w:hAnsi="宋体" w:eastAsia="黑体"/>
      <w:bCs/>
      <w:kern w:val="2"/>
      <w:sz w:val="28"/>
      <w:szCs w:val="30"/>
    </w:rPr>
  </w:style>
  <w:style w:type="paragraph" w:customStyle="1" w:styleId="127">
    <w:name w:val="标书二级标题"/>
    <w:basedOn w:val="4"/>
    <w:link w:val="126"/>
    <w:qFormat/>
    <w:uiPriority w:val="0"/>
    <w:pPr>
      <w:spacing w:before="0" w:after="0" w:line="240" w:lineRule="auto"/>
      <w:jc w:val="left"/>
    </w:pPr>
    <w:rPr>
      <w:rFonts w:ascii="宋体" w:hAnsi="宋体"/>
      <w:b w:val="0"/>
      <w:sz w:val="28"/>
      <w:szCs w:val="30"/>
    </w:rPr>
  </w:style>
  <w:style w:type="character" w:customStyle="1" w:styleId="128">
    <w:name w:val="标书表格 字符"/>
    <w:link w:val="129"/>
    <w:qFormat/>
    <w:uiPriority w:val="0"/>
    <w:rPr>
      <w:b/>
      <w:kern w:val="2"/>
      <w:sz w:val="21"/>
    </w:rPr>
  </w:style>
  <w:style w:type="paragraph" w:customStyle="1" w:styleId="129">
    <w:name w:val="标书表格"/>
    <w:basedOn w:val="1"/>
    <w:link w:val="128"/>
    <w:qFormat/>
    <w:uiPriority w:val="0"/>
    <w:pPr>
      <w:jc w:val="center"/>
    </w:pPr>
    <w:rPr>
      <w:b/>
    </w:rPr>
  </w:style>
  <w:style w:type="character" w:customStyle="1" w:styleId="130">
    <w:name w:val="标书三级标题 字符"/>
    <w:link w:val="131"/>
    <w:qFormat/>
    <w:uiPriority w:val="0"/>
    <w:rPr>
      <w:b/>
      <w:bCs/>
      <w:color w:val="000000"/>
      <w:kern w:val="2"/>
      <w:sz w:val="24"/>
      <w:szCs w:val="24"/>
    </w:rPr>
  </w:style>
  <w:style w:type="paragraph" w:customStyle="1" w:styleId="131">
    <w:name w:val="标书三级标题"/>
    <w:basedOn w:val="5"/>
    <w:next w:val="125"/>
    <w:link w:val="130"/>
    <w:qFormat/>
    <w:uiPriority w:val="0"/>
    <w:pPr>
      <w:spacing w:before="0" w:after="0" w:line="240" w:lineRule="auto"/>
      <w:ind w:firstLine="482" w:firstLineChars="200"/>
    </w:pPr>
    <w:rPr>
      <w:color w:val="000000"/>
      <w:sz w:val="24"/>
      <w:szCs w:val="24"/>
    </w:rPr>
  </w:style>
  <w:style w:type="character" w:customStyle="1" w:styleId="132">
    <w:name w:val="标正文 字符"/>
    <w:link w:val="133"/>
    <w:qFormat/>
    <w:uiPriority w:val="0"/>
    <w:rPr>
      <w:rFonts w:ascii="宋体" w:hAnsi="宋体"/>
      <w:color w:val="000000"/>
      <w:kern w:val="2"/>
      <w:sz w:val="24"/>
      <w:szCs w:val="24"/>
    </w:rPr>
  </w:style>
  <w:style w:type="paragraph" w:customStyle="1" w:styleId="133">
    <w:name w:val="标正文"/>
    <w:basedOn w:val="125"/>
    <w:link w:val="132"/>
    <w:qFormat/>
    <w:uiPriority w:val="0"/>
  </w:style>
  <w:style w:type="character" w:customStyle="1" w:styleId="134">
    <w:name w:val="标三级标题 字符"/>
    <w:link w:val="135"/>
    <w:qFormat/>
    <w:uiPriority w:val="0"/>
    <w:rPr>
      <w:b/>
      <w:bCs/>
      <w:color w:val="000000"/>
      <w:kern w:val="2"/>
      <w:sz w:val="24"/>
      <w:szCs w:val="24"/>
    </w:rPr>
  </w:style>
  <w:style w:type="paragraph" w:customStyle="1" w:styleId="135">
    <w:name w:val="标三级标题"/>
    <w:basedOn w:val="131"/>
    <w:link w:val="134"/>
    <w:qFormat/>
    <w:uiPriority w:val="0"/>
  </w:style>
  <w:style w:type="character" w:customStyle="1" w:styleId="136">
    <w:name w:val="批注文字 字符"/>
    <w:qFormat/>
    <w:uiPriority w:val="0"/>
    <w:rPr>
      <w:rFonts w:ascii="Times New Roman" w:hAnsi="Times New Roman"/>
      <w:kern w:val="2"/>
      <w:sz w:val="21"/>
    </w:rPr>
  </w:style>
  <w:style w:type="paragraph" w:customStyle="1" w:styleId="137">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138">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39">
    <w:name w:val="列表段落1"/>
    <w:basedOn w:val="1"/>
    <w:qFormat/>
    <w:uiPriority w:val="0"/>
    <w:pPr>
      <w:ind w:firstLine="420" w:firstLineChars="200"/>
    </w:pPr>
    <w:rPr>
      <w:rFonts w:ascii="Calibri" w:hAnsi="Calibri"/>
      <w:szCs w:val="22"/>
    </w:rPr>
  </w:style>
  <w:style w:type="paragraph" w:customStyle="1" w:styleId="140">
    <w:name w:val="目录 81"/>
    <w:basedOn w:val="1"/>
    <w:next w:val="1"/>
    <w:qFormat/>
    <w:uiPriority w:val="0"/>
    <w:pPr>
      <w:ind w:left="1680"/>
      <w:jc w:val="left"/>
    </w:pPr>
    <w:rPr>
      <w:sz w:val="18"/>
      <w:szCs w:val="18"/>
    </w:rPr>
  </w:style>
  <w:style w:type="paragraph" w:customStyle="1" w:styleId="141">
    <w:name w:val="列出段落1"/>
    <w:basedOn w:val="1"/>
    <w:link w:val="175"/>
    <w:qFormat/>
    <w:uiPriority w:val="34"/>
    <w:pPr>
      <w:ind w:firstLine="420" w:firstLineChars="200"/>
    </w:pPr>
    <w:rPr>
      <w:rFonts w:ascii="Calibri" w:hAnsi="Calibri"/>
      <w:szCs w:val="22"/>
    </w:rPr>
  </w:style>
  <w:style w:type="paragraph" w:customStyle="1" w:styleId="142">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143">
    <w:name w:val="目录 71"/>
    <w:basedOn w:val="1"/>
    <w:next w:val="1"/>
    <w:qFormat/>
    <w:uiPriority w:val="0"/>
    <w:pPr>
      <w:ind w:left="1440"/>
      <w:jc w:val="left"/>
    </w:pPr>
    <w:rPr>
      <w:sz w:val="18"/>
      <w:szCs w:val="18"/>
    </w:rPr>
  </w:style>
  <w:style w:type="paragraph" w:customStyle="1" w:styleId="144">
    <w:name w:val="1列"/>
    <w:basedOn w:val="1"/>
    <w:qFormat/>
    <w:uiPriority w:val="0"/>
    <w:pPr>
      <w:spacing w:line="360" w:lineRule="auto"/>
      <w:ind w:left="401" w:hanging="401" w:hangingChars="191"/>
    </w:pPr>
    <w:rPr>
      <w:szCs w:val="24"/>
    </w:rPr>
  </w:style>
  <w:style w:type="paragraph" w:customStyle="1" w:styleId="145">
    <w:name w:val="目录 41"/>
    <w:basedOn w:val="1"/>
    <w:next w:val="1"/>
    <w:qFormat/>
    <w:uiPriority w:val="0"/>
    <w:pPr>
      <w:ind w:left="720"/>
      <w:jc w:val="left"/>
    </w:pPr>
    <w:rPr>
      <w:sz w:val="18"/>
      <w:szCs w:val="18"/>
    </w:rPr>
  </w:style>
  <w:style w:type="paragraph" w:customStyle="1" w:styleId="146">
    <w:name w:val="目录 31"/>
    <w:basedOn w:val="1"/>
    <w:next w:val="1"/>
    <w:qFormat/>
    <w:uiPriority w:val="0"/>
    <w:pPr>
      <w:ind w:left="480"/>
      <w:jc w:val="left"/>
    </w:pPr>
    <w:rPr>
      <w:i/>
      <w:iCs/>
      <w:sz w:val="20"/>
    </w:rPr>
  </w:style>
  <w:style w:type="paragraph" w:customStyle="1" w:styleId="147">
    <w:name w:val="目录 11"/>
    <w:basedOn w:val="1"/>
    <w:next w:val="1"/>
    <w:qFormat/>
    <w:uiPriority w:val="0"/>
    <w:pPr>
      <w:spacing w:line="360" w:lineRule="auto"/>
      <w:jc w:val="left"/>
    </w:pPr>
    <w:rPr>
      <w:rFonts w:ascii="宋体" w:hAnsi="宋体"/>
      <w:b/>
      <w:caps/>
      <w:color w:val="FF0000"/>
      <w:szCs w:val="21"/>
    </w:rPr>
  </w:style>
  <w:style w:type="paragraph" w:customStyle="1" w:styleId="148">
    <w:name w:val="目录 21"/>
    <w:basedOn w:val="1"/>
    <w:next w:val="1"/>
    <w:unhideWhenUsed/>
    <w:qFormat/>
    <w:uiPriority w:val="0"/>
    <w:pPr>
      <w:ind w:left="420" w:leftChars="200"/>
    </w:pPr>
  </w:style>
  <w:style w:type="paragraph" w:customStyle="1" w:styleId="149">
    <w:name w:val="Char Char Char Char Char Char Char"/>
    <w:basedOn w:val="1"/>
    <w:qFormat/>
    <w:uiPriority w:val="0"/>
    <w:rPr>
      <w:rFonts w:ascii="Verdana" w:hAnsi="Verdana"/>
      <w:kern w:val="0"/>
      <w:sz w:val="20"/>
      <w:lang w:eastAsia="en-US"/>
    </w:rPr>
  </w:style>
  <w:style w:type="paragraph" w:customStyle="1" w:styleId="15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51">
    <w:name w:val="目录 91"/>
    <w:basedOn w:val="1"/>
    <w:next w:val="1"/>
    <w:qFormat/>
    <w:uiPriority w:val="0"/>
    <w:pPr>
      <w:ind w:left="1920"/>
      <w:jc w:val="left"/>
    </w:pPr>
    <w:rPr>
      <w:sz w:val="18"/>
      <w:szCs w:val="18"/>
    </w:rPr>
  </w:style>
  <w:style w:type="paragraph" w:customStyle="1" w:styleId="152">
    <w:name w:val="目录 51"/>
    <w:basedOn w:val="1"/>
    <w:next w:val="1"/>
    <w:qFormat/>
    <w:uiPriority w:val="0"/>
    <w:pPr>
      <w:ind w:left="960"/>
      <w:jc w:val="left"/>
    </w:pPr>
    <w:rPr>
      <w:sz w:val="18"/>
      <w:szCs w:val="18"/>
    </w:rPr>
  </w:style>
  <w:style w:type="paragraph" w:customStyle="1" w:styleId="15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5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55">
    <w:name w:val="二级列表 Char"/>
    <w:basedOn w:val="1"/>
    <w:qFormat/>
    <w:uiPriority w:val="0"/>
    <w:rPr>
      <w:rFonts w:ascii="Calibri" w:hAnsi="Calibri"/>
    </w:rPr>
  </w:style>
  <w:style w:type="paragraph" w:customStyle="1" w:styleId="15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57">
    <w:name w:val="目录 61"/>
    <w:basedOn w:val="1"/>
    <w:next w:val="1"/>
    <w:qFormat/>
    <w:uiPriority w:val="0"/>
    <w:pPr>
      <w:ind w:left="1200"/>
      <w:jc w:val="left"/>
    </w:pPr>
    <w:rPr>
      <w:sz w:val="18"/>
      <w:szCs w:val="18"/>
    </w:rPr>
  </w:style>
  <w:style w:type="character" w:customStyle="1" w:styleId="158">
    <w:name w:val="纯文本 Char2"/>
    <w:qFormat/>
    <w:uiPriority w:val="0"/>
    <w:rPr>
      <w:rFonts w:ascii="宋体" w:hAnsi="Courier New" w:eastAsia="宋体"/>
      <w:kern w:val="2"/>
      <w:sz w:val="21"/>
      <w:lang w:val="en-US" w:eastAsia="zh-CN" w:bidi="ar-SA"/>
    </w:rPr>
  </w:style>
  <w:style w:type="character" w:customStyle="1" w:styleId="159">
    <w:name w:val="HR正文 Char1"/>
    <w:link w:val="160"/>
    <w:qFormat/>
    <w:uiPriority w:val="0"/>
    <w:rPr>
      <w:kern w:val="2"/>
      <w:sz w:val="24"/>
      <w:szCs w:val="24"/>
    </w:rPr>
  </w:style>
  <w:style w:type="paragraph" w:customStyle="1" w:styleId="160">
    <w:name w:val="HR正文"/>
    <w:basedOn w:val="1"/>
    <w:link w:val="159"/>
    <w:qFormat/>
    <w:uiPriority w:val="0"/>
    <w:pPr>
      <w:spacing w:line="300" w:lineRule="auto"/>
      <w:ind w:firstLine="200" w:firstLineChars="200"/>
    </w:pPr>
    <w:rPr>
      <w:sz w:val="24"/>
      <w:szCs w:val="24"/>
    </w:rPr>
  </w:style>
  <w:style w:type="character" w:customStyle="1" w:styleId="161">
    <w:name w:val="纯文本 Char1"/>
    <w:qFormat/>
    <w:uiPriority w:val="99"/>
    <w:rPr>
      <w:rFonts w:ascii="宋体" w:hAnsi="Courier New"/>
      <w:kern w:val="2"/>
      <w:sz w:val="21"/>
    </w:rPr>
  </w:style>
  <w:style w:type="paragraph" w:customStyle="1" w:styleId="162">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163">
    <w:name w:val="Char Char21"/>
    <w:qFormat/>
    <w:uiPriority w:val="0"/>
    <w:rPr>
      <w:rFonts w:ascii="宋体" w:hAnsi="Courier New" w:cs="宋体"/>
      <w:kern w:val="2"/>
      <w:sz w:val="21"/>
      <w:szCs w:val="21"/>
    </w:rPr>
  </w:style>
  <w:style w:type="character" w:customStyle="1" w:styleId="164">
    <w:name w:val="Char Char51"/>
    <w:qFormat/>
    <w:uiPriority w:val="0"/>
    <w:rPr>
      <w:rFonts w:ascii="宋体" w:hAnsi="Courier New" w:eastAsia="宋体"/>
      <w:kern w:val="2"/>
      <w:sz w:val="21"/>
      <w:lang w:val="en-US" w:eastAsia="zh-CN" w:bidi="ar-SA"/>
    </w:rPr>
  </w:style>
  <w:style w:type="character" w:customStyle="1" w:styleId="165">
    <w:name w:val="Char Char31"/>
    <w:qFormat/>
    <w:uiPriority w:val="0"/>
    <w:rPr>
      <w:rFonts w:ascii="宋体" w:hAnsi="Courier New" w:eastAsia="宋体"/>
      <w:kern w:val="2"/>
      <w:sz w:val="21"/>
      <w:lang w:val="en-US" w:eastAsia="zh-CN" w:bidi="ar-SA"/>
    </w:rPr>
  </w:style>
  <w:style w:type="paragraph" w:customStyle="1" w:styleId="166">
    <w:name w:val="_Style 102"/>
    <w:basedOn w:val="1"/>
    <w:next w:val="141"/>
    <w:link w:val="169"/>
    <w:qFormat/>
    <w:uiPriority w:val="34"/>
    <w:pPr>
      <w:ind w:firstLine="420" w:firstLineChars="200"/>
    </w:pPr>
    <w:rPr>
      <w:rFonts w:ascii="Calibri" w:hAnsi="Calibri"/>
      <w:szCs w:val="22"/>
    </w:rPr>
  </w:style>
  <w:style w:type="paragraph" w:customStyle="1" w:styleId="167">
    <w:name w:val="正文文本11"/>
    <w:basedOn w:val="1"/>
    <w:qFormat/>
    <w:uiPriority w:val="0"/>
    <w:pPr>
      <w:adjustRightInd w:val="0"/>
      <w:spacing w:before="120" w:afterLines="50" w:line="280" w:lineRule="atLeast"/>
      <w:textAlignment w:val="baseline"/>
    </w:pPr>
    <w:rPr>
      <w:rFonts w:ascii="Calibri" w:hAnsi="Calibri" w:eastAsia="新宋体"/>
      <w:szCs w:val="21"/>
    </w:rPr>
  </w:style>
  <w:style w:type="paragraph" w:customStyle="1" w:styleId="168">
    <w:name w:val="List Paragraph1"/>
    <w:basedOn w:val="1"/>
    <w:qFormat/>
    <w:uiPriority w:val="0"/>
    <w:pPr>
      <w:ind w:firstLine="420" w:firstLineChars="200"/>
    </w:pPr>
    <w:rPr>
      <w:rFonts w:ascii="Calibri" w:hAnsi="Calibri"/>
      <w:szCs w:val="22"/>
    </w:rPr>
  </w:style>
  <w:style w:type="character" w:customStyle="1" w:styleId="169">
    <w:name w:val="列表段落 字符"/>
    <w:link w:val="166"/>
    <w:qFormat/>
    <w:locked/>
    <w:uiPriority w:val="0"/>
    <w:rPr>
      <w:rFonts w:ascii="Calibri" w:hAnsi="Calibri"/>
      <w:kern w:val="2"/>
      <w:sz w:val="21"/>
      <w:szCs w:val="22"/>
    </w:rPr>
  </w:style>
  <w:style w:type="character" w:customStyle="1" w:styleId="170">
    <w:name w:val="正文文本缩进 字符"/>
    <w:link w:val="36"/>
    <w:qFormat/>
    <w:locked/>
    <w:uiPriority w:val="0"/>
    <w:rPr>
      <w:kern w:val="2"/>
      <w:sz w:val="21"/>
    </w:rPr>
  </w:style>
  <w:style w:type="paragraph" w:customStyle="1" w:styleId="171">
    <w:name w:val="ATXT_Standard_1"/>
    <w:qFormat/>
    <w:uiPriority w:val="99"/>
    <w:pPr>
      <w:jc w:val="both"/>
    </w:pPr>
    <w:rPr>
      <w:rFonts w:ascii="Arial" w:hAnsi="Arial" w:eastAsia="宋体" w:cs="Times New Roman"/>
      <w:lang w:val="de-DE" w:eastAsia="zh-CN" w:bidi="th-TH"/>
    </w:rPr>
  </w:style>
  <w:style w:type="paragraph" w:customStyle="1" w:styleId="172">
    <w:name w:val="Normal_2"/>
    <w:qFormat/>
    <w:uiPriority w:val="0"/>
    <w:pPr>
      <w:spacing w:after="160" w:line="259" w:lineRule="auto"/>
    </w:pPr>
    <w:rPr>
      <w:rFonts w:ascii="Arial" w:hAnsi="Arial" w:eastAsia="等线" w:cs="Arial"/>
      <w:szCs w:val="28"/>
      <w:lang w:val="de-DE" w:eastAsia="zh-CN" w:bidi="th-TH"/>
    </w:rPr>
  </w:style>
  <w:style w:type="character" w:customStyle="1" w:styleId="173">
    <w:name w:val="批注文字 字符11"/>
    <w:qFormat/>
    <w:uiPriority w:val="0"/>
    <w:rPr>
      <w:rFonts w:cs="Times New Roman"/>
      <w:kern w:val="2"/>
      <w:sz w:val="21"/>
    </w:rPr>
  </w:style>
  <w:style w:type="paragraph" w:customStyle="1" w:styleId="174">
    <w:name w:val="Table Paragraph"/>
    <w:basedOn w:val="1"/>
    <w:qFormat/>
    <w:uiPriority w:val="1"/>
    <w:pPr>
      <w:autoSpaceDE w:val="0"/>
      <w:autoSpaceDN w:val="0"/>
      <w:spacing w:before="162"/>
      <w:ind w:left="107"/>
      <w:jc w:val="left"/>
    </w:pPr>
    <w:rPr>
      <w:rFonts w:ascii="宋体" w:hAnsi="宋体" w:cs="宋体"/>
      <w:kern w:val="0"/>
      <w:sz w:val="22"/>
      <w:szCs w:val="22"/>
      <w:lang w:eastAsia="en-US"/>
    </w:rPr>
  </w:style>
  <w:style w:type="character" w:customStyle="1" w:styleId="175">
    <w:name w:val="列出段落 字符"/>
    <w:link w:val="141"/>
    <w:qFormat/>
    <w:uiPriority w:val="34"/>
    <w:rPr>
      <w:rFonts w:ascii="Calibri" w:hAnsi="Calibri"/>
      <w:kern w:val="2"/>
      <w:sz w:val="21"/>
      <w:szCs w:val="22"/>
    </w:rPr>
  </w:style>
  <w:style w:type="character" w:customStyle="1" w:styleId="176">
    <w:name w:val="标题 4 字符"/>
    <w:link w:val="6"/>
    <w:semiHidden/>
    <w:qFormat/>
    <w:uiPriority w:val="9"/>
    <w:rPr>
      <w:rFonts w:ascii="Calibri Light" w:hAnsi="Calibri Light"/>
      <w:color w:val="70AD47"/>
      <w:sz w:val="22"/>
      <w:szCs w:val="22"/>
    </w:rPr>
  </w:style>
  <w:style w:type="character" w:customStyle="1" w:styleId="177">
    <w:name w:val="标题 5 字符"/>
    <w:link w:val="7"/>
    <w:qFormat/>
    <w:uiPriority w:val="9"/>
    <w:rPr>
      <w:rFonts w:ascii="Calibri Light" w:hAnsi="Calibri Light"/>
      <w:i/>
      <w:iCs/>
      <w:color w:val="70AD47"/>
      <w:sz w:val="22"/>
      <w:szCs w:val="22"/>
    </w:rPr>
  </w:style>
  <w:style w:type="character" w:customStyle="1" w:styleId="178">
    <w:name w:val="标题 6 字符"/>
    <w:link w:val="8"/>
    <w:semiHidden/>
    <w:qFormat/>
    <w:uiPriority w:val="9"/>
    <w:rPr>
      <w:rFonts w:ascii="Calibri Light" w:hAnsi="Calibri Light"/>
      <w:color w:val="70AD47"/>
      <w:sz w:val="21"/>
      <w:szCs w:val="21"/>
    </w:rPr>
  </w:style>
  <w:style w:type="character" w:customStyle="1" w:styleId="179">
    <w:name w:val="标题 7 字符"/>
    <w:link w:val="9"/>
    <w:qFormat/>
    <w:uiPriority w:val="0"/>
    <w:rPr>
      <w:rFonts w:ascii="Calibri Light" w:hAnsi="Calibri Light"/>
      <w:b/>
      <w:bCs/>
      <w:color w:val="70AD47"/>
      <w:sz w:val="21"/>
      <w:szCs w:val="21"/>
    </w:rPr>
  </w:style>
  <w:style w:type="character" w:customStyle="1" w:styleId="180">
    <w:name w:val="标题 8 字符"/>
    <w:link w:val="10"/>
    <w:semiHidden/>
    <w:qFormat/>
    <w:uiPriority w:val="9"/>
    <w:rPr>
      <w:rFonts w:ascii="Calibri Light" w:hAnsi="Calibri Light"/>
      <w:b/>
      <w:bCs/>
      <w:i/>
      <w:iCs/>
      <w:color w:val="70AD47"/>
    </w:rPr>
  </w:style>
  <w:style w:type="character" w:customStyle="1" w:styleId="181">
    <w:name w:val="标题 9 字符"/>
    <w:link w:val="11"/>
    <w:semiHidden/>
    <w:qFormat/>
    <w:uiPriority w:val="9"/>
    <w:rPr>
      <w:rFonts w:ascii="Calibri Light" w:hAnsi="Calibri Light"/>
      <w:i/>
      <w:iCs/>
      <w:color w:val="70AD47"/>
    </w:rPr>
  </w:style>
  <w:style w:type="character" w:customStyle="1" w:styleId="182">
    <w:name w:val="正文文本 2 字符"/>
    <w:link w:val="75"/>
    <w:qFormat/>
    <w:uiPriority w:val="0"/>
    <w:rPr>
      <w:rFonts w:ascii="等线" w:hAnsi="等线" w:eastAsia="等线"/>
      <w:color w:val="FF0000"/>
      <w:sz w:val="21"/>
      <w:szCs w:val="21"/>
    </w:rPr>
  </w:style>
  <w:style w:type="character" w:customStyle="1" w:styleId="183">
    <w:name w:val="正文（首行缩进两字） Char"/>
    <w:qFormat/>
    <w:uiPriority w:val="0"/>
    <w:rPr>
      <w:rFonts w:eastAsia="宋体"/>
      <w:kern w:val="2"/>
      <w:sz w:val="21"/>
      <w:szCs w:val="24"/>
      <w:lang w:val="en-US" w:eastAsia="zh-CN" w:bidi="he-IL"/>
    </w:rPr>
  </w:style>
  <w:style w:type="paragraph" w:customStyle="1" w:styleId="184">
    <w:name w:val="Tabellentext"/>
    <w:basedOn w:val="1"/>
    <w:qFormat/>
    <w:uiPriority w:val="0"/>
    <w:pPr>
      <w:widowControl/>
      <w:spacing w:after="200" w:line="288" w:lineRule="auto"/>
      <w:jc w:val="left"/>
    </w:pPr>
    <w:rPr>
      <w:rFonts w:ascii="Arial" w:hAnsi="Arial" w:eastAsia="等线"/>
      <w:kern w:val="24"/>
      <w:sz w:val="20"/>
      <w:lang w:val="de-DE"/>
    </w:rPr>
  </w:style>
  <w:style w:type="paragraph" w:customStyle="1" w:styleId="185">
    <w:name w:val="正文1"/>
    <w:basedOn w:val="156"/>
    <w:next w:val="156"/>
    <w:qFormat/>
    <w:uiPriority w:val="0"/>
    <w:pPr>
      <w:widowControl/>
      <w:spacing w:after="200" w:line="288" w:lineRule="auto"/>
    </w:pPr>
    <w:rPr>
      <w:rFonts w:ascii="宋体" w:hAnsi="等线" w:eastAsia="宋体" w:cs="Times New Roman"/>
      <w:color w:val="auto"/>
      <w:sz w:val="21"/>
      <w:lang w:eastAsia="en-US"/>
    </w:rPr>
  </w:style>
  <w:style w:type="paragraph" w:customStyle="1" w:styleId="186">
    <w:name w:val="A Lieferumfang Aufzählung"/>
    <w:basedOn w:val="1"/>
    <w:qFormat/>
    <w:uiPriority w:val="0"/>
    <w:pPr>
      <w:keepNext/>
      <w:widowControl/>
      <w:numPr>
        <w:ilvl w:val="0"/>
        <w:numId w:val="4"/>
      </w:numPr>
      <w:tabs>
        <w:tab w:val="left" w:pos="1701"/>
      </w:tabs>
      <w:spacing w:after="200" w:line="288" w:lineRule="auto"/>
      <w:ind w:left="2058" w:hanging="357"/>
      <w:jc w:val="left"/>
    </w:pPr>
    <w:rPr>
      <w:rFonts w:ascii="Arial" w:hAnsi="Arial" w:eastAsia="等线"/>
      <w:kern w:val="0"/>
      <w:sz w:val="20"/>
      <w:lang w:val="de-DE"/>
    </w:rPr>
  </w:style>
  <w:style w:type="character" w:customStyle="1" w:styleId="187">
    <w:name w:val="正文文本 3 字符"/>
    <w:link w:val="33"/>
    <w:qFormat/>
    <w:uiPriority w:val="0"/>
    <w:rPr>
      <w:rFonts w:ascii="等线" w:hAnsi="等线" w:eastAsia="等线"/>
      <w:sz w:val="24"/>
    </w:rPr>
  </w:style>
  <w:style w:type="paragraph" w:customStyle="1" w:styleId="188">
    <w:name w:val="_Angebot_Aufzählung"/>
    <w:basedOn w:val="1"/>
    <w:qFormat/>
    <w:uiPriority w:val="0"/>
    <w:pPr>
      <w:widowControl/>
      <w:numPr>
        <w:ilvl w:val="0"/>
        <w:numId w:val="5"/>
      </w:numPr>
      <w:tabs>
        <w:tab w:val="left" w:pos="1134"/>
      </w:tabs>
      <w:spacing w:before="120" w:after="120" w:line="288" w:lineRule="auto"/>
      <w:ind w:right="1701"/>
      <w:jc w:val="left"/>
    </w:pPr>
    <w:rPr>
      <w:rFonts w:ascii="Arial" w:hAnsi="Arial" w:eastAsia="等线"/>
      <w:kern w:val="0"/>
      <w:sz w:val="24"/>
    </w:rPr>
  </w:style>
  <w:style w:type="paragraph" w:customStyle="1" w:styleId="189">
    <w:name w:val="_Angebot_Überschrift"/>
    <w:basedOn w:val="1"/>
    <w:qFormat/>
    <w:uiPriority w:val="0"/>
    <w:pPr>
      <w:widowControl/>
      <w:tabs>
        <w:tab w:val="left" w:pos="1134"/>
      </w:tabs>
      <w:spacing w:before="120" w:after="240" w:line="288" w:lineRule="auto"/>
      <w:jc w:val="left"/>
    </w:pPr>
    <w:rPr>
      <w:rFonts w:ascii="Arial" w:hAnsi="Arial" w:eastAsia="等线"/>
      <w:b/>
      <w:kern w:val="0"/>
      <w:sz w:val="24"/>
    </w:rPr>
  </w:style>
  <w:style w:type="paragraph" w:customStyle="1" w:styleId="190">
    <w:name w:val="Char Char3 Char Char Char Char"/>
    <w:basedOn w:val="1"/>
    <w:qFormat/>
    <w:uiPriority w:val="0"/>
    <w:pPr>
      <w:widowControl/>
      <w:spacing w:after="160" w:line="240" w:lineRule="exact"/>
      <w:jc w:val="left"/>
    </w:pPr>
    <w:rPr>
      <w:rFonts w:ascii="Verdana" w:hAnsi="Verdana" w:eastAsia="等线"/>
      <w:kern w:val="0"/>
      <w:sz w:val="20"/>
      <w:lang w:eastAsia="en-US"/>
    </w:rPr>
  </w:style>
  <w:style w:type="paragraph" w:customStyle="1" w:styleId="191">
    <w:name w:val="样式1"/>
    <w:basedOn w:val="1"/>
    <w:qFormat/>
    <w:uiPriority w:val="0"/>
    <w:pPr>
      <w:widowControl/>
      <w:spacing w:after="200" w:line="288" w:lineRule="auto"/>
      <w:jc w:val="left"/>
    </w:pPr>
    <w:rPr>
      <w:rFonts w:ascii="等线" w:hAnsi="等线" w:eastAsia="等线"/>
      <w:kern w:val="0"/>
    </w:rPr>
  </w:style>
  <w:style w:type="paragraph" w:customStyle="1" w:styleId="192">
    <w:name w:val="STANDARD 2"/>
    <w:basedOn w:val="1"/>
    <w:qFormat/>
    <w:uiPriority w:val="0"/>
    <w:pPr>
      <w:widowControl/>
      <w:spacing w:after="200" w:line="288" w:lineRule="auto"/>
      <w:ind w:left="1020"/>
      <w:jc w:val="left"/>
    </w:pPr>
    <w:rPr>
      <w:rFonts w:ascii="等线" w:hAnsi="等线" w:eastAsia="等线"/>
      <w:kern w:val="0"/>
      <w:sz w:val="24"/>
      <w:lang w:val="fr-FR" w:eastAsia="en-US"/>
    </w:rPr>
  </w:style>
  <w:style w:type="paragraph" w:customStyle="1" w:styleId="193">
    <w:name w:val="Normal_14"/>
    <w:basedOn w:val="1"/>
    <w:qFormat/>
    <w:uiPriority w:val="0"/>
    <w:pPr>
      <w:keepLines/>
      <w:widowControl/>
      <w:spacing w:after="200" w:line="288" w:lineRule="auto"/>
      <w:jc w:val="left"/>
    </w:pPr>
    <w:rPr>
      <w:rFonts w:ascii="等线" w:hAnsi="等线" w:eastAsia="等线"/>
      <w:kern w:val="0"/>
      <w:sz w:val="24"/>
      <w:lang w:val="fr-FR" w:eastAsia="fr-FR"/>
    </w:rPr>
  </w:style>
  <w:style w:type="paragraph" w:customStyle="1" w:styleId="194">
    <w:name w:val="STANDARD 4"/>
    <w:basedOn w:val="1"/>
    <w:qFormat/>
    <w:uiPriority w:val="0"/>
    <w:pPr>
      <w:widowControl/>
      <w:spacing w:after="200" w:line="288" w:lineRule="auto"/>
      <w:ind w:left="2720"/>
      <w:jc w:val="left"/>
    </w:pPr>
    <w:rPr>
      <w:rFonts w:ascii="等线" w:hAnsi="等线" w:eastAsia="等线"/>
      <w:kern w:val="0"/>
      <w:sz w:val="24"/>
      <w:lang w:val="fr-FR" w:eastAsia="en-US"/>
    </w:rPr>
  </w:style>
  <w:style w:type="paragraph" w:customStyle="1" w:styleId="195">
    <w:name w:val="Texte"/>
    <w:basedOn w:val="6"/>
    <w:qFormat/>
    <w:uiPriority w:val="0"/>
    <w:pPr>
      <w:keepNext w:val="0"/>
      <w:keepLines w:val="0"/>
      <w:spacing w:before="0" w:line="240" w:lineRule="auto"/>
      <w:ind w:left="1701" w:right="284"/>
      <w:outlineLvl w:val="9"/>
    </w:pPr>
    <w:rPr>
      <w:b/>
      <w:bCs/>
      <w:sz w:val="20"/>
      <w:szCs w:val="20"/>
      <w:lang w:val="fr-FR" w:eastAsia="en-US"/>
    </w:rPr>
  </w:style>
  <w:style w:type="paragraph" w:customStyle="1" w:styleId="196">
    <w:name w:val="STANDARD 1"/>
    <w:basedOn w:val="1"/>
    <w:qFormat/>
    <w:uiPriority w:val="0"/>
    <w:pPr>
      <w:widowControl/>
      <w:spacing w:after="200" w:line="288" w:lineRule="auto"/>
      <w:ind w:left="420"/>
      <w:jc w:val="left"/>
    </w:pPr>
    <w:rPr>
      <w:rFonts w:ascii="等线" w:hAnsi="等线" w:eastAsia="等线"/>
      <w:kern w:val="0"/>
      <w:sz w:val="24"/>
      <w:lang w:val="fr-FR" w:eastAsia="en-US"/>
    </w:rPr>
  </w:style>
  <w:style w:type="paragraph" w:customStyle="1" w:styleId="197">
    <w:name w:val="STANDARD 3"/>
    <w:basedOn w:val="1"/>
    <w:qFormat/>
    <w:uiPriority w:val="0"/>
    <w:pPr>
      <w:widowControl/>
      <w:spacing w:after="200" w:line="288" w:lineRule="auto"/>
      <w:ind w:left="1780"/>
      <w:jc w:val="left"/>
    </w:pPr>
    <w:rPr>
      <w:rFonts w:ascii="等线" w:hAnsi="等线" w:eastAsia="等线"/>
      <w:kern w:val="0"/>
      <w:sz w:val="24"/>
      <w:lang w:val="fr-FR" w:eastAsia="en-US"/>
    </w:rPr>
  </w:style>
  <w:style w:type="paragraph" w:customStyle="1" w:styleId="198">
    <w:name w:val="STANDARD 5"/>
    <w:basedOn w:val="194"/>
    <w:qFormat/>
    <w:uiPriority w:val="0"/>
    <w:pPr>
      <w:ind w:left="3700"/>
    </w:pPr>
    <w:rPr>
      <w:sz w:val="22"/>
    </w:rPr>
  </w:style>
  <w:style w:type="paragraph" w:customStyle="1" w:styleId="199">
    <w:name w:val="Document Map1"/>
    <w:basedOn w:val="1"/>
    <w:qFormat/>
    <w:uiPriority w:val="0"/>
    <w:pPr>
      <w:widowControl/>
      <w:shd w:val="clear" w:color="auto" w:fill="000080"/>
      <w:spacing w:after="200" w:line="288" w:lineRule="auto"/>
      <w:jc w:val="left"/>
    </w:pPr>
    <w:rPr>
      <w:rFonts w:ascii="Tahoma" w:hAnsi="Tahoma" w:eastAsia="等线"/>
      <w:kern w:val="0"/>
      <w:sz w:val="24"/>
      <w:lang w:val="fr-FR" w:eastAsia="en-US"/>
    </w:rPr>
  </w:style>
  <w:style w:type="paragraph" w:customStyle="1" w:styleId="200">
    <w:name w:val="Mémo"/>
    <w:basedOn w:val="1"/>
    <w:qFormat/>
    <w:uiPriority w:val="0"/>
    <w:pPr>
      <w:widowControl/>
      <w:spacing w:after="200" w:line="288" w:lineRule="auto"/>
      <w:jc w:val="left"/>
    </w:pPr>
    <w:rPr>
      <w:rFonts w:ascii="Courier" w:hAnsi="Courier" w:eastAsia="等线"/>
      <w:kern w:val="0"/>
      <w:sz w:val="20"/>
      <w:lang w:val="fr-FR" w:eastAsia="en-US"/>
    </w:rPr>
  </w:style>
  <w:style w:type="paragraph" w:customStyle="1" w:styleId="201">
    <w:name w:val="STANDARD 1TIRET"/>
    <w:basedOn w:val="196"/>
    <w:qFormat/>
    <w:uiPriority w:val="0"/>
    <w:pPr>
      <w:ind w:left="669" w:hanging="227"/>
    </w:pPr>
  </w:style>
  <w:style w:type="paragraph" w:customStyle="1" w:styleId="202">
    <w:name w:val="STANDARD 2TIRET"/>
    <w:basedOn w:val="192"/>
    <w:qFormat/>
    <w:uiPriority w:val="0"/>
    <w:pPr>
      <w:ind w:left="1270" w:hanging="227"/>
    </w:pPr>
  </w:style>
  <w:style w:type="paragraph" w:customStyle="1" w:styleId="203">
    <w:name w:val="STANDARD 3TIRET"/>
    <w:basedOn w:val="197"/>
    <w:qFormat/>
    <w:uiPriority w:val="0"/>
    <w:pPr>
      <w:ind w:left="2030" w:hanging="227"/>
    </w:pPr>
  </w:style>
  <w:style w:type="paragraph" w:customStyle="1" w:styleId="204">
    <w:name w:val="STANDARD 4TIRET"/>
    <w:basedOn w:val="194"/>
    <w:qFormat/>
    <w:uiPriority w:val="0"/>
    <w:pPr>
      <w:ind w:left="2971" w:hanging="227"/>
    </w:pPr>
  </w:style>
  <w:style w:type="paragraph" w:customStyle="1" w:styleId="205">
    <w:name w:val="STANDARD 5TIRET"/>
    <w:basedOn w:val="198"/>
    <w:qFormat/>
    <w:uiPriority w:val="0"/>
    <w:pPr>
      <w:ind w:left="3958" w:hanging="227"/>
    </w:pPr>
  </w:style>
  <w:style w:type="paragraph" w:customStyle="1" w:styleId="206">
    <w:name w:val="Normal-Tiret"/>
    <w:basedOn w:val="1"/>
    <w:qFormat/>
    <w:uiPriority w:val="0"/>
    <w:pPr>
      <w:widowControl/>
      <w:spacing w:after="200" w:line="288" w:lineRule="auto"/>
      <w:ind w:left="227" w:hanging="227"/>
      <w:jc w:val="left"/>
    </w:pPr>
    <w:rPr>
      <w:rFonts w:ascii="等线" w:hAnsi="等线" w:eastAsia="等线"/>
      <w:kern w:val="0"/>
      <w:sz w:val="24"/>
      <w:lang w:val="fr-FR" w:eastAsia="en-US"/>
    </w:rPr>
  </w:style>
  <w:style w:type="paragraph" w:customStyle="1" w:styleId="207">
    <w:name w:val="Normal_action"/>
    <w:basedOn w:val="1"/>
    <w:qFormat/>
    <w:uiPriority w:val="0"/>
    <w:pPr>
      <w:widowControl/>
      <w:spacing w:after="120" w:line="288" w:lineRule="auto"/>
      <w:ind w:left="709" w:hanging="425"/>
      <w:jc w:val="left"/>
    </w:pPr>
    <w:rPr>
      <w:rFonts w:ascii="等线" w:hAnsi="等线" w:eastAsia="等线"/>
      <w:kern w:val="0"/>
      <w:sz w:val="28"/>
      <w:lang w:val="fr-FR" w:eastAsia="fr-FR"/>
    </w:rPr>
  </w:style>
  <w:style w:type="paragraph" w:customStyle="1" w:styleId="208">
    <w:name w:val="STANDARD MJ3"/>
    <w:basedOn w:val="1"/>
    <w:qFormat/>
    <w:uiPriority w:val="0"/>
    <w:pPr>
      <w:widowControl/>
      <w:spacing w:after="200" w:line="288" w:lineRule="auto"/>
      <w:ind w:left="1520"/>
      <w:jc w:val="left"/>
    </w:pPr>
    <w:rPr>
      <w:rFonts w:ascii="Palatino" w:hAnsi="Palatino" w:eastAsia="等线"/>
      <w:kern w:val="0"/>
      <w:sz w:val="20"/>
      <w:lang w:val="fr-FR" w:eastAsia="fr-FR"/>
    </w:rPr>
  </w:style>
  <w:style w:type="paragraph" w:customStyle="1" w:styleId="209">
    <w:name w:val="TT1"/>
    <w:basedOn w:val="1"/>
    <w:qFormat/>
    <w:uiPriority w:val="0"/>
    <w:pPr>
      <w:widowControl/>
      <w:tabs>
        <w:tab w:val="left" w:pos="1134"/>
      </w:tabs>
      <w:spacing w:after="200" w:line="288" w:lineRule="auto"/>
      <w:jc w:val="left"/>
    </w:pPr>
    <w:rPr>
      <w:rFonts w:ascii="Courier" w:hAnsi="Courier" w:eastAsia="等线"/>
      <w:b/>
      <w:color w:val="000000"/>
      <w:spacing w:val="-30"/>
      <w:kern w:val="0"/>
      <w:sz w:val="28"/>
      <w:lang w:val="fr-FR" w:eastAsia="en-US"/>
    </w:rPr>
  </w:style>
  <w:style w:type="paragraph" w:customStyle="1" w:styleId="210">
    <w:name w:val="N2"/>
    <w:basedOn w:val="211"/>
    <w:qFormat/>
    <w:uiPriority w:val="0"/>
    <w:pPr>
      <w:tabs>
        <w:tab w:val="left" w:pos="3402"/>
        <w:tab w:val="left" w:pos="5670"/>
        <w:tab w:val="left" w:pos="7088"/>
        <w:tab w:val="left" w:pos="8505"/>
      </w:tabs>
      <w:ind w:left="567"/>
    </w:pPr>
    <w:rPr>
      <w:i/>
    </w:rPr>
  </w:style>
  <w:style w:type="paragraph" w:customStyle="1" w:styleId="211">
    <w:name w:val="N1"/>
    <w:basedOn w:val="1"/>
    <w:qFormat/>
    <w:uiPriority w:val="0"/>
    <w:pPr>
      <w:widowControl/>
      <w:spacing w:after="200" w:line="288" w:lineRule="auto"/>
      <w:ind w:left="284" w:hanging="284"/>
      <w:jc w:val="left"/>
    </w:pPr>
    <w:rPr>
      <w:rFonts w:ascii="Courier" w:hAnsi="Courier" w:eastAsia="等线"/>
      <w:color w:val="000000"/>
      <w:spacing w:val="-30"/>
      <w:kern w:val="0"/>
      <w:sz w:val="24"/>
      <w:lang w:val="fr-FR" w:eastAsia="en-US"/>
    </w:rPr>
  </w:style>
  <w:style w:type="paragraph" w:customStyle="1" w:styleId="212">
    <w:name w:val="N3"/>
    <w:basedOn w:val="1"/>
    <w:qFormat/>
    <w:uiPriority w:val="0"/>
    <w:pPr>
      <w:widowControl/>
      <w:tabs>
        <w:tab w:val="left" w:pos="5670"/>
      </w:tabs>
      <w:spacing w:after="200" w:line="288" w:lineRule="auto"/>
      <w:ind w:left="1134" w:hanging="283"/>
      <w:jc w:val="left"/>
    </w:pPr>
    <w:rPr>
      <w:rFonts w:ascii="Courier" w:hAnsi="Courier" w:eastAsia="等线"/>
      <w:color w:val="000000"/>
      <w:spacing w:val="-30"/>
      <w:kern w:val="0"/>
      <w:sz w:val="24"/>
      <w:lang w:val="fr-FR" w:eastAsia="en-US"/>
    </w:rPr>
  </w:style>
  <w:style w:type="paragraph" w:customStyle="1" w:styleId="213">
    <w:name w:val="TT2"/>
    <w:basedOn w:val="1"/>
    <w:qFormat/>
    <w:uiPriority w:val="0"/>
    <w:pPr>
      <w:widowControl/>
      <w:tabs>
        <w:tab w:val="left" w:pos="1134"/>
      </w:tabs>
      <w:spacing w:after="200" w:line="288" w:lineRule="auto"/>
      <w:jc w:val="left"/>
    </w:pPr>
    <w:rPr>
      <w:rFonts w:ascii="Courier" w:hAnsi="Courier" w:eastAsia="等线"/>
      <w:b/>
      <w:color w:val="000000"/>
      <w:spacing w:val="-30"/>
      <w:kern w:val="0"/>
      <w:sz w:val="24"/>
      <w:lang w:val="fr-FR" w:eastAsia="en-US"/>
    </w:rPr>
  </w:style>
  <w:style w:type="paragraph" w:customStyle="1" w:styleId="214">
    <w:name w:val="Direction ou Entité"/>
    <w:basedOn w:val="1"/>
    <w:qFormat/>
    <w:uiPriority w:val="0"/>
    <w:pPr>
      <w:widowControl/>
      <w:spacing w:before="100" w:after="400" w:line="288" w:lineRule="auto"/>
      <w:jc w:val="right"/>
    </w:pPr>
    <w:rPr>
      <w:rFonts w:ascii="Arial Narrow" w:hAnsi="Arial Narrow" w:eastAsia="等线"/>
      <w:kern w:val="0"/>
      <w:sz w:val="26"/>
      <w:lang w:val="fr-FR" w:eastAsia="fr-FR"/>
    </w:rPr>
  </w:style>
  <w:style w:type="character" w:customStyle="1" w:styleId="215">
    <w:name w:val="wurl1"/>
    <w:qFormat/>
    <w:uiPriority w:val="0"/>
    <w:rPr>
      <w:rFonts w:hint="default" w:ascii="Verdana" w:hAnsi="Verdana"/>
      <w:color w:val="647183"/>
      <w:sz w:val="18"/>
      <w:szCs w:val="18"/>
      <w:vertAlign w:val="superscript"/>
    </w:rPr>
  </w:style>
  <w:style w:type="paragraph" w:customStyle="1" w:styleId="216">
    <w:name w:val="Char Char Char Char"/>
    <w:basedOn w:val="28"/>
    <w:qFormat/>
    <w:uiPriority w:val="0"/>
    <w:pPr>
      <w:widowControl/>
      <w:spacing w:after="200" w:line="288" w:lineRule="auto"/>
      <w:jc w:val="left"/>
    </w:pPr>
    <w:rPr>
      <w:rFonts w:ascii="Tahoma" w:hAnsi="Tahoma" w:eastAsia="等线"/>
      <w:kern w:val="0"/>
    </w:rPr>
  </w:style>
  <w:style w:type="paragraph" w:customStyle="1" w:styleId="217">
    <w:name w:val="ATXT_Bullets"/>
    <w:basedOn w:val="1"/>
    <w:link w:val="291"/>
    <w:qFormat/>
    <w:uiPriority w:val="99"/>
    <w:pPr>
      <w:widowControl/>
      <w:numPr>
        <w:ilvl w:val="0"/>
        <w:numId w:val="6"/>
      </w:numPr>
      <w:spacing w:after="200" w:line="288" w:lineRule="auto"/>
      <w:jc w:val="left"/>
    </w:pPr>
    <w:rPr>
      <w:rFonts w:ascii="Arial" w:hAnsi="Arial" w:eastAsia="等线"/>
      <w:kern w:val="0"/>
      <w:sz w:val="20"/>
      <w:lang w:eastAsia="en-US"/>
    </w:rPr>
  </w:style>
  <w:style w:type="character" w:customStyle="1" w:styleId="218">
    <w:name w:val="__tts   tts_on"/>
    <w:qFormat/>
    <w:uiPriority w:val="0"/>
  </w:style>
  <w:style w:type="character" w:customStyle="1" w:styleId="219">
    <w:name w:val="HTML 预设格式 字符"/>
    <w:link w:val="76"/>
    <w:qFormat/>
    <w:uiPriority w:val="0"/>
    <w:rPr>
      <w:rFonts w:ascii="宋体" w:hAnsi="宋体" w:eastAsia="等线" w:cs="宋体"/>
      <w:sz w:val="24"/>
      <w:szCs w:val="21"/>
    </w:rPr>
  </w:style>
  <w:style w:type="paragraph" w:customStyle="1" w:styleId="220">
    <w:name w:val="纯文本1"/>
    <w:basedOn w:val="1"/>
    <w:qFormat/>
    <w:uiPriority w:val="0"/>
    <w:pPr>
      <w:widowControl/>
      <w:spacing w:after="200" w:line="288" w:lineRule="auto"/>
      <w:jc w:val="left"/>
    </w:pPr>
    <w:rPr>
      <w:rFonts w:ascii="宋体" w:hAnsi="Courier New" w:eastAsia="等线"/>
      <w:kern w:val="0"/>
      <w:szCs w:val="21"/>
    </w:rPr>
  </w:style>
  <w:style w:type="character" w:customStyle="1" w:styleId="221">
    <w:name w:val="副标题 字符"/>
    <w:link w:val="64"/>
    <w:qFormat/>
    <w:uiPriority w:val="0"/>
    <w:rPr>
      <w:rFonts w:ascii="Calibri Light" w:hAnsi="Calibri Light"/>
      <w:sz w:val="30"/>
      <w:szCs w:val="30"/>
    </w:rPr>
  </w:style>
  <w:style w:type="paragraph" w:styleId="222">
    <w:name w:val="No Spacing"/>
    <w:link w:val="606"/>
    <w:qFormat/>
    <w:uiPriority w:val="1"/>
    <w:rPr>
      <w:rFonts w:ascii="等线" w:hAnsi="等线" w:eastAsia="等线" w:cs="Times New Roman"/>
      <w:sz w:val="21"/>
      <w:szCs w:val="21"/>
      <w:lang w:val="en-US" w:eastAsia="zh-CN" w:bidi="ar-SA"/>
    </w:rPr>
  </w:style>
  <w:style w:type="paragraph" w:styleId="223">
    <w:name w:val="Quote"/>
    <w:basedOn w:val="1"/>
    <w:next w:val="1"/>
    <w:link w:val="224"/>
    <w:qFormat/>
    <w:uiPriority w:val="29"/>
    <w:pPr>
      <w:widowControl/>
      <w:spacing w:before="160" w:after="200" w:line="288" w:lineRule="auto"/>
      <w:ind w:left="720" w:right="720"/>
      <w:jc w:val="center"/>
    </w:pPr>
    <w:rPr>
      <w:rFonts w:ascii="等线" w:hAnsi="等线" w:eastAsia="等线"/>
      <w:i/>
      <w:iCs/>
      <w:color w:val="262626"/>
      <w:kern w:val="0"/>
      <w:szCs w:val="21"/>
    </w:rPr>
  </w:style>
  <w:style w:type="character" w:customStyle="1" w:styleId="224">
    <w:name w:val="引用 字符"/>
    <w:link w:val="223"/>
    <w:qFormat/>
    <w:uiPriority w:val="29"/>
    <w:rPr>
      <w:rFonts w:ascii="等线" w:hAnsi="等线" w:eastAsia="等线"/>
      <w:i/>
      <w:iCs/>
      <w:color w:val="262626"/>
      <w:sz w:val="21"/>
      <w:szCs w:val="21"/>
    </w:rPr>
  </w:style>
  <w:style w:type="paragraph" w:styleId="225">
    <w:name w:val="Intense Quote"/>
    <w:basedOn w:val="1"/>
    <w:next w:val="1"/>
    <w:link w:val="226"/>
    <w:qFormat/>
    <w:uiPriority w:val="30"/>
    <w:pPr>
      <w:widowControl/>
      <w:spacing w:before="160" w:after="160" w:line="264" w:lineRule="auto"/>
      <w:ind w:left="720" w:right="720"/>
      <w:jc w:val="center"/>
    </w:pPr>
    <w:rPr>
      <w:rFonts w:ascii="Calibri Light" w:hAnsi="Calibri Light"/>
      <w:i/>
      <w:iCs/>
      <w:color w:val="70AD47"/>
      <w:kern w:val="0"/>
      <w:sz w:val="32"/>
      <w:szCs w:val="32"/>
    </w:rPr>
  </w:style>
  <w:style w:type="character" w:customStyle="1" w:styleId="226">
    <w:name w:val="明显引用 字符"/>
    <w:link w:val="225"/>
    <w:qFormat/>
    <w:uiPriority w:val="30"/>
    <w:rPr>
      <w:rFonts w:ascii="Calibri Light" w:hAnsi="Calibri Light"/>
      <w:i/>
      <w:iCs/>
      <w:color w:val="70AD47"/>
      <w:sz w:val="32"/>
      <w:szCs w:val="32"/>
    </w:rPr>
  </w:style>
  <w:style w:type="character" w:customStyle="1" w:styleId="227">
    <w:name w:val="Subtle Emphasis"/>
    <w:qFormat/>
    <w:uiPriority w:val="19"/>
    <w:rPr>
      <w:i/>
      <w:iCs/>
    </w:rPr>
  </w:style>
  <w:style w:type="character" w:customStyle="1" w:styleId="228">
    <w:name w:val="Intense Emphasis"/>
    <w:qFormat/>
    <w:uiPriority w:val="21"/>
    <w:rPr>
      <w:b/>
      <w:bCs/>
      <w:i/>
      <w:iCs/>
    </w:rPr>
  </w:style>
  <w:style w:type="character" w:customStyle="1" w:styleId="229">
    <w:name w:val="Subtle Reference"/>
    <w:qFormat/>
    <w:uiPriority w:val="31"/>
    <w:rPr>
      <w:smallCaps/>
      <w:color w:val="595959"/>
    </w:rPr>
  </w:style>
  <w:style w:type="character" w:customStyle="1" w:styleId="230">
    <w:name w:val="Intense Reference"/>
    <w:qFormat/>
    <w:uiPriority w:val="32"/>
    <w:rPr>
      <w:b/>
      <w:bCs/>
      <w:smallCaps/>
      <w:color w:val="70AD47"/>
    </w:rPr>
  </w:style>
  <w:style w:type="character" w:customStyle="1" w:styleId="231">
    <w:name w:val="Book Title"/>
    <w:qFormat/>
    <w:uiPriority w:val="33"/>
    <w:rPr>
      <w:b/>
      <w:bCs/>
      <w:smallCaps/>
      <w:spacing w:val="7"/>
      <w:sz w:val="21"/>
      <w:szCs w:val="21"/>
    </w:rPr>
  </w:style>
  <w:style w:type="paragraph" w:customStyle="1" w:styleId="232">
    <w:name w:val="TOC Heading"/>
    <w:basedOn w:val="3"/>
    <w:next w:val="1"/>
    <w:unhideWhenUsed/>
    <w:qFormat/>
    <w:uiPriority w:val="39"/>
    <w:pPr>
      <w:widowControl/>
      <w:spacing w:before="360" w:after="40" w:line="240" w:lineRule="auto"/>
      <w:jc w:val="left"/>
      <w:outlineLvl w:val="9"/>
    </w:pPr>
    <w:rPr>
      <w:rFonts w:ascii="Calibri Light" w:hAnsi="Calibri Light"/>
      <w:b w:val="0"/>
      <w:bCs w:val="0"/>
      <w:color w:val="538135"/>
      <w:kern w:val="0"/>
      <w:sz w:val="40"/>
      <w:szCs w:val="40"/>
    </w:rPr>
  </w:style>
  <w:style w:type="character" w:customStyle="1" w:styleId="233">
    <w:name w:val="脚注文本 字符"/>
    <w:link w:val="67"/>
    <w:qFormat/>
    <w:uiPriority w:val="0"/>
    <w:rPr>
      <w:rFonts w:ascii="等线" w:hAnsi="等线" w:eastAsia="等线"/>
      <w:sz w:val="18"/>
      <w:szCs w:val="18"/>
    </w:rPr>
  </w:style>
  <w:style w:type="character" w:customStyle="1" w:styleId="234">
    <w:name w:val="fontstyle01"/>
    <w:qFormat/>
    <w:uiPriority w:val="0"/>
    <w:rPr>
      <w:rFonts w:hint="eastAsia" w:ascii="宋体" w:hAnsi="宋体" w:eastAsia="宋体"/>
      <w:color w:val="000000"/>
      <w:sz w:val="24"/>
      <w:szCs w:val="24"/>
    </w:rPr>
  </w:style>
  <w:style w:type="character" w:customStyle="1" w:styleId="235">
    <w:name w:val="fontstyle21"/>
    <w:qFormat/>
    <w:uiPriority w:val="0"/>
    <w:rPr>
      <w:rFonts w:hint="eastAsia" w:ascii="TimesNewRomanPSMT" w:hAnsi="TimesNewRomanPSMT" w:eastAsia="TimesNewRomanPSMT"/>
      <w:color w:val="000000"/>
      <w:sz w:val="24"/>
      <w:szCs w:val="24"/>
    </w:rPr>
  </w:style>
  <w:style w:type="character" w:customStyle="1" w:styleId="236">
    <w:name w:val="fontstyle11"/>
    <w:qFormat/>
    <w:uiPriority w:val="0"/>
    <w:rPr>
      <w:rFonts w:hint="eastAsia" w:ascii="TimesNewRomanPSMT" w:hAnsi="TimesNewRomanPSMT" w:eastAsia="TimesNewRomanPSMT"/>
      <w:color w:val="000000"/>
      <w:sz w:val="18"/>
      <w:szCs w:val="18"/>
    </w:rPr>
  </w:style>
  <w:style w:type="paragraph" w:customStyle="1" w:styleId="237">
    <w:name w:val="_Style 1"/>
    <w:basedOn w:val="1"/>
    <w:qFormat/>
    <w:uiPriority w:val="34"/>
    <w:pPr>
      <w:ind w:firstLine="420" w:firstLineChars="200"/>
    </w:pPr>
    <w:rPr>
      <w:rFonts w:ascii="Calibri" w:hAnsi="Calibri"/>
      <w:szCs w:val="22"/>
    </w:rPr>
  </w:style>
  <w:style w:type="character" w:customStyle="1" w:styleId="238">
    <w:name w:val="段 Char"/>
    <w:link w:val="239"/>
    <w:qFormat/>
    <w:uiPriority w:val="0"/>
    <w:rPr>
      <w:rFonts w:ascii="宋体"/>
    </w:rPr>
  </w:style>
  <w:style w:type="paragraph" w:customStyle="1" w:styleId="239">
    <w:name w:val="段"/>
    <w:link w:val="238"/>
    <w:qFormat/>
    <w:uiPriority w:val="0"/>
    <w:pPr>
      <w:autoSpaceDE w:val="0"/>
      <w:autoSpaceDN w:val="0"/>
      <w:spacing w:line="0" w:lineRule="atLeast"/>
      <w:ind w:firstLine="200" w:firstLineChars="200"/>
      <w:jc w:val="both"/>
    </w:pPr>
    <w:rPr>
      <w:rFonts w:ascii="宋体" w:hAnsi="Times New Roman" w:eastAsia="宋体" w:cs="Times New Roman"/>
      <w:lang w:val="en-US" w:eastAsia="zh-CN" w:bidi="ar-SA"/>
    </w:rPr>
  </w:style>
  <w:style w:type="character" w:customStyle="1" w:styleId="240">
    <w:name w:val="Body text|4_"/>
    <w:link w:val="241"/>
    <w:qFormat/>
    <w:uiPriority w:val="0"/>
    <w:rPr>
      <w:rFonts w:ascii="宋体" w:hAnsi="宋体" w:cs="宋体"/>
    </w:rPr>
  </w:style>
  <w:style w:type="paragraph" w:customStyle="1" w:styleId="241">
    <w:name w:val="Body text|4"/>
    <w:basedOn w:val="1"/>
    <w:link w:val="240"/>
    <w:qFormat/>
    <w:uiPriority w:val="0"/>
    <w:pPr>
      <w:spacing w:line="477" w:lineRule="exact"/>
      <w:jc w:val="left"/>
    </w:pPr>
    <w:rPr>
      <w:rFonts w:ascii="宋体" w:hAnsi="宋体" w:cs="宋体"/>
      <w:kern w:val="0"/>
      <w:sz w:val="20"/>
    </w:rPr>
  </w:style>
  <w:style w:type="character" w:customStyle="1" w:styleId="242">
    <w:name w:val="批注框文本 字符1"/>
    <w:qFormat/>
    <w:uiPriority w:val="99"/>
    <w:rPr>
      <w:rFonts w:ascii="Times New Roman" w:hAnsi="Times New Roman" w:eastAsia="宋体" w:cs="Times New Roman"/>
      <w:kern w:val="2"/>
      <w:sz w:val="18"/>
      <w:szCs w:val="18"/>
    </w:rPr>
  </w:style>
  <w:style w:type="character" w:customStyle="1" w:styleId="243">
    <w:name w:val="批注主题 字符1"/>
    <w:qFormat/>
    <w:uiPriority w:val="99"/>
    <w:rPr>
      <w:rFonts w:ascii="Times New Roman" w:hAnsi="Times New Roman" w:eastAsia="宋体" w:cs="Times New Roman"/>
      <w:b/>
      <w:bCs/>
      <w:kern w:val="2"/>
      <w:sz w:val="21"/>
    </w:rPr>
  </w:style>
  <w:style w:type="character" w:customStyle="1" w:styleId="244">
    <w:name w:val="Body text|1_"/>
    <w:link w:val="245"/>
    <w:qFormat/>
    <w:uiPriority w:val="0"/>
    <w:rPr>
      <w:rFonts w:ascii="MingLiU" w:hAnsi="MingLiU" w:eastAsia="MingLiU" w:cs="MingLiU"/>
      <w:sz w:val="22"/>
      <w:lang w:val="zh-TW" w:eastAsia="zh-TW" w:bidi="zh-TW"/>
    </w:rPr>
  </w:style>
  <w:style w:type="paragraph" w:customStyle="1" w:styleId="245">
    <w:name w:val="Body text|1"/>
    <w:basedOn w:val="1"/>
    <w:link w:val="244"/>
    <w:qFormat/>
    <w:uiPriority w:val="0"/>
    <w:pPr>
      <w:spacing w:line="422" w:lineRule="auto"/>
      <w:jc w:val="left"/>
    </w:pPr>
    <w:rPr>
      <w:rFonts w:ascii="MingLiU" w:hAnsi="MingLiU" w:eastAsia="MingLiU" w:cs="MingLiU"/>
      <w:kern w:val="0"/>
      <w:sz w:val="22"/>
      <w:lang w:val="zh-TW" w:eastAsia="zh-TW" w:bidi="zh-TW"/>
    </w:rPr>
  </w:style>
  <w:style w:type="character" w:customStyle="1" w:styleId="246">
    <w:name w:val="正文文本 字符"/>
    <w:link w:val="35"/>
    <w:qFormat/>
    <w:uiPriority w:val="1"/>
    <w:rPr>
      <w:rFonts w:ascii="仿宋_GB2312" w:eastAsia="仿宋_GB2312"/>
      <w:kern w:val="2"/>
      <w:sz w:val="32"/>
    </w:rPr>
  </w:style>
  <w:style w:type="character" w:customStyle="1" w:styleId="247">
    <w:name w:val="Other|1_"/>
    <w:link w:val="248"/>
    <w:qFormat/>
    <w:uiPriority w:val="0"/>
    <w:rPr>
      <w:rFonts w:ascii="MingLiU" w:hAnsi="MingLiU" w:eastAsia="MingLiU" w:cs="MingLiU"/>
      <w:sz w:val="22"/>
      <w:lang w:val="zh-TW" w:eastAsia="zh-TW" w:bidi="zh-TW"/>
    </w:rPr>
  </w:style>
  <w:style w:type="paragraph" w:customStyle="1" w:styleId="248">
    <w:name w:val="Other|1"/>
    <w:basedOn w:val="1"/>
    <w:link w:val="247"/>
    <w:qFormat/>
    <w:uiPriority w:val="0"/>
    <w:pPr>
      <w:spacing w:line="422" w:lineRule="auto"/>
      <w:jc w:val="left"/>
    </w:pPr>
    <w:rPr>
      <w:rFonts w:ascii="MingLiU" w:hAnsi="MingLiU" w:eastAsia="MingLiU" w:cs="MingLiU"/>
      <w:kern w:val="0"/>
      <w:sz w:val="22"/>
      <w:lang w:val="zh-TW" w:eastAsia="zh-TW" w:bidi="zh-TW"/>
    </w:rPr>
  </w:style>
  <w:style w:type="character" w:customStyle="1" w:styleId="249">
    <w:name w:val="正文文本首行缩进 2 字符"/>
    <w:qFormat/>
    <w:uiPriority w:val="99"/>
  </w:style>
  <w:style w:type="character" w:customStyle="1" w:styleId="250">
    <w:name w:val="批注文字 字符2"/>
    <w:qFormat/>
    <w:uiPriority w:val="99"/>
    <w:rPr>
      <w:rFonts w:ascii="Times New Roman" w:hAnsi="Times New Roman" w:eastAsia="宋体" w:cs="Times New Roman"/>
      <w:kern w:val="2"/>
      <w:sz w:val="21"/>
    </w:rPr>
  </w:style>
  <w:style w:type="paragraph" w:customStyle="1" w:styleId="251">
    <w:name w:val="Normal_4"/>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252">
    <w:name w:val="_Style 196"/>
    <w:basedOn w:val="36"/>
    <w:next w:val="253"/>
    <w:unhideWhenUsed/>
    <w:qFormat/>
    <w:uiPriority w:val="99"/>
    <w:pPr>
      <w:ind w:firstLine="420" w:firstLineChars="200"/>
    </w:pPr>
  </w:style>
  <w:style w:type="paragraph" w:customStyle="1" w:styleId="253">
    <w:name w:val="正文首行缩进 21"/>
    <w:basedOn w:val="36"/>
    <w:link w:val="261"/>
    <w:qFormat/>
    <w:uiPriority w:val="0"/>
    <w:pPr>
      <w:ind w:firstLine="420" w:firstLineChars="200"/>
    </w:pPr>
  </w:style>
  <w:style w:type="paragraph" w:customStyle="1" w:styleId="254">
    <w:name w:val="9pt"/>
    <w:basedOn w:val="1"/>
    <w:qFormat/>
    <w:uiPriority w:val="0"/>
    <w:pPr>
      <w:widowControl/>
      <w:spacing w:line="200" w:lineRule="exact"/>
      <w:jc w:val="left"/>
    </w:pPr>
    <w:rPr>
      <w:color w:val="3366FF"/>
      <w:kern w:val="0"/>
      <w:sz w:val="18"/>
    </w:rPr>
  </w:style>
  <w:style w:type="paragraph" w:customStyle="1" w:styleId="255">
    <w:name w:val="Normal_3"/>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256">
    <w:name w:val="BULLET2"/>
    <w:basedOn w:val="44"/>
    <w:qFormat/>
    <w:uiPriority w:val="0"/>
    <w:pPr>
      <w:widowControl/>
      <w:numPr>
        <w:ilvl w:val="0"/>
        <w:numId w:val="7"/>
      </w:numPr>
      <w:tabs>
        <w:tab w:val="left" w:pos="1353"/>
      </w:tabs>
      <w:spacing w:line="300" w:lineRule="exact"/>
      <w:jc w:val="left"/>
    </w:pPr>
    <w:rPr>
      <w:rFonts w:ascii="Times New Roman" w:hAnsi="Times New Roman"/>
      <w:kern w:val="0"/>
      <w:sz w:val="24"/>
      <w:lang w:eastAsia="en-US"/>
    </w:rPr>
  </w:style>
  <w:style w:type="paragraph" w:customStyle="1" w:styleId="257">
    <w:name w:val="BULLET1"/>
    <w:basedOn w:val="44"/>
    <w:qFormat/>
    <w:uiPriority w:val="0"/>
    <w:pPr>
      <w:widowControl/>
      <w:numPr>
        <w:ilvl w:val="0"/>
        <w:numId w:val="8"/>
      </w:numPr>
      <w:tabs>
        <w:tab w:val="left" w:pos="360"/>
      </w:tabs>
      <w:spacing w:line="300" w:lineRule="exact"/>
      <w:jc w:val="left"/>
    </w:pPr>
    <w:rPr>
      <w:rFonts w:ascii="Times New Roman" w:hAnsi="Times New Roman"/>
      <w:kern w:val="0"/>
      <w:sz w:val="24"/>
      <w:lang w:eastAsia="en-US"/>
    </w:rPr>
  </w:style>
  <w:style w:type="paragraph" w:customStyle="1" w:styleId="258">
    <w:name w:val="Normal_1"/>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259">
    <w:name w:val="4"/>
    <w:basedOn w:val="1"/>
    <w:next w:val="33"/>
    <w:qFormat/>
    <w:uiPriority w:val="0"/>
    <w:pPr>
      <w:jc w:val="center"/>
    </w:pPr>
    <w:rPr>
      <w:b/>
      <w:sz w:val="44"/>
    </w:rPr>
  </w:style>
  <w:style w:type="paragraph" w:customStyle="1" w:styleId="260">
    <w:name w:val="_Style 25"/>
    <w:basedOn w:val="36"/>
    <w:next w:val="253"/>
    <w:unhideWhenUsed/>
    <w:qFormat/>
    <w:uiPriority w:val="99"/>
    <w:pPr>
      <w:ind w:firstLine="420" w:firstLineChars="200"/>
    </w:pPr>
  </w:style>
  <w:style w:type="character" w:customStyle="1" w:styleId="261">
    <w:name w:val="正文首行缩进 2 字符"/>
    <w:basedOn w:val="170"/>
    <w:link w:val="253"/>
    <w:qFormat/>
    <w:uiPriority w:val="0"/>
    <w:rPr>
      <w:kern w:val="2"/>
      <w:sz w:val="21"/>
    </w:rPr>
  </w:style>
  <w:style w:type="paragraph" w:customStyle="1" w:styleId="262">
    <w:name w:val="列出段落11"/>
    <w:basedOn w:val="1"/>
    <w:qFormat/>
    <w:uiPriority w:val="34"/>
    <w:pPr>
      <w:ind w:firstLine="420" w:firstLineChars="200"/>
    </w:pPr>
    <w:rPr>
      <w:szCs w:val="24"/>
    </w:rPr>
  </w:style>
  <w:style w:type="paragraph" w:customStyle="1" w:styleId="263">
    <w:name w:val="_Style 211"/>
    <w:basedOn w:val="1"/>
    <w:next w:val="141"/>
    <w:qFormat/>
    <w:uiPriority w:val="34"/>
    <w:pPr>
      <w:ind w:firstLine="420" w:firstLineChars="200"/>
    </w:pPr>
    <w:rPr>
      <w:szCs w:val="22"/>
    </w:rPr>
  </w:style>
  <w:style w:type="character" w:customStyle="1" w:styleId="264">
    <w:name w:val="宏文本 字符"/>
    <w:link w:val="2"/>
    <w:qFormat/>
    <w:uiPriority w:val="99"/>
    <w:rPr>
      <w:rFonts w:ascii="Consolas" w:hAnsi="Consolas" w:cs="Consolas"/>
      <w:kern w:val="2"/>
      <w:sz w:val="21"/>
    </w:rPr>
  </w:style>
  <w:style w:type="character" w:customStyle="1" w:styleId="265">
    <w:name w:val="电子邮件签名 字符"/>
    <w:link w:val="23"/>
    <w:qFormat/>
    <w:uiPriority w:val="99"/>
    <w:rPr>
      <w:kern w:val="2"/>
      <w:sz w:val="21"/>
    </w:rPr>
  </w:style>
  <w:style w:type="character" w:customStyle="1" w:styleId="266">
    <w:name w:val="称呼 字符"/>
    <w:qFormat/>
    <w:uiPriority w:val="0"/>
    <w:rPr>
      <w:kern w:val="2"/>
      <w:sz w:val="21"/>
    </w:rPr>
  </w:style>
  <w:style w:type="character" w:customStyle="1" w:styleId="267">
    <w:name w:val="结束语 字符"/>
    <w:link w:val="34"/>
    <w:qFormat/>
    <w:uiPriority w:val="99"/>
    <w:rPr>
      <w:kern w:val="2"/>
      <w:sz w:val="21"/>
    </w:rPr>
  </w:style>
  <w:style w:type="character" w:customStyle="1" w:styleId="268">
    <w:name w:val="HTML 地址 字符"/>
    <w:link w:val="40"/>
    <w:qFormat/>
    <w:uiPriority w:val="99"/>
    <w:rPr>
      <w:i/>
      <w:iCs/>
      <w:kern w:val="2"/>
      <w:sz w:val="21"/>
    </w:rPr>
  </w:style>
  <w:style w:type="character" w:customStyle="1" w:styleId="269">
    <w:name w:val="尾注文本 字符"/>
    <w:qFormat/>
    <w:uiPriority w:val="0"/>
    <w:rPr>
      <w:kern w:val="2"/>
      <w:sz w:val="21"/>
    </w:rPr>
  </w:style>
  <w:style w:type="character" w:customStyle="1" w:styleId="270">
    <w:name w:val="签名 字符"/>
    <w:link w:val="59"/>
    <w:qFormat/>
    <w:uiPriority w:val="99"/>
    <w:rPr>
      <w:kern w:val="2"/>
      <w:sz w:val="21"/>
    </w:rPr>
  </w:style>
  <w:style w:type="paragraph" w:customStyle="1" w:styleId="271">
    <w:name w:val="正文首行缩进1"/>
    <w:basedOn w:val="35"/>
    <w:link w:val="309"/>
    <w:qFormat/>
    <w:uiPriority w:val="0"/>
    <w:pPr>
      <w:adjustRightInd w:val="0"/>
      <w:spacing w:after="120" w:line="360" w:lineRule="auto"/>
      <w:ind w:firstLine="420" w:firstLineChars="100"/>
      <w:jc w:val="left"/>
      <w:textAlignment w:val="baseline"/>
    </w:pPr>
    <w:rPr>
      <w:rFonts w:ascii="Times New Roman" w:eastAsia="宋体"/>
      <w:kern w:val="0"/>
      <w:sz w:val="24"/>
    </w:rPr>
  </w:style>
  <w:style w:type="character" w:customStyle="1" w:styleId="272">
    <w:name w:val="正文首行缩进 字符"/>
    <w:qFormat/>
    <w:uiPriority w:val="0"/>
    <w:rPr>
      <w:rFonts w:ascii="仿宋_GB2312" w:eastAsia="仿宋_GB2312"/>
      <w:kern w:val="2"/>
      <w:sz w:val="21"/>
    </w:rPr>
  </w:style>
  <w:style w:type="paragraph" w:customStyle="1" w:styleId="273">
    <w:name w:val="內文1"/>
    <w:qFormat/>
    <w:uiPriority w:val="0"/>
    <w:pPr>
      <w:spacing w:after="160" w:line="360" w:lineRule="auto"/>
      <w:ind w:left="397" w:hanging="397"/>
      <w:jc w:val="both"/>
    </w:pPr>
    <w:rPr>
      <w:rFonts w:ascii="Times New Roman" w:hAnsi="Times New Roman" w:eastAsia="PMingLiU" w:cs="Times New Roman"/>
      <w:sz w:val="24"/>
      <w:lang w:val="en-US" w:eastAsia="zh-CN" w:bidi="ar-SA"/>
    </w:rPr>
  </w:style>
  <w:style w:type="paragraph" w:customStyle="1" w:styleId="274">
    <w:name w:val="內文1-1"/>
    <w:qFormat/>
    <w:uiPriority w:val="0"/>
    <w:pPr>
      <w:spacing w:after="160" w:line="360" w:lineRule="auto"/>
      <w:ind w:left="1020" w:hanging="510"/>
      <w:jc w:val="both"/>
    </w:pPr>
    <w:rPr>
      <w:rFonts w:ascii="Times New Roman" w:hAnsi="Times New Roman" w:eastAsia="PMingLiU" w:cs="Times New Roman"/>
      <w:sz w:val="24"/>
      <w:lang w:val="en-US" w:eastAsia="zh-CN" w:bidi="ar-SA"/>
    </w:rPr>
  </w:style>
  <w:style w:type="paragraph" w:customStyle="1" w:styleId="275">
    <w:name w:val="zjpheadline2"/>
    <w:basedOn w:val="1"/>
    <w:next w:val="1"/>
    <w:qFormat/>
    <w:uiPriority w:val="0"/>
    <w:pPr>
      <w:autoSpaceDE w:val="0"/>
      <w:autoSpaceDN w:val="0"/>
      <w:adjustRightInd w:val="0"/>
      <w:spacing w:before="28" w:after="28"/>
      <w:jc w:val="left"/>
    </w:pPr>
    <w:rPr>
      <w:rFonts w:ascii="黑体" w:eastAsia="黑体"/>
      <w:b/>
      <w:kern w:val="0"/>
      <w:sz w:val="26"/>
    </w:rPr>
  </w:style>
  <w:style w:type="paragraph" w:customStyle="1" w:styleId="276">
    <w:name w:val="样式 标题 1 + 四号 加粗 左"/>
    <w:basedOn w:val="3"/>
    <w:qFormat/>
    <w:uiPriority w:val="0"/>
    <w:pPr>
      <w:pageBreakBefore/>
      <w:widowControl/>
      <w:tabs>
        <w:tab w:val="left" w:pos="420"/>
      </w:tabs>
      <w:snapToGrid w:val="0"/>
      <w:spacing w:before="0" w:beforeAutospacing="1" w:after="180" w:line="240" w:lineRule="auto"/>
      <w:ind w:left="420" w:hanging="420"/>
      <w:jc w:val="center"/>
    </w:pPr>
    <w:rPr>
      <w:rFonts w:ascii="宋体" w:hAnsi="宋体" w:cs="宋体"/>
      <w:smallCaps/>
      <w:spacing w:val="20"/>
      <w:kern w:val="2"/>
      <w:sz w:val="32"/>
      <w:szCs w:val="32"/>
      <w:lang w:bidi="he-IL"/>
    </w:rPr>
  </w:style>
  <w:style w:type="paragraph" w:customStyle="1" w:styleId="277">
    <w:name w:val="正文2"/>
    <w:basedOn w:val="1"/>
    <w:qFormat/>
    <w:uiPriority w:val="0"/>
    <w:pPr>
      <w:widowControl/>
      <w:spacing w:after="160"/>
      <w:ind w:left="-85" w:firstLine="420" w:firstLineChars="200"/>
      <w:jc w:val="center"/>
    </w:pPr>
    <w:rPr>
      <w:rFonts w:ascii="Verdana" w:hAnsi="Verdana" w:eastAsia="黑体"/>
      <w:kern w:val="0"/>
      <w:szCs w:val="21"/>
    </w:rPr>
  </w:style>
  <w:style w:type="paragraph" w:customStyle="1" w:styleId="278">
    <w:name w:val="Char Char Char"/>
    <w:basedOn w:val="1"/>
    <w:qFormat/>
    <w:uiPriority w:val="0"/>
    <w:pPr>
      <w:spacing w:after="160"/>
    </w:pPr>
    <w:rPr>
      <w:rFonts w:ascii="Tahoma" w:hAnsi="Tahoma"/>
      <w:sz w:val="24"/>
    </w:rPr>
  </w:style>
  <w:style w:type="paragraph" w:customStyle="1" w:styleId="279">
    <w:name w:val="Char Char Char1"/>
    <w:basedOn w:val="1"/>
    <w:qFormat/>
    <w:uiPriority w:val="0"/>
    <w:pPr>
      <w:spacing w:after="160"/>
    </w:pPr>
    <w:rPr>
      <w:rFonts w:ascii="Tahoma" w:hAnsi="Tahoma"/>
      <w:sz w:val="24"/>
    </w:rPr>
  </w:style>
  <w:style w:type="paragraph" w:customStyle="1" w:styleId="280">
    <w:name w:val="ÕýÎÄ"/>
    <w:qFormat/>
    <w:uiPriority w:val="99"/>
    <w:pPr>
      <w:widowControl w:val="0"/>
      <w:overflowPunct w:val="0"/>
      <w:autoSpaceDE w:val="0"/>
      <w:autoSpaceDN w:val="0"/>
      <w:adjustRightInd w:val="0"/>
      <w:spacing w:after="160" w:line="259" w:lineRule="auto"/>
      <w:jc w:val="both"/>
      <w:textAlignment w:val="baseline"/>
    </w:pPr>
    <w:rPr>
      <w:rFonts w:ascii="Times New Roman" w:hAnsi="Times New Roman" w:eastAsia="宋体" w:cs="Times New Roman"/>
      <w:kern w:val="2"/>
      <w:sz w:val="21"/>
      <w:lang w:val="en-US" w:eastAsia="zh-CN" w:bidi="ar-SA"/>
    </w:rPr>
  </w:style>
  <w:style w:type="paragraph" w:customStyle="1" w:styleId="281">
    <w:name w:val="cjk"/>
    <w:basedOn w:val="1"/>
    <w:qFormat/>
    <w:uiPriority w:val="99"/>
    <w:pPr>
      <w:widowControl/>
      <w:spacing w:before="100" w:beforeAutospacing="1" w:after="119"/>
      <w:jc w:val="left"/>
    </w:pPr>
    <w:rPr>
      <w:rFonts w:ascii="宋体" w:hAnsi="宋体" w:cs="宋体"/>
      <w:color w:val="000000"/>
      <w:kern w:val="0"/>
      <w:sz w:val="20"/>
    </w:rPr>
  </w:style>
  <w:style w:type="paragraph" w:customStyle="1" w:styleId="282">
    <w:name w:val="Char Char Char Char Char Char Char Char"/>
    <w:basedOn w:val="1"/>
    <w:qFormat/>
    <w:uiPriority w:val="99"/>
    <w:pPr>
      <w:tabs>
        <w:tab w:val="left" w:pos="360"/>
      </w:tabs>
      <w:spacing w:after="160"/>
    </w:pPr>
    <w:rPr>
      <w:sz w:val="24"/>
      <w:szCs w:val="24"/>
    </w:rPr>
  </w:style>
  <w:style w:type="paragraph" w:customStyle="1" w:styleId="283">
    <w:name w:val="Char"/>
    <w:basedOn w:val="1"/>
    <w:qFormat/>
    <w:uiPriority w:val="0"/>
    <w:pPr>
      <w:widowControl/>
      <w:spacing w:after="160" w:line="240" w:lineRule="exact"/>
      <w:jc w:val="left"/>
    </w:pPr>
    <w:rPr>
      <w:rFonts w:ascii="Verdana" w:hAnsi="Verdana"/>
      <w:kern w:val="0"/>
      <w:sz w:val="20"/>
      <w:lang w:eastAsia="en-US"/>
    </w:rPr>
  </w:style>
  <w:style w:type="paragraph" w:customStyle="1" w:styleId="284">
    <w:name w:val="gaiyo"/>
    <w:basedOn w:val="1"/>
    <w:qFormat/>
    <w:uiPriority w:val="99"/>
    <w:pPr>
      <w:widowControl/>
      <w:spacing w:before="100" w:beforeAutospacing="1" w:after="100" w:afterAutospacing="1" w:line="360" w:lineRule="auto"/>
      <w:jc w:val="left"/>
    </w:pPr>
    <w:rPr>
      <w:rFonts w:ascii="Arial" w:hAnsi="Arial" w:cs="Arial"/>
      <w:kern w:val="0"/>
      <w:sz w:val="20"/>
    </w:rPr>
  </w:style>
  <w:style w:type="character" w:customStyle="1" w:styleId="285">
    <w:name w:val="partno"/>
    <w:qFormat/>
    <w:uiPriority w:val="99"/>
    <w:rPr>
      <w:rFonts w:cs="Times New Roman"/>
      <w:color w:val="666666"/>
    </w:rPr>
  </w:style>
  <w:style w:type="paragraph" w:customStyle="1" w:styleId="286">
    <w:name w:val="Char2"/>
    <w:basedOn w:val="1"/>
    <w:qFormat/>
    <w:uiPriority w:val="99"/>
    <w:pPr>
      <w:spacing w:after="160"/>
    </w:pPr>
    <w:rPr>
      <w:rFonts w:ascii="仿宋_GB2312" w:eastAsia="仿宋_GB2312"/>
      <w:b/>
      <w:sz w:val="32"/>
      <w:szCs w:val="32"/>
    </w:rPr>
  </w:style>
  <w:style w:type="paragraph" w:customStyle="1" w:styleId="287">
    <w:name w:val="ATXT_Standard"/>
    <w:link w:val="290"/>
    <w:qFormat/>
    <w:uiPriority w:val="99"/>
    <w:pPr>
      <w:spacing w:after="160" w:line="259" w:lineRule="auto"/>
      <w:ind w:left="1134"/>
      <w:jc w:val="both"/>
    </w:pPr>
    <w:rPr>
      <w:rFonts w:ascii="Arial" w:hAnsi="Arial" w:eastAsia="宋体" w:cs="Times New Roman"/>
      <w:kern w:val="2"/>
      <w:sz w:val="21"/>
      <w:szCs w:val="22"/>
      <w:lang w:val="de-AT" w:eastAsia="de-AT" w:bidi="ar-SA"/>
    </w:rPr>
  </w:style>
  <w:style w:type="paragraph" w:customStyle="1" w:styleId="288">
    <w:name w:val="ATXT_Heading"/>
    <w:basedOn w:val="287"/>
    <w:next w:val="287"/>
    <w:link w:val="292"/>
    <w:qFormat/>
    <w:uiPriority w:val="99"/>
    <w:rPr>
      <w:kern w:val="0"/>
      <w:sz w:val="20"/>
      <w:szCs w:val="20"/>
      <w:u w:val="single"/>
    </w:rPr>
  </w:style>
  <w:style w:type="paragraph" w:customStyle="1" w:styleId="289">
    <w:name w:val="ATXT_Table"/>
    <w:basedOn w:val="287"/>
    <w:qFormat/>
    <w:uiPriority w:val="99"/>
    <w:pPr>
      <w:ind w:left="0"/>
    </w:pPr>
  </w:style>
  <w:style w:type="character" w:customStyle="1" w:styleId="290">
    <w:name w:val="ATXT_Standard Char"/>
    <w:link w:val="287"/>
    <w:qFormat/>
    <w:locked/>
    <w:uiPriority w:val="99"/>
    <w:rPr>
      <w:rFonts w:ascii="Arial" w:hAnsi="Arial"/>
      <w:kern w:val="2"/>
      <w:sz w:val="21"/>
      <w:szCs w:val="22"/>
      <w:lang w:val="de-AT" w:eastAsia="de-AT"/>
    </w:rPr>
  </w:style>
  <w:style w:type="character" w:customStyle="1" w:styleId="291">
    <w:name w:val="ATXT_Bullets Zchn"/>
    <w:link w:val="217"/>
    <w:qFormat/>
    <w:locked/>
    <w:uiPriority w:val="99"/>
    <w:rPr>
      <w:rFonts w:ascii="Arial" w:hAnsi="Arial" w:eastAsia="等线"/>
      <w:lang w:eastAsia="en-US"/>
    </w:rPr>
  </w:style>
  <w:style w:type="character" w:customStyle="1" w:styleId="292">
    <w:name w:val="ATXT_Heading Zchn"/>
    <w:link w:val="288"/>
    <w:qFormat/>
    <w:locked/>
    <w:uiPriority w:val="99"/>
    <w:rPr>
      <w:rFonts w:ascii="Arial" w:hAnsi="Arial"/>
      <w:u w:val="single"/>
      <w:lang w:val="de-AT" w:eastAsia="de-AT"/>
    </w:rPr>
  </w:style>
  <w:style w:type="character" w:customStyle="1" w:styleId="293">
    <w:name w:val="ATXT_Standard Zchn"/>
    <w:qFormat/>
    <w:uiPriority w:val="99"/>
    <w:rPr>
      <w:rFonts w:ascii="Arial" w:hAnsi="Arial" w:eastAsia="宋体"/>
      <w:lang w:val="de-DE" w:eastAsia="de-DE"/>
    </w:rPr>
  </w:style>
  <w:style w:type="paragraph" w:customStyle="1" w:styleId="294">
    <w:name w:val="Char1"/>
    <w:basedOn w:val="1"/>
    <w:qFormat/>
    <w:uiPriority w:val="0"/>
    <w:pPr>
      <w:widowControl/>
      <w:spacing w:after="160" w:line="240" w:lineRule="exact"/>
      <w:jc w:val="left"/>
    </w:pPr>
    <w:rPr>
      <w:rFonts w:ascii="Arial" w:hAnsi="Arial" w:cs="Verdana"/>
      <w:b/>
      <w:kern w:val="0"/>
      <w:sz w:val="24"/>
      <w:szCs w:val="24"/>
      <w:lang w:eastAsia="en-US"/>
    </w:rPr>
  </w:style>
  <w:style w:type="paragraph" w:customStyle="1" w:styleId="295">
    <w:name w:val="修订1"/>
    <w:hidden/>
    <w:semiHidden/>
    <w:qFormat/>
    <w:uiPriority w:val="99"/>
    <w:pPr>
      <w:spacing w:after="160" w:line="259" w:lineRule="auto"/>
    </w:pPr>
    <w:rPr>
      <w:rFonts w:ascii="Times New Roman" w:hAnsi="Times New Roman" w:eastAsia="宋体" w:cs="Times New Roman"/>
      <w:sz w:val="24"/>
      <w:lang w:val="en-US" w:eastAsia="zh-CN" w:bidi="ar-SA"/>
    </w:rPr>
  </w:style>
  <w:style w:type="paragraph" w:customStyle="1" w:styleId="296">
    <w:name w:val="TOC 标题11"/>
    <w:basedOn w:val="3"/>
    <w:next w:val="1"/>
    <w:unhideWhenUsed/>
    <w:qFormat/>
    <w:uiPriority w:val="39"/>
    <w:pPr>
      <w:widowControl/>
      <w:spacing w:before="240" w:after="160" w:line="259" w:lineRule="auto"/>
      <w:jc w:val="center"/>
      <w:outlineLvl w:val="9"/>
    </w:pPr>
    <w:rPr>
      <w:rFonts w:ascii="Cambria" w:hAnsi="Cambria" w:cs="Angsana New"/>
      <w:b w:val="0"/>
      <w:bCs w:val="0"/>
      <w:color w:val="365F91"/>
      <w:kern w:val="0"/>
      <w:sz w:val="32"/>
      <w:szCs w:val="32"/>
    </w:rPr>
  </w:style>
  <w:style w:type="paragraph" w:customStyle="1" w:styleId="297">
    <w:name w:val="_Style 114"/>
    <w:basedOn w:val="1"/>
    <w:next w:val="141"/>
    <w:qFormat/>
    <w:uiPriority w:val="34"/>
    <w:pPr>
      <w:spacing w:after="160"/>
      <w:ind w:firstLine="420" w:firstLineChars="200"/>
    </w:pPr>
    <w:rPr>
      <w:szCs w:val="24"/>
    </w:rPr>
  </w:style>
  <w:style w:type="character" w:customStyle="1" w:styleId="298">
    <w:name w:val="正文缩进 字符"/>
    <w:link w:val="24"/>
    <w:qFormat/>
    <w:uiPriority w:val="0"/>
    <w:rPr>
      <w:rFonts w:ascii="等线" w:hAnsi="等线" w:eastAsia="等线"/>
      <w:sz w:val="21"/>
      <w:szCs w:val="21"/>
    </w:rPr>
  </w:style>
  <w:style w:type="paragraph" w:customStyle="1" w:styleId="299">
    <w:name w:val="修订2"/>
    <w:hidden/>
    <w:semiHidden/>
    <w:qFormat/>
    <w:uiPriority w:val="99"/>
    <w:pPr>
      <w:spacing w:after="160" w:line="259" w:lineRule="auto"/>
    </w:pPr>
    <w:rPr>
      <w:rFonts w:ascii="Times New Roman" w:hAnsi="Times New Roman" w:eastAsia="宋体" w:cs="Times New Roman"/>
      <w:sz w:val="24"/>
      <w:lang w:val="en-US" w:eastAsia="zh-CN" w:bidi="ar-SA"/>
    </w:rPr>
  </w:style>
  <w:style w:type="character" w:customStyle="1" w:styleId="300">
    <w:name w:val="标题 2 Char Char"/>
    <w:qFormat/>
    <w:uiPriority w:val="0"/>
    <w:rPr>
      <w:rFonts w:ascii="Arial" w:hAnsi="Arial" w:eastAsia="黑体" w:cs="Times New Roman"/>
      <w:b/>
      <w:bCs/>
      <w:kern w:val="2"/>
      <w:sz w:val="32"/>
      <w:szCs w:val="32"/>
      <w:lang w:val="en-US" w:eastAsia="zh-CN" w:bidi="ar-SA"/>
    </w:rPr>
  </w:style>
  <w:style w:type="paragraph" w:customStyle="1" w:styleId="301">
    <w:name w:val="列出段落22"/>
    <w:basedOn w:val="1"/>
    <w:qFormat/>
    <w:uiPriority w:val="0"/>
    <w:pPr>
      <w:spacing w:after="160"/>
      <w:ind w:firstLine="420" w:firstLineChars="200"/>
    </w:pPr>
    <w:rPr>
      <w:szCs w:val="24"/>
    </w:rPr>
  </w:style>
  <w:style w:type="character" w:customStyle="1" w:styleId="302">
    <w:name w:val="列表段落 字符1"/>
    <w:qFormat/>
    <w:uiPriority w:val="34"/>
    <w:rPr>
      <w:kern w:val="2"/>
      <w:sz w:val="21"/>
      <w:szCs w:val="24"/>
    </w:rPr>
  </w:style>
  <w:style w:type="character" w:customStyle="1" w:styleId="303">
    <w:name w:val="标题 1 字符2"/>
    <w:qFormat/>
    <w:uiPriority w:val="0"/>
    <w:rPr>
      <w:rFonts w:ascii="Cambria" w:hAnsi="Cambria" w:eastAsia="宋体" w:cs="Angsana New"/>
      <w:color w:val="4F81BD"/>
      <w:kern w:val="2"/>
      <w:sz w:val="48"/>
      <w:szCs w:val="48"/>
    </w:rPr>
  </w:style>
  <w:style w:type="paragraph" w:customStyle="1" w:styleId="304">
    <w:name w:val="书目1"/>
    <w:basedOn w:val="63"/>
    <w:next w:val="1"/>
    <w:semiHidden/>
    <w:unhideWhenUsed/>
    <w:qFormat/>
    <w:uiPriority w:val="37"/>
  </w:style>
  <w:style w:type="character" w:customStyle="1" w:styleId="305">
    <w:name w:val="Black for Title"/>
    <w:qFormat/>
    <w:uiPriority w:val="11"/>
    <w:rPr>
      <w:color w:val="auto"/>
    </w:rPr>
  </w:style>
  <w:style w:type="character" w:customStyle="1" w:styleId="306">
    <w:name w:val="正文文本 字符1"/>
    <w:qFormat/>
    <w:uiPriority w:val="0"/>
  </w:style>
  <w:style w:type="character" w:customStyle="1" w:styleId="307">
    <w:name w:val="正文文本 2 字符1"/>
    <w:qFormat/>
    <w:uiPriority w:val="0"/>
  </w:style>
  <w:style w:type="character" w:customStyle="1" w:styleId="308">
    <w:name w:val="正文文本 3 字符1"/>
    <w:qFormat/>
    <w:uiPriority w:val="0"/>
    <w:rPr>
      <w:sz w:val="16"/>
      <w:szCs w:val="16"/>
    </w:rPr>
  </w:style>
  <w:style w:type="character" w:customStyle="1" w:styleId="309">
    <w:name w:val="正文首行缩进 字符1"/>
    <w:link w:val="271"/>
    <w:qFormat/>
    <w:uiPriority w:val="0"/>
    <w:rPr>
      <w:sz w:val="24"/>
    </w:rPr>
  </w:style>
  <w:style w:type="character" w:customStyle="1" w:styleId="310">
    <w:name w:val="正文文本缩进 字符1"/>
    <w:qFormat/>
    <w:uiPriority w:val="0"/>
  </w:style>
  <w:style w:type="character" w:customStyle="1" w:styleId="311">
    <w:name w:val="正文首行缩进 2 字符1"/>
    <w:qFormat/>
    <w:uiPriority w:val="0"/>
    <w:rPr>
      <w:rFonts w:ascii="楷体_GB2312" w:eastAsia="楷体_GB2312"/>
      <w:kern w:val="2"/>
      <w:sz w:val="21"/>
    </w:rPr>
  </w:style>
  <w:style w:type="character" w:customStyle="1" w:styleId="312">
    <w:name w:val="正文文本缩进 2 字符1"/>
    <w:qFormat/>
    <w:uiPriority w:val="0"/>
    <w:rPr>
      <w:rFonts w:eastAsia="楷体_GB2312"/>
      <w:sz w:val="28"/>
    </w:rPr>
  </w:style>
  <w:style w:type="character" w:customStyle="1" w:styleId="313">
    <w:name w:val="正文文本缩进 3 字符1"/>
    <w:qFormat/>
    <w:uiPriority w:val="0"/>
    <w:rPr>
      <w:rFonts w:ascii="楷体_GB2312" w:eastAsia="楷体_GB2312"/>
      <w:sz w:val="28"/>
    </w:rPr>
  </w:style>
  <w:style w:type="character" w:customStyle="1" w:styleId="314">
    <w:name w:val="书籍标题1"/>
    <w:unhideWhenUsed/>
    <w:qFormat/>
    <w:uiPriority w:val="33"/>
    <w:rPr>
      <w:b/>
      <w:bCs/>
      <w:smallCaps/>
      <w:spacing w:val="5"/>
    </w:rPr>
  </w:style>
  <w:style w:type="character" w:customStyle="1" w:styleId="315">
    <w:name w:val="Checkbox"/>
    <w:qFormat/>
    <w:uiPriority w:val="19"/>
    <w:rPr>
      <w:rFonts w:ascii="MS Gothic" w:hAnsi="MS Gothic" w:eastAsia="MS Gothic" w:cs="MS Gothic"/>
    </w:rPr>
  </w:style>
  <w:style w:type="character" w:customStyle="1" w:styleId="316">
    <w:name w:val="Classification"/>
    <w:qFormat/>
    <w:uiPriority w:val="99"/>
    <w:rPr>
      <w:rFonts w:ascii="Calibri" w:hAnsi="Calibri" w:eastAsia="宋体" w:cs="Cordia New"/>
      <w:b/>
      <w:bCs/>
      <w:caps/>
      <w:color w:val="000000"/>
      <w:spacing w:val="20"/>
      <w:sz w:val="24"/>
      <w:szCs w:val="24"/>
    </w:rPr>
  </w:style>
  <w:style w:type="character" w:customStyle="1" w:styleId="317">
    <w:name w:val="Code"/>
    <w:qFormat/>
    <w:uiPriority w:val="18"/>
    <w:rPr>
      <w:rFonts w:ascii="Courier New" w:hAnsi="Courier New" w:cs="Courier New"/>
    </w:rPr>
  </w:style>
  <w:style w:type="character" w:customStyle="1" w:styleId="318">
    <w:name w:val="批注主题 字符2"/>
    <w:semiHidden/>
    <w:qFormat/>
    <w:uiPriority w:val="99"/>
    <w:rPr>
      <w:b/>
      <w:bCs/>
      <w:kern w:val="2"/>
      <w:sz w:val="21"/>
    </w:rPr>
  </w:style>
  <w:style w:type="character" w:customStyle="1" w:styleId="319">
    <w:name w:val="Condensed"/>
    <w:qFormat/>
    <w:uiPriority w:val="19"/>
    <w:rPr>
      <w:spacing w:val="-40"/>
    </w:rPr>
  </w:style>
  <w:style w:type="character" w:customStyle="1" w:styleId="320">
    <w:name w:val="日期 字符1"/>
    <w:qFormat/>
    <w:uiPriority w:val="0"/>
  </w:style>
  <w:style w:type="character" w:customStyle="1" w:styleId="321">
    <w:name w:val="文档结构图 字符1"/>
    <w:semiHidden/>
    <w:qFormat/>
    <w:uiPriority w:val="0"/>
    <w:rPr>
      <w:rFonts w:ascii="Tahoma" w:hAnsi="Tahoma" w:cs="Tahoma"/>
      <w:sz w:val="16"/>
      <w:szCs w:val="16"/>
    </w:rPr>
  </w:style>
  <w:style w:type="character" w:customStyle="1" w:styleId="322">
    <w:name w:val="尾注文本 字符1"/>
    <w:link w:val="50"/>
    <w:qFormat/>
    <w:uiPriority w:val="0"/>
    <w:rPr>
      <w:kern w:val="2"/>
      <w:sz w:val="15"/>
      <w:szCs w:val="15"/>
    </w:rPr>
  </w:style>
  <w:style w:type="character" w:customStyle="1" w:styleId="323">
    <w:name w:val="页脚 字符1"/>
    <w:qFormat/>
    <w:uiPriority w:val="99"/>
    <w:rPr>
      <w:b/>
      <w:bCs/>
      <w:sz w:val="16"/>
      <w:szCs w:val="16"/>
    </w:rPr>
  </w:style>
  <w:style w:type="character" w:customStyle="1" w:styleId="324">
    <w:name w:val="脚注文本 字符1"/>
    <w:qFormat/>
    <w:uiPriority w:val="0"/>
    <w:rPr>
      <w:kern w:val="2"/>
      <w:sz w:val="15"/>
      <w:szCs w:val="15"/>
    </w:rPr>
  </w:style>
  <w:style w:type="character" w:customStyle="1" w:styleId="325">
    <w:name w:val="页眉 字符1"/>
    <w:qFormat/>
    <w:uiPriority w:val="99"/>
    <w:rPr>
      <w:sz w:val="15"/>
      <w:szCs w:val="15"/>
    </w:rPr>
  </w:style>
  <w:style w:type="character" w:customStyle="1" w:styleId="326">
    <w:name w:val="标题 2 字符2"/>
    <w:qFormat/>
    <w:uiPriority w:val="0"/>
    <w:rPr>
      <w:rFonts w:ascii="Times New Roman" w:hAnsi="Times New Roman" w:eastAsia="宋体" w:cs="Times New Roman"/>
      <w:b/>
      <w:bCs/>
      <w:kern w:val="2"/>
      <w:sz w:val="28"/>
      <w:szCs w:val="28"/>
    </w:rPr>
  </w:style>
  <w:style w:type="character" w:customStyle="1" w:styleId="327">
    <w:name w:val="标题 3 字符2"/>
    <w:qFormat/>
    <w:uiPriority w:val="0"/>
    <w:rPr>
      <w:b/>
      <w:kern w:val="2"/>
      <w:sz w:val="24"/>
    </w:rPr>
  </w:style>
  <w:style w:type="character" w:customStyle="1" w:styleId="328">
    <w:name w:val="标题 4 字符2"/>
    <w:qFormat/>
    <w:uiPriority w:val="0"/>
    <w:rPr>
      <w:b/>
      <w:bCs/>
      <w:kern w:val="2"/>
      <w:sz w:val="24"/>
      <w:szCs w:val="28"/>
    </w:rPr>
  </w:style>
  <w:style w:type="character" w:customStyle="1" w:styleId="329">
    <w:name w:val="标题 5 字符2"/>
    <w:qFormat/>
    <w:uiPriority w:val="0"/>
    <w:rPr>
      <w:rFonts w:ascii="Times New Roman" w:hAnsi="Times New Roman" w:eastAsia="宋体" w:cs="Times New Roman"/>
      <w:b/>
      <w:bCs/>
      <w:kern w:val="2"/>
      <w:sz w:val="24"/>
      <w:szCs w:val="24"/>
    </w:rPr>
  </w:style>
  <w:style w:type="character" w:customStyle="1" w:styleId="330">
    <w:name w:val="标题 6 字符2"/>
    <w:qFormat/>
    <w:uiPriority w:val="0"/>
    <w:rPr>
      <w:rFonts w:ascii="Arial" w:hAnsi="Arial" w:eastAsia="黑体"/>
      <w:b/>
      <w:sz w:val="24"/>
    </w:rPr>
  </w:style>
  <w:style w:type="character" w:customStyle="1" w:styleId="331">
    <w:name w:val="标题 7 字符2"/>
    <w:qFormat/>
    <w:uiPriority w:val="0"/>
    <w:rPr>
      <w:b/>
      <w:sz w:val="24"/>
    </w:rPr>
  </w:style>
  <w:style w:type="character" w:customStyle="1" w:styleId="332">
    <w:name w:val="标题 8 字符2"/>
    <w:qFormat/>
    <w:uiPriority w:val="0"/>
    <w:rPr>
      <w:rFonts w:ascii="Arial" w:hAnsi="Arial" w:eastAsia="黑体"/>
      <w:sz w:val="24"/>
    </w:rPr>
  </w:style>
  <w:style w:type="character" w:customStyle="1" w:styleId="333">
    <w:name w:val="标题 9 字符2"/>
    <w:qFormat/>
    <w:uiPriority w:val="0"/>
    <w:rPr>
      <w:rFonts w:ascii="Arial" w:hAnsi="Arial" w:eastAsia="黑体"/>
      <w:sz w:val="21"/>
    </w:rPr>
  </w:style>
  <w:style w:type="character" w:customStyle="1" w:styleId="334">
    <w:name w:val="Emphasis 2"/>
    <w:qFormat/>
    <w:uiPriority w:val="20"/>
    <w:rPr>
      <w:color w:val="4F81BD"/>
    </w:rPr>
  </w:style>
  <w:style w:type="character" w:customStyle="1" w:styleId="335">
    <w:name w:val="HTML 预设格式 字符1"/>
    <w:qFormat/>
    <w:uiPriority w:val="0"/>
    <w:rPr>
      <w:rFonts w:ascii="Courier New" w:hAnsi="Courier New" w:eastAsia="Times New Roman" w:cs="Courier New"/>
      <w:kern w:val="2"/>
      <w:sz w:val="21"/>
    </w:rPr>
  </w:style>
  <w:style w:type="character" w:customStyle="1" w:styleId="336">
    <w:name w:val="明显强调1"/>
    <w:qFormat/>
    <w:uiPriority w:val="20"/>
    <w:rPr>
      <w:b/>
      <w:bCs/>
      <w:color w:val="4F81BD"/>
    </w:rPr>
  </w:style>
  <w:style w:type="character" w:customStyle="1" w:styleId="337">
    <w:name w:val="明显参考1"/>
    <w:unhideWhenUsed/>
    <w:qFormat/>
    <w:uiPriority w:val="32"/>
    <w:rPr>
      <w:b/>
      <w:bCs/>
      <w:smallCaps/>
      <w:color w:val="C0504D"/>
      <w:spacing w:val="5"/>
      <w:u w:val="single"/>
    </w:rPr>
  </w:style>
  <w:style w:type="table" w:customStyle="1" w:styleId="338">
    <w:name w:val="清单表 5 深色 - 着色 31"/>
    <w:basedOn w:val="82"/>
    <w:qFormat/>
    <w:uiPriority w:val="50"/>
    <w:pPr>
      <w:spacing w:after="160" w:line="259" w:lineRule="auto"/>
    </w:pPr>
    <w:rPr>
      <w:rFonts w:ascii="Calibri" w:hAnsi="Calibri" w:cs="Cordia New"/>
      <w:color w:val="FFFFFF"/>
    </w:rPr>
    <w:tblPr>
      <w:tblBorders>
        <w:top w:val="single" w:color="9BBB59" w:sz="24" w:space="0"/>
        <w:left w:val="single" w:color="9BBB59" w:sz="24" w:space="0"/>
        <w:bottom w:val="single" w:color="9BBB59" w:sz="24" w:space="0"/>
        <w:right w:val="single" w:color="9BBB59" w:sz="24" w:space="0"/>
      </w:tblBorders>
    </w:tblPr>
    <w:tcPr>
      <w:shd w:val="clear" w:color="auto" w:fill="9BBB59"/>
    </w:tcPr>
    <w:tblStylePr w:type="firstRow">
      <w:rPr>
        <w:b/>
        <w:bCs/>
      </w:rPr>
      <w:tcPr>
        <w:tcBorders>
          <w:bottom w:val="single" w:color="FFFFFF" w:sz="18" w:space="0"/>
        </w:tcBorders>
      </w:tcPr>
    </w:tblStylePr>
    <w:tblStylePr w:type="lastRow">
      <w:rPr>
        <w:b/>
        <w:bCs/>
      </w:rPr>
      <w:tcPr>
        <w:tcBorders>
          <w:top w:val="single" w:color="FFFFFF" w:sz="4" w:space="0"/>
        </w:tcBorders>
      </w:tcPr>
    </w:tblStylePr>
    <w:tblStylePr w:type="firstCol">
      <w:rPr>
        <w:b/>
        <w:bCs/>
      </w:rPr>
      <w:tcPr>
        <w:tcBorders>
          <w:right w:val="single" w:color="FFFFFF" w:sz="4" w:space="0"/>
        </w:tcBorders>
      </w:tcPr>
    </w:tblStylePr>
    <w:tblStylePr w:type="lastCol">
      <w:rPr>
        <w:b/>
        <w:bCs/>
      </w:rPr>
      <w:tcPr>
        <w:tcBorders>
          <w:left w:val="single" w:color="FFFFFF" w:sz="4" w:space="0"/>
        </w:tcBorders>
      </w:tcPr>
    </w:tblStylePr>
    <w:tblStylePr w:type="band1Vert">
      <w:tcPr>
        <w:tcBorders>
          <w:left w:val="single" w:color="FFFFFF" w:sz="4" w:space="0"/>
          <w:right w:val="single" w:color="FFFFFF" w:sz="4" w:space="0"/>
        </w:tcBorders>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character" w:customStyle="1" w:styleId="339">
    <w:name w:val="Placeholder Classification"/>
    <w:unhideWhenUsed/>
    <w:qFormat/>
    <w:uiPriority w:val="99"/>
    <w:rPr>
      <w:rFonts w:ascii="Calibri" w:hAnsi="Calibri" w:eastAsia="宋体" w:cs="Cordia New"/>
      <w:b/>
      <w:bCs/>
      <w:color w:val="FF0000"/>
      <w:sz w:val="24"/>
      <w:szCs w:val="24"/>
      <w:shd w:val="clear" w:color="auto" w:fill="FFFF00"/>
    </w:rPr>
  </w:style>
  <w:style w:type="character" w:styleId="340">
    <w:name w:val="Placeholder Text"/>
    <w:unhideWhenUsed/>
    <w:qFormat/>
    <w:uiPriority w:val="99"/>
    <w:rPr>
      <w:vanish/>
      <w:color w:val="AEB5BB"/>
    </w:rPr>
  </w:style>
  <w:style w:type="table" w:customStyle="1" w:styleId="341">
    <w:name w:val="R&amp;S - Airy Table"/>
    <w:basedOn w:val="82"/>
    <w:qFormat/>
    <w:uiPriority w:val="99"/>
    <w:pPr>
      <w:spacing w:after="160" w:line="259" w:lineRule="auto"/>
    </w:pPr>
    <w:rPr>
      <w:rFonts w:ascii="Calibri" w:hAnsi="Calibri" w:cs="Cordia New"/>
    </w:rPr>
    <w:tblPr>
      <w:tblBorders>
        <w:insideH w:val="single" w:color="auto" w:sz="4" w:space="0"/>
        <w:insideV w:val="single" w:color="FFFFFF" w:sz="36" w:space="0"/>
      </w:tblBorders>
      <w:tblCellMar>
        <w:top w:w="28" w:type="dxa"/>
        <w:left w:w="0" w:type="dxa"/>
        <w:bottom w:w="28" w:type="dxa"/>
        <w:right w:w="0" w:type="dxa"/>
      </w:tblCellMar>
    </w:tblPr>
    <w:tblStylePr w:type="firstRow">
      <w:rPr>
        <w:b/>
        <w:bCs/>
        <w:i w:val="0"/>
        <w:iCs w:val="0"/>
      </w:rPr>
    </w:tblStylePr>
    <w:tblStylePr w:type="lastRow">
      <w:rPr>
        <w:b/>
        <w:bCs/>
        <w:i w:val="0"/>
        <w:iCs w:val="0"/>
        <w:u w:val="none"/>
      </w:rPr>
    </w:tblStylePr>
    <w:tblStylePr w:type="firstCol">
      <w:rPr>
        <w:b/>
        <w:bCs/>
        <w:i w:val="0"/>
        <w:iCs w:val="0"/>
      </w:rPr>
      <w:tblPr>
        <w:tblCellMar>
          <w:top w:w="28" w:type="dxa"/>
          <w:left w:w="0" w:type="dxa"/>
          <w:bottom w:w="28" w:type="dxa"/>
          <w:right w:w="0" w:type="dxa"/>
        </w:tblCellMar>
      </w:tblPr>
    </w:tblStylePr>
    <w:tblStylePr w:type="lastCol">
      <w:rPr>
        <w:b/>
        <w:bCs/>
        <w:i w:val="0"/>
        <w:iCs w:val="0"/>
        <w:u w:val="none"/>
      </w:rPr>
    </w:tblStylePr>
  </w:style>
  <w:style w:type="table" w:customStyle="1" w:styleId="342">
    <w:name w:val="Rohde &amp; Schwarz - Standard Table"/>
    <w:basedOn w:val="82"/>
    <w:qFormat/>
    <w:uiPriority w:val="99"/>
    <w:pPr>
      <w:spacing w:before="64" w:after="64" w:line="271" w:lineRule="auto"/>
    </w:pPr>
    <w:rPr>
      <w:rFonts w:ascii="Calibri" w:hAnsi="Calibri" w:cs="Cordia New"/>
      <w:sz w:val="16"/>
      <w:szCs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blStylePr w:type="firstRow">
      <w:rPr>
        <w:b/>
        <w:bCs/>
        <w:i w:val="0"/>
        <w:iCs w:val="0"/>
        <w:sz w:val="20"/>
        <w:szCs w:val="20"/>
      </w:rPr>
    </w:tblStylePr>
    <w:tblStylePr w:type="firstCol">
      <w:rPr>
        <w:b/>
        <w:bCs/>
        <w:i w:val="0"/>
        <w:iCs w:val="0"/>
      </w:rPr>
    </w:tblStylePr>
    <w:tblStylePr w:type="band1Vert">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0D9"/>
      </w:tcPr>
    </w:tblStylePr>
    <w:tblStylePr w:type="band2Vert">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tcPr>
    </w:tblStylePr>
    <w:tblStylePr w:type="band1Horz">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0D9"/>
      </w:tcPr>
    </w:tblStylePr>
    <w:tblStylePr w:type="band2Horz">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tcPr>
    </w:tblStylePr>
  </w:style>
  <w:style w:type="table" w:customStyle="1" w:styleId="343">
    <w:name w:val="R&amp;S - Colored Table"/>
    <w:basedOn w:val="342"/>
    <w:qFormat/>
    <w:uiPriority w:val="99"/>
    <w:tblPr>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Pr>
    <w:tblStylePr w:type="firstRow">
      <w:rPr>
        <w:b/>
        <w:bCs/>
        <w:i w:val="0"/>
        <w:iCs w:val="0"/>
        <w:color w:val="FFFFFF"/>
        <w:sz w:val="20"/>
        <w:szCs w:val="20"/>
      </w:rPr>
      <w:tcPr>
        <w:tcBorders>
          <w:top w:val="single" w:color="8064A2" w:sz="4" w:space="0"/>
          <w:left w:val="single" w:color="8064A2" w:sz="4" w:space="0"/>
          <w:bottom w:val="single" w:color="8064A2" w:sz="4" w:space="0"/>
          <w:right w:val="single" w:color="8064A2" w:sz="4" w:space="0"/>
          <w:insideH w:val="nil"/>
          <w:insideV w:val="single" w:sz="4" w:space="0"/>
          <w:tl2br w:val="nil"/>
          <w:tr2bl w:val="nil"/>
        </w:tcBorders>
        <w:shd w:val="clear" w:color="auto" w:fill="4F81BD"/>
      </w:tcPr>
    </w:tblStylePr>
    <w:tblStylePr w:type="lastRow">
      <w:rPr>
        <w:b/>
        <w:bCs/>
        <w:i w:val="0"/>
        <w:iCs w:val="0"/>
        <w:color w:val="FFFFFF"/>
      </w:rPr>
      <w:tcPr>
        <w:tcBorders>
          <w:top w:val="single" w:color="8064A2" w:sz="4" w:space="0"/>
          <w:left w:val="single" w:color="8064A2" w:sz="4" w:space="0"/>
          <w:bottom w:val="single" w:color="8064A2" w:sz="4" w:space="0"/>
          <w:right w:val="single" w:color="8064A2" w:sz="4" w:space="0"/>
          <w:insideH w:val="nil"/>
          <w:insideV w:val="single" w:sz="4" w:space="0"/>
          <w:tl2br w:val="nil"/>
          <w:tr2bl w:val="nil"/>
        </w:tcBorders>
        <w:shd w:val="clear" w:color="auto" w:fill="4F81BD"/>
      </w:tcPr>
    </w:tblStylePr>
    <w:tblStylePr w:type="firstCol">
      <w:rPr>
        <w:b/>
        <w:bCs/>
        <w:i w:val="0"/>
        <w:iCs w:val="0"/>
      </w:rPr>
    </w:tblStylePr>
    <w:tblStylePr w:type="lastCol">
      <w:rPr>
        <w:b w:val="0"/>
        <w:bCs w:val="0"/>
        <w:i w:val="0"/>
        <w:iCs w:val="0"/>
      </w:rPr>
    </w:tblStylePr>
    <w:tblStylePr w:type="band1Vert">
      <w:tcPr>
        <w:tcBorders>
          <w:top w:val="single" w:color="8064A2" w:sz="4" w:space="0"/>
          <w:left w:val="single" w:color="8064A2" w:sz="4" w:space="0"/>
          <w:bottom w:val="single" w:color="8064A2" w:sz="4" w:space="0"/>
          <w:right w:val="single" w:color="8064A2" w:sz="4" w:space="0"/>
          <w:insideH w:val="single" w:sz="4" w:space="0"/>
          <w:insideV w:val="single" w:sz="4" w:space="0"/>
          <w:tl2br w:val="nil"/>
          <w:tr2bl w:val="nil"/>
        </w:tcBorders>
        <w:shd w:val="clear" w:color="auto" w:fill="CCC0D9"/>
      </w:tcPr>
    </w:tblStylePr>
    <w:tblStylePr w:type="band2Vert">
      <w:tcPr>
        <w:tcBorders>
          <w:top w:val="single" w:color="8064A2" w:sz="4" w:space="0"/>
          <w:left w:val="single" w:color="8064A2" w:sz="4" w:space="0"/>
          <w:bottom w:val="single" w:color="8064A2" w:sz="4" w:space="0"/>
          <w:right w:val="single" w:color="8064A2" w:sz="4" w:space="0"/>
          <w:insideH w:val="single" w:sz="4" w:space="0"/>
          <w:insideV w:val="single" w:sz="4" w:space="0"/>
          <w:tl2br w:val="nil"/>
          <w:tr2bl w:val="nil"/>
        </w:tcBorders>
      </w:tcPr>
    </w:tblStylePr>
    <w:tblStylePr w:type="band1Horz">
      <w:tcPr>
        <w:tcBorders>
          <w:top w:val="single" w:color="8064A2" w:sz="4" w:space="0"/>
          <w:left w:val="single" w:color="8064A2" w:sz="4" w:space="0"/>
          <w:bottom w:val="single" w:color="8064A2" w:sz="4" w:space="0"/>
          <w:right w:val="single" w:color="8064A2" w:sz="4" w:space="0"/>
          <w:insideH w:val="single" w:sz="4" w:space="0"/>
          <w:insideV w:val="single" w:sz="4" w:space="0"/>
          <w:tl2br w:val="nil"/>
          <w:tr2bl w:val="nil"/>
        </w:tcBorders>
        <w:shd w:val="clear" w:color="auto" w:fill="CCC0D9"/>
      </w:tcPr>
    </w:tblStylePr>
    <w:tblStylePr w:type="band2Horz">
      <w:tcPr>
        <w:tcBorders>
          <w:top w:val="single" w:color="8064A2" w:sz="4" w:space="0"/>
          <w:left w:val="single" w:color="8064A2" w:sz="4" w:space="0"/>
          <w:bottom w:val="single" w:color="8064A2" w:sz="4" w:space="0"/>
          <w:right w:val="single" w:color="8064A2" w:sz="4" w:space="0"/>
          <w:insideH w:val="single" w:sz="4" w:space="0"/>
          <w:insideV w:val="single" w:sz="4" w:space="0"/>
          <w:tl2br w:val="nil"/>
          <w:tr2bl w:val="nil"/>
        </w:tcBorders>
      </w:tcPr>
    </w:tblStylePr>
  </w:style>
  <w:style w:type="character" w:customStyle="1" w:styleId="344">
    <w:name w:val="Red"/>
    <w:qFormat/>
    <w:uiPriority w:val="19"/>
    <w:rPr>
      <w:color w:val="C0504D"/>
    </w:rPr>
  </w:style>
  <w:style w:type="character" w:customStyle="1" w:styleId="345">
    <w:name w:val="称呼 字符1"/>
    <w:link w:val="32"/>
    <w:qFormat/>
    <w:uiPriority w:val="0"/>
    <w:rPr>
      <w:kern w:val="2"/>
      <w:sz w:val="21"/>
    </w:rPr>
  </w:style>
  <w:style w:type="character" w:customStyle="1" w:styleId="346">
    <w:name w:val="不明显强调1"/>
    <w:qFormat/>
    <w:uiPriority w:val="0"/>
    <w:rPr>
      <w:color w:val="8064A2"/>
    </w:rPr>
  </w:style>
  <w:style w:type="character" w:customStyle="1" w:styleId="347">
    <w:name w:val="不明显参考1"/>
    <w:unhideWhenUsed/>
    <w:qFormat/>
    <w:uiPriority w:val="31"/>
    <w:rPr>
      <w:smallCaps/>
      <w:color w:val="C0504D"/>
      <w:u w:val="single"/>
    </w:rPr>
  </w:style>
  <w:style w:type="character" w:customStyle="1" w:styleId="348">
    <w:name w:val="Superscript"/>
    <w:qFormat/>
    <w:uiPriority w:val="1"/>
    <w:rPr>
      <w:vertAlign w:val="superscript"/>
    </w:rPr>
  </w:style>
  <w:style w:type="paragraph" w:customStyle="1" w:styleId="349">
    <w:name w:val="Template PAD"/>
    <w:basedOn w:val="1"/>
    <w:link w:val="350"/>
    <w:semiHidden/>
    <w:unhideWhenUsed/>
    <w:qFormat/>
    <w:uiPriority w:val="99"/>
    <w:pPr>
      <w:spacing w:after="160"/>
    </w:pPr>
    <w:rPr>
      <w:color w:val="8064A2"/>
      <w:sz w:val="15"/>
      <w:szCs w:val="15"/>
      <w:vertAlign w:val="superscript"/>
    </w:rPr>
  </w:style>
  <w:style w:type="character" w:customStyle="1" w:styleId="350">
    <w:name w:val="Template PAD Zchn"/>
    <w:link w:val="349"/>
    <w:semiHidden/>
    <w:qFormat/>
    <w:uiPriority w:val="99"/>
    <w:rPr>
      <w:color w:val="8064A2"/>
      <w:kern w:val="2"/>
      <w:sz w:val="15"/>
      <w:szCs w:val="15"/>
      <w:vertAlign w:val="superscript"/>
    </w:rPr>
  </w:style>
  <w:style w:type="character" w:customStyle="1" w:styleId="351">
    <w:name w:val="标题 字符1"/>
    <w:qFormat/>
    <w:uiPriority w:val="0"/>
    <w:rPr>
      <w:rFonts w:ascii="Cambria" w:hAnsi="Cambria" w:eastAsia="宋体" w:cs="Angsana New"/>
      <w:color w:val="4F81BD"/>
      <w:kern w:val="28"/>
      <w:sz w:val="68"/>
      <w:szCs w:val="68"/>
    </w:rPr>
  </w:style>
  <w:style w:type="character" w:customStyle="1" w:styleId="352">
    <w:name w:val="正文文本 2 Char1"/>
    <w:semiHidden/>
    <w:qFormat/>
    <w:uiPriority w:val="99"/>
    <w:rPr>
      <w:kern w:val="2"/>
      <w:sz w:val="21"/>
    </w:rPr>
  </w:style>
  <w:style w:type="character" w:customStyle="1" w:styleId="353">
    <w:name w:val="dict-hilight2"/>
    <w:qFormat/>
    <w:uiPriority w:val="0"/>
    <w:rPr>
      <w:shd w:val="clear" w:color="auto" w:fill="DDEDFF"/>
    </w:rPr>
  </w:style>
  <w:style w:type="character" w:customStyle="1" w:styleId="354">
    <w:name w:val="hilite"/>
    <w:qFormat/>
    <w:uiPriority w:val="0"/>
  </w:style>
  <w:style w:type="character" w:customStyle="1" w:styleId="355">
    <w:name w:val="孙普文字 Char"/>
    <w:qFormat/>
    <w:uiPriority w:val="0"/>
    <w:rPr>
      <w:rFonts w:ascii="宋体" w:hAnsi="Courier New" w:cs="Courier New"/>
      <w:kern w:val="2"/>
      <w:sz w:val="21"/>
      <w:szCs w:val="21"/>
    </w:rPr>
  </w:style>
  <w:style w:type="character" w:customStyle="1" w:styleId="356">
    <w:name w:val="Char Char16"/>
    <w:qFormat/>
    <w:locked/>
    <w:uiPriority w:val="0"/>
    <w:rPr>
      <w:rFonts w:cs="Times New Roman"/>
      <w:sz w:val="24"/>
      <w:lang w:val="en-GB" w:eastAsia="sv-SE" w:bidi="ar-SA"/>
    </w:rPr>
  </w:style>
  <w:style w:type="character" w:customStyle="1" w:styleId="357">
    <w:name w:val="正文首行缩进 2 Char1"/>
    <w:semiHidden/>
    <w:qFormat/>
    <w:uiPriority w:val="99"/>
    <w:rPr>
      <w:kern w:val="2"/>
      <w:sz w:val="21"/>
    </w:rPr>
  </w:style>
  <w:style w:type="character" w:customStyle="1" w:styleId="358">
    <w:name w:val="S0 Char Char"/>
    <w:qFormat/>
    <w:uiPriority w:val="0"/>
    <w:rPr>
      <w:rFonts w:ascii="Times New Roman" w:hAnsi="Times New Roman"/>
      <w:kern w:val="2"/>
      <w:sz w:val="21"/>
      <w:szCs w:val="24"/>
    </w:rPr>
  </w:style>
  <w:style w:type="character" w:customStyle="1" w:styleId="359">
    <w:name w:val="正文文本缩进 3 Char1"/>
    <w:semiHidden/>
    <w:qFormat/>
    <w:uiPriority w:val="99"/>
    <w:rPr>
      <w:kern w:val="2"/>
      <w:sz w:val="16"/>
      <w:szCs w:val="16"/>
    </w:rPr>
  </w:style>
  <w:style w:type="character" w:customStyle="1" w:styleId="360">
    <w:name w:val="正文首行缩进 Char1"/>
    <w:semiHidden/>
    <w:qFormat/>
    <w:uiPriority w:val="99"/>
    <w:rPr>
      <w:kern w:val="2"/>
      <w:sz w:val="21"/>
    </w:rPr>
  </w:style>
  <w:style w:type="character" w:customStyle="1" w:styleId="361">
    <w:name w:val="b1 Char1"/>
    <w:qFormat/>
    <w:uiPriority w:val="0"/>
    <w:rPr>
      <w:rFonts w:ascii="Times New Roman" w:hAnsi="Times New Roman" w:eastAsia="宋体" w:cs="Times New Roman"/>
      <w:b/>
      <w:bCs/>
      <w:kern w:val="44"/>
      <w:sz w:val="44"/>
      <w:szCs w:val="44"/>
    </w:rPr>
  </w:style>
  <w:style w:type="character" w:customStyle="1" w:styleId="362">
    <w:name w:val="脚注文本 Char1"/>
    <w:semiHidden/>
    <w:qFormat/>
    <w:uiPriority w:val="99"/>
    <w:rPr>
      <w:kern w:val="2"/>
      <w:sz w:val="18"/>
      <w:szCs w:val="18"/>
    </w:rPr>
  </w:style>
  <w:style w:type="character" w:customStyle="1" w:styleId="363">
    <w:name w:val="尾注文本 Char1"/>
    <w:semiHidden/>
    <w:qFormat/>
    <w:uiPriority w:val="99"/>
    <w:rPr>
      <w:kern w:val="2"/>
      <w:sz w:val="21"/>
    </w:rPr>
  </w:style>
  <w:style w:type="character" w:customStyle="1" w:styleId="364">
    <w:name w:val="标题 Char1"/>
    <w:qFormat/>
    <w:uiPriority w:val="10"/>
    <w:rPr>
      <w:rFonts w:ascii="Cambria" w:hAnsi="Cambria" w:cs="Times New Roman"/>
      <w:b/>
      <w:bCs/>
      <w:kern w:val="2"/>
      <w:sz w:val="32"/>
      <w:szCs w:val="32"/>
    </w:rPr>
  </w:style>
  <w:style w:type="character" w:customStyle="1" w:styleId="365">
    <w:name w:val="headline-content2"/>
    <w:qFormat/>
    <w:uiPriority w:val="0"/>
  </w:style>
  <w:style w:type="character" w:customStyle="1" w:styleId="366">
    <w:name w:val="Indent 2 Char"/>
    <w:link w:val="367"/>
    <w:qFormat/>
    <w:uiPriority w:val="0"/>
    <w:rPr>
      <w:szCs w:val="24"/>
      <w:lang w:val="en-GB"/>
    </w:rPr>
  </w:style>
  <w:style w:type="paragraph" w:customStyle="1" w:styleId="367">
    <w:name w:val="Indent 2"/>
    <w:basedOn w:val="1"/>
    <w:link w:val="366"/>
    <w:qFormat/>
    <w:uiPriority w:val="0"/>
    <w:pPr>
      <w:widowControl/>
      <w:spacing w:after="160"/>
      <w:ind w:left="1134" w:hanging="567"/>
    </w:pPr>
    <w:rPr>
      <w:kern w:val="0"/>
      <w:sz w:val="20"/>
      <w:szCs w:val="24"/>
      <w:lang w:val="en-GB"/>
    </w:rPr>
  </w:style>
  <w:style w:type="character" w:customStyle="1" w:styleId="368">
    <w:name w:val="正文文本 3 Char1"/>
    <w:semiHidden/>
    <w:qFormat/>
    <w:uiPriority w:val="99"/>
    <w:rPr>
      <w:kern w:val="2"/>
      <w:sz w:val="16"/>
      <w:szCs w:val="16"/>
    </w:rPr>
  </w:style>
  <w:style w:type="character" w:customStyle="1" w:styleId="369">
    <w:name w:val="正文文字 2 Char"/>
    <w:qFormat/>
    <w:uiPriority w:val="0"/>
    <w:rPr>
      <w:rFonts w:hint="eastAsia" w:ascii="宋体" w:hAnsi="宋体" w:eastAsia="宋体"/>
      <w:color w:val="000000"/>
      <w:sz w:val="24"/>
      <w:lang w:val="en-US" w:eastAsia="zh-CN" w:bidi="ar-SA"/>
    </w:rPr>
  </w:style>
  <w:style w:type="character" w:customStyle="1" w:styleId="370">
    <w:name w:val="text_edit editable-title"/>
    <w:qFormat/>
    <w:uiPriority w:val="0"/>
  </w:style>
  <w:style w:type="character" w:customStyle="1" w:styleId="371">
    <w:name w:val="称呼 Char1"/>
    <w:semiHidden/>
    <w:qFormat/>
    <w:uiPriority w:val="99"/>
    <w:rPr>
      <w:kern w:val="2"/>
      <w:sz w:val="21"/>
    </w:rPr>
  </w:style>
  <w:style w:type="character" w:customStyle="1" w:styleId="372">
    <w:name w:val="title7"/>
    <w:qFormat/>
    <w:uiPriority w:val="0"/>
  </w:style>
  <w:style w:type="character" w:customStyle="1" w:styleId="373">
    <w:name w:val="da1"/>
    <w:qFormat/>
    <w:uiPriority w:val="0"/>
  </w:style>
  <w:style w:type="character" w:customStyle="1" w:styleId="374">
    <w:name w:val="批注文字 Char1"/>
    <w:semiHidden/>
    <w:qFormat/>
    <w:uiPriority w:val="99"/>
    <w:rPr>
      <w:kern w:val="2"/>
      <w:sz w:val="21"/>
    </w:rPr>
  </w:style>
  <w:style w:type="character" w:customStyle="1" w:styleId="375">
    <w:name w:val="text1"/>
    <w:qFormat/>
    <w:uiPriority w:val="0"/>
    <w:rPr>
      <w:sz w:val="21"/>
      <w:szCs w:val="21"/>
    </w:rPr>
  </w:style>
  <w:style w:type="character" w:customStyle="1" w:styleId="376">
    <w:name w:val="RawHtml Font"/>
    <w:qFormat/>
    <w:uiPriority w:val="0"/>
    <w:rPr>
      <w:vanish/>
    </w:rPr>
  </w:style>
  <w:style w:type="character" w:customStyle="1" w:styleId="377">
    <w:name w:val="b titlename wangputoptitle"/>
    <w:qFormat/>
    <w:uiPriority w:val="0"/>
  </w:style>
  <w:style w:type="character" w:customStyle="1" w:styleId="378">
    <w:name w:val="文档结构图 Char1"/>
    <w:semiHidden/>
    <w:qFormat/>
    <w:uiPriority w:val="99"/>
    <w:rPr>
      <w:rFonts w:ascii="宋体"/>
      <w:kern w:val="2"/>
      <w:sz w:val="18"/>
      <w:szCs w:val="18"/>
    </w:rPr>
  </w:style>
  <w:style w:type="character" w:customStyle="1" w:styleId="379">
    <w:name w:val="label_list"/>
    <w:qFormat/>
    <w:uiPriority w:val="0"/>
  </w:style>
  <w:style w:type="character" w:customStyle="1" w:styleId="380">
    <w:name w:val="HTML 预设格式 Char1"/>
    <w:semiHidden/>
    <w:qFormat/>
    <w:uiPriority w:val="99"/>
    <w:rPr>
      <w:rFonts w:ascii="Courier New" w:hAnsi="Courier New" w:cs="Courier New"/>
      <w:kern w:val="2"/>
    </w:rPr>
  </w:style>
  <w:style w:type="character" w:customStyle="1" w:styleId="381">
    <w:name w:val="正文文本缩进 2 Char1"/>
    <w:semiHidden/>
    <w:qFormat/>
    <w:uiPriority w:val="99"/>
    <w:rPr>
      <w:kern w:val="2"/>
      <w:sz w:val="21"/>
    </w:rPr>
  </w:style>
  <w:style w:type="character" w:customStyle="1" w:styleId="382">
    <w:name w:val="copied"/>
    <w:qFormat/>
    <w:uiPriority w:val="0"/>
  </w:style>
  <w:style w:type="character" w:customStyle="1" w:styleId="383">
    <w:name w:val="unnamed1"/>
    <w:qFormat/>
    <w:uiPriority w:val="0"/>
  </w:style>
  <w:style w:type="paragraph" w:customStyle="1" w:styleId="384">
    <w:name w:val="declea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85">
    <w:name w:val="Plain Text Char1"/>
    <w:semiHidden/>
    <w:qFormat/>
    <w:uiPriority w:val="99"/>
    <w:rPr>
      <w:rFonts w:ascii="Consolas" w:hAnsi="Consolas" w:eastAsia="宋体" w:cs="Times New Roman"/>
      <w:kern w:val="2"/>
      <w:sz w:val="21"/>
      <w:szCs w:val="21"/>
    </w:rPr>
  </w:style>
  <w:style w:type="paragraph" w:customStyle="1" w:styleId="386">
    <w:name w:val="Contact Information"/>
    <w:qFormat/>
    <w:uiPriority w:val="0"/>
    <w:pPr>
      <w:tabs>
        <w:tab w:val="left" w:pos="1440"/>
        <w:tab w:val="right" w:pos="9810"/>
      </w:tabs>
      <w:spacing w:after="160" w:line="180" w:lineRule="exact"/>
    </w:pPr>
    <w:rPr>
      <w:rFonts w:ascii="Arial Narrow" w:hAnsi="Arial Narrow" w:eastAsia="宋体" w:cs="Times New Roman"/>
      <w:color w:val="000000"/>
      <w:sz w:val="15"/>
      <w:lang w:val="en-US" w:eastAsia="zh-CN" w:bidi="ar-SA"/>
    </w:rPr>
  </w:style>
  <w:style w:type="paragraph" w:customStyle="1" w:styleId="387">
    <w:name w:val="xl73"/>
    <w:basedOn w:val="1"/>
    <w:qFormat/>
    <w:uiPriority w:val="0"/>
    <w:pPr>
      <w:widowControl/>
      <w:pBdr>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88">
    <w:name w:val="标题1"/>
    <w:basedOn w:val="3"/>
    <w:qFormat/>
    <w:uiPriority w:val="0"/>
    <w:pPr>
      <w:tabs>
        <w:tab w:val="left" w:pos="480"/>
      </w:tabs>
      <w:adjustRightInd w:val="0"/>
      <w:snapToGrid w:val="0"/>
      <w:spacing w:before="120" w:after="160" w:line="360" w:lineRule="auto"/>
      <w:ind w:left="360" w:hanging="360" w:firstLineChars="400"/>
      <w:textAlignment w:val="baseline"/>
    </w:pPr>
    <w:rPr>
      <w:rFonts w:hAnsi="Arial"/>
      <w:bCs w:val="0"/>
      <w:color w:val="000000"/>
      <w:sz w:val="28"/>
      <w:szCs w:val="24"/>
    </w:rPr>
  </w:style>
  <w:style w:type="paragraph" w:customStyle="1" w:styleId="389">
    <w:name w:val="xl6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390">
    <w:name w:val="CM36"/>
    <w:basedOn w:val="156"/>
    <w:next w:val="156"/>
    <w:qFormat/>
    <w:uiPriority w:val="0"/>
    <w:pPr>
      <w:spacing w:after="160" w:line="259" w:lineRule="auto"/>
    </w:pPr>
    <w:rPr>
      <w:rFonts w:ascii="oúì." w:eastAsia="oúì." w:cs="Times New Roman"/>
      <w:color w:val="auto"/>
      <w:szCs w:val="20"/>
    </w:rPr>
  </w:style>
  <w:style w:type="paragraph" w:customStyle="1" w:styleId="391">
    <w:name w:val="新正文"/>
    <w:basedOn w:val="1"/>
    <w:qFormat/>
    <w:uiPriority w:val="0"/>
    <w:pPr>
      <w:widowControl/>
      <w:tabs>
        <w:tab w:val="left" w:pos="4140"/>
      </w:tabs>
      <w:spacing w:after="160" w:line="440" w:lineRule="exact"/>
    </w:pPr>
    <w:rPr>
      <w:rFonts w:ascii="Arial" w:hAnsi="Arial" w:cs="Arial"/>
      <w:sz w:val="24"/>
      <w:szCs w:val="24"/>
    </w:rPr>
  </w:style>
  <w:style w:type="paragraph" w:customStyle="1" w:styleId="392">
    <w:name w:val="Char Char"/>
    <w:basedOn w:val="1"/>
    <w:qFormat/>
    <w:uiPriority w:val="0"/>
    <w:pPr>
      <w:widowControl/>
      <w:spacing w:after="160" w:line="240" w:lineRule="exact"/>
      <w:jc w:val="left"/>
    </w:pPr>
    <w:rPr>
      <w:rFonts w:ascii="Verdana" w:hAnsi="Verdana" w:eastAsia="仿宋_GB2312" w:cs="宋体"/>
      <w:kern w:val="0"/>
      <w:sz w:val="24"/>
      <w:szCs w:val="24"/>
      <w:lang w:eastAsia="en-US"/>
    </w:rPr>
  </w:style>
  <w:style w:type="paragraph" w:customStyle="1" w:styleId="3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color w:val="FF0000"/>
      <w:kern w:val="0"/>
      <w:sz w:val="24"/>
      <w:szCs w:val="24"/>
    </w:rPr>
  </w:style>
  <w:style w:type="paragraph" w:customStyle="1" w:styleId="394">
    <w:name w:val="Char Char Char1 Char Char Char Char Char Char"/>
    <w:basedOn w:val="1"/>
    <w:qFormat/>
    <w:uiPriority w:val="0"/>
    <w:pPr>
      <w:widowControl/>
      <w:spacing w:after="160"/>
    </w:pPr>
    <w:rPr>
      <w:rFonts w:ascii="宋体" w:hAnsi="宋体" w:cs="宋体"/>
      <w:sz w:val="24"/>
      <w:szCs w:val="24"/>
    </w:rPr>
  </w:style>
  <w:style w:type="paragraph" w:customStyle="1" w:styleId="395">
    <w:name w:val="font12"/>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customStyle="1" w:styleId="396">
    <w:name w:val="Bullet"/>
    <w:basedOn w:val="1"/>
    <w:qFormat/>
    <w:uiPriority w:val="0"/>
    <w:pPr>
      <w:widowControl/>
      <w:tabs>
        <w:tab w:val="left" w:pos="851"/>
      </w:tabs>
      <w:spacing w:before="60" w:after="160"/>
      <w:ind w:left="850" w:hanging="425"/>
      <w:jc w:val="left"/>
    </w:pPr>
    <w:rPr>
      <w:rFonts w:ascii="宋体" w:hAnsi="宋体" w:eastAsia="MS Mincho" w:cs="宋体"/>
      <w:kern w:val="0"/>
      <w:sz w:val="22"/>
      <w:szCs w:val="24"/>
    </w:rPr>
  </w:style>
  <w:style w:type="paragraph" w:customStyle="1" w:styleId="397">
    <w:name w:val="Disclaimer"/>
    <w:qFormat/>
    <w:uiPriority w:val="0"/>
    <w:pPr>
      <w:tabs>
        <w:tab w:val="left" w:pos="2520"/>
        <w:tab w:val="left" w:pos="3360"/>
        <w:tab w:val="left" w:pos="3480"/>
      </w:tabs>
      <w:spacing w:after="160" w:line="190" w:lineRule="exact"/>
    </w:pPr>
    <w:rPr>
      <w:rFonts w:ascii="Arial Narrow" w:hAnsi="Arial Narrow" w:eastAsia="宋体" w:cs="Times New Roman"/>
      <w:sz w:val="16"/>
      <w:lang w:val="en-US" w:eastAsia="zh-CN" w:bidi="ar-SA"/>
    </w:rPr>
  </w:style>
  <w:style w:type="paragraph" w:customStyle="1" w:styleId="398">
    <w:name w:val="Bullet (b)"/>
    <w:basedOn w:val="399"/>
    <w:next w:val="399"/>
    <w:qFormat/>
    <w:uiPriority w:val="0"/>
    <w:pPr>
      <w:tabs>
        <w:tab w:val="left" w:pos="851"/>
      </w:tabs>
    </w:pPr>
  </w:style>
  <w:style w:type="paragraph" w:customStyle="1" w:styleId="399">
    <w:name w:val="Bullet (a)"/>
    <w:basedOn w:val="1"/>
    <w:next w:val="1"/>
    <w:qFormat/>
    <w:uiPriority w:val="0"/>
    <w:pPr>
      <w:widowControl/>
      <w:tabs>
        <w:tab w:val="left" w:pos="851"/>
      </w:tabs>
      <w:spacing w:before="60" w:after="160"/>
      <w:ind w:left="850" w:hanging="425"/>
      <w:jc w:val="left"/>
    </w:pPr>
    <w:rPr>
      <w:rFonts w:ascii="宋体" w:hAnsi="宋体" w:eastAsia="MS Mincho" w:cs="宋体"/>
      <w:kern w:val="0"/>
      <w:sz w:val="22"/>
      <w:szCs w:val="24"/>
    </w:rPr>
  </w:style>
  <w:style w:type="paragraph" w:customStyle="1" w:styleId="400">
    <w:name w:val="式样 1"/>
    <w:basedOn w:val="6"/>
    <w:next w:val="6"/>
    <w:qFormat/>
    <w:uiPriority w:val="0"/>
    <w:pPr>
      <w:keepNext w:val="0"/>
      <w:keepLines w:val="0"/>
      <w:widowControl w:val="0"/>
      <w:tabs>
        <w:tab w:val="left" w:pos="432"/>
        <w:tab w:val="left" w:pos="851"/>
      </w:tabs>
      <w:adjustRightInd w:val="0"/>
      <w:snapToGrid w:val="0"/>
      <w:spacing w:before="0" w:after="160" w:line="360" w:lineRule="auto"/>
      <w:ind w:left="851" w:hanging="851"/>
      <w:jc w:val="both"/>
    </w:pPr>
    <w:rPr>
      <w:rFonts w:ascii="Times New Roman" w:hAnsi="Times New Roman"/>
      <w:b/>
      <w:color w:val="auto"/>
      <w:kern w:val="2"/>
      <w:sz w:val="24"/>
      <w:szCs w:val="20"/>
      <w:lang w:val="zh-CN"/>
    </w:rPr>
  </w:style>
  <w:style w:type="paragraph" w:customStyle="1" w:styleId="401">
    <w:name w:val="表文"/>
    <w:basedOn w:val="1"/>
    <w:qFormat/>
    <w:uiPriority w:val="0"/>
    <w:pPr>
      <w:widowControl/>
      <w:adjustRightInd w:val="0"/>
      <w:spacing w:after="160"/>
      <w:jc w:val="center"/>
      <w:textAlignment w:val="baseline"/>
    </w:pPr>
    <w:rPr>
      <w:rFonts w:ascii="宋体" w:hAnsi="宋体" w:cs="宋体"/>
      <w:kern w:val="0"/>
      <w:szCs w:val="24"/>
    </w:rPr>
  </w:style>
  <w:style w:type="paragraph" w:customStyle="1" w:styleId="402">
    <w:name w:val="xl5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403">
    <w:name w:val="font16"/>
    <w:basedOn w:val="1"/>
    <w:qFormat/>
    <w:uiPriority w:val="0"/>
    <w:pPr>
      <w:widowControl/>
      <w:spacing w:before="100" w:beforeAutospacing="1" w:after="100" w:afterAutospacing="1"/>
      <w:jc w:val="left"/>
    </w:pPr>
    <w:rPr>
      <w:rFonts w:hint="eastAsia" w:ascii="宋体" w:hAnsi="宋体" w:cs="宋体"/>
      <w:kern w:val="0"/>
      <w:szCs w:val="21"/>
    </w:rPr>
  </w:style>
  <w:style w:type="paragraph" w:customStyle="1" w:styleId="404">
    <w:name w:val="ukapitel"/>
    <w:basedOn w:val="1"/>
    <w:qFormat/>
    <w:uiPriority w:val="0"/>
    <w:pPr>
      <w:widowControl/>
      <w:autoSpaceDE w:val="0"/>
      <w:autoSpaceDN w:val="0"/>
      <w:adjustRightInd w:val="0"/>
      <w:spacing w:after="1" w:line="200" w:lineRule="atLeast"/>
    </w:pPr>
    <w:rPr>
      <w:rFonts w:ascii="Helvetica" w:hAnsi="Helvetica" w:eastAsia="MS Mincho" w:cs="宋体"/>
      <w:kern w:val="0"/>
      <w:sz w:val="20"/>
      <w:szCs w:val="24"/>
      <w:lang w:val="de-CH"/>
    </w:rPr>
  </w:style>
  <w:style w:type="paragraph" w:customStyle="1" w:styleId="405">
    <w:name w:val="Table Text"/>
    <w:basedOn w:val="1"/>
    <w:qFormat/>
    <w:uiPriority w:val="0"/>
    <w:pPr>
      <w:widowControl/>
      <w:tabs>
        <w:tab w:val="left" w:pos="360"/>
      </w:tabs>
      <w:spacing w:before="40" w:after="40"/>
      <w:jc w:val="left"/>
    </w:pPr>
    <w:rPr>
      <w:rFonts w:ascii="Arial" w:hAnsi="Arial" w:eastAsia="MS Mincho" w:cs="宋体"/>
      <w:kern w:val="0"/>
      <w:sz w:val="18"/>
      <w:szCs w:val="24"/>
    </w:rPr>
  </w:style>
  <w:style w:type="paragraph" w:customStyle="1" w:styleId="406">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407">
    <w:name w:val="表"/>
    <w:basedOn w:val="1"/>
    <w:qFormat/>
    <w:uiPriority w:val="0"/>
    <w:pPr>
      <w:widowControl/>
      <w:spacing w:after="160" w:line="360" w:lineRule="auto"/>
      <w:jc w:val="center"/>
    </w:pPr>
    <w:rPr>
      <w:rFonts w:ascii="宋体" w:hAnsi="宋体" w:cs="宋体"/>
      <w:sz w:val="24"/>
      <w:szCs w:val="24"/>
    </w:rPr>
  </w:style>
  <w:style w:type="paragraph" w:customStyle="1" w:styleId="408">
    <w:name w:val="Bullet 1 Last"/>
    <w:basedOn w:val="409"/>
    <w:qFormat/>
    <w:uiPriority w:val="0"/>
    <w:pPr>
      <w:spacing w:after="180"/>
    </w:pPr>
  </w:style>
  <w:style w:type="paragraph" w:customStyle="1" w:styleId="409">
    <w:name w:val="Bullet 1"/>
    <w:basedOn w:val="1"/>
    <w:qFormat/>
    <w:uiPriority w:val="0"/>
    <w:pPr>
      <w:widowControl/>
      <w:spacing w:after="160"/>
      <w:jc w:val="left"/>
    </w:pPr>
    <w:rPr>
      <w:rFonts w:ascii="Arial" w:hAnsi="Arial" w:eastAsia="MS Mincho" w:cs="宋体"/>
      <w:kern w:val="0"/>
      <w:sz w:val="20"/>
      <w:szCs w:val="24"/>
    </w:rPr>
  </w:style>
  <w:style w:type="paragraph" w:customStyle="1" w:styleId="410">
    <w:name w:val="(1)"/>
    <w:basedOn w:val="1"/>
    <w:qFormat/>
    <w:uiPriority w:val="0"/>
    <w:pPr>
      <w:widowControl/>
      <w:tabs>
        <w:tab w:val="left" w:pos="573"/>
      </w:tabs>
      <w:adjustRightInd w:val="0"/>
      <w:snapToGrid w:val="0"/>
      <w:spacing w:before="80" w:after="100" w:line="240" w:lineRule="atLeast"/>
      <w:textAlignment w:val="baseline"/>
    </w:pPr>
    <w:rPr>
      <w:rFonts w:ascii="Arial" w:hAnsi="Arial" w:cs="宋体"/>
      <w:kern w:val="44"/>
      <w:sz w:val="24"/>
      <w:szCs w:val="24"/>
    </w:rPr>
  </w:style>
  <w:style w:type="paragraph" w:customStyle="1" w:styleId="411">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Arial Unicode MS" w:cs="Arial"/>
      <w:kern w:val="0"/>
      <w:sz w:val="24"/>
      <w:szCs w:val="24"/>
    </w:rPr>
  </w:style>
  <w:style w:type="paragraph" w:customStyle="1" w:styleId="412">
    <w:name w:val="表格1"/>
    <w:basedOn w:val="1"/>
    <w:qFormat/>
    <w:uiPriority w:val="0"/>
    <w:pPr>
      <w:widowControl/>
      <w:spacing w:after="160"/>
      <w:jc w:val="center"/>
    </w:pPr>
    <w:rPr>
      <w:rFonts w:ascii="宋体" w:hAnsi="宋体" w:cs="宋体"/>
      <w:snapToGrid w:val="0"/>
      <w:kern w:val="0"/>
      <w:sz w:val="24"/>
      <w:szCs w:val="24"/>
    </w:rPr>
  </w:style>
  <w:style w:type="paragraph" w:customStyle="1" w:styleId="413">
    <w:name w:val="Body Text 31"/>
    <w:basedOn w:val="1"/>
    <w:qFormat/>
    <w:uiPriority w:val="0"/>
    <w:pPr>
      <w:adjustRightInd w:val="0"/>
      <w:spacing w:after="160" w:line="360" w:lineRule="auto"/>
      <w:jc w:val="center"/>
      <w:textAlignment w:val="baseline"/>
    </w:pPr>
    <w:rPr>
      <w:rFonts w:ascii="宋体"/>
      <w:b/>
      <w:color w:val="FF0000"/>
      <w:kern w:val="0"/>
      <w:sz w:val="24"/>
      <w:u w:val="single"/>
    </w:rPr>
  </w:style>
  <w:style w:type="paragraph" w:customStyle="1" w:styleId="414">
    <w:name w:val="Subhead 1"/>
    <w:basedOn w:val="415"/>
    <w:qFormat/>
    <w:uiPriority w:val="0"/>
    <w:pPr>
      <w:pBdr>
        <w:between w:val="single" w:color="auto" w:sz="6" w:space="3"/>
      </w:pBdr>
      <w:tabs>
        <w:tab w:val="left" w:pos="567"/>
      </w:tabs>
      <w:spacing w:after="198" w:line="220" w:lineRule="atLeast"/>
    </w:pPr>
    <w:rPr>
      <w:sz w:val="20"/>
    </w:rPr>
  </w:style>
  <w:style w:type="paragraph" w:customStyle="1" w:styleId="415">
    <w:name w:val="Headline"/>
    <w:qFormat/>
    <w:uiPriority w:val="0"/>
    <w:pPr>
      <w:pBdr>
        <w:bottom w:val="single" w:color="auto" w:sz="6" w:space="0"/>
        <w:between w:val="single" w:color="auto" w:sz="6" w:space="0"/>
      </w:pBdr>
      <w:tabs>
        <w:tab w:val="left" w:pos="567"/>
      </w:tabs>
      <w:autoSpaceDE w:val="0"/>
      <w:autoSpaceDN w:val="0"/>
      <w:adjustRightInd w:val="0"/>
      <w:spacing w:after="403" w:line="259" w:lineRule="auto"/>
    </w:pPr>
    <w:rPr>
      <w:rFonts w:ascii="Helvetica" w:hAnsi="Helvetica" w:eastAsia="MS Mincho" w:cs="Times New Roman"/>
      <w:b/>
      <w:sz w:val="26"/>
      <w:lang w:val="de-CH" w:eastAsia="zh-CN" w:bidi="ar-SA"/>
    </w:rPr>
  </w:style>
  <w:style w:type="paragraph" w:customStyle="1" w:styleId="416">
    <w:name w:val="默认段落字体 Para Char Char Char Char Char Char Char Char Char1 Char"/>
    <w:basedOn w:val="1"/>
    <w:qFormat/>
    <w:uiPriority w:val="0"/>
    <w:pPr>
      <w:widowControl/>
      <w:spacing w:after="160"/>
    </w:pPr>
    <w:rPr>
      <w:rFonts w:ascii="宋体" w:hAnsi="宋体" w:cs="宋体"/>
      <w:szCs w:val="24"/>
    </w:rPr>
  </w:style>
  <w:style w:type="paragraph" w:customStyle="1" w:styleId="417">
    <w:name w:val="Char Char Char1 Char Char Char Char Char Char Char"/>
    <w:basedOn w:val="1"/>
    <w:qFormat/>
    <w:uiPriority w:val="0"/>
    <w:pPr>
      <w:spacing w:after="160"/>
    </w:pPr>
    <w:rPr>
      <w:rFonts w:ascii="Tahoma" w:hAnsi="Tahoma"/>
      <w:sz w:val="24"/>
    </w:rPr>
  </w:style>
  <w:style w:type="paragraph" w:customStyle="1" w:styleId="418">
    <w:name w:val="Notes"/>
    <w:qFormat/>
    <w:uiPriority w:val="0"/>
    <w:pPr>
      <w:tabs>
        <w:tab w:val="left" w:pos="274"/>
      </w:tabs>
      <w:spacing w:after="160" w:line="190" w:lineRule="exact"/>
      <w:ind w:left="274" w:hanging="274"/>
    </w:pPr>
    <w:rPr>
      <w:rFonts w:ascii="Arial Narrow" w:hAnsi="Arial Narrow" w:eastAsia="宋体" w:cs="Times New Roman"/>
      <w:sz w:val="16"/>
      <w:lang w:val="en-US" w:eastAsia="zh-CN" w:bidi="ar-SA"/>
    </w:rPr>
  </w:style>
  <w:style w:type="paragraph" w:customStyle="1" w:styleId="41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420">
    <w:name w:val="xl31"/>
    <w:basedOn w:val="1"/>
    <w:qFormat/>
    <w:uiPriority w:val="0"/>
    <w:pPr>
      <w:widowControl/>
      <w:spacing w:before="100" w:beforeAutospacing="1" w:after="100" w:afterAutospacing="1"/>
      <w:jc w:val="left"/>
      <w:textAlignment w:val="center"/>
    </w:pPr>
    <w:rPr>
      <w:rFonts w:ascii="Arial" w:hAnsi="Arial" w:eastAsia="Arial Unicode MS" w:cs="Arial"/>
      <w:kern w:val="0"/>
      <w:sz w:val="24"/>
      <w:szCs w:val="24"/>
    </w:rPr>
  </w:style>
  <w:style w:type="paragraph" w:customStyle="1" w:styleId="421">
    <w:name w:val="font6"/>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customStyle="1" w:styleId="422">
    <w:name w:val="tablehead"/>
    <w:basedOn w:val="414"/>
    <w:next w:val="414"/>
    <w:qFormat/>
    <w:uiPriority w:val="0"/>
    <w:pPr>
      <w:pBdr>
        <w:bottom w:val="none" w:color="auto" w:sz="0" w:space="0"/>
        <w:between w:val="none" w:color="auto" w:sz="0" w:space="0"/>
      </w:pBdr>
      <w:tabs>
        <w:tab w:val="left" w:pos="850"/>
        <w:tab w:val="clear" w:pos="567"/>
      </w:tabs>
    </w:pPr>
  </w:style>
  <w:style w:type="paragraph" w:customStyle="1" w:styleId="423">
    <w:name w:val="bt3"/>
    <w:basedOn w:val="1"/>
    <w:qFormat/>
    <w:uiPriority w:val="0"/>
    <w:pPr>
      <w:widowControl/>
      <w:tabs>
        <w:tab w:val="left" w:pos="1418"/>
      </w:tabs>
      <w:adjustRightInd w:val="0"/>
      <w:spacing w:before="120" w:after="120" w:line="240" w:lineRule="atLeast"/>
      <w:ind w:firstLine="510"/>
      <w:textAlignment w:val="baseline"/>
    </w:pPr>
    <w:rPr>
      <w:rFonts w:ascii="Arial" w:hAnsi="Arial" w:cs="宋体"/>
      <w:color w:val="000000"/>
      <w:kern w:val="0"/>
      <w:sz w:val="24"/>
      <w:szCs w:val="24"/>
    </w:rPr>
  </w:style>
  <w:style w:type="paragraph" w:customStyle="1" w:styleId="424">
    <w:name w:val="Normal2"/>
    <w:qFormat/>
    <w:uiPriority w:val="0"/>
    <w:pPr>
      <w:widowControl w:val="0"/>
      <w:autoSpaceDE w:val="0"/>
      <w:autoSpaceDN w:val="0"/>
      <w:adjustRightInd w:val="0"/>
      <w:spacing w:after="160"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425">
    <w:name w:val="CM21"/>
    <w:basedOn w:val="156"/>
    <w:next w:val="156"/>
    <w:qFormat/>
    <w:uiPriority w:val="0"/>
    <w:pPr>
      <w:spacing w:after="160" w:line="420" w:lineRule="atLeast"/>
    </w:pPr>
    <w:rPr>
      <w:rFonts w:ascii="oúì." w:eastAsia="oúì." w:cs="Times New Roman"/>
      <w:color w:val="auto"/>
      <w:szCs w:val="20"/>
    </w:rPr>
  </w:style>
  <w:style w:type="paragraph" w:customStyle="1" w:styleId="426">
    <w:name w:val="xl3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427">
    <w:name w:val="zCover 12"/>
    <w:basedOn w:val="1"/>
    <w:qFormat/>
    <w:uiPriority w:val="0"/>
    <w:pPr>
      <w:widowControl/>
      <w:spacing w:before="120" w:after="120"/>
      <w:jc w:val="center"/>
    </w:pPr>
    <w:rPr>
      <w:rFonts w:ascii="Arial" w:hAnsi="Arial" w:eastAsia="MS Mincho" w:cs="宋体"/>
      <w:b/>
      <w:kern w:val="0"/>
      <w:sz w:val="24"/>
      <w:szCs w:val="24"/>
    </w:rPr>
  </w:style>
  <w:style w:type="paragraph" w:customStyle="1" w:styleId="428">
    <w:name w:val="Number 1"/>
    <w:basedOn w:val="1"/>
    <w:qFormat/>
    <w:uiPriority w:val="0"/>
    <w:pPr>
      <w:widowControl/>
      <w:spacing w:after="160"/>
      <w:ind w:left="420" w:hanging="420"/>
      <w:jc w:val="left"/>
    </w:pPr>
    <w:rPr>
      <w:rFonts w:ascii="Arial" w:hAnsi="Arial" w:eastAsia="MS Mincho" w:cs="宋体"/>
      <w:kern w:val="0"/>
      <w:sz w:val="20"/>
      <w:szCs w:val="24"/>
      <w:lang w:eastAsia="ja-JP"/>
    </w:rPr>
  </w:style>
  <w:style w:type="paragraph" w:customStyle="1" w:styleId="429">
    <w:name w:val="Date2"/>
    <w:basedOn w:val="1"/>
    <w:next w:val="1"/>
    <w:qFormat/>
    <w:uiPriority w:val="0"/>
    <w:pPr>
      <w:widowControl/>
      <w:adjustRightInd w:val="0"/>
      <w:spacing w:after="160" w:line="360" w:lineRule="atLeast"/>
      <w:textAlignment w:val="baseline"/>
    </w:pPr>
    <w:rPr>
      <w:rFonts w:ascii="宋体" w:hAnsi="宋体" w:cs="宋体"/>
      <w:kern w:val="0"/>
      <w:sz w:val="30"/>
      <w:szCs w:val="24"/>
    </w:rPr>
  </w:style>
  <w:style w:type="paragraph" w:customStyle="1" w:styleId="430">
    <w:name w:val="Char Char1 Char"/>
    <w:basedOn w:val="1"/>
    <w:qFormat/>
    <w:uiPriority w:val="0"/>
    <w:pPr>
      <w:widowControl/>
      <w:spacing w:after="160" w:line="360" w:lineRule="auto"/>
      <w:ind w:firstLine="200" w:firstLineChars="200"/>
    </w:pPr>
    <w:rPr>
      <w:rFonts w:ascii="宋体" w:hAnsi="宋体" w:cs="宋体"/>
      <w:sz w:val="24"/>
      <w:szCs w:val="24"/>
    </w:rPr>
  </w:style>
  <w:style w:type="paragraph" w:customStyle="1" w:styleId="431">
    <w:name w:val="xl4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432">
    <w:name w:val="xl32"/>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customStyle="1" w:styleId="433">
    <w:name w:val="font7"/>
    <w:basedOn w:val="1"/>
    <w:qFormat/>
    <w:uiPriority w:val="0"/>
    <w:pPr>
      <w:widowControl/>
      <w:spacing w:before="100" w:beforeAutospacing="1" w:after="100" w:afterAutospacing="1"/>
      <w:jc w:val="left"/>
    </w:pPr>
    <w:rPr>
      <w:rFonts w:hint="eastAsia" w:ascii="楷体_GB2312" w:hAnsi="Arial Unicode MS" w:eastAsia="楷体_GB2312" w:cs="Arial Unicode MS"/>
      <w:b/>
      <w:bCs/>
      <w:kern w:val="0"/>
      <w:sz w:val="24"/>
      <w:szCs w:val="24"/>
    </w:rPr>
  </w:style>
  <w:style w:type="paragraph" w:customStyle="1" w:styleId="434">
    <w:name w:val="xl4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435">
    <w:name w:val="font13"/>
    <w:basedOn w:val="1"/>
    <w:qFormat/>
    <w:uiPriority w:val="0"/>
    <w:pPr>
      <w:widowControl/>
      <w:spacing w:before="100" w:beforeAutospacing="1" w:after="100" w:afterAutospacing="1"/>
      <w:jc w:val="left"/>
    </w:pPr>
    <w:rPr>
      <w:rFonts w:ascii="Arial" w:hAnsi="Arial" w:eastAsia="Arial Unicode MS" w:cs="Arial"/>
      <w:color w:val="FF0000"/>
      <w:kern w:val="0"/>
      <w:sz w:val="24"/>
      <w:szCs w:val="24"/>
    </w:rPr>
  </w:style>
  <w:style w:type="paragraph" w:customStyle="1" w:styleId="436">
    <w:name w:val="Heading Contents"/>
    <w:basedOn w:val="3"/>
    <w:qFormat/>
    <w:uiPriority w:val="0"/>
    <w:pPr>
      <w:keepNext w:val="0"/>
      <w:keepLines w:val="0"/>
      <w:tabs>
        <w:tab w:val="left" w:pos="851"/>
      </w:tabs>
      <w:adjustRightInd w:val="0"/>
      <w:snapToGrid w:val="0"/>
      <w:spacing w:before="120" w:after="60" w:line="360" w:lineRule="auto"/>
      <w:ind w:left="851" w:hanging="851" w:firstLineChars="400"/>
      <w:jc w:val="center"/>
      <w:outlineLvl w:val="9"/>
    </w:pPr>
    <w:rPr>
      <w:rFonts w:ascii="Arial" w:hAnsi="Arial" w:eastAsia="MS Mincho"/>
      <w:bCs w:val="0"/>
      <w:color w:val="000000"/>
      <w:kern w:val="2"/>
      <w:sz w:val="32"/>
      <w:szCs w:val="20"/>
    </w:rPr>
  </w:style>
  <w:style w:type="paragraph" w:customStyle="1" w:styleId="437">
    <w:name w:val="??4"/>
    <w:basedOn w:val="1"/>
    <w:qFormat/>
    <w:uiPriority w:val="0"/>
    <w:pPr>
      <w:widowControl/>
      <w:autoSpaceDE w:val="0"/>
      <w:autoSpaceDN w:val="0"/>
      <w:adjustRightInd w:val="0"/>
      <w:spacing w:after="160" w:line="480" w:lineRule="atLeast"/>
      <w:jc w:val="left"/>
      <w:textAlignment w:val="baseline"/>
    </w:pPr>
    <w:rPr>
      <w:rFonts w:ascii="宋体" w:hAnsi="Tms Rmn" w:cs="宋体"/>
      <w:spacing w:val="10"/>
      <w:kern w:val="0"/>
      <w:sz w:val="48"/>
      <w:szCs w:val="24"/>
    </w:rPr>
  </w:style>
  <w:style w:type="paragraph" w:customStyle="1" w:styleId="438">
    <w:name w:val="Subheading"/>
    <w:qFormat/>
    <w:uiPriority w:val="0"/>
    <w:pPr>
      <w:tabs>
        <w:tab w:val="left" w:pos="3372"/>
        <w:tab w:val="left" w:pos="3408"/>
      </w:tabs>
      <w:spacing w:after="160" w:line="270" w:lineRule="exact"/>
    </w:pPr>
    <w:rPr>
      <w:rFonts w:ascii="Arial Black" w:hAnsi="Arial Black" w:eastAsia="宋体" w:cs="Times New Roman"/>
      <w:sz w:val="22"/>
      <w:lang w:val="en-US" w:eastAsia="zh-CN" w:bidi="ar-SA"/>
    </w:rPr>
  </w:style>
  <w:style w:type="paragraph" w:customStyle="1" w:styleId="439">
    <w:name w:val="不缩进"/>
    <w:basedOn w:val="1"/>
    <w:qFormat/>
    <w:uiPriority w:val="0"/>
    <w:pPr>
      <w:widowControl/>
      <w:adjustRightInd w:val="0"/>
      <w:snapToGrid w:val="0"/>
      <w:spacing w:after="160" w:line="300" w:lineRule="auto"/>
    </w:pPr>
    <w:rPr>
      <w:rFonts w:ascii="楷体_GB2312" w:hAnsi="宋体" w:eastAsia="楷体_GB2312" w:cs="宋体"/>
      <w:color w:val="000000"/>
      <w:sz w:val="24"/>
      <w:szCs w:val="24"/>
    </w:rPr>
  </w:style>
  <w:style w:type="paragraph" w:customStyle="1" w:styleId="440">
    <w:name w:val="Product Name"/>
    <w:qFormat/>
    <w:uiPriority w:val="0"/>
    <w:pPr>
      <w:spacing w:after="160" w:line="270" w:lineRule="exact"/>
    </w:pPr>
    <w:rPr>
      <w:rFonts w:ascii="Arial Black" w:hAnsi="Arial Black" w:eastAsia="宋体" w:cs="Times New Roman"/>
      <w:sz w:val="24"/>
      <w:lang w:val="en-US" w:eastAsia="zh-CN" w:bidi="ar-SA"/>
    </w:rPr>
  </w:style>
  <w:style w:type="paragraph" w:customStyle="1" w:styleId="441">
    <w:name w:val="样式 样式 标题 1 + 居中 + 段前: 1 行 段后: 1.5 行"/>
    <w:basedOn w:val="442"/>
    <w:qFormat/>
    <w:uiPriority w:val="0"/>
    <w:pPr>
      <w:tabs>
        <w:tab w:val="left" w:pos="480"/>
      </w:tabs>
      <w:spacing w:after="50" w:afterLines="50"/>
      <w:ind w:left="480" w:hanging="480"/>
    </w:pPr>
    <w:rPr>
      <w:bCs/>
    </w:rPr>
  </w:style>
  <w:style w:type="paragraph" w:customStyle="1" w:styleId="442">
    <w:name w:val="样式 标题 1 + 居中"/>
    <w:basedOn w:val="3"/>
    <w:qFormat/>
    <w:uiPriority w:val="0"/>
    <w:pPr>
      <w:adjustRightInd w:val="0"/>
      <w:snapToGrid w:val="0"/>
      <w:spacing w:before="100" w:beforeLines="100" w:after="150" w:afterLines="150" w:line="360" w:lineRule="auto"/>
      <w:ind w:firstLine="960" w:firstLineChars="400"/>
      <w:jc w:val="center"/>
    </w:pPr>
    <w:rPr>
      <w:rFonts w:cs="宋体"/>
      <w:bCs w:val="0"/>
      <w:color w:val="000000"/>
      <w:sz w:val="28"/>
      <w:szCs w:val="20"/>
    </w:rPr>
  </w:style>
  <w:style w:type="paragraph" w:customStyle="1" w:styleId="443">
    <w:name w:val="Char Char Char Char Char Char Char Char Char Char Char"/>
    <w:basedOn w:val="1"/>
    <w:qFormat/>
    <w:uiPriority w:val="0"/>
    <w:pPr>
      <w:widowControl/>
      <w:spacing w:after="160"/>
    </w:pPr>
    <w:rPr>
      <w:rFonts w:ascii="宋体" w:hAnsi="宋体" w:cs="宋体"/>
      <w:szCs w:val="24"/>
    </w:rPr>
  </w:style>
  <w:style w:type="paragraph" w:customStyle="1" w:styleId="444">
    <w:name w:val="Horizontal Rule"/>
    <w:basedOn w:val="1"/>
    <w:next w:val="1"/>
    <w:qFormat/>
    <w:uiPriority w:val="0"/>
    <w:pPr>
      <w:widowControl/>
      <w:pBdr>
        <w:top w:val="single" w:color="auto" w:sz="12" w:space="0"/>
      </w:pBdr>
      <w:spacing w:before="60" w:after="60"/>
      <w:jc w:val="left"/>
    </w:pPr>
    <w:rPr>
      <w:rFonts w:ascii="宋体" w:hAnsi="宋体" w:eastAsia="MS Mincho" w:cs="宋体"/>
      <w:kern w:val="0"/>
      <w:sz w:val="6"/>
      <w:szCs w:val="24"/>
    </w:rPr>
  </w:style>
  <w:style w:type="paragraph" w:customStyle="1" w:styleId="445">
    <w:name w:val="font11"/>
    <w:basedOn w:val="1"/>
    <w:qFormat/>
    <w:uiPriority w:val="0"/>
    <w:pPr>
      <w:widowControl/>
      <w:spacing w:before="100" w:beforeAutospacing="1" w:after="100" w:afterAutospacing="1"/>
      <w:jc w:val="left"/>
    </w:pPr>
    <w:rPr>
      <w:rFonts w:ascii="Arial" w:hAnsi="Arial" w:eastAsia="Arial Unicode MS" w:cs="Arial"/>
      <w:b/>
      <w:bCs/>
      <w:kern w:val="0"/>
      <w:sz w:val="24"/>
      <w:szCs w:val="24"/>
    </w:rPr>
  </w:style>
  <w:style w:type="paragraph" w:customStyle="1" w:styleId="446">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Arial Unicode MS" w:cs="Arial"/>
      <w:kern w:val="0"/>
      <w:sz w:val="24"/>
      <w:szCs w:val="24"/>
    </w:rPr>
  </w:style>
  <w:style w:type="paragraph" w:customStyle="1" w:styleId="447">
    <w:name w:val="Char Char Char Char Char Char Char Char Char"/>
    <w:basedOn w:val="1"/>
    <w:qFormat/>
    <w:uiPriority w:val="0"/>
    <w:pPr>
      <w:widowControl/>
      <w:spacing w:after="160" w:line="360" w:lineRule="auto"/>
      <w:ind w:firstLine="200" w:firstLineChars="200"/>
    </w:pPr>
    <w:rPr>
      <w:rFonts w:ascii="宋体" w:hAnsi="宋体" w:cs="宋体"/>
      <w:sz w:val="24"/>
      <w:szCs w:val="24"/>
    </w:rPr>
  </w:style>
  <w:style w:type="paragraph" w:customStyle="1" w:styleId="448">
    <w:name w:val="Char Char Char Char Char Char"/>
    <w:basedOn w:val="1"/>
    <w:qFormat/>
    <w:uiPriority w:val="0"/>
    <w:pPr>
      <w:widowControl/>
      <w:adjustRightInd w:val="0"/>
      <w:spacing w:after="160" w:line="360" w:lineRule="atLeast"/>
      <w:jc w:val="left"/>
      <w:textAlignment w:val="baseline"/>
    </w:pPr>
    <w:rPr>
      <w:rFonts w:ascii="宋体" w:hAnsi="宋体" w:cs="宋体"/>
      <w:kern w:val="0"/>
      <w:sz w:val="24"/>
      <w:szCs w:val="24"/>
    </w:rPr>
  </w:style>
  <w:style w:type="paragraph" w:customStyle="1" w:styleId="449">
    <w:name w:val="1 Char Char Char Char"/>
    <w:basedOn w:val="1"/>
    <w:qFormat/>
    <w:uiPriority w:val="0"/>
    <w:pPr>
      <w:widowControl/>
      <w:spacing w:after="160"/>
    </w:pPr>
    <w:rPr>
      <w:rFonts w:ascii="宋体" w:hAnsi="宋体" w:cs="宋体"/>
      <w:szCs w:val="24"/>
    </w:rPr>
  </w:style>
  <w:style w:type="paragraph" w:customStyle="1" w:styleId="450">
    <w:name w:val="附件"/>
    <w:basedOn w:val="1"/>
    <w:qFormat/>
    <w:uiPriority w:val="0"/>
    <w:pPr>
      <w:widowControl/>
      <w:adjustRightInd w:val="0"/>
      <w:spacing w:before="120" w:after="60"/>
      <w:jc w:val="center"/>
      <w:textAlignment w:val="center"/>
    </w:pPr>
    <w:rPr>
      <w:rFonts w:ascii="黑体" w:hAnsi="宋体" w:eastAsia="黑体" w:cs="宋体"/>
      <w:b/>
      <w:kern w:val="0"/>
      <w:sz w:val="32"/>
      <w:szCs w:val="32"/>
    </w:rPr>
  </w:style>
  <w:style w:type="paragraph" w:customStyle="1" w:styleId="451">
    <w:name w:val="!Texte courant"/>
    <w:qFormat/>
    <w:uiPriority w:val="0"/>
    <w:pPr>
      <w:spacing w:before="120" w:after="160" w:line="280" w:lineRule="atLeast"/>
      <w:jc w:val="both"/>
    </w:pPr>
    <w:rPr>
      <w:rFonts w:ascii="Times New Roman" w:hAnsi="Times New Roman" w:eastAsia="宋体" w:cs="Times New Roman"/>
      <w:sz w:val="24"/>
      <w:lang w:val="fr-FR" w:eastAsia="en-US" w:bidi="ar-SA"/>
    </w:rPr>
  </w:style>
  <w:style w:type="paragraph" w:customStyle="1" w:styleId="452">
    <w:name w:val="indent3"/>
    <w:basedOn w:val="1"/>
    <w:qFormat/>
    <w:uiPriority w:val="0"/>
    <w:pPr>
      <w:widowControl/>
      <w:tabs>
        <w:tab w:val="left" w:pos="283"/>
      </w:tabs>
      <w:autoSpaceDE w:val="0"/>
      <w:autoSpaceDN w:val="0"/>
      <w:adjustRightInd w:val="0"/>
      <w:spacing w:after="119" w:line="240" w:lineRule="atLeast"/>
      <w:ind w:left="283" w:hanging="283"/>
      <w:jc w:val="left"/>
    </w:pPr>
    <w:rPr>
      <w:rFonts w:ascii="Helvetica" w:hAnsi="Helvetica" w:eastAsia="MS Mincho" w:cs="宋体"/>
      <w:kern w:val="0"/>
      <w:sz w:val="20"/>
      <w:szCs w:val="24"/>
      <w:lang w:val="de-CH"/>
    </w:rPr>
  </w:style>
  <w:style w:type="paragraph" w:customStyle="1" w:styleId="453">
    <w:name w:val="标书正文"/>
    <w:basedOn w:val="1"/>
    <w:qFormat/>
    <w:uiPriority w:val="0"/>
    <w:pPr>
      <w:widowControl/>
      <w:overflowPunct w:val="0"/>
      <w:topLinePunct/>
      <w:spacing w:before="40" w:after="40" w:line="295" w:lineRule="auto"/>
      <w:ind w:left="1261" w:hanging="1261" w:hangingChars="525"/>
    </w:pPr>
    <w:rPr>
      <w:rFonts w:ascii="宋体" w:hAnsi="宋体" w:cs="宋体"/>
      <w:b/>
      <w:bCs/>
      <w:sz w:val="24"/>
      <w:szCs w:val="24"/>
    </w:rPr>
  </w:style>
  <w:style w:type="paragraph" w:customStyle="1" w:styleId="454">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55">
    <w:name w:val="Num List Indent"/>
    <w:basedOn w:val="456"/>
    <w:qFormat/>
    <w:uiPriority w:val="0"/>
    <w:pPr>
      <w:tabs>
        <w:tab w:val="left" w:pos="720"/>
        <w:tab w:val="left" w:pos="851"/>
        <w:tab w:val="left" w:pos="1276"/>
      </w:tabs>
      <w:spacing w:after="60"/>
      <w:ind w:left="1276"/>
    </w:pPr>
  </w:style>
  <w:style w:type="paragraph" w:customStyle="1" w:styleId="456">
    <w:name w:val="Num List"/>
    <w:basedOn w:val="1"/>
    <w:qFormat/>
    <w:uiPriority w:val="0"/>
    <w:pPr>
      <w:widowControl/>
      <w:tabs>
        <w:tab w:val="left" w:pos="720"/>
        <w:tab w:val="left" w:pos="851"/>
      </w:tabs>
      <w:spacing w:before="60" w:after="160"/>
      <w:ind w:left="850" w:hanging="425"/>
      <w:jc w:val="left"/>
    </w:pPr>
    <w:rPr>
      <w:rFonts w:ascii="宋体" w:hAnsi="宋体" w:eastAsia="MS Mincho" w:cs="宋体"/>
      <w:kern w:val="0"/>
      <w:sz w:val="22"/>
      <w:szCs w:val="24"/>
    </w:rPr>
  </w:style>
  <w:style w:type="paragraph" w:customStyle="1" w:styleId="457">
    <w:name w:val="Body Text 32"/>
    <w:basedOn w:val="1"/>
    <w:qFormat/>
    <w:uiPriority w:val="0"/>
    <w:pPr>
      <w:widowControl/>
      <w:adjustRightInd w:val="0"/>
      <w:spacing w:after="160" w:line="360" w:lineRule="auto"/>
      <w:jc w:val="center"/>
      <w:textAlignment w:val="baseline"/>
    </w:pPr>
    <w:rPr>
      <w:rFonts w:ascii="宋体" w:hAnsi="宋体" w:cs="宋体"/>
      <w:b/>
      <w:color w:val="FF0000"/>
      <w:kern w:val="0"/>
      <w:sz w:val="24"/>
      <w:szCs w:val="24"/>
      <w:u w:val="single"/>
    </w:rPr>
  </w:style>
  <w:style w:type="paragraph" w:customStyle="1" w:styleId="458">
    <w:name w:val="样式 (西文) 宋体 四号 黑色 居中 左侧:  1.69 厘米 行距: 最小值 24 磅"/>
    <w:basedOn w:val="1"/>
    <w:qFormat/>
    <w:uiPriority w:val="0"/>
    <w:pPr>
      <w:keepNext/>
      <w:widowControl/>
      <w:spacing w:after="160" w:line="480" w:lineRule="atLeast"/>
      <w:ind w:left="958"/>
      <w:jc w:val="center"/>
    </w:pPr>
    <w:rPr>
      <w:rFonts w:ascii="宋体" w:hAnsi="宋体" w:cs="宋体"/>
      <w:color w:val="000000"/>
      <w:sz w:val="28"/>
      <w:szCs w:val="24"/>
    </w:rPr>
  </w:style>
  <w:style w:type="paragraph" w:customStyle="1" w:styleId="459">
    <w:name w:val="标题1 Char Char Char"/>
    <w:basedOn w:val="3"/>
    <w:qFormat/>
    <w:uiPriority w:val="0"/>
    <w:pPr>
      <w:keepNext w:val="0"/>
      <w:keepLines w:val="0"/>
      <w:tabs>
        <w:tab w:val="left" w:pos="840"/>
      </w:tabs>
      <w:adjustRightInd w:val="0"/>
      <w:snapToGrid w:val="0"/>
      <w:spacing w:before="0" w:after="50" w:line="500" w:lineRule="atLeast"/>
      <w:ind w:firstLine="960" w:firstLineChars="400"/>
      <w:outlineLvl w:val="9"/>
    </w:pPr>
    <w:rPr>
      <w:rFonts w:ascii="楷体_GB2312" w:eastAsia="楷体_GB2312"/>
      <w:b w:val="0"/>
      <w:bCs w:val="0"/>
      <w:color w:val="000000"/>
      <w:kern w:val="2"/>
      <w:sz w:val="24"/>
      <w:szCs w:val="24"/>
    </w:rPr>
  </w:style>
  <w:style w:type="paragraph" w:customStyle="1" w:styleId="460">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Arial Unicode MS" w:cs="Arial"/>
      <w:color w:val="000000"/>
      <w:kern w:val="0"/>
      <w:sz w:val="24"/>
      <w:szCs w:val="24"/>
    </w:rPr>
  </w:style>
  <w:style w:type="paragraph" w:customStyle="1" w:styleId="461">
    <w:name w:val="xl33"/>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4"/>
      <w:szCs w:val="24"/>
    </w:rPr>
  </w:style>
  <w:style w:type="paragraph" w:customStyle="1" w:styleId="462">
    <w:name w:val="font8"/>
    <w:basedOn w:val="1"/>
    <w:qFormat/>
    <w:uiPriority w:val="0"/>
    <w:pPr>
      <w:widowControl/>
      <w:spacing w:before="100" w:beforeAutospacing="1" w:after="100" w:afterAutospacing="1"/>
      <w:jc w:val="left"/>
    </w:pPr>
    <w:rPr>
      <w:rFonts w:ascii="Arial" w:hAnsi="Arial" w:eastAsia="Arial Unicode MS" w:cs="Arial"/>
      <w:b/>
      <w:bCs/>
      <w:kern w:val="0"/>
      <w:sz w:val="24"/>
      <w:szCs w:val="24"/>
    </w:rPr>
  </w:style>
  <w:style w:type="paragraph" w:customStyle="1" w:styleId="463">
    <w:name w:val="CM5"/>
    <w:basedOn w:val="156"/>
    <w:next w:val="156"/>
    <w:qFormat/>
    <w:uiPriority w:val="0"/>
    <w:pPr>
      <w:spacing w:after="160" w:line="473" w:lineRule="atLeast"/>
    </w:pPr>
    <w:rPr>
      <w:rFonts w:ascii="oúì." w:eastAsia="oúì." w:cs="Times New Roman"/>
      <w:color w:val="auto"/>
      <w:szCs w:val="20"/>
    </w:rPr>
  </w:style>
  <w:style w:type="paragraph" w:customStyle="1" w:styleId="464">
    <w:name w:val="正文居中"/>
    <w:basedOn w:val="1"/>
    <w:qFormat/>
    <w:uiPriority w:val="0"/>
    <w:pPr>
      <w:widowControl/>
      <w:spacing w:after="160" w:line="360" w:lineRule="auto"/>
      <w:jc w:val="center"/>
    </w:pPr>
    <w:rPr>
      <w:rFonts w:ascii="宋体" w:hAnsi="宋体" w:cs="宋体"/>
      <w:kern w:val="0"/>
      <w:sz w:val="24"/>
      <w:szCs w:val="24"/>
    </w:rPr>
  </w:style>
  <w:style w:type="paragraph" w:customStyle="1" w:styleId="465">
    <w:name w:val="Table Header"/>
    <w:basedOn w:val="1"/>
    <w:qFormat/>
    <w:uiPriority w:val="0"/>
    <w:pPr>
      <w:widowControl/>
      <w:spacing w:before="120" w:after="60"/>
      <w:ind w:left="57"/>
      <w:jc w:val="center"/>
    </w:pPr>
    <w:rPr>
      <w:rFonts w:ascii="宋体" w:hAnsi="宋体" w:eastAsia="MS Mincho" w:cs="宋体"/>
      <w:b/>
      <w:kern w:val="0"/>
      <w:sz w:val="22"/>
      <w:szCs w:val="24"/>
    </w:rPr>
  </w:style>
  <w:style w:type="paragraph" w:customStyle="1" w:styleId="466">
    <w:name w:val="设计任务书"/>
    <w:basedOn w:val="1"/>
    <w:qFormat/>
    <w:uiPriority w:val="0"/>
    <w:pPr>
      <w:widowControl/>
      <w:spacing w:after="160"/>
    </w:pPr>
    <w:rPr>
      <w:rFonts w:ascii="宋体" w:hAnsi="宋体" w:cs="宋体"/>
      <w:b/>
      <w:sz w:val="24"/>
      <w:szCs w:val="24"/>
    </w:rPr>
  </w:style>
  <w:style w:type="paragraph" w:customStyle="1" w:styleId="467">
    <w:name w:val="xl3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468">
    <w:name w:val="xxx"/>
    <w:basedOn w:val="1"/>
    <w:qFormat/>
    <w:uiPriority w:val="0"/>
    <w:pPr>
      <w:widowControl/>
      <w:tabs>
        <w:tab w:val="left" w:pos="709"/>
      </w:tabs>
      <w:overflowPunct w:val="0"/>
      <w:autoSpaceDE w:val="0"/>
      <w:autoSpaceDN w:val="0"/>
      <w:adjustRightInd w:val="0"/>
      <w:spacing w:after="160"/>
      <w:ind w:left="709" w:hanging="709"/>
      <w:textAlignment w:val="baseline"/>
    </w:pPr>
    <w:rPr>
      <w:rFonts w:ascii="Arial" w:hAnsi="Arial" w:cs="宋体"/>
      <w:kern w:val="0"/>
      <w:sz w:val="20"/>
      <w:szCs w:val="24"/>
      <w:lang w:eastAsia="ja-JP"/>
    </w:rPr>
  </w:style>
  <w:style w:type="paragraph" w:customStyle="1" w:styleId="469">
    <w:name w:val="Copy"/>
    <w:basedOn w:val="1"/>
    <w:qFormat/>
    <w:uiPriority w:val="0"/>
    <w:pPr>
      <w:widowControl/>
      <w:spacing w:after="160" w:line="480" w:lineRule="atLeast"/>
      <w:jc w:val="left"/>
    </w:pPr>
    <w:rPr>
      <w:rFonts w:ascii="宋体" w:hAnsi="宋体" w:eastAsia="MS Mincho" w:cs="宋体"/>
      <w:kern w:val="0"/>
      <w:sz w:val="24"/>
      <w:szCs w:val="24"/>
    </w:rPr>
  </w:style>
  <w:style w:type="paragraph" w:customStyle="1" w:styleId="470">
    <w:name w:val="xl6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71">
    <w:name w:val="表格"/>
    <w:basedOn w:val="1"/>
    <w:qFormat/>
    <w:uiPriority w:val="0"/>
    <w:pPr>
      <w:keepNext/>
      <w:widowControl/>
      <w:snapToGrid w:val="0"/>
      <w:spacing w:before="60" w:after="60"/>
      <w:jc w:val="center"/>
    </w:pPr>
    <w:rPr>
      <w:rFonts w:ascii="宋体" w:hAnsi="宋体" w:eastAsia="仿宋_GB2312" w:cs="宋体"/>
      <w:szCs w:val="24"/>
    </w:rPr>
  </w:style>
  <w:style w:type="paragraph" w:customStyle="1" w:styleId="472">
    <w:name w:val="Notes List"/>
    <w:basedOn w:val="1"/>
    <w:qFormat/>
    <w:uiPriority w:val="0"/>
    <w:pPr>
      <w:widowControl/>
      <w:tabs>
        <w:tab w:val="left" w:pos="1276"/>
      </w:tabs>
      <w:spacing w:after="160"/>
      <w:ind w:left="1276" w:right="3941" w:hanging="425"/>
      <w:jc w:val="left"/>
    </w:pPr>
    <w:rPr>
      <w:rFonts w:ascii="宋体" w:hAnsi="宋体" w:eastAsia="MS Mincho" w:cs="宋体"/>
      <w:kern w:val="0"/>
      <w:sz w:val="18"/>
      <w:szCs w:val="24"/>
    </w:rPr>
  </w:style>
  <w:style w:type="paragraph" w:customStyle="1" w:styleId="473">
    <w:name w:val="font17"/>
    <w:basedOn w:val="1"/>
    <w:qFormat/>
    <w:uiPriority w:val="0"/>
    <w:pPr>
      <w:widowControl/>
      <w:spacing w:before="100" w:beforeAutospacing="1" w:after="100" w:afterAutospacing="1"/>
      <w:jc w:val="left"/>
    </w:pPr>
    <w:rPr>
      <w:rFonts w:hint="eastAsia" w:ascii="宋体" w:hAnsi="宋体" w:cs="宋体"/>
      <w:b/>
      <w:bCs/>
      <w:i/>
      <w:iCs/>
      <w:kern w:val="0"/>
      <w:szCs w:val="21"/>
    </w:rPr>
  </w:style>
  <w:style w:type="paragraph" w:customStyle="1" w:styleId="474">
    <w:name w:val="xl64"/>
    <w:basedOn w:val="1"/>
    <w:qFormat/>
    <w:uiPriority w:val="0"/>
    <w:pPr>
      <w:widowControl/>
      <w:pBdr>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475">
    <w:name w:val="??"/>
    <w:qFormat/>
    <w:uiPriority w:val="0"/>
    <w:pPr>
      <w:widowControl w:val="0"/>
      <w:overflowPunct w:val="0"/>
      <w:autoSpaceDE w:val="0"/>
      <w:autoSpaceDN w:val="0"/>
      <w:adjustRightInd w:val="0"/>
      <w:spacing w:after="160" w:line="259" w:lineRule="auto"/>
      <w:jc w:val="both"/>
      <w:textAlignment w:val="baseline"/>
    </w:pPr>
    <w:rPr>
      <w:rFonts w:ascii="Times New Roman" w:hAnsi="Times New Roman" w:eastAsia="宋体" w:cs="Times New Roman"/>
      <w:kern w:val="2"/>
      <w:sz w:val="21"/>
      <w:lang w:val="en-US" w:eastAsia="zh-CN" w:bidi="ar-SA"/>
    </w:rPr>
  </w:style>
  <w:style w:type="paragraph" w:customStyle="1" w:styleId="476">
    <w:name w:val="xl6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77">
    <w:name w:val="font14"/>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customStyle="1" w:styleId="478">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Arial Unicode MS" w:cs="Arial"/>
      <w:color w:val="000000"/>
      <w:kern w:val="0"/>
      <w:sz w:val="24"/>
      <w:szCs w:val="24"/>
    </w:rPr>
  </w:style>
  <w:style w:type="paragraph" w:customStyle="1" w:styleId="479">
    <w:name w:val="xl6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480">
    <w:name w:val="正文报告"/>
    <w:basedOn w:val="1"/>
    <w:qFormat/>
    <w:uiPriority w:val="0"/>
    <w:pPr>
      <w:widowControl/>
      <w:tabs>
        <w:tab w:val="left" w:pos="510"/>
      </w:tabs>
      <w:adjustRightInd w:val="0"/>
      <w:spacing w:after="160" w:line="460" w:lineRule="exact"/>
      <w:ind w:firstLine="482"/>
      <w:textAlignment w:val="baseline"/>
    </w:pPr>
    <w:rPr>
      <w:rFonts w:ascii="宋体" w:hAnsi="宋体" w:cs="宋体"/>
      <w:kern w:val="0"/>
      <w:sz w:val="24"/>
      <w:szCs w:val="24"/>
    </w:rPr>
  </w:style>
  <w:style w:type="paragraph" w:customStyle="1" w:styleId="481">
    <w:name w:val="zCover Field"/>
    <w:basedOn w:val="1"/>
    <w:qFormat/>
    <w:uiPriority w:val="0"/>
    <w:pPr>
      <w:widowControl/>
      <w:spacing w:after="180"/>
      <w:jc w:val="left"/>
    </w:pPr>
    <w:rPr>
      <w:rFonts w:ascii="Arial" w:hAnsi="Arial" w:eastAsia="MS Mincho" w:cs="宋体"/>
      <w:kern w:val="0"/>
      <w:sz w:val="20"/>
      <w:szCs w:val="24"/>
    </w:rPr>
  </w:style>
  <w:style w:type="paragraph" w:customStyle="1" w:styleId="482">
    <w:name w:val="Chart Data"/>
    <w:qFormat/>
    <w:uiPriority w:val="0"/>
    <w:pPr>
      <w:spacing w:after="160" w:line="220" w:lineRule="exact"/>
    </w:pPr>
    <w:rPr>
      <w:rFonts w:ascii="Arial Narrow" w:hAnsi="Arial Narrow" w:eastAsia="宋体" w:cs="Times New Roman"/>
      <w:sz w:val="18"/>
      <w:lang w:val="en-US" w:eastAsia="zh-CN" w:bidi="ar-SA"/>
    </w:rPr>
  </w:style>
  <w:style w:type="paragraph" w:customStyle="1" w:styleId="48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Arial Unicode MS" w:cs="Arial"/>
      <w:kern w:val="0"/>
      <w:sz w:val="24"/>
      <w:szCs w:val="24"/>
    </w:rPr>
  </w:style>
  <w:style w:type="paragraph" w:customStyle="1" w:styleId="484">
    <w:name w:val="默认段落字体 Para Char Char Char Char"/>
    <w:basedOn w:val="1"/>
    <w:qFormat/>
    <w:uiPriority w:val="0"/>
    <w:pPr>
      <w:widowControl/>
      <w:spacing w:after="160"/>
    </w:pPr>
    <w:rPr>
      <w:rFonts w:ascii="宋体" w:hAnsi="宋体" w:eastAsia="Times New Roman" w:cs="宋体"/>
      <w:b/>
      <w:kern w:val="0"/>
      <w:sz w:val="24"/>
      <w:szCs w:val="24"/>
    </w:rPr>
  </w:style>
  <w:style w:type="paragraph" w:customStyle="1" w:styleId="485">
    <w:name w:val="zCover 18"/>
    <w:basedOn w:val="1"/>
    <w:qFormat/>
    <w:uiPriority w:val="0"/>
    <w:pPr>
      <w:widowControl/>
      <w:spacing w:after="180"/>
      <w:jc w:val="center"/>
    </w:pPr>
    <w:rPr>
      <w:rFonts w:ascii="Arial" w:hAnsi="Arial" w:eastAsia="MS Mincho" w:cs="宋体"/>
      <w:b/>
      <w:kern w:val="0"/>
      <w:sz w:val="36"/>
      <w:szCs w:val="24"/>
    </w:rPr>
  </w:style>
  <w:style w:type="paragraph" w:customStyle="1" w:styleId="486">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3"/>
      <w:szCs w:val="23"/>
    </w:rPr>
  </w:style>
  <w:style w:type="paragraph" w:customStyle="1" w:styleId="487">
    <w:name w:val="表中文字"/>
    <w:basedOn w:val="1"/>
    <w:qFormat/>
    <w:uiPriority w:val="0"/>
    <w:pPr>
      <w:widowControl/>
      <w:autoSpaceDE w:val="0"/>
      <w:autoSpaceDN w:val="0"/>
      <w:adjustRightInd w:val="0"/>
      <w:spacing w:after="160"/>
      <w:jc w:val="center"/>
      <w:textAlignment w:val="baseline"/>
    </w:pPr>
    <w:rPr>
      <w:rFonts w:ascii="宋体" w:hAnsi="宋体" w:cs="宋体"/>
      <w:kern w:val="0"/>
      <w:sz w:val="24"/>
      <w:szCs w:val="24"/>
    </w:rPr>
  </w:style>
  <w:style w:type="paragraph" w:customStyle="1" w:styleId="488">
    <w:name w:val="Product Name/Business"/>
    <w:qFormat/>
    <w:uiPriority w:val="0"/>
    <w:pPr>
      <w:tabs>
        <w:tab w:val="left" w:pos="2563"/>
        <w:tab w:val="left" w:pos="2664"/>
        <w:tab w:val="right" w:pos="9878"/>
      </w:tabs>
      <w:spacing w:after="160" w:line="190" w:lineRule="exact"/>
    </w:pPr>
    <w:rPr>
      <w:rFonts w:ascii="Arial Narrow" w:hAnsi="Arial Narrow" w:eastAsia="宋体" w:cs="Times New Roman"/>
      <w:color w:val="000000"/>
      <w:sz w:val="16"/>
      <w:lang w:val="en-US" w:eastAsia="zh-CN" w:bidi="ar-SA"/>
    </w:rPr>
  </w:style>
  <w:style w:type="paragraph" w:customStyle="1" w:styleId="489">
    <w:name w:val="Normal1"/>
    <w:qFormat/>
    <w:uiPriority w:val="0"/>
    <w:pPr>
      <w:widowControl w:val="0"/>
      <w:autoSpaceDE w:val="0"/>
      <w:autoSpaceDN w:val="0"/>
      <w:adjustRightInd w:val="0"/>
      <w:spacing w:after="160"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49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Arial Unicode MS" w:cs="Arial"/>
      <w:color w:val="000000"/>
      <w:kern w:val="0"/>
      <w:sz w:val="24"/>
      <w:szCs w:val="24"/>
    </w:rPr>
  </w:style>
  <w:style w:type="paragraph" w:customStyle="1" w:styleId="491">
    <w:name w:val="附件二十  标题一"/>
    <w:basedOn w:val="492"/>
    <w:qFormat/>
    <w:uiPriority w:val="0"/>
    <w:pPr>
      <w:spacing w:before="468" w:beforeLines="150"/>
    </w:pPr>
    <w:rPr>
      <w:b w:val="0"/>
      <w:bCs w:val="0"/>
      <w:sz w:val="30"/>
    </w:rPr>
  </w:style>
  <w:style w:type="paragraph" w:customStyle="1" w:styleId="492">
    <w:name w:val="附件二十"/>
    <w:basedOn w:val="1"/>
    <w:qFormat/>
    <w:uiPriority w:val="0"/>
    <w:pPr>
      <w:widowControl/>
      <w:spacing w:before="100" w:beforeAutospacing="1" w:after="160"/>
      <w:jc w:val="center"/>
    </w:pPr>
    <w:rPr>
      <w:rFonts w:ascii="宋体" w:hAnsi="宋体" w:cs="宋体"/>
      <w:b/>
      <w:bCs/>
      <w:szCs w:val="24"/>
    </w:rPr>
  </w:style>
  <w:style w:type="paragraph" w:customStyle="1" w:styleId="493">
    <w:name w:val="Subhead 2"/>
    <w:basedOn w:val="414"/>
    <w:qFormat/>
    <w:uiPriority w:val="0"/>
    <w:pPr>
      <w:pBdr>
        <w:bottom w:val="none" w:color="auto" w:sz="0" w:space="0"/>
        <w:between w:val="none" w:color="auto" w:sz="0" w:space="0"/>
      </w:pBdr>
      <w:spacing w:after="216" w:line="240" w:lineRule="atLeast"/>
    </w:pPr>
  </w:style>
  <w:style w:type="paragraph" w:customStyle="1" w:styleId="494">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kern w:val="0"/>
      <w:sz w:val="24"/>
      <w:szCs w:val="24"/>
    </w:rPr>
  </w:style>
  <w:style w:type="paragraph" w:customStyle="1" w:styleId="495">
    <w:name w:val="Product Specifier"/>
    <w:qFormat/>
    <w:uiPriority w:val="0"/>
    <w:pPr>
      <w:spacing w:after="160" w:line="270" w:lineRule="exact"/>
    </w:pPr>
    <w:rPr>
      <w:rFonts w:ascii="Arial Narrow" w:hAnsi="Arial Narrow" w:eastAsia="宋体" w:cs="Times New Roman"/>
      <w:color w:val="000000"/>
      <w:sz w:val="22"/>
      <w:lang w:val="en-US" w:eastAsia="zh-CN" w:bidi="ar-SA"/>
    </w:rPr>
  </w:style>
  <w:style w:type="paragraph" w:customStyle="1" w:styleId="496">
    <w:name w:val="xl5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97">
    <w:name w:val="仪表参数"/>
    <w:basedOn w:val="1"/>
    <w:qFormat/>
    <w:uiPriority w:val="0"/>
    <w:pPr>
      <w:widowControl/>
      <w:tabs>
        <w:tab w:val="left" w:pos="1260"/>
      </w:tabs>
      <w:overflowPunct w:val="0"/>
      <w:topLinePunct/>
      <w:autoSpaceDN w:val="0"/>
      <w:spacing w:after="160" w:line="360" w:lineRule="auto"/>
      <w:ind w:left="420" w:leftChars="200" w:right="252" w:rightChars="120" w:hanging="840" w:hangingChars="350"/>
    </w:pPr>
    <w:rPr>
      <w:rFonts w:ascii="宋体" w:hAnsi="宋体" w:cs="宋体"/>
      <w:sz w:val="24"/>
      <w:szCs w:val="24"/>
    </w:rPr>
  </w:style>
  <w:style w:type="paragraph" w:customStyle="1" w:styleId="49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Arial Unicode MS" w:cs="Arial"/>
      <w:color w:val="FF0000"/>
      <w:kern w:val="0"/>
      <w:sz w:val="24"/>
      <w:szCs w:val="24"/>
    </w:rPr>
  </w:style>
  <w:style w:type="paragraph" w:customStyle="1" w:styleId="499">
    <w:name w:val="抄送列表"/>
    <w:basedOn w:val="1"/>
    <w:qFormat/>
    <w:uiPriority w:val="0"/>
    <w:pPr>
      <w:keepLines/>
      <w:widowControl/>
      <w:spacing w:after="160" w:line="220" w:lineRule="atLeast"/>
      <w:ind w:left="360" w:hanging="360"/>
      <w:jc w:val="left"/>
    </w:pPr>
    <w:rPr>
      <w:rFonts w:ascii="仿宋_GB2312" w:hAnsi="Arial" w:eastAsia="仿宋_GB2312" w:cs="宋体"/>
      <w:b/>
      <w:bCs/>
      <w:spacing w:val="-5"/>
      <w:kern w:val="0"/>
      <w:sz w:val="44"/>
      <w:szCs w:val="24"/>
    </w:rPr>
  </w:style>
  <w:style w:type="paragraph" w:customStyle="1" w:styleId="500">
    <w:name w:val="xl28"/>
    <w:basedOn w:val="1"/>
    <w:qFormat/>
    <w:uiPriority w:val="0"/>
    <w:pPr>
      <w:widowControl/>
      <w:spacing w:before="100" w:beforeAutospacing="1" w:after="100" w:afterAutospacing="1"/>
      <w:jc w:val="left"/>
      <w:textAlignment w:val="center"/>
    </w:pPr>
    <w:rPr>
      <w:rFonts w:ascii="Arial" w:hAnsi="Arial" w:eastAsia="Arial Unicode MS" w:cs="Arial"/>
      <w:kern w:val="0"/>
      <w:sz w:val="24"/>
      <w:szCs w:val="24"/>
    </w:rPr>
  </w:style>
  <w:style w:type="paragraph" w:customStyle="1" w:styleId="501">
    <w:name w:val="w4"/>
    <w:basedOn w:val="6"/>
    <w:qFormat/>
    <w:uiPriority w:val="0"/>
    <w:pPr>
      <w:widowControl w:val="0"/>
      <w:tabs>
        <w:tab w:val="left" w:pos="432"/>
      </w:tabs>
      <w:adjustRightInd w:val="0"/>
      <w:spacing w:before="280" w:after="290" w:line="376" w:lineRule="atLeast"/>
      <w:ind w:left="420" w:hanging="420"/>
      <w:jc w:val="both"/>
      <w:textAlignment w:val="baseline"/>
    </w:pPr>
    <w:rPr>
      <w:rFonts w:ascii="Times New Roman" w:hAnsi="Times New Roman"/>
      <w:b/>
      <w:bCs/>
      <w:color w:val="auto"/>
      <w:kern w:val="2"/>
      <w:sz w:val="24"/>
      <w:szCs w:val="28"/>
      <w:lang w:val="zh-CN"/>
    </w:rPr>
  </w:style>
  <w:style w:type="paragraph" w:customStyle="1" w:styleId="502">
    <w:name w:val="w3"/>
    <w:basedOn w:val="5"/>
    <w:qFormat/>
    <w:uiPriority w:val="0"/>
    <w:pPr>
      <w:tabs>
        <w:tab w:val="left" w:pos="432"/>
      </w:tabs>
      <w:adjustRightInd w:val="0"/>
      <w:spacing w:line="416" w:lineRule="atLeast"/>
      <w:ind w:left="1260" w:hanging="420"/>
      <w:textAlignment w:val="baseline"/>
    </w:pPr>
    <w:rPr>
      <w:sz w:val="24"/>
      <w:lang w:val="zh-CN"/>
    </w:rPr>
  </w:style>
  <w:style w:type="paragraph" w:customStyle="1" w:styleId="503">
    <w:name w:val="xl69"/>
    <w:basedOn w:val="1"/>
    <w:qFormat/>
    <w:uiPriority w:val="0"/>
    <w:pPr>
      <w:widowControl/>
      <w:pBdr>
        <w:top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504">
    <w:name w:val="Literature Identification"/>
    <w:qFormat/>
    <w:uiPriority w:val="0"/>
    <w:pPr>
      <w:tabs>
        <w:tab w:val="left" w:pos="2610"/>
        <w:tab w:val="left" w:pos="8190"/>
      </w:tabs>
      <w:spacing w:after="160" w:line="270" w:lineRule="exact"/>
    </w:pPr>
    <w:rPr>
      <w:rFonts w:ascii="Arial Narrow" w:hAnsi="Arial Narrow" w:eastAsia="宋体" w:cs="Times New Roman"/>
      <w:sz w:val="22"/>
      <w:lang w:val="en-US" w:eastAsia="zh-CN" w:bidi="ar-SA"/>
    </w:rPr>
  </w:style>
  <w:style w:type="paragraph" w:customStyle="1" w:styleId="50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Arial Unicode MS" w:cs="Arial"/>
      <w:kern w:val="0"/>
      <w:sz w:val="24"/>
      <w:szCs w:val="24"/>
    </w:rPr>
  </w:style>
  <w:style w:type="paragraph" w:customStyle="1" w:styleId="506">
    <w:name w:val="xl72"/>
    <w:basedOn w:val="1"/>
    <w:qFormat/>
    <w:uiPriority w:val="0"/>
    <w:pPr>
      <w:widowControl/>
      <w:spacing w:before="100" w:beforeAutospacing="1" w:after="100" w:afterAutospacing="1"/>
      <w:jc w:val="center"/>
      <w:textAlignment w:val="center"/>
    </w:pPr>
    <w:rPr>
      <w:rFonts w:ascii="宋体" w:hAnsi="宋体" w:cs="宋体"/>
      <w:kern w:val="0"/>
      <w:sz w:val="24"/>
      <w:szCs w:val="24"/>
    </w:rPr>
  </w:style>
  <w:style w:type="paragraph" w:customStyle="1" w:styleId="507">
    <w:name w:val="Footer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08">
    <w:name w:val="Figure"/>
    <w:basedOn w:val="1"/>
    <w:next w:val="1"/>
    <w:qFormat/>
    <w:uiPriority w:val="0"/>
    <w:pPr>
      <w:widowControl/>
      <w:spacing w:after="220"/>
      <w:jc w:val="center"/>
    </w:pPr>
    <w:rPr>
      <w:rFonts w:ascii="Arial" w:hAnsi="Arial" w:eastAsia="MS Mincho" w:cs="宋体"/>
      <w:kern w:val="0"/>
      <w:sz w:val="22"/>
      <w:szCs w:val="24"/>
    </w:rPr>
  </w:style>
  <w:style w:type="paragraph" w:customStyle="1" w:styleId="509">
    <w:name w:val="样式 标题3 + 黑色"/>
    <w:basedOn w:val="1"/>
    <w:qFormat/>
    <w:uiPriority w:val="0"/>
    <w:pPr>
      <w:keepNext/>
      <w:keepLines/>
      <w:widowControl/>
      <w:adjustRightInd w:val="0"/>
      <w:spacing w:after="160"/>
      <w:jc w:val="left"/>
      <w:outlineLvl w:val="2"/>
    </w:pPr>
    <w:rPr>
      <w:rFonts w:ascii="宋体" w:hAnsi="宋体" w:cs="宋体"/>
      <w:b/>
      <w:bCs/>
      <w:color w:val="000000"/>
      <w:spacing w:val="5"/>
      <w:kern w:val="16"/>
      <w:szCs w:val="24"/>
    </w:rPr>
  </w:style>
  <w:style w:type="paragraph" w:customStyle="1" w:styleId="510">
    <w:name w:val="标准文件_字母编号列项"/>
    <w:qFormat/>
    <w:uiPriority w:val="0"/>
    <w:pPr>
      <w:tabs>
        <w:tab w:val="left" w:pos="480"/>
      </w:tabs>
      <w:adjustRightInd w:val="0"/>
      <w:snapToGrid w:val="0"/>
      <w:spacing w:after="160" w:line="300" w:lineRule="auto"/>
      <w:ind w:left="480" w:hanging="480"/>
      <w:jc w:val="both"/>
    </w:pPr>
    <w:rPr>
      <w:rFonts w:ascii="宋体" w:hAnsi="Times New Roman" w:eastAsia="宋体" w:cs="Times New Roman"/>
      <w:sz w:val="28"/>
      <w:lang w:val="en-US" w:eastAsia="zh-CN" w:bidi="ar-SA"/>
    </w:rPr>
  </w:style>
  <w:style w:type="paragraph" w:customStyle="1" w:styleId="511">
    <w:name w:val="Equation"/>
    <w:basedOn w:val="1"/>
    <w:qFormat/>
    <w:uiPriority w:val="0"/>
    <w:pPr>
      <w:widowControl/>
      <w:tabs>
        <w:tab w:val="left" w:pos="595"/>
        <w:tab w:val="center" w:pos="4680"/>
        <w:tab w:val="right" w:pos="9360"/>
      </w:tabs>
      <w:spacing w:after="180"/>
      <w:jc w:val="left"/>
    </w:pPr>
    <w:rPr>
      <w:rFonts w:ascii="Arial" w:hAnsi="Arial" w:eastAsia="MS Mincho" w:cs="宋体"/>
      <w:kern w:val="0"/>
      <w:sz w:val="20"/>
      <w:szCs w:val="24"/>
    </w:rPr>
  </w:style>
  <w:style w:type="paragraph" w:customStyle="1" w:styleId="512">
    <w:name w:val="Chart Heading"/>
    <w:qFormat/>
    <w:uiPriority w:val="0"/>
    <w:pPr>
      <w:tabs>
        <w:tab w:val="left" w:pos="3372"/>
        <w:tab w:val="left" w:pos="3408"/>
      </w:tabs>
      <w:spacing w:after="160" w:line="270" w:lineRule="exact"/>
    </w:pPr>
    <w:rPr>
      <w:rFonts w:ascii="Arial Black" w:hAnsi="Arial Black" w:eastAsia="宋体" w:cs="Times New Roman"/>
      <w:sz w:val="22"/>
      <w:lang w:val="en-US" w:eastAsia="zh-CN" w:bidi="ar-SA"/>
    </w:rPr>
  </w:style>
  <w:style w:type="paragraph" w:customStyle="1" w:styleId="513">
    <w:name w:val="pic-info"/>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14">
    <w:name w:val="cardlist-valu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15">
    <w:name w:val="RawHtml"/>
    <w:basedOn w:val="1"/>
    <w:qFormat/>
    <w:uiPriority w:val="0"/>
    <w:pPr>
      <w:widowControl/>
      <w:spacing w:before="120" w:after="160"/>
      <w:jc w:val="left"/>
    </w:pPr>
    <w:rPr>
      <w:rFonts w:ascii="Courier New" w:hAnsi="Courier New" w:eastAsia="MS Mincho" w:cs="宋体"/>
      <w:vanish/>
      <w:kern w:val="0"/>
      <w:sz w:val="22"/>
      <w:szCs w:val="24"/>
    </w:rPr>
  </w:style>
  <w:style w:type="paragraph" w:customStyle="1" w:styleId="516">
    <w:name w:val="OmniPage #1"/>
    <w:basedOn w:val="1"/>
    <w:qFormat/>
    <w:uiPriority w:val="0"/>
    <w:pPr>
      <w:widowControl/>
      <w:spacing w:after="160" w:line="220" w:lineRule="exact"/>
      <w:jc w:val="left"/>
    </w:pPr>
    <w:rPr>
      <w:rFonts w:ascii="宋体" w:hAnsi="宋体" w:eastAsia="MS Mincho" w:cs="宋体"/>
      <w:kern w:val="0"/>
      <w:sz w:val="20"/>
      <w:szCs w:val="24"/>
    </w:rPr>
  </w:style>
  <w:style w:type="paragraph" w:customStyle="1" w:styleId="517">
    <w:name w:val="xl30"/>
    <w:basedOn w:val="1"/>
    <w:qFormat/>
    <w:uiPriority w:val="0"/>
    <w:pPr>
      <w:widowControl/>
      <w:spacing w:before="100" w:beforeAutospacing="1" w:after="100" w:afterAutospacing="1"/>
      <w:jc w:val="left"/>
      <w:textAlignment w:val="center"/>
    </w:pPr>
    <w:rPr>
      <w:rFonts w:ascii="Arial" w:hAnsi="Arial" w:eastAsia="Arial Unicode MS" w:cs="Arial"/>
      <w:kern w:val="0"/>
      <w:sz w:val="24"/>
      <w:szCs w:val="24"/>
    </w:rPr>
  </w:style>
  <w:style w:type="paragraph" w:customStyle="1" w:styleId="518">
    <w:name w:val="Subhead 3"/>
    <w:basedOn w:val="493"/>
    <w:qFormat/>
    <w:uiPriority w:val="0"/>
    <w:pPr>
      <w:spacing w:after="2" w:line="220" w:lineRule="atLeast"/>
      <w:jc w:val="both"/>
    </w:pPr>
  </w:style>
  <w:style w:type="paragraph" w:customStyle="1" w:styleId="519">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Arial Unicode MS" w:cs="Arial"/>
      <w:color w:val="000000"/>
      <w:kern w:val="0"/>
      <w:sz w:val="24"/>
      <w:szCs w:val="24"/>
    </w:rPr>
  </w:style>
  <w:style w:type="paragraph" w:customStyle="1" w:styleId="520">
    <w:name w:val="xl27"/>
    <w:basedOn w:val="1"/>
    <w:qFormat/>
    <w:uiPriority w:val="0"/>
    <w:pPr>
      <w:widowControl/>
      <w:spacing w:before="100" w:beforeAutospacing="1" w:after="100" w:afterAutospacing="1"/>
      <w:jc w:val="left"/>
      <w:textAlignment w:val="center"/>
    </w:pPr>
    <w:rPr>
      <w:rFonts w:hint="eastAsia" w:ascii="楷体_GB2312" w:hAnsi="Arial Unicode MS" w:eastAsia="楷体_GB2312" w:cs="Arial Unicode MS"/>
      <w:b/>
      <w:bCs/>
      <w:kern w:val="0"/>
      <w:sz w:val="24"/>
      <w:szCs w:val="24"/>
    </w:rPr>
  </w:style>
  <w:style w:type="paragraph" w:customStyle="1" w:styleId="521">
    <w:name w:val="font10"/>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customStyle="1" w:styleId="522">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523">
    <w:name w:val="Body Text1"/>
    <w:qFormat/>
    <w:uiPriority w:val="0"/>
    <w:pPr>
      <w:autoSpaceDE w:val="0"/>
      <w:autoSpaceDN w:val="0"/>
      <w:adjustRightInd w:val="0"/>
      <w:spacing w:after="160" w:line="220" w:lineRule="atLeast"/>
    </w:pPr>
    <w:rPr>
      <w:rFonts w:ascii="Helvetica" w:hAnsi="Helvetica" w:eastAsia="MS Mincho" w:cs="Times New Roman"/>
      <w:color w:val="000000"/>
      <w:lang w:val="de-CH" w:eastAsia="zh-CN" w:bidi="ar-SA"/>
    </w:rPr>
  </w:style>
  <w:style w:type="paragraph" w:customStyle="1" w:styleId="524">
    <w:name w:val="ÑùÊ½2"/>
    <w:basedOn w:val="1"/>
    <w:qFormat/>
    <w:uiPriority w:val="0"/>
    <w:pPr>
      <w:widowControl/>
      <w:overflowPunct w:val="0"/>
      <w:autoSpaceDE w:val="0"/>
      <w:autoSpaceDN w:val="0"/>
      <w:adjustRightInd w:val="0"/>
      <w:spacing w:after="160" w:line="410" w:lineRule="atLeast"/>
    </w:pPr>
    <w:rPr>
      <w:rFonts w:ascii="宋体" w:hAnsi="宋体" w:cs="宋体"/>
      <w:kern w:val="0"/>
      <w:sz w:val="24"/>
      <w:szCs w:val="24"/>
    </w:rPr>
  </w:style>
  <w:style w:type="paragraph" w:customStyle="1" w:styleId="525">
    <w:name w:val="zCover 14"/>
    <w:basedOn w:val="1"/>
    <w:qFormat/>
    <w:uiPriority w:val="0"/>
    <w:pPr>
      <w:widowControl/>
      <w:spacing w:before="240" w:after="180"/>
      <w:jc w:val="center"/>
    </w:pPr>
    <w:rPr>
      <w:rFonts w:ascii="Arial" w:hAnsi="Arial" w:eastAsia="MS Mincho" w:cs="宋体"/>
      <w:b/>
      <w:kern w:val="0"/>
      <w:sz w:val="28"/>
      <w:szCs w:val="24"/>
    </w:rPr>
  </w:style>
  <w:style w:type="paragraph" w:customStyle="1" w:styleId="526">
    <w:name w:val="Number Last"/>
    <w:basedOn w:val="428"/>
    <w:qFormat/>
    <w:uiPriority w:val="0"/>
    <w:pPr>
      <w:spacing w:after="180"/>
    </w:pPr>
  </w:style>
  <w:style w:type="paragraph" w:customStyle="1" w:styleId="527">
    <w:name w:val="Num List (a)"/>
    <w:basedOn w:val="1"/>
    <w:next w:val="1"/>
    <w:qFormat/>
    <w:uiPriority w:val="0"/>
    <w:pPr>
      <w:widowControl/>
      <w:tabs>
        <w:tab w:val="left" w:pos="851"/>
      </w:tabs>
      <w:spacing w:before="60" w:after="160"/>
      <w:ind w:left="850" w:hanging="425"/>
      <w:jc w:val="left"/>
    </w:pPr>
    <w:rPr>
      <w:rFonts w:ascii="宋体" w:hAnsi="宋体" w:eastAsia="MS Mincho" w:cs="宋体"/>
      <w:kern w:val="0"/>
      <w:sz w:val="22"/>
      <w:szCs w:val="24"/>
    </w:rPr>
  </w:style>
  <w:style w:type="paragraph" w:customStyle="1" w:styleId="52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楷体_GB2312" w:hAnsi="Arial Unicode MS" w:eastAsia="楷体_GB2312" w:cs="Arial Unicode MS"/>
      <w:color w:val="000000"/>
      <w:kern w:val="0"/>
      <w:sz w:val="24"/>
      <w:szCs w:val="24"/>
    </w:rPr>
  </w:style>
  <w:style w:type="paragraph" w:customStyle="1" w:styleId="529">
    <w:name w:val="CM25"/>
    <w:basedOn w:val="156"/>
    <w:next w:val="156"/>
    <w:qFormat/>
    <w:uiPriority w:val="0"/>
    <w:pPr>
      <w:spacing w:after="160" w:line="259" w:lineRule="auto"/>
    </w:pPr>
    <w:rPr>
      <w:rFonts w:ascii="oúì." w:eastAsia="oúì." w:cs="Times New Roman"/>
      <w:color w:val="auto"/>
      <w:szCs w:val="20"/>
    </w:rPr>
  </w:style>
  <w:style w:type="paragraph" w:customStyle="1" w:styleId="530">
    <w:name w:val="表格侧编号"/>
    <w:next w:val="1"/>
    <w:qFormat/>
    <w:uiPriority w:val="0"/>
    <w:pPr>
      <w:widowControl w:val="0"/>
      <w:spacing w:after="160" w:line="360" w:lineRule="auto"/>
      <w:ind w:right="-29" w:rightChars="-14"/>
      <w:jc w:val="both"/>
    </w:pPr>
    <w:rPr>
      <w:rFonts w:ascii="宋体" w:hAnsi="Times New Roman" w:eastAsia="宋体" w:cs="Times New Roman"/>
      <w:kern w:val="2"/>
      <w:sz w:val="21"/>
      <w:szCs w:val="21"/>
      <w:lang w:val="en-US" w:eastAsia="zh-CN" w:bidi="ar-SA"/>
    </w:rPr>
  </w:style>
  <w:style w:type="paragraph" w:customStyle="1" w:styleId="531">
    <w:name w:val="Text"/>
    <w:qFormat/>
    <w:uiPriority w:val="0"/>
    <w:pPr>
      <w:tabs>
        <w:tab w:val="left" w:pos="3372"/>
        <w:tab w:val="left" w:pos="3408"/>
      </w:tabs>
      <w:spacing w:after="160" w:line="270" w:lineRule="exact"/>
    </w:pPr>
    <w:rPr>
      <w:rFonts w:ascii="Arial Narrow" w:hAnsi="Arial Narrow" w:eastAsia="宋体" w:cs="Times New Roman"/>
      <w:sz w:val="22"/>
      <w:lang w:val="en-US" w:eastAsia="en-US" w:bidi="ar-SA"/>
    </w:rPr>
  </w:style>
  <w:style w:type="paragraph" w:customStyle="1" w:styleId="532">
    <w:name w:val="Char1 Char Char Char"/>
    <w:basedOn w:val="1"/>
    <w:qFormat/>
    <w:uiPriority w:val="0"/>
    <w:pPr>
      <w:widowControl/>
      <w:spacing w:after="160"/>
    </w:pPr>
    <w:rPr>
      <w:rFonts w:ascii="宋体" w:hAnsi="宋体" w:cs="宋体"/>
      <w:szCs w:val="24"/>
    </w:rPr>
  </w:style>
  <w:style w:type="paragraph" w:customStyle="1" w:styleId="533">
    <w:name w:val="Date1"/>
    <w:basedOn w:val="1"/>
    <w:next w:val="1"/>
    <w:qFormat/>
    <w:uiPriority w:val="0"/>
    <w:pPr>
      <w:adjustRightInd w:val="0"/>
      <w:spacing w:after="160" w:line="360" w:lineRule="atLeast"/>
      <w:textAlignment w:val="baseline"/>
    </w:pPr>
    <w:rPr>
      <w:rFonts w:ascii="宋体"/>
      <w:kern w:val="0"/>
      <w:sz w:val="30"/>
    </w:rPr>
  </w:style>
  <w:style w:type="paragraph" w:customStyle="1" w:styleId="534">
    <w:name w:val="标准"/>
    <w:basedOn w:val="1"/>
    <w:qFormat/>
    <w:uiPriority w:val="0"/>
    <w:pPr>
      <w:widowControl/>
      <w:adjustRightInd w:val="0"/>
      <w:spacing w:after="160" w:line="312" w:lineRule="atLeast"/>
      <w:textAlignment w:val="baseline"/>
    </w:pPr>
    <w:rPr>
      <w:rFonts w:ascii="宋体" w:hAnsi="宋体" w:cs="宋体"/>
      <w:kern w:val="0"/>
      <w:sz w:val="24"/>
      <w:szCs w:val="24"/>
    </w:rPr>
  </w:style>
  <w:style w:type="paragraph" w:customStyle="1" w:styleId="535">
    <w:name w:val="font15"/>
    <w:basedOn w:val="1"/>
    <w:qFormat/>
    <w:uiPriority w:val="0"/>
    <w:pPr>
      <w:widowControl/>
      <w:spacing w:before="100" w:beforeAutospacing="1" w:after="100" w:afterAutospacing="1"/>
      <w:jc w:val="left"/>
    </w:pPr>
    <w:rPr>
      <w:rFonts w:ascii="宋体" w:hAnsi="宋体" w:cs="宋体"/>
      <w:kern w:val="0"/>
      <w:szCs w:val="21"/>
    </w:rPr>
  </w:style>
  <w:style w:type="paragraph" w:customStyle="1" w:styleId="536">
    <w:name w:val="_Style 96"/>
    <w:basedOn w:val="1"/>
    <w:qFormat/>
    <w:uiPriority w:val="0"/>
    <w:pPr>
      <w:spacing w:after="160" w:line="360" w:lineRule="auto"/>
      <w:ind w:firstLine="200" w:firstLineChars="200"/>
    </w:pPr>
    <w:rPr>
      <w:rFonts w:eastAsia="Times New Roman"/>
      <w:kern w:val="0"/>
      <w:sz w:val="20"/>
    </w:rPr>
  </w:style>
  <w:style w:type="paragraph" w:customStyle="1" w:styleId="537">
    <w:name w:val="xl34"/>
    <w:basedOn w:val="1"/>
    <w:qFormat/>
    <w:uiPriority w:val="0"/>
    <w:pPr>
      <w:widowControl/>
      <w:spacing w:before="100" w:beforeAutospacing="1" w:after="100" w:afterAutospacing="1"/>
      <w:jc w:val="left"/>
      <w:textAlignment w:val="center"/>
    </w:pPr>
    <w:rPr>
      <w:rFonts w:hint="eastAsia" w:ascii="楷体_GB2312" w:hAnsi="Arial Unicode MS" w:eastAsia="楷体_GB2312" w:cs="Arial Unicode MS"/>
      <w:kern w:val="0"/>
      <w:sz w:val="24"/>
      <w:szCs w:val="24"/>
    </w:rPr>
  </w:style>
  <w:style w:type="paragraph" w:customStyle="1" w:styleId="538">
    <w:name w:val="font9"/>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4"/>
      <w:szCs w:val="24"/>
    </w:rPr>
  </w:style>
  <w:style w:type="paragraph" w:customStyle="1" w:styleId="539">
    <w:name w:val="图表题注"/>
    <w:basedOn w:val="25"/>
    <w:next w:val="24"/>
    <w:qFormat/>
    <w:uiPriority w:val="0"/>
    <w:pPr>
      <w:spacing w:line="360" w:lineRule="auto"/>
      <w:jc w:val="center"/>
    </w:pPr>
    <w:rPr>
      <w:rFonts w:ascii="Times New Roman" w:hAnsi="Times New Roman" w:eastAsia="宋体" w:cs="宋体"/>
      <w:sz w:val="21"/>
      <w:szCs w:val="24"/>
    </w:rPr>
  </w:style>
  <w:style w:type="paragraph" w:customStyle="1" w:styleId="540">
    <w:name w:val="Table"/>
    <w:basedOn w:val="1"/>
    <w:qFormat/>
    <w:uiPriority w:val="0"/>
    <w:pPr>
      <w:widowControl/>
      <w:tabs>
        <w:tab w:val="left" w:pos="1276"/>
      </w:tabs>
      <w:spacing w:after="240"/>
      <w:ind w:left="1276" w:hanging="992"/>
      <w:jc w:val="left"/>
    </w:pPr>
    <w:rPr>
      <w:rFonts w:ascii="宋体" w:hAnsi="宋体" w:eastAsia="MS Mincho" w:cs="宋体"/>
      <w:b/>
      <w:kern w:val="0"/>
      <w:sz w:val="20"/>
      <w:szCs w:val="24"/>
    </w:rPr>
  </w:style>
  <w:style w:type="paragraph" w:customStyle="1" w:styleId="541">
    <w:name w:val="文字"/>
    <w:basedOn w:val="1"/>
    <w:qFormat/>
    <w:uiPriority w:val="0"/>
    <w:pPr>
      <w:widowControl/>
      <w:tabs>
        <w:tab w:val="left" w:pos="8520"/>
      </w:tabs>
      <w:spacing w:after="160" w:line="312" w:lineRule="auto"/>
      <w:ind w:right="-210" w:firstLine="556"/>
    </w:pPr>
    <w:rPr>
      <w:rFonts w:hint="eastAsia" w:ascii="楷体_GB2312" w:hAnsi="宋体" w:eastAsia="楷体_GB2312" w:cs="宋体"/>
      <w:sz w:val="28"/>
      <w:szCs w:val="24"/>
    </w:rPr>
  </w:style>
  <w:style w:type="paragraph" w:customStyle="1" w:styleId="542">
    <w:name w:val="xl22"/>
    <w:basedOn w:val="1"/>
    <w:qFormat/>
    <w:uiPriority w:val="0"/>
    <w:pPr>
      <w:widowControl/>
      <w:pBdr>
        <w:top w:val="single" w:color="auto" w:sz="4" w:space="0"/>
        <w:left w:val="single" w:color="auto" w:sz="8" w:space="0"/>
        <w:bottom w:val="single" w:color="auto" w:sz="4" w:space="0"/>
      </w:pBdr>
      <w:spacing w:before="100" w:beforeAutospacing="1" w:after="100" w:afterAutospacing="1"/>
      <w:jc w:val="left"/>
    </w:pPr>
    <w:rPr>
      <w:rFonts w:ascii="宋体" w:hAnsi="宋体" w:cs="宋体"/>
      <w:kern w:val="0"/>
      <w:sz w:val="24"/>
      <w:szCs w:val="24"/>
    </w:rPr>
  </w:style>
  <w:style w:type="paragraph" w:customStyle="1" w:styleId="543">
    <w:name w:val="w1"/>
    <w:basedOn w:val="3"/>
    <w:qFormat/>
    <w:uiPriority w:val="0"/>
    <w:pPr>
      <w:adjustRightInd w:val="0"/>
      <w:snapToGrid w:val="0"/>
      <w:spacing w:line="578" w:lineRule="auto"/>
      <w:ind w:left="420" w:hanging="420" w:firstLineChars="400"/>
    </w:pPr>
    <w:rPr>
      <w:bCs w:val="0"/>
      <w:color w:val="000000"/>
      <w:sz w:val="28"/>
      <w:szCs w:val="30"/>
    </w:rPr>
  </w:style>
  <w:style w:type="paragraph" w:customStyle="1" w:styleId="544">
    <w:name w:val="Picture"/>
    <w:basedOn w:val="1"/>
    <w:qFormat/>
    <w:uiPriority w:val="0"/>
    <w:pPr>
      <w:widowControl/>
      <w:pBdr>
        <w:top w:val="single" w:color="auto" w:sz="6" w:space="1"/>
        <w:left w:val="single" w:color="auto" w:sz="6" w:space="1"/>
        <w:bottom w:val="single" w:color="auto" w:sz="6" w:space="1"/>
        <w:right w:val="single" w:color="auto" w:sz="6" w:space="1"/>
      </w:pBdr>
      <w:spacing w:before="240" w:after="240"/>
      <w:jc w:val="center"/>
    </w:pPr>
    <w:rPr>
      <w:rFonts w:ascii="宋体" w:hAnsi="宋体" w:eastAsia="MS Mincho" w:cs="宋体"/>
      <w:b/>
      <w:kern w:val="0"/>
      <w:sz w:val="72"/>
      <w:szCs w:val="24"/>
    </w:rPr>
  </w:style>
  <w:style w:type="paragraph" w:customStyle="1" w:styleId="545">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4"/>
      <w:szCs w:val="24"/>
    </w:rPr>
  </w:style>
  <w:style w:type="paragraph" w:customStyle="1" w:styleId="546">
    <w:name w:val="xl24"/>
    <w:basedOn w:val="1"/>
    <w:qFormat/>
    <w:uiPriority w:val="0"/>
    <w:pPr>
      <w:widowControl/>
      <w:spacing w:before="100" w:beforeAutospacing="1" w:after="100" w:afterAutospacing="1"/>
      <w:jc w:val="center"/>
    </w:pPr>
    <w:rPr>
      <w:rFonts w:ascii="Arial" w:hAnsi="Arial" w:eastAsia="Arial Unicode MS" w:cs="Arial"/>
      <w:kern w:val="0"/>
      <w:sz w:val="24"/>
      <w:szCs w:val="24"/>
    </w:rPr>
  </w:style>
  <w:style w:type="paragraph" w:customStyle="1" w:styleId="547">
    <w:name w:val="Column Heading"/>
    <w:qFormat/>
    <w:uiPriority w:val="0"/>
    <w:pPr>
      <w:spacing w:after="160" w:line="220" w:lineRule="exact"/>
    </w:pPr>
    <w:rPr>
      <w:rFonts w:ascii="Arial Narrow" w:hAnsi="Arial Narrow" w:eastAsia="宋体" w:cs="Times New Roman"/>
      <w:b/>
      <w:sz w:val="18"/>
      <w:lang w:val="en-US" w:eastAsia="zh-CN" w:bidi="ar-SA"/>
    </w:rPr>
  </w:style>
  <w:style w:type="paragraph" w:customStyle="1" w:styleId="548">
    <w:name w:val="QRP"/>
    <w:basedOn w:val="1"/>
    <w:qFormat/>
    <w:uiPriority w:val="0"/>
    <w:pPr>
      <w:keepNext/>
      <w:widowControl/>
      <w:spacing w:after="160"/>
      <w:ind w:left="2880" w:right="2880"/>
      <w:jc w:val="center"/>
    </w:pPr>
    <w:rPr>
      <w:rFonts w:ascii="Arial" w:hAnsi="Arial" w:eastAsia="MS Mincho" w:cs="宋体"/>
      <w:b/>
      <w:i/>
      <w:color w:val="FF0000"/>
      <w:kern w:val="0"/>
      <w:sz w:val="16"/>
      <w:szCs w:val="24"/>
    </w:rPr>
  </w:style>
  <w:style w:type="paragraph" w:customStyle="1" w:styleId="549">
    <w:name w:val="xl4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eastAsia="Arial Unicode MS" w:cs="宋体"/>
      <w:kern w:val="0"/>
      <w:sz w:val="24"/>
      <w:szCs w:val="24"/>
    </w:rPr>
  </w:style>
  <w:style w:type="paragraph" w:customStyle="1" w:styleId="55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551">
    <w:name w:val="带编号正文缩进1"/>
    <w:basedOn w:val="1"/>
    <w:qFormat/>
    <w:uiPriority w:val="0"/>
    <w:pPr>
      <w:widowControl/>
      <w:adjustRightInd w:val="0"/>
      <w:snapToGrid w:val="0"/>
      <w:spacing w:before="40" w:after="40" w:line="500" w:lineRule="exact"/>
    </w:pPr>
    <w:rPr>
      <w:rFonts w:ascii="宋体" w:hAnsi="宋体" w:cs="宋体"/>
      <w:color w:val="000000"/>
      <w:sz w:val="24"/>
      <w:szCs w:val="24"/>
    </w:rPr>
  </w:style>
  <w:style w:type="paragraph" w:customStyle="1" w:styleId="552">
    <w:name w:val="xl23"/>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4"/>
      <w:szCs w:val="24"/>
    </w:rPr>
  </w:style>
  <w:style w:type="paragraph" w:customStyle="1" w:styleId="553">
    <w:name w:val="xl4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554">
    <w:name w:val="Char Char Char Char Char Char Char Char Char Char"/>
    <w:basedOn w:val="1"/>
    <w:qFormat/>
    <w:uiPriority w:val="0"/>
    <w:pPr>
      <w:widowControl/>
      <w:snapToGrid w:val="0"/>
      <w:spacing w:after="160"/>
    </w:pPr>
    <w:rPr>
      <w:rFonts w:ascii="Arial" w:hAnsi="Arial" w:cs="宋体"/>
      <w:szCs w:val="21"/>
    </w:rPr>
  </w:style>
  <w:style w:type="paragraph" w:customStyle="1" w:styleId="555">
    <w:name w:val="l_text"/>
    <w:basedOn w:val="1"/>
    <w:qFormat/>
    <w:uiPriority w:val="0"/>
    <w:pPr>
      <w:widowControl/>
      <w:overflowPunct w:val="0"/>
      <w:autoSpaceDE w:val="0"/>
      <w:autoSpaceDN w:val="0"/>
      <w:adjustRightInd w:val="0"/>
      <w:spacing w:after="160" w:line="360" w:lineRule="auto"/>
      <w:ind w:firstLine="567"/>
      <w:textAlignment w:val="baseline"/>
    </w:pPr>
    <w:rPr>
      <w:rFonts w:ascii="宋体" w:hAnsi="宋体" w:cs="宋体"/>
      <w:kern w:val="0"/>
      <w:sz w:val="28"/>
      <w:szCs w:val="24"/>
    </w:rPr>
  </w:style>
  <w:style w:type="paragraph" w:customStyle="1" w:styleId="556">
    <w:name w:val="1 Char"/>
    <w:basedOn w:val="1"/>
    <w:qFormat/>
    <w:uiPriority w:val="0"/>
    <w:pPr>
      <w:widowControl/>
      <w:spacing w:after="160"/>
    </w:pPr>
    <w:rPr>
      <w:rFonts w:ascii="宋体" w:hAnsi="宋体" w:cs="宋体"/>
      <w:szCs w:val="24"/>
    </w:rPr>
  </w:style>
  <w:style w:type="paragraph" w:customStyle="1" w:styleId="557">
    <w:name w:val="Char Char Char Char Char Char Char Char Char Char Char Char Char"/>
    <w:basedOn w:val="1"/>
    <w:qFormat/>
    <w:uiPriority w:val="0"/>
    <w:pPr>
      <w:widowControl/>
      <w:spacing w:after="160"/>
    </w:pPr>
    <w:rPr>
      <w:rFonts w:ascii="宋体" w:hAnsi="宋体" w:cs="宋体"/>
      <w:szCs w:val="24"/>
    </w:rPr>
  </w:style>
  <w:style w:type="paragraph" w:customStyle="1" w:styleId="558">
    <w:name w:val="OmniPage #6"/>
    <w:basedOn w:val="1"/>
    <w:qFormat/>
    <w:uiPriority w:val="0"/>
    <w:pPr>
      <w:widowControl/>
      <w:spacing w:after="160"/>
      <w:jc w:val="left"/>
    </w:pPr>
    <w:rPr>
      <w:rFonts w:ascii="宋体" w:hAnsi="宋体" w:eastAsia="MS Mincho" w:cs="宋体"/>
      <w:kern w:val="0"/>
      <w:sz w:val="20"/>
      <w:szCs w:val="24"/>
    </w:rPr>
  </w:style>
  <w:style w:type="paragraph" w:customStyle="1" w:styleId="559">
    <w:name w:val="正文样式3"/>
    <w:basedOn w:val="1"/>
    <w:qFormat/>
    <w:uiPriority w:val="0"/>
    <w:pPr>
      <w:widowControl/>
      <w:adjustRightInd w:val="0"/>
      <w:spacing w:after="160" w:line="20" w:lineRule="atLeast"/>
      <w:jc w:val="center"/>
      <w:textAlignment w:val="baseline"/>
    </w:pPr>
    <w:rPr>
      <w:rFonts w:ascii="宋体" w:hAnsi="宋体" w:cs="宋体"/>
      <w:kern w:val="0"/>
      <w:sz w:val="24"/>
      <w:szCs w:val="24"/>
    </w:rPr>
  </w:style>
  <w:style w:type="paragraph" w:customStyle="1" w:styleId="560">
    <w:name w:val="kapitel"/>
    <w:basedOn w:val="1"/>
    <w:qFormat/>
    <w:uiPriority w:val="0"/>
    <w:pPr>
      <w:widowControl/>
      <w:autoSpaceDE w:val="0"/>
      <w:autoSpaceDN w:val="0"/>
      <w:adjustRightInd w:val="0"/>
      <w:spacing w:after="1" w:line="200" w:lineRule="atLeast"/>
    </w:pPr>
    <w:rPr>
      <w:rFonts w:ascii="Helvetica" w:hAnsi="Helvetica" w:eastAsia="MS Mincho" w:cs="宋体"/>
      <w:kern w:val="0"/>
      <w:sz w:val="20"/>
      <w:szCs w:val="24"/>
      <w:lang w:val="de-CH"/>
    </w:rPr>
  </w:style>
  <w:style w:type="paragraph" w:customStyle="1" w:styleId="561">
    <w:name w:val="form"/>
    <w:basedOn w:val="523"/>
    <w:qFormat/>
    <w:uiPriority w:val="0"/>
    <w:pPr>
      <w:keepLines/>
      <w:tabs>
        <w:tab w:val="left" w:pos="284"/>
        <w:tab w:val="right" w:leader="dot" w:pos="10091"/>
      </w:tabs>
      <w:spacing w:after="1" w:line="270" w:lineRule="atLeast"/>
      <w:jc w:val="both"/>
    </w:pPr>
    <w:rPr>
      <w:color w:val="auto"/>
      <w:sz w:val="18"/>
    </w:rPr>
  </w:style>
  <w:style w:type="paragraph" w:customStyle="1" w:styleId="562">
    <w:name w:val="xl35"/>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563">
    <w:name w:val="xl71"/>
    <w:basedOn w:val="1"/>
    <w:qFormat/>
    <w:uiPriority w:val="0"/>
    <w:pPr>
      <w:widowControl/>
      <w:pBdr>
        <w:lef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564">
    <w:name w:val="xl26"/>
    <w:basedOn w:val="1"/>
    <w:qFormat/>
    <w:uiPriority w:val="0"/>
    <w:pPr>
      <w:widowControl/>
      <w:spacing w:before="100" w:beforeAutospacing="1" w:after="100" w:afterAutospacing="1"/>
      <w:jc w:val="left"/>
      <w:textAlignment w:val="center"/>
    </w:pPr>
    <w:rPr>
      <w:rFonts w:ascii="Arial" w:hAnsi="Arial" w:eastAsia="Arial Unicode MS" w:cs="Arial"/>
      <w:b/>
      <w:bCs/>
      <w:kern w:val="0"/>
      <w:sz w:val="24"/>
      <w:szCs w:val="24"/>
    </w:rPr>
  </w:style>
  <w:style w:type="paragraph" w:customStyle="1" w:styleId="565">
    <w:name w:val="1正文段落"/>
    <w:basedOn w:val="1"/>
    <w:qFormat/>
    <w:uiPriority w:val="0"/>
    <w:pPr>
      <w:widowControl/>
      <w:spacing w:after="160" w:line="360" w:lineRule="auto"/>
      <w:ind w:firstLine="480" w:firstLineChars="200"/>
      <w:jc w:val="left"/>
    </w:pPr>
    <w:rPr>
      <w:rFonts w:ascii="宋体" w:hAnsi="宋体" w:cs="宋体"/>
      <w:snapToGrid w:val="0"/>
      <w:kern w:val="0"/>
      <w:sz w:val="24"/>
      <w:szCs w:val="24"/>
    </w:rPr>
  </w:style>
  <w:style w:type="paragraph" w:customStyle="1" w:styleId="566">
    <w:name w:val="w2"/>
    <w:basedOn w:val="4"/>
    <w:next w:val="543"/>
    <w:qFormat/>
    <w:uiPriority w:val="0"/>
    <w:pPr>
      <w:adjustRightInd w:val="0"/>
      <w:spacing w:line="416" w:lineRule="atLeast"/>
      <w:ind w:left="840" w:hanging="420"/>
      <w:textAlignment w:val="baseline"/>
    </w:pPr>
    <w:rPr>
      <w:rFonts w:ascii="Times New Roman" w:hAnsi="Times New Roman" w:eastAsia="宋体"/>
      <w:sz w:val="28"/>
      <w:szCs w:val="28"/>
    </w:rPr>
  </w:style>
  <w:style w:type="paragraph" w:customStyle="1" w:styleId="567">
    <w:name w:val="Bullet Indent"/>
    <w:basedOn w:val="396"/>
    <w:qFormat/>
    <w:uiPriority w:val="0"/>
    <w:pPr>
      <w:tabs>
        <w:tab w:val="left" w:pos="1276"/>
        <w:tab w:val="clear" w:pos="851"/>
      </w:tabs>
      <w:spacing w:after="60"/>
      <w:ind w:left="1276"/>
    </w:pPr>
  </w:style>
  <w:style w:type="paragraph" w:customStyle="1" w:styleId="568">
    <w:name w:val="xl37"/>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569">
    <w:name w:val="xl6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6"/>
      <w:szCs w:val="36"/>
    </w:rPr>
  </w:style>
  <w:style w:type="paragraph" w:customStyle="1" w:styleId="570">
    <w:name w:val="4 Char"/>
    <w:basedOn w:val="1"/>
    <w:qFormat/>
    <w:uiPriority w:val="0"/>
    <w:pPr>
      <w:widowControl/>
      <w:spacing w:after="160"/>
    </w:pPr>
    <w:rPr>
      <w:rFonts w:ascii="宋体" w:hAnsi="宋体" w:cs="宋体"/>
      <w:szCs w:val="24"/>
    </w:rPr>
  </w:style>
  <w:style w:type="paragraph" w:customStyle="1" w:styleId="571">
    <w:name w:val="Num List (b)"/>
    <w:basedOn w:val="527"/>
    <w:next w:val="527"/>
    <w:qFormat/>
    <w:uiPriority w:val="0"/>
    <w:pPr>
      <w:tabs>
        <w:tab w:val="left" w:pos="1500"/>
        <w:tab w:val="clear" w:pos="851"/>
      </w:tabs>
    </w:pPr>
  </w:style>
  <w:style w:type="paragraph" w:customStyle="1" w:styleId="572">
    <w:name w:val="Char1 Char Char Char Char Char Char"/>
    <w:basedOn w:val="1"/>
    <w:qFormat/>
    <w:uiPriority w:val="0"/>
    <w:pPr>
      <w:widowControl/>
      <w:spacing w:after="160"/>
    </w:pPr>
    <w:rPr>
      <w:rFonts w:ascii="宋体" w:hAnsi="宋体" w:cs="宋体"/>
      <w:szCs w:val="24"/>
    </w:rPr>
  </w:style>
  <w:style w:type="paragraph" w:customStyle="1" w:styleId="573">
    <w:name w:val="xl68"/>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b/>
      <w:bCs/>
      <w:kern w:val="0"/>
      <w:sz w:val="36"/>
      <w:szCs w:val="36"/>
    </w:rPr>
  </w:style>
  <w:style w:type="paragraph" w:customStyle="1" w:styleId="574">
    <w:name w:val="5"/>
    <w:basedOn w:val="1"/>
    <w:next w:val="77"/>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575">
    <w:name w:val="hilite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76">
    <w:name w:val="xl62"/>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577">
    <w:name w:val="lastfoot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78">
    <w:name w:val="xl29"/>
    <w:basedOn w:val="1"/>
    <w:qFormat/>
    <w:uiPriority w:val="0"/>
    <w:pPr>
      <w:widowControl/>
      <w:spacing w:before="100" w:beforeAutospacing="1" w:after="100" w:afterAutospacing="1"/>
      <w:jc w:val="left"/>
      <w:textAlignment w:val="center"/>
    </w:pPr>
    <w:rPr>
      <w:rFonts w:hint="eastAsia" w:ascii="楷体_GB2312" w:hAnsi="Arial Unicode MS" w:eastAsia="楷体_GB2312" w:cs="Arial Unicode MS"/>
      <w:kern w:val="0"/>
      <w:sz w:val="24"/>
      <w:szCs w:val="24"/>
    </w:rPr>
  </w:style>
  <w:style w:type="paragraph" w:customStyle="1" w:styleId="579">
    <w:name w:val="xl70"/>
    <w:basedOn w:val="1"/>
    <w:qFormat/>
    <w:uiPriority w:val="0"/>
    <w:pPr>
      <w:widowControl/>
      <w:pBdr>
        <w:top w:val="single" w:color="auto" w:sz="8"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580">
    <w:name w:val="zCover Text"/>
    <w:basedOn w:val="1"/>
    <w:qFormat/>
    <w:uiPriority w:val="0"/>
    <w:pPr>
      <w:widowControl/>
      <w:spacing w:before="40" w:after="40"/>
      <w:jc w:val="left"/>
    </w:pPr>
    <w:rPr>
      <w:rFonts w:ascii="Arial" w:hAnsi="Arial" w:eastAsia="MS Mincho" w:cs="宋体"/>
      <w:kern w:val="0"/>
      <w:sz w:val="16"/>
      <w:szCs w:val="24"/>
    </w:rPr>
  </w:style>
  <w:style w:type="paragraph" w:customStyle="1" w:styleId="581">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楷体_GB2312" w:hAnsi="Arial Unicode MS" w:eastAsia="楷体_GB2312" w:cs="Arial Unicode MS"/>
      <w:color w:val="000000"/>
      <w:kern w:val="0"/>
      <w:sz w:val="24"/>
      <w:szCs w:val="24"/>
    </w:rPr>
  </w:style>
  <w:style w:type="paragraph" w:customStyle="1" w:styleId="582">
    <w:name w:val="Blank"/>
    <w:basedOn w:val="444"/>
    <w:qFormat/>
    <w:uiPriority w:val="0"/>
    <w:pPr>
      <w:pBdr>
        <w:top w:val="none" w:color="auto" w:sz="0" w:space="0"/>
      </w:pBdr>
    </w:pPr>
  </w:style>
  <w:style w:type="paragraph" w:customStyle="1" w:styleId="583">
    <w:name w:val="tll"/>
    <w:basedOn w:val="1"/>
    <w:qFormat/>
    <w:uiPriority w:val="0"/>
    <w:pPr>
      <w:widowControl/>
      <w:autoSpaceDE w:val="0"/>
      <w:autoSpaceDN w:val="0"/>
      <w:adjustRightInd w:val="0"/>
      <w:snapToGrid w:val="0"/>
      <w:spacing w:after="160"/>
    </w:pPr>
    <w:rPr>
      <w:rFonts w:ascii="仿宋_GB2312" w:hAnsi="Arial" w:eastAsia="仿宋_GB2312" w:cs="宋体"/>
      <w:kern w:val="0"/>
      <w:szCs w:val="24"/>
    </w:rPr>
  </w:style>
  <w:style w:type="paragraph" w:customStyle="1" w:styleId="584">
    <w:name w:val="xl67"/>
    <w:basedOn w:val="1"/>
    <w:qFormat/>
    <w:uiPriority w:val="0"/>
    <w:pPr>
      <w:widowControl/>
      <w:pBdr>
        <w:top w:val="single" w:color="auto" w:sz="8" w:space="0"/>
        <w:bottom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585">
    <w:name w:val="font0"/>
    <w:basedOn w:val="1"/>
    <w:qFormat/>
    <w:uiPriority w:val="0"/>
    <w:pPr>
      <w:widowControl/>
      <w:spacing w:before="100" w:beforeAutospacing="1" w:after="100" w:afterAutospacing="1"/>
      <w:jc w:val="left"/>
    </w:pPr>
    <w:rPr>
      <w:rFonts w:hint="eastAsia" w:ascii="宋体" w:hAnsi="宋体" w:cs="Arial Unicode MS"/>
      <w:kern w:val="0"/>
      <w:sz w:val="24"/>
      <w:szCs w:val="24"/>
    </w:rPr>
  </w:style>
  <w:style w:type="paragraph" w:customStyle="1" w:styleId="586">
    <w:name w:val="付标题"/>
    <w:basedOn w:val="1"/>
    <w:qFormat/>
    <w:uiPriority w:val="0"/>
    <w:pPr>
      <w:widowControl/>
      <w:spacing w:after="160" w:line="960" w:lineRule="auto"/>
      <w:jc w:val="center"/>
    </w:pPr>
    <w:rPr>
      <w:rFonts w:ascii="华文隶书" w:hAnsi="宋体" w:eastAsia="华文隶书" w:cs="Arial"/>
      <w:b/>
      <w:bCs/>
      <w:snapToGrid w:val="0"/>
      <w:sz w:val="72"/>
      <w:szCs w:val="72"/>
    </w:rPr>
  </w:style>
  <w:style w:type="character" w:customStyle="1" w:styleId="587">
    <w:name w:val="日期 Char1"/>
    <w:semiHidden/>
    <w:qFormat/>
    <w:uiPriority w:val="0"/>
    <w:rPr>
      <w:kern w:val="2"/>
      <w:sz w:val="21"/>
    </w:rPr>
  </w:style>
  <w:style w:type="character" w:customStyle="1" w:styleId="588">
    <w:name w:val="正文文本 Char1"/>
    <w:semiHidden/>
    <w:qFormat/>
    <w:uiPriority w:val="0"/>
    <w:rPr>
      <w:kern w:val="2"/>
      <w:sz w:val="21"/>
    </w:rPr>
  </w:style>
  <w:style w:type="character" w:customStyle="1" w:styleId="589">
    <w:name w:val="HTML 预设格式 Char2"/>
    <w:semiHidden/>
    <w:qFormat/>
    <w:uiPriority w:val="0"/>
    <w:rPr>
      <w:rFonts w:hint="default" w:ascii="Courier New" w:hAnsi="Courier New" w:cs="Courier New"/>
      <w:kern w:val="2"/>
    </w:rPr>
  </w:style>
  <w:style w:type="character" w:customStyle="1" w:styleId="590">
    <w:name w:val="正文文本 2 Char2"/>
    <w:semiHidden/>
    <w:qFormat/>
    <w:uiPriority w:val="0"/>
    <w:rPr>
      <w:kern w:val="2"/>
      <w:sz w:val="21"/>
    </w:rPr>
  </w:style>
  <w:style w:type="character" w:customStyle="1" w:styleId="591">
    <w:name w:val="正文文本缩进 2 Char2"/>
    <w:semiHidden/>
    <w:qFormat/>
    <w:uiPriority w:val="0"/>
    <w:rPr>
      <w:kern w:val="2"/>
      <w:sz w:val="21"/>
    </w:rPr>
  </w:style>
  <w:style w:type="character" w:customStyle="1" w:styleId="592">
    <w:name w:val="批注文字 Char2"/>
    <w:semiHidden/>
    <w:qFormat/>
    <w:uiPriority w:val="0"/>
    <w:rPr>
      <w:kern w:val="2"/>
      <w:sz w:val="21"/>
    </w:rPr>
  </w:style>
  <w:style w:type="character" w:customStyle="1" w:styleId="593">
    <w:name w:val="批注框文本 Char1"/>
    <w:semiHidden/>
    <w:qFormat/>
    <w:uiPriority w:val="0"/>
    <w:rPr>
      <w:kern w:val="2"/>
      <w:sz w:val="18"/>
      <w:szCs w:val="18"/>
    </w:rPr>
  </w:style>
  <w:style w:type="character" w:customStyle="1" w:styleId="594">
    <w:name w:val="脚注文本 Char2"/>
    <w:semiHidden/>
    <w:qFormat/>
    <w:uiPriority w:val="0"/>
    <w:rPr>
      <w:kern w:val="2"/>
      <w:sz w:val="18"/>
      <w:szCs w:val="18"/>
    </w:rPr>
  </w:style>
  <w:style w:type="character" w:customStyle="1" w:styleId="595">
    <w:name w:val="称呼 Char2"/>
    <w:semiHidden/>
    <w:qFormat/>
    <w:uiPriority w:val="0"/>
    <w:rPr>
      <w:kern w:val="2"/>
      <w:sz w:val="21"/>
    </w:rPr>
  </w:style>
  <w:style w:type="character" w:customStyle="1" w:styleId="596">
    <w:name w:val="尾注文本 Char2"/>
    <w:semiHidden/>
    <w:qFormat/>
    <w:uiPriority w:val="0"/>
    <w:rPr>
      <w:kern w:val="2"/>
      <w:sz w:val="21"/>
    </w:rPr>
  </w:style>
  <w:style w:type="character" w:customStyle="1" w:styleId="597">
    <w:name w:val="页脚 Char1"/>
    <w:semiHidden/>
    <w:qFormat/>
    <w:uiPriority w:val="99"/>
    <w:rPr>
      <w:kern w:val="2"/>
      <w:sz w:val="18"/>
      <w:szCs w:val="18"/>
    </w:rPr>
  </w:style>
  <w:style w:type="character" w:customStyle="1" w:styleId="598">
    <w:name w:val="正文首行缩进 Char2"/>
    <w:semiHidden/>
    <w:qFormat/>
    <w:uiPriority w:val="0"/>
  </w:style>
  <w:style w:type="character" w:customStyle="1" w:styleId="599">
    <w:name w:val="正文文本缩进 3 Char2"/>
    <w:semiHidden/>
    <w:qFormat/>
    <w:uiPriority w:val="0"/>
    <w:rPr>
      <w:kern w:val="2"/>
      <w:sz w:val="16"/>
      <w:szCs w:val="16"/>
    </w:rPr>
  </w:style>
  <w:style w:type="character" w:customStyle="1" w:styleId="600">
    <w:name w:val="页眉 Char1"/>
    <w:semiHidden/>
    <w:qFormat/>
    <w:uiPriority w:val="99"/>
    <w:rPr>
      <w:kern w:val="2"/>
      <w:sz w:val="18"/>
      <w:szCs w:val="18"/>
    </w:rPr>
  </w:style>
  <w:style w:type="character" w:customStyle="1" w:styleId="601">
    <w:name w:val="标题 Char2"/>
    <w:qFormat/>
    <w:uiPriority w:val="0"/>
    <w:rPr>
      <w:rFonts w:hint="default" w:ascii="Cambria" w:hAnsi="Cambria" w:cs="Times New Roman"/>
      <w:b/>
      <w:bCs/>
      <w:kern w:val="2"/>
      <w:sz w:val="32"/>
      <w:szCs w:val="32"/>
    </w:rPr>
  </w:style>
  <w:style w:type="character" w:customStyle="1" w:styleId="602">
    <w:name w:val="正文文本缩进 Char1"/>
    <w:semiHidden/>
    <w:qFormat/>
    <w:locked/>
    <w:uiPriority w:val="0"/>
    <w:rPr>
      <w:kern w:val="2"/>
      <w:sz w:val="21"/>
    </w:rPr>
  </w:style>
  <w:style w:type="character" w:customStyle="1" w:styleId="603">
    <w:name w:val="正文首行缩进 2 Char2"/>
    <w:semiHidden/>
    <w:qFormat/>
    <w:uiPriority w:val="0"/>
  </w:style>
  <w:style w:type="character" w:customStyle="1" w:styleId="604">
    <w:name w:val="正文文本 3 Char2"/>
    <w:semiHidden/>
    <w:qFormat/>
    <w:uiPriority w:val="0"/>
    <w:rPr>
      <w:kern w:val="2"/>
      <w:sz w:val="16"/>
      <w:szCs w:val="16"/>
    </w:rPr>
  </w:style>
  <w:style w:type="character" w:customStyle="1" w:styleId="605">
    <w:name w:val="文档结构图 Char2"/>
    <w:semiHidden/>
    <w:qFormat/>
    <w:uiPriority w:val="0"/>
    <w:rPr>
      <w:rFonts w:hint="eastAsia" w:ascii="宋体" w:hAnsi="宋体" w:eastAsia="宋体"/>
      <w:kern w:val="2"/>
      <w:sz w:val="18"/>
      <w:szCs w:val="18"/>
    </w:rPr>
  </w:style>
  <w:style w:type="character" w:customStyle="1" w:styleId="606">
    <w:name w:val="无间隔 字符1"/>
    <w:link w:val="222"/>
    <w:qFormat/>
    <w:locked/>
    <w:uiPriority w:val="1"/>
    <w:rPr>
      <w:rFonts w:ascii="等线" w:hAnsi="等线" w:eastAsia="等线"/>
      <w:sz w:val="21"/>
      <w:szCs w:val="21"/>
    </w:rPr>
  </w:style>
  <w:style w:type="paragraph" w:customStyle="1" w:styleId="607">
    <w:name w:val="修订3"/>
    <w:hidden/>
    <w:semiHidden/>
    <w:qFormat/>
    <w:uiPriority w:val="99"/>
    <w:pPr>
      <w:spacing w:after="160" w:line="259" w:lineRule="auto"/>
    </w:pPr>
    <w:rPr>
      <w:rFonts w:ascii="Times New Roman" w:hAnsi="Times New Roman" w:eastAsia="宋体" w:cs="Times New Roman"/>
      <w:kern w:val="2"/>
      <w:sz w:val="21"/>
      <w:lang w:val="en-US" w:eastAsia="zh-CN" w:bidi="ar-SA"/>
    </w:rPr>
  </w:style>
  <w:style w:type="paragraph" w:customStyle="1" w:styleId="608">
    <w:name w:val="ETSC- Column left"/>
    <w:link w:val="609"/>
    <w:qFormat/>
    <w:uiPriority w:val="0"/>
    <w:pPr>
      <w:spacing w:before="60" w:after="60" w:line="0" w:lineRule="atLeast"/>
    </w:pPr>
    <w:rPr>
      <w:rFonts w:ascii="Times New Roman" w:hAnsi="Times New Roman" w:eastAsia="宋体" w:cs="Times New Roman"/>
      <w:sz w:val="21"/>
      <w:szCs w:val="21"/>
      <w:lang w:val="en-GB" w:eastAsia="en-US" w:bidi="en-US"/>
    </w:rPr>
  </w:style>
  <w:style w:type="character" w:customStyle="1" w:styleId="609">
    <w:name w:val="ETSC- Column left Char"/>
    <w:link w:val="608"/>
    <w:qFormat/>
    <w:uiPriority w:val="0"/>
    <w:rPr>
      <w:sz w:val="21"/>
      <w:szCs w:val="21"/>
      <w:lang w:val="en-GB" w:eastAsia="en-US" w:bidi="en-US"/>
    </w:rPr>
  </w:style>
  <w:style w:type="paragraph" w:customStyle="1" w:styleId="610">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611">
    <w:name w:val="无间隔 字符"/>
    <w:qFormat/>
    <w:locked/>
    <w:uiPriority w:val="1"/>
    <w:rPr>
      <w:rFonts w:ascii="Calibri" w:hAnsi="Calibri" w:cs="Calibri"/>
    </w:rPr>
  </w:style>
  <w:style w:type="character" w:customStyle="1" w:styleId="612">
    <w:name w:val="标题 1 字符1"/>
    <w:qFormat/>
    <w:locked/>
    <w:uiPriority w:val="0"/>
    <w:rPr>
      <w:rFonts w:ascii="Arial" w:hAnsi="Arial"/>
      <w:b/>
      <w:color w:val="000000"/>
      <w:kern w:val="28"/>
      <w:sz w:val="36"/>
      <w:lang w:val="en-GB" w:eastAsia="sv-SE"/>
    </w:rPr>
  </w:style>
  <w:style w:type="character" w:customStyle="1" w:styleId="613">
    <w:name w:val="标题 5 字符1"/>
    <w:semiHidden/>
    <w:qFormat/>
    <w:locked/>
    <w:uiPriority w:val="0"/>
    <w:rPr>
      <w:b/>
      <w:bCs/>
      <w:kern w:val="2"/>
      <w:sz w:val="28"/>
      <w:szCs w:val="28"/>
      <w:lang w:val="zh-CN" w:eastAsia="zh-CN"/>
    </w:rPr>
  </w:style>
  <w:style w:type="character" w:customStyle="1" w:styleId="614">
    <w:name w:val="标题 6 字符1"/>
    <w:semiHidden/>
    <w:qFormat/>
    <w:locked/>
    <w:uiPriority w:val="0"/>
    <w:rPr>
      <w:rFonts w:ascii="Cambria" w:hAnsi="Cambria"/>
      <w:b/>
      <w:bCs/>
      <w:kern w:val="2"/>
      <w:sz w:val="24"/>
      <w:szCs w:val="24"/>
      <w:lang w:val="zh-CN" w:eastAsia="zh-CN"/>
    </w:rPr>
  </w:style>
  <w:style w:type="character" w:customStyle="1" w:styleId="615">
    <w:name w:val="标题 8 字符1"/>
    <w:semiHidden/>
    <w:qFormat/>
    <w:locked/>
    <w:uiPriority w:val="0"/>
    <w:rPr>
      <w:rFonts w:ascii="Arial" w:hAnsi="Arial" w:eastAsia="黑体"/>
      <w:sz w:val="24"/>
      <w:lang w:val="zh-CN" w:eastAsia="zh-CN"/>
    </w:rPr>
  </w:style>
  <w:style w:type="character" w:customStyle="1" w:styleId="616">
    <w:name w:val="标题 7 字符1"/>
    <w:semiHidden/>
    <w:qFormat/>
    <w:locked/>
    <w:uiPriority w:val="0"/>
    <w:rPr>
      <w:rFonts w:ascii="宋体"/>
      <w:b/>
      <w:sz w:val="24"/>
      <w:lang w:val="zh-CN" w:eastAsia="zh-CN"/>
    </w:rPr>
  </w:style>
  <w:style w:type="character" w:customStyle="1" w:styleId="617">
    <w:name w:val="标题 2 字符1"/>
    <w:semiHidden/>
    <w:qFormat/>
    <w:locked/>
    <w:uiPriority w:val="0"/>
    <w:rPr>
      <w:rFonts w:ascii="Arial" w:hAnsi="Arial" w:eastAsia="黑体"/>
      <w:b/>
      <w:bCs/>
      <w:sz w:val="32"/>
      <w:szCs w:val="32"/>
      <w:lang w:val="en-GB" w:eastAsia="sv-SE"/>
    </w:rPr>
  </w:style>
  <w:style w:type="character" w:customStyle="1" w:styleId="618">
    <w:name w:val="标题 9 字符1"/>
    <w:semiHidden/>
    <w:qFormat/>
    <w:locked/>
    <w:uiPriority w:val="0"/>
    <w:rPr>
      <w:rFonts w:ascii="Arial" w:hAnsi="Arial" w:eastAsia="黑体"/>
      <w:sz w:val="24"/>
      <w:lang w:val="zh-CN" w:eastAsia="zh-CN"/>
    </w:rPr>
  </w:style>
  <w:style w:type="character" w:customStyle="1" w:styleId="619">
    <w:name w:val="标题 3 字符1"/>
    <w:semiHidden/>
    <w:qFormat/>
    <w:locked/>
    <w:uiPriority w:val="0"/>
    <w:rPr>
      <w:rFonts w:ascii="宋体"/>
      <w:color w:val="000000"/>
      <w:spacing w:val="-20"/>
      <w:sz w:val="28"/>
      <w:lang w:val="zh-CN" w:eastAsia="zh-CN"/>
    </w:rPr>
  </w:style>
  <w:style w:type="character" w:customStyle="1" w:styleId="620">
    <w:name w:val="标题 4 字符1"/>
    <w:semiHidden/>
    <w:qFormat/>
    <w:locked/>
    <w:uiPriority w:val="0"/>
    <w:rPr>
      <w:rFonts w:ascii="Arial" w:hAnsi="Arial" w:eastAsia="黑体"/>
      <w:b/>
      <w:kern w:val="2"/>
      <w:sz w:val="28"/>
      <w:lang w:val="zh-CN" w:eastAsia="zh-CN"/>
    </w:rPr>
  </w:style>
  <w:style w:type="paragraph" w:customStyle="1" w:styleId="621">
    <w:name w:val="(aNormal) + 宋体 + No Spacing"/>
    <w:basedOn w:val="1"/>
    <w:qFormat/>
    <w:uiPriority w:val="0"/>
    <w:pPr>
      <w:widowControl/>
      <w:numPr>
        <w:ilvl w:val="0"/>
        <w:numId w:val="9"/>
      </w:numPr>
      <w:spacing w:after="120" w:line="240" w:lineRule="atLeast"/>
    </w:pPr>
    <w:rPr>
      <w:rFonts w:ascii="宋体" w:hAnsi="宋体"/>
      <w:kern w:val="0"/>
      <w:sz w:val="20"/>
      <w:lang w:val="en-GB"/>
    </w:rPr>
  </w:style>
  <w:style w:type="paragraph" w:customStyle="1" w:styleId="622">
    <w:name w:val="(aNormal) + 宋体"/>
    <w:basedOn w:val="1"/>
    <w:link w:val="623"/>
    <w:qFormat/>
    <w:uiPriority w:val="0"/>
    <w:pPr>
      <w:widowControl/>
      <w:spacing w:before="240" w:after="120"/>
    </w:pPr>
    <w:rPr>
      <w:rFonts w:ascii="宋体" w:hAnsi="宋体"/>
      <w:kern w:val="0"/>
      <w:sz w:val="20"/>
      <w:lang w:val="en-GB"/>
    </w:rPr>
  </w:style>
  <w:style w:type="character" w:customStyle="1" w:styleId="623">
    <w:name w:val="(aNormal) + 宋体 Char"/>
    <w:link w:val="622"/>
    <w:qFormat/>
    <w:uiPriority w:val="0"/>
    <w:rPr>
      <w:rFonts w:ascii="宋体" w:hAnsi="宋体"/>
      <w:lang w:val="en-GB"/>
    </w:rPr>
  </w:style>
  <w:style w:type="paragraph" w:customStyle="1" w:styleId="624">
    <w:name w:val="Standard-Text"/>
    <w:basedOn w:val="1"/>
    <w:next w:val="1"/>
    <w:qFormat/>
    <w:uiPriority w:val="0"/>
    <w:pPr>
      <w:widowControl/>
      <w:spacing w:before="120" w:after="120" w:line="240" w:lineRule="atLeast"/>
    </w:pPr>
    <w:rPr>
      <w:rFonts w:ascii="Arial" w:hAnsi="Arial"/>
      <w:kern w:val="0"/>
      <w:sz w:val="20"/>
      <w:lang w:val="en-GB" w:eastAsia="en-US"/>
    </w:rPr>
  </w:style>
  <w:style w:type="paragraph" w:customStyle="1" w:styleId="625">
    <w:name w:val="Standard-Text Char"/>
    <w:basedOn w:val="1"/>
    <w:next w:val="1"/>
    <w:link w:val="626"/>
    <w:qFormat/>
    <w:uiPriority w:val="0"/>
    <w:pPr>
      <w:widowControl/>
      <w:spacing w:before="120" w:after="120"/>
    </w:pPr>
    <w:rPr>
      <w:rFonts w:ascii="Arial" w:hAnsi="Arial" w:eastAsia="Times New Roman"/>
      <w:kern w:val="0"/>
      <w:sz w:val="20"/>
      <w:lang w:val="en-GB" w:eastAsia="en-US"/>
    </w:rPr>
  </w:style>
  <w:style w:type="character" w:customStyle="1" w:styleId="626">
    <w:name w:val="Standard-Text Char Char"/>
    <w:link w:val="625"/>
    <w:qFormat/>
    <w:uiPriority w:val="0"/>
    <w:rPr>
      <w:rFonts w:ascii="Arial" w:hAnsi="Arial" w:eastAsia="Times New Roman"/>
      <w:lang w:val="en-GB" w:eastAsia="en-US"/>
    </w:rPr>
  </w:style>
  <w:style w:type="paragraph" w:customStyle="1" w:styleId="627">
    <w:name w:val="Standard Arial"/>
    <w:basedOn w:val="1"/>
    <w:qFormat/>
    <w:uiPriority w:val="0"/>
    <w:pPr>
      <w:spacing w:after="160"/>
      <w:ind w:left="851"/>
    </w:pPr>
    <w:rPr>
      <w:rFonts w:ascii="Arial" w:hAnsi="Arial" w:eastAsia="Times New Roman"/>
      <w:kern w:val="0"/>
      <w:sz w:val="20"/>
      <w:lang w:val="en-GB" w:eastAsia="de-DE"/>
    </w:rPr>
  </w:style>
  <w:style w:type="paragraph" w:customStyle="1" w:styleId="628">
    <w:name w:val="STANDARD-EINGERÜCKT"/>
    <w:basedOn w:val="1"/>
    <w:qFormat/>
    <w:uiPriority w:val="0"/>
    <w:pPr>
      <w:spacing w:after="120"/>
      <w:ind w:left="1418"/>
    </w:pPr>
    <w:rPr>
      <w:rFonts w:ascii="Arial" w:hAnsi="Arial" w:eastAsia="Times New Roman"/>
      <w:kern w:val="0"/>
      <w:sz w:val="20"/>
      <w:lang w:val="de-DE" w:eastAsia="de-DE"/>
    </w:rPr>
  </w:style>
  <w:style w:type="paragraph" w:customStyle="1" w:styleId="629">
    <w:name w:val="(aHead3) + 宋体"/>
    <w:basedOn w:val="5"/>
    <w:next w:val="622"/>
    <w:qFormat/>
    <w:uiPriority w:val="0"/>
    <w:pPr>
      <w:keepLines w:val="0"/>
      <w:tabs>
        <w:tab w:val="left" w:pos="432"/>
      </w:tabs>
      <w:spacing w:before="120" w:after="240" w:line="240" w:lineRule="auto"/>
    </w:pPr>
    <w:rPr>
      <w:rFonts w:ascii="宋体" w:hAnsi="宋体" w:cs="Arial"/>
      <w:sz w:val="24"/>
      <w:szCs w:val="26"/>
      <w:lang w:val="en-GB" w:eastAsia="en-US"/>
    </w:rPr>
  </w:style>
  <w:style w:type="paragraph" w:customStyle="1" w:styleId="630">
    <w:name w:val="Heading 3 + 14 pt"/>
    <w:basedOn w:val="629"/>
    <w:qFormat/>
    <w:uiPriority w:val="0"/>
    <w:rPr>
      <w:sz w:val="28"/>
      <w:szCs w:val="28"/>
      <w:lang w:eastAsia="zh-CN"/>
    </w:rPr>
  </w:style>
  <w:style w:type="paragraph" w:customStyle="1" w:styleId="631">
    <w:name w:val="Standardabsatz"/>
    <w:basedOn w:val="1"/>
    <w:qFormat/>
    <w:uiPriority w:val="0"/>
    <w:pPr>
      <w:keepLines/>
      <w:widowControl/>
      <w:overflowPunct w:val="0"/>
      <w:autoSpaceDE w:val="0"/>
      <w:autoSpaceDN w:val="0"/>
      <w:adjustRightInd w:val="0"/>
      <w:spacing w:before="240" w:after="160"/>
      <w:textAlignment w:val="baseline"/>
    </w:pPr>
    <w:rPr>
      <w:rFonts w:ascii="Arial" w:hAnsi="Arial"/>
      <w:kern w:val="0"/>
      <w:sz w:val="20"/>
      <w:lang w:val="en-GB"/>
    </w:rPr>
  </w:style>
  <w:style w:type="paragraph" w:customStyle="1" w:styleId="632">
    <w:name w:val="(aHeading 4)+宋体"/>
    <w:basedOn w:val="6"/>
    <w:next w:val="622"/>
    <w:link w:val="633"/>
    <w:qFormat/>
    <w:uiPriority w:val="0"/>
    <w:pPr>
      <w:keepLines w:val="0"/>
      <w:widowControl w:val="0"/>
      <w:tabs>
        <w:tab w:val="left" w:pos="432"/>
        <w:tab w:val="left" w:pos="1080"/>
      </w:tabs>
      <w:autoSpaceDE w:val="0"/>
      <w:autoSpaceDN w:val="0"/>
      <w:adjustRightInd w:val="0"/>
      <w:spacing w:before="240" w:after="120" w:line="240" w:lineRule="auto"/>
      <w:ind w:left="1080" w:hanging="1080"/>
      <w:jc w:val="both"/>
    </w:pPr>
    <w:rPr>
      <w:rFonts w:ascii="宋体" w:hAnsi="宋体"/>
      <w:b/>
      <w:bCs/>
      <w:color w:val="auto"/>
      <w:kern w:val="2"/>
      <w:sz w:val="24"/>
      <w:szCs w:val="28"/>
      <w:lang w:val="zh-CN"/>
    </w:rPr>
  </w:style>
  <w:style w:type="character" w:customStyle="1" w:styleId="633">
    <w:name w:val="(aHeading 4)+宋体 Char Char"/>
    <w:link w:val="632"/>
    <w:qFormat/>
    <w:uiPriority w:val="0"/>
    <w:rPr>
      <w:rFonts w:ascii="宋体" w:hAnsi="宋体"/>
      <w:b/>
      <w:bCs/>
      <w:kern w:val="2"/>
      <w:sz w:val="24"/>
      <w:szCs w:val="28"/>
      <w:lang w:val="zh-CN"/>
    </w:rPr>
  </w:style>
  <w:style w:type="paragraph" w:customStyle="1" w:styleId="634">
    <w:name w:val="Standard-Text-Aufzählung"/>
    <w:basedOn w:val="1"/>
    <w:qFormat/>
    <w:uiPriority w:val="0"/>
    <w:pPr>
      <w:widowControl/>
      <w:tabs>
        <w:tab w:val="left" w:pos="1418"/>
      </w:tabs>
      <w:spacing w:after="120"/>
      <w:ind w:left="1702" w:hanging="284"/>
    </w:pPr>
    <w:rPr>
      <w:rFonts w:ascii="Arial" w:hAnsi="Arial"/>
      <w:kern w:val="0"/>
      <w:sz w:val="20"/>
      <w:lang w:val="de-DE" w:eastAsia="en-US"/>
    </w:rPr>
  </w:style>
  <w:style w:type="character" w:customStyle="1" w:styleId="635">
    <w:name w:val="short_text1"/>
    <w:qFormat/>
    <w:uiPriority w:val="0"/>
    <w:rPr>
      <w:sz w:val="29"/>
      <w:szCs w:val="29"/>
    </w:rPr>
  </w:style>
  <w:style w:type="paragraph" w:customStyle="1" w:styleId="636">
    <w:name w:val="Daten"/>
    <w:qFormat/>
    <w:uiPriority w:val="0"/>
    <w:pPr>
      <w:tabs>
        <w:tab w:val="left" w:pos="227"/>
        <w:tab w:val="left" w:pos="454"/>
        <w:tab w:val="left" w:pos="4763"/>
        <w:tab w:val="right" w:pos="9526"/>
      </w:tabs>
      <w:spacing w:after="160" w:line="259" w:lineRule="auto"/>
      <w:ind w:left="4763" w:hanging="4763"/>
    </w:pPr>
    <w:rPr>
      <w:rFonts w:ascii="Arial" w:hAnsi="Arial" w:eastAsia="Times New Roman" w:cs="Times New Roman"/>
      <w:color w:val="000000"/>
      <w:lang w:val="de-DE" w:eastAsia="de-DE" w:bidi="ar-SA"/>
    </w:rPr>
  </w:style>
  <w:style w:type="paragraph" w:customStyle="1" w:styleId="637">
    <w:name w:val="Style Body Text + Justified"/>
    <w:basedOn w:val="35"/>
    <w:qFormat/>
    <w:uiPriority w:val="0"/>
    <w:pPr>
      <w:spacing w:after="160"/>
    </w:pPr>
    <w:rPr>
      <w:rFonts w:ascii="宋体" w:hAnsi="宋体" w:eastAsia="宋体"/>
      <w:sz w:val="21"/>
      <w:lang w:val="de-DE"/>
    </w:rPr>
  </w:style>
  <w:style w:type="paragraph" w:customStyle="1" w:styleId="638">
    <w:name w:val="Header1-14"/>
    <w:basedOn w:val="3"/>
    <w:qFormat/>
    <w:uiPriority w:val="0"/>
    <w:pPr>
      <w:keepNext w:val="0"/>
      <w:keepLines w:val="0"/>
      <w:tabs>
        <w:tab w:val="left" w:pos="360"/>
      </w:tabs>
      <w:autoSpaceDE w:val="0"/>
      <w:autoSpaceDN w:val="0"/>
      <w:adjustRightInd w:val="0"/>
      <w:spacing w:before="240" w:after="240" w:line="240" w:lineRule="auto"/>
      <w:ind w:left="360" w:hanging="360"/>
    </w:pPr>
    <w:rPr>
      <w:rFonts w:ascii="宋体" w:hAnsi="宋体" w:cs="Arial"/>
      <w:bCs w:val="0"/>
      <w:caps/>
      <w:kern w:val="2"/>
      <w:sz w:val="28"/>
      <w:szCs w:val="32"/>
      <w:lang w:val="zh-CN"/>
    </w:rPr>
  </w:style>
  <w:style w:type="paragraph" w:customStyle="1" w:styleId="639">
    <w:name w:val="Header 2-12"/>
    <w:basedOn w:val="4"/>
    <w:next w:val="622"/>
    <w:qFormat/>
    <w:uiPriority w:val="0"/>
    <w:pPr>
      <w:keepNext w:val="0"/>
      <w:keepLines w:val="0"/>
      <w:tabs>
        <w:tab w:val="left" w:pos="390"/>
        <w:tab w:val="left" w:pos="1008"/>
      </w:tabs>
      <w:autoSpaceDE w:val="0"/>
      <w:autoSpaceDN w:val="0"/>
      <w:adjustRightInd w:val="0"/>
      <w:spacing w:before="240" w:after="240" w:line="240" w:lineRule="auto"/>
      <w:ind w:left="390" w:hanging="390"/>
    </w:pPr>
    <w:rPr>
      <w:rFonts w:ascii="宋体" w:hAnsi="宋体" w:eastAsia="宋体" w:cs="Arial"/>
      <w:caps/>
      <w:sz w:val="24"/>
      <w:szCs w:val="28"/>
    </w:rPr>
  </w:style>
  <w:style w:type="paragraph" w:customStyle="1" w:styleId="640">
    <w:name w:val="aHead3-10"/>
    <w:basedOn w:val="629"/>
    <w:next w:val="622"/>
    <w:qFormat/>
    <w:uiPriority w:val="0"/>
    <w:pPr>
      <w:tabs>
        <w:tab w:val="left" w:pos="936"/>
      </w:tabs>
      <w:spacing w:before="240"/>
      <w:ind w:left="720" w:hanging="504"/>
    </w:pPr>
    <w:rPr>
      <w:sz w:val="20"/>
    </w:rPr>
  </w:style>
  <w:style w:type="paragraph" w:customStyle="1" w:styleId="641">
    <w:name w:val="aHeader3-10"/>
    <w:basedOn w:val="629"/>
    <w:qFormat/>
    <w:uiPriority w:val="0"/>
    <w:rPr>
      <w:sz w:val="20"/>
    </w:rPr>
  </w:style>
  <w:style w:type="paragraph" w:customStyle="1" w:styleId="642">
    <w:name w:val="Header1-141"/>
    <w:basedOn w:val="3"/>
    <w:next w:val="638"/>
    <w:qFormat/>
    <w:uiPriority w:val="0"/>
    <w:pPr>
      <w:keepNext w:val="0"/>
      <w:keepLines w:val="0"/>
      <w:tabs>
        <w:tab w:val="left" w:pos="360"/>
      </w:tabs>
      <w:autoSpaceDE w:val="0"/>
      <w:autoSpaceDN w:val="0"/>
      <w:adjustRightInd w:val="0"/>
      <w:spacing w:before="240" w:after="240" w:line="240" w:lineRule="auto"/>
      <w:ind w:left="360" w:hanging="360"/>
    </w:pPr>
    <w:rPr>
      <w:rFonts w:ascii="宋体" w:hAnsi="宋体" w:cs="Arial"/>
      <w:bCs w:val="0"/>
      <w:caps/>
      <w:kern w:val="2"/>
      <w:sz w:val="28"/>
      <w:szCs w:val="32"/>
      <w:lang w:val="zh-CN"/>
    </w:rPr>
  </w:style>
  <w:style w:type="paragraph" w:customStyle="1" w:styleId="643">
    <w:name w:val="z-窗体顶端1"/>
    <w:basedOn w:val="1"/>
    <w:link w:val="644"/>
    <w:qFormat/>
    <w:uiPriority w:val="0"/>
    <w:pPr>
      <w:spacing w:after="160"/>
    </w:pPr>
    <w:rPr>
      <w:rFonts w:ascii="Calibri" w:hAnsi="Calibri"/>
      <w:szCs w:val="22"/>
    </w:rPr>
  </w:style>
  <w:style w:type="character" w:customStyle="1" w:styleId="644">
    <w:name w:val="z-窗体顶端 字符"/>
    <w:link w:val="643"/>
    <w:qFormat/>
    <w:uiPriority w:val="0"/>
    <w:rPr>
      <w:rFonts w:ascii="Calibri" w:hAnsi="Calibri"/>
      <w:kern w:val="2"/>
      <w:sz w:val="21"/>
      <w:szCs w:val="22"/>
    </w:rPr>
  </w:style>
  <w:style w:type="character" w:customStyle="1" w:styleId="645">
    <w:name w:val="short_text"/>
    <w:qFormat/>
    <w:uiPriority w:val="0"/>
  </w:style>
  <w:style w:type="character" w:customStyle="1" w:styleId="646">
    <w:name w:val="未处理的提及1"/>
    <w:semiHidden/>
    <w:unhideWhenUsed/>
    <w:qFormat/>
    <w:uiPriority w:val="99"/>
    <w:rPr>
      <w:color w:val="605E5C"/>
      <w:shd w:val="clear" w:color="auto" w:fill="E1DFDD"/>
    </w:rPr>
  </w:style>
  <w:style w:type="paragraph" w:styleId="647">
    <w:name w:val="List Paragraph"/>
    <w:basedOn w:val="1"/>
    <w:qFormat/>
    <w:uiPriority w:val="99"/>
    <w:pPr>
      <w:ind w:firstLine="420" w:firstLineChars="200"/>
    </w:pPr>
  </w:style>
  <w:style w:type="character" w:customStyle="1" w:styleId="648">
    <w:name w:val="正文文本首行缩进 2 字符1"/>
    <w:basedOn w:val="170"/>
    <w:link w:val="81"/>
    <w:qFormat/>
    <w:uiPriority w:val="99"/>
    <w:rPr>
      <w:kern w:val="2"/>
      <w:sz w:val="21"/>
    </w:rPr>
  </w:style>
  <w:style w:type="paragraph" w:customStyle="1" w:styleId="649">
    <w:name w:val="_Style 648"/>
    <w:basedOn w:val="1"/>
    <w:next w:val="647"/>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5" Type="http://schemas.openxmlformats.org/officeDocument/2006/relationships/fontTable" Target="fontTable.xml"/><Relationship Id="rId44" Type="http://schemas.openxmlformats.org/officeDocument/2006/relationships/customXml" Target="../customXml/item2.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2.png"/><Relationship Id="rId40" Type="http://schemas.openxmlformats.org/officeDocument/2006/relationships/image" Target="media/image11.png"/><Relationship Id="rId4" Type="http://schemas.openxmlformats.org/officeDocument/2006/relationships/header" Target="header2.xml"/><Relationship Id="rId39" Type="http://schemas.openxmlformats.org/officeDocument/2006/relationships/image" Target="media/image10.png"/><Relationship Id="rId38" Type="http://schemas.openxmlformats.org/officeDocument/2006/relationships/image" Target="media/image9.png"/><Relationship Id="rId37" Type="http://schemas.openxmlformats.org/officeDocument/2006/relationships/image" Target="media/image8.png"/><Relationship Id="rId36" Type="http://schemas.openxmlformats.org/officeDocument/2006/relationships/image" Target="media/image7.png"/><Relationship Id="rId35" Type="http://schemas.openxmlformats.org/officeDocument/2006/relationships/image" Target="media/image6.png"/><Relationship Id="rId34" Type="http://schemas.openxmlformats.org/officeDocument/2006/relationships/image" Target="media/image5.png"/><Relationship Id="rId33" Type="http://schemas.openxmlformats.org/officeDocument/2006/relationships/image" Target="media/image4.png"/><Relationship Id="rId32" Type="http://schemas.openxmlformats.org/officeDocument/2006/relationships/image" Target="media/image3.png"/><Relationship Id="rId31" Type="http://schemas.openxmlformats.org/officeDocument/2006/relationships/image" Target="media/image2.png"/><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header" Target="header12.xml"/><Relationship Id="rId27" Type="http://schemas.openxmlformats.org/officeDocument/2006/relationships/header" Target="header11.xml"/><Relationship Id="rId26" Type="http://schemas.openxmlformats.org/officeDocument/2006/relationships/footer" Target="footer14.xml"/><Relationship Id="rId25" Type="http://schemas.openxmlformats.org/officeDocument/2006/relationships/header" Target="header10.xml"/><Relationship Id="rId24" Type="http://schemas.openxmlformats.org/officeDocument/2006/relationships/header" Target="header9.xml"/><Relationship Id="rId23" Type="http://schemas.openxmlformats.org/officeDocument/2006/relationships/header" Target="header8.xml"/><Relationship Id="rId22" Type="http://schemas.openxmlformats.org/officeDocument/2006/relationships/header" Target="header7.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02D8C1-2C50-4DD3-9AC3-0CEBCBA7CC8E}">
  <ds:schemaRefs/>
</ds:datastoreItem>
</file>

<file path=docProps/app.xml><?xml version="1.0" encoding="utf-8"?>
<Properties xmlns="http://schemas.openxmlformats.org/officeDocument/2006/extended-properties" xmlns:vt="http://schemas.openxmlformats.org/officeDocument/2006/docPropsVTypes">
  <Pages>52</Pages>
  <Words>3743</Words>
  <Characters>3873</Characters>
  <Lines>518</Lines>
  <Paragraphs>145</Paragraphs>
  <TotalTime>0</TotalTime>
  <ScaleCrop>false</ScaleCrop>
  <LinksUpToDate>false</LinksUpToDate>
  <CharactersWithSpaces>3924</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2022-09-07T06:31:00Z</dcterms:created>
  <dc:creator>微软用户</dc:creator>
  <cp:lastModifiedBy>南夕</cp:lastModifiedBy>
  <cp:lastPrinted>2021-05-14T00:51:00Z</cp:lastPrinted>
  <dcterms:modified xsi:type="dcterms:W3CDTF">2026-07-14T17:39:05Z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MSIP_Label_9764cdcd-3664-4d05-9615-7cbf65a4f0a8_Enabled">
    <vt:lpwstr>true</vt:lpwstr>
  </property>
  <property fmtid="{D5CDD505-2E9C-101B-9397-08002B2CF9AE}" pid="4" name="MSIP_Label_9764cdcd-3664-4d05-9615-7cbf65a4f0a8_SetDate">
    <vt:lpwstr>2022-09-06T06:31:04Z</vt:lpwstr>
  </property>
  <property fmtid="{D5CDD505-2E9C-101B-9397-08002B2CF9AE}" pid="5" name="MSIP_Label_9764cdcd-3664-4d05-9615-7cbf65a4f0a8_Method">
    <vt:lpwstr>Privileged</vt:lpwstr>
  </property>
  <property fmtid="{D5CDD505-2E9C-101B-9397-08002B2CF9AE}" pid="6" name="MSIP_Label_9764cdcd-3664-4d05-9615-7cbf65a4f0a8_Name">
    <vt:lpwstr>UNRESTRICTED</vt:lpwstr>
  </property>
  <property fmtid="{D5CDD505-2E9C-101B-9397-08002B2CF9AE}" pid="7" name="MSIP_Label_9764cdcd-3664-4d05-9615-7cbf65a4f0a8_SiteId">
    <vt:lpwstr>74bddbd9-705c-456e-aabd-99beb719a2b2</vt:lpwstr>
  </property>
  <property fmtid="{D5CDD505-2E9C-101B-9397-08002B2CF9AE}" pid="8" name="MSIP_Label_9764cdcd-3664-4d05-9615-7cbf65a4f0a8_ActionId">
    <vt:lpwstr>f03af401-43ea-42dd-85d9-efd57e0652f6</vt:lpwstr>
  </property>
  <property fmtid="{D5CDD505-2E9C-101B-9397-08002B2CF9AE}" pid="9" name="MSIP_Label_9764cdcd-3664-4d05-9615-7cbf65a4f0a8_ContentBits">
    <vt:lpwstr>0</vt:lpwstr>
  </property>
  <property fmtid="{D5CDD505-2E9C-101B-9397-08002B2CF9AE}" pid="10" name="KSOTemplateDocerSaveRecord">
    <vt:lpwstr>eyJoZGlkIjoiMTc1ZDQ3MDAzYTFhNWE5NTU2MTA1MzJlMTZjNTIwZTgiLCJ1c2VySWQiOiI3MTQwODY2MjEifQ==</vt:lpwstr>
  </property>
  <property fmtid="{D5CDD505-2E9C-101B-9397-08002B2CF9AE}" pid="11" name="ICV">
    <vt:lpwstr>28FAABBE145F4444929B73FD1CB249D4_12</vt:lpwstr>
  </property>
</Properties>
</file>