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highlight w:val="none"/>
        </w:rPr>
      </w:pPr>
      <w:bookmarkStart w:id="0" w:name="OLE_LINK31"/>
      <w:bookmarkStart w:id="1" w:name="OLE_LINK30"/>
    </w:p>
    <w:p>
      <w:pPr>
        <w:pStyle w:val="50"/>
      </w:pPr>
    </w:p>
    <w:p>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eastAsia="zh-CN"/>
        </w:rPr>
        <w:t>济南车桥公司磨床在线检测升级改造技改项目</w:t>
      </w:r>
    </w:p>
    <w:p>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jc w:val="right"/>
        <w:rPr>
          <w:rFonts w:ascii="Calibri" w:hAnsi="Calibri" w:eastAsia="宋体" w:cs="Times New Roman"/>
          <w:color w:val="000000"/>
          <w:sz w:val="28"/>
          <w:szCs w:val="28"/>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招</w:t>
      </w:r>
    </w:p>
    <w:p>
      <w:pPr>
        <w:jc w:val="center"/>
        <w:rPr>
          <w:rFonts w:ascii="黑体" w:hAnsi="宋体" w:eastAsia="黑体" w:cs="Times New Roman"/>
          <w:color w:val="000000"/>
          <w:sz w:val="72"/>
          <w:szCs w:val="72"/>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标</w:t>
      </w:r>
    </w:p>
    <w:p>
      <w:pPr>
        <w:jc w:val="center"/>
        <w:rPr>
          <w:rFonts w:ascii="黑体" w:hAnsi="宋体" w:eastAsia="黑体" w:cs="Times New Roman"/>
          <w:color w:val="000000"/>
          <w:sz w:val="72"/>
          <w:szCs w:val="72"/>
          <w:highlight w:val="none"/>
        </w:rPr>
      </w:pPr>
    </w:p>
    <w:p>
      <w:pPr>
        <w:jc w:val="center"/>
        <w:rPr>
          <w:rFonts w:ascii="宋体" w:hAnsi="Calibri" w:eastAsia="宋体" w:cs="Times New Roman"/>
          <w:color w:val="000000"/>
          <w:sz w:val="28"/>
          <w:szCs w:val="28"/>
          <w:highlight w:val="none"/>
        </w:rPr>
      </w:pPr>
      <w:r>
        <w:rPr>
          <w:rFonts w:hint="eastAsia" w:ascii="黑体" w:hAnsi="宋体" w:eastAsia="黑体" w:cs="Times New Roman"/>
          <w:color w:val="000000"/>
          <w:sz w:val="72"/>
          <w:szCs w:val="72"/>
          <w:highlight w:val="none"/>
        </w:rPr>
        <w:t>书</w:t>
      </w:r>
    </w:p>
    <w:p>
      <w:pPr>
        <w:spacing w:line="860" w:lineRule="exact"/>
        <w:rPr>
          <w:rFonts w:ascii="华文仿宋" w:hAnsi="华文仿宋" w:eastAsia="华文仿宋"/>
          <w:b/>
          <w:bCs/>
          <w:sz w:val="32"/>
          <w:szCs w:val="28"/>
          <w:highlight w:val="none"/>
        </w:rPr>
      </w:pPr>
      <w:r>
        <w:rPr>
          <w:rFonts w:hint="eastAsia" w:ascii="华文仿宋" w:hAnsi="华文仿宋" w:eastAsia="华文仿宋"/>
          <w:sz w:val="32"/>
          <w:szCs w:val="28"/>
          <w:highlight w:val="none"/>
        </w:rPr>
        <w:t xml:space="preserve">                </w:t>
      </w:r>
      <w:r>
        <w:rPr>
          <w:rFonts w:hint="eastAsia" w:ascii="华文仿宋" w:hAnsi="华文仿宋" w:eastAsia="华文仿宋"/>
          <w:b/>
          <w:bCs/>
          <w:sz w:val="32"/>
          <w:szCs w:val="28"/>
          <w:highlight w:val="none"/>
        </w:rPr>
        <w:t xml:space="preserve"> </w:t>
      </w:r>
    </w:p>
    <w:p>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pPr>
        <w:pStyle w:val="17"/>
        <w:rPr>
          <w:b/>
          <w:bCs/>
          <w:highlight w:val="none"/>
        </w:rPr>
      </w:pPr>
    </w:p>
    <w:p>
      <w:pPr>
        <w:jc w:val="center"/>
        <w:rPr>
          <w:rFonts w:ascii="宋体" w:hAnsi="Calibri" w:eastAsia="宋体" w:cs="Times New Roman"/>
          <w:color w:val="000000"/>
          <w:sz w:val="28"/>
          <w:szCs w:val="28"/>
          <w:highlight w:val="none"/>
        </w:rPr>
      </w:pPr>
      <w:r>
        <w:rPr>
          <w:rFonts w:hint="eastAsia" w:ascii="宋体" w:hAnsi="宋体" w:eastAsia="宋体" w:cs="Times New Roman"/>
          <w:color w:val="000000"/>
          <w:sz w:val="28"/>
          <w:szCs w:val="28"/>
          <w:highlight w:val="none"/>
        </w:rPr>
        <w:t>招</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标</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人：重汽（济南）车桥有限公司</w:t>
      </w:r>
    </w:p>
    <w:p>
      <w:pPr>
        <w:jc w:val="center"/>
        <w:rPr>
          <w:rFonts w:ascii="宋体" w:hAnsi="Calibri" w:eastAsia="宋体" w:cs="Times New Roman"/>
          <w:color w:val="000000"/>
          <w:sz w:val="28"/>
          <w:szCs w:val="28"/>
          <w:highlight w:val="none"/>
        </w:rPr>
      </w:pPr>
      <w:r>
        <w:rPr>
          <w:rFonts w:hint="eastAsia" w:ascii="Calibri" w:hAnsi="Calibri" w:eastAsia="宋体" w:cs="Times New Roman"/>
          <w:color w:val="000000"/>
          <w:sz w:val="28"/>
          <w:szCs w:val="28"/>
          <w:highlight w:val="none"/>
        </w:rPr>
        <w:t>202</w:t>
      </w:r>
      <w:r>
        <w:rPr>
          <w:rFonts w:hint="eastAsia" w:ascii="Calibri" w:hAnsi="Calibri" w:eastAsia="宋体" w:cs="Times New Roman"/>
          <w:color w:val="000000"/>
          <w:sz w:val="28"/>
          <w:szCs w:val="28"/>
          <w:highlight w:val="none"/>
          <w:lang w:val="en-US" w:eastAsia="zh-CN"/>
        </w:rPr>
        <w:t>6</w:t>
      </w:r>
      <w:r>
        <w:rPr>
          <w:rFonts w:hint="eastAsia" w:ascii="Calibri" w:hAnsi="Calibri" w:eastAsia="宋体" w:cs="Times New Roman"/>
          <w:color w:val="000000"/>
          <w:sz w:val="28"/>
          <w:szCs w:val="28"/>
          <w:highlight w:val="none"/>
        </w:rPr>
        <w:t>年</w:t>
      </w:r>
      <w:r>
        <w:rPr>
          <w:rFonts w:hint="eastAsia" w:ascii="Calibri" w:hAnsi="Calibri" w:eastAsia="宋体" w:cs="Times New Roman"/>
          <w:color w:val="000000"/>
          <w:sz w:val="28"/>
          <w:szCs w:val="28"/>
          <w:highlight w:val="none"/>
          <w:lang w:val="en-US" w:eastAsia="zh-CN"/>
        </w:rPr>
        <w:t>7</w:t>
      </w:r>
      <w:r>
        <w:rPr>
          <w:rFonts w:hint="eastAsia" w:ascii="Calibri" w:hAnsi="Calibri" w:eastAsia="宋体" w:cs="Times New Roman"/>
          <w:color w:val="000000"/>
          <w:sz w:val="28"/>
          <w:szCs w:val="28"/>
          <w:highlight w:val="none"/>
        </w:rPr>
        <w:t>月</w:t>
      </w:r>
    </w:p>
    <w:p>
      <w:pPr>
        <w:keepNext/>
        <w:keepLines/>
        <w:jc w:val="center"/>
        <w:rPr>
          <w:rFonts w:ascii="Calibri" w:hAnsi="Calibri" w:eastAsia="宋体" w:cs="Times New Roman"/>
          <w:b/>
          <w:bCs/>
          <w:kern w:val="44"/>
          <w:sz w:val="36"/>
          <w:szCs w:val="44"/>
          <w:highlight w:val="none"/>
        </w:rPr>
        <w:sectPr>
          <w:headerReference r:id="rId4" w:type="first"/>
          <w:footerReference r:id="rId6" w:type="first"/>
          <w:headerReference r:id="rId3" w:type="default"/>
          <w:footerReference r:id="rId5" w:type="default"/>
          <w:pgSz w:w="11906" w:h="16838"/>
          <w:pgMar w:top="1588" w:right="1418" w:bottom="1134" w:left="1418" w:header="851" w:footer="992" w:gutter="0"/>
          <w:pgNumType w:fmt="decimal" w:start="1"/>
          <w:cols w:space="720" w:num="1"/>
          <w:titlePg/>
          <w:docGrid w:type="lines" w:linePitch="312" w:charSpace="0"/>
        </w:sectPr>
      </w:pPr>
    </w:p>
    <w:sdt>
      <w:sdtPr>
        <w:rPr>
          <w:rFonts w:ascii="宋体" w:hAnsi="宋体" w:eastAsia="宋体" w:cs="宋体"/>
          <w:b/>
          <w:bCs/>
          <w:sz w:val="48"/>
          <w:szCs w:val="48"/>
          <w:highlight w:val="none"/>
        </w:rPr>
        <w:id w:val="147459055"/>
        <w15:color w:val="DBDBDB"/>
        <w:docPartObj>
          <w:docPartGallery w:val="Table of Contents"/>
          <w:docPartUnique/>
        </w:docPartObj>
      </w:sdtPr>
      <w:sdtEndPr>
        <w:rPr>
          <w:rFonts w:hint="eastAsia" w:ascii="Calibri" w:hAnsi="Calibri" w:eastAsia="宋体" w:cs="Times New Roman"/>
          <w:b/>
          <w:bCs/>
          <w:kern w:val="44"/>
          <w:sz w:val="21"/>
          <w:szCs w:val="44"/>
          <w:highlight w:val="none"/>
        </w:rPr>
      </w:sdtEndPr>
      <w:sdtContent>
        <w:p>
          <w:pPr>
            <w:spacing w:line="480" w:lineRule="auto"/>
            <w:jc w:val="center"/>
            <w:rPr>
              <w:rFonts w:cs="宋体"/>
              <w:b/>
              <w:bCs/>
              <w:sz w:val="48"/>
              <w:szCs w:val="48"/>
              <w:highlight w:val="none"/>
            </w:rPr>
          </w:pPr>
          <w:r>
            <w:rPr>
              <w:rFonts w:ascii="宋体" w:hAnsi="宋体" w:eastAsia="宋体" w:cs="宋体"/>
              <w:b/>
              <w:bCs/>
              <w:sz w:val="48"/>
              <w:szCs w:val="48"/>
              <w:highlight w:val="none"/>
            </w:rPr>
            <w:t>目录</w:t>
          </w:r>
        </w:p>
        <w:p>
          <w:pPr>
            <w:pStyle w:val="24"/>
            <w:tabs>
              <w:tab w:val="right" w:leader="dot" w:pos="9071"/>
            </w:tabs>
            <w:spacing w:line="480" w:lineRule="auto"/>
            <w:rPr>
              <w:color w:val="auto"/>
              <w:sz w:val="32"/>
              <w:szCs w:val="32"/>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highlight w:val="none"/>
            </w:rPr>
            <w:fldChar w:fldCharType="begin"/>
          </w:r>
          <w:r>
            <w:rPr>
              <w:highlight w:val="none"/>
            </w:rPr>
            <w:instrText xml:space="preserve"> HYPERLINK \l "_Toc25915" </w:instrText>
          </w:r>
          <w:r>
            <w:rPr>
              <w:highlight w:val="none"/>
            </w:rPr>
            <w:fldChar w:fldCharType="separate"/>
          </w:r>
          <w:r>
            <w:rPr>
              <w:rFonts w:hint="eastAsia" w:ascii="Calibri" w:hAnsi="Calibri"/>
              <w:bCs/>
              <w:color w:val="auto"/>
              <w:kern w:val="44"/>
              <w:sz w:val="32"/>
              <w:szCs w:val="32"/>
              <w:highlight w:val="none"/>
            </w:rPr>
            <w:t>第一部分 投标人须知前附表</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"_Toc15609" </w:instrText>
          </w:r>
          <w:r>
            <w:rPr>
              <w:highlight w:val="none"/>
            </w:rPr>
            <w:fldChar w:fldCharType="separate"/>
          </w:r>
          <w:r>
            <w:rPr>
              <w:rFonts w:hint="eastAsia" w:ascii="Calibri" w:hAnsi="Calibri"/>
              <w:bCs/>
              <w:color w:val="auto"/>
              <w:kern w:val="44"/>
              <w:sz w:val="32"/>
              <w:szCs w:val="32"/>
              <w:highlight w:val="none"/>
            </w:rPr>
            <w:t>第二部分 投标人须知</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7</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"_Toc22879" </w:instrText>
          </w:r>
          <w:r>
            <w:rPr>
              <w:highlight w:val="none"/>
            </w:rPr>
            <w:fldChar w:fldCharType="separate"/>
          </w:r>
          <w:r>
            <w:rPr>
              <w:rFonts w:hint="eastAsia" w:ascii="Calibri" w:hAnsi="Calibri"/>
              <w:bCs/>
              <w:color w:val="auto"/>
              <w:kern w:val="44"/>
              <w:sz w:val="32"/>
              <w:szCs w:val="32"/>
              <w:highlight w:val="none"/>
            </w:rPr>
            <w:t>第三部分 投标文件编制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"_Toc9849" </w:instrText>
          </w:r>
          <w:r>
            <w:rPr>
              <w:highlight w:val="none"/>
            </w:rPr>
            <w:fldChar w:fldCharType="separate"/>
          </w:r>
          <w:r>
            <w:rPr>
              <w:rFonts w:hint="eastAsia" w:ascii="Calibri" w:hAnsi="Calibri"/>
              <w:bCs/>
              <w:color w:val="auto"/>
              <w:kern w:val="44"/>
              <w:sz w:val="32"/>
              <w:szCs w:val="32"/>
              <w:highlight w:val="none"/>
            </w:rPr>
            <w:t>第四部分 技术标书</w:t>
          </w:r>
          <w:r>
            <w:rPr>
              <w:rFonts w:hint="eastAsia" w:ascii="Calibri"/>
              <w:bCs/>
              <w:color w:val="auto"/>
              <w:spacing w:val="-8"/>
              <w:sz w:val="32"/>
              <w:szCs w:val="32"/>
              <w:highlight w:val="none"/>
            </w:rPr>
            <w:t xml:space="preserve"> </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16</w:t>
          </w:r>
        </w:p>
        <w:p>
          <w:pPr>
            <w:pStyle w:val="24"/>
            <w:tabs>
              <w:tab w:val="right" w:leader="dot" w:pos="9071"/>
            </w:tabs>
            <w:spacing w:line="480" w:lineRule="auto"/>
            <w:rPr>
              <w:rFonts w:hint="default" w:eastAsia="宋体"/>
              <w:color w:val="auto"/>
              <w:sz w:val="32"/>
              <w:szCs w:val="32"/>
              <w:highlight w:val="none"/>
              <w:lang w:val="en-US" w:eastAsia="zh-CN"/>
            </w:rPr>
          </w:pPr>
          <w:r>
            <w:rPr>
              <w:highlight w:val="none"/>
            </w:rPr>
            <w:fldChar w:fldCharType="begin"/>
          </w:r>
          <w:r>
            <w:rPr>
              <w:highlight w:val="none"/>
            </w:rPr>
            <w:instrText xml:space="preserve"> HYPERLINK \l "_Toc28859" </w:instrText>
          </w:r>
          <w:r>
            <w:rPr>
              <w:highlight w:val="none"/>
            </w:rPr>
            <w:fldChar w:fldCharType="separate"/>
          </w:r>
          <w:r>
            <w:rPr>
              <w:rFonts w:hint="eastAsia"/>
              <w:color w:val="auto"/>
              <w:sz w:val="32"/>
              <w:szCs w:val="32"/>
              <w:highlight w:val="none"/>
            </w:rPr>
            <w:t>第五部分</w:t>
          </w:r>
          <w:r>
            <w:rPr>
              <w:color w:val="auto"/>
              <w:sz w:val="32"/>
              <w:szCs w:val="32"/>
              <w:highlight w:val="none"/>
            </w:rPr>
            <w:t xml:space="preserve"> </w:t>
          </w:r>
          <w:r>
            <w:rPr>
              <w:rFonts w:hint="eastAsia"/>
              <w:color w:val="auto"/>
              <w:sz w:val="32"/>
              <w:szCs w:val="32"/>
              <w:highlight w:val="none"/>
            </w:rPr>
            <w:t>设备采购合同</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41</w:t>
          </w:r>
        </w:p>
        <w:p>
          <w:pPr>
            <w:pStyle w:val="24"/>
            <w:tabs>
              <w:tab w:val="right" w:leader="dot" w:pos="9071"/>
            </w:tabs>
            <w:spacing w:line="480" w:lineRule="auto"/>
            <w:rPr>
              <w:rFonts w:hint="default" w:eastAsia="宋体"/>
              <w:highlight w:val="none"/>
              <w:lang w:val="en-US" w:eastAsia="zh-CN"/>
            </w:rPr>
          </w:pPr>
          <w:r>
            <w:rPr>
              <w:highlight w:val="none"/>
            </w:rPr>
            <w:fldChar w:fldCharType="begin"/>
          </w:r>
          <w:r>
            <w:rPr>
              <w:highlight w:val="none"/>
            </w:rPr>
            <w:instrText xml:space="preserve"> HYPERLINK \l "_Toc29691" </w:instrText>
          </w:r>
          <w:r>
            <w:rPr>
              <w:highlight w:val="none"/>
            </w:rPr>
            <w:fldChar w:fldCharType="separate"/>
          </w:r>
          <w:r>
            <w:rPr>
              <w:rFonts w:hint="eastAsia" w:ascii="Calibri" w:hAnsi="Calibri"/>
              <w:bCs/>
              <w:color w:val="auto"/>
              <w:kern w:val="44"/>
              <w:sz w:val="32"/>
              <w:szCs w:val="32"/>
              <w:highlight w:val="none"/>
            </w:rPr>
            <w:t>第六部分</w:t>
          </w:r>
          <w:r>
            <w:rPr>
              <w:rFonts w:ascii="Calibri" w:hAnsi="Calibri"/>
              <w:bCs/>
              <w:color w:val="auto"/>
              <w:kern w:val="44"/>
              <w:sz w:val="32"/>
              <w:szCs w:val="32"/>
              <w:highlight w:val="none"/>
            </w:rPr>
            <w:t xml:space="preserve"> </w:t>
          </w:r>
          <w:r>
            <w:rPr>
              <w:rFonts w:hint="eastAsia" w:ascii="Calibri" w:hAnsi="Calibri"/>
              <w:bCs/>
              <w:color w:val="auto"/>
              <w:kern w:val="44"/>
              <w:sz w:val="32"/>
              <w:szCs w:val="32"/>
              <w:highlight w:val="none"/>
            </w:rPr>
            <w:t>投标文件附件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63</w:t>
          </w:r>
        </w:p>
        <w:p>
          <w:pPr>
            <w:pStyle w:val="17"/>
            <w:spacing w:line="480" w:lineRule="auto"/>
            <w:jc w:val="center"/>
            <w:rPr>
              <w:rFonts w:ascii="Calibri" w:hAnsi="Calibri" w:eastAsia="宋体" w:cs="Times New Roman"/>
              <w:b/>
              <w:bCs/>
              <w:kern w:val="44"/>
              <w:sz w:val="36"/>
              <w:szCs w:val="44"/>
              <w:highlight w:val="none"/>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highlight w:val="none"/>
            </w:rPr>
            <w:fldChar w:fldCharType="end"/>
          </w:r>
        </w:p>
      </w:sdtContent>
    </w:sdt>
    <w:p>
      <w:pPr>
        <w:pStyle w:val="17"/>
        <w:numPr>
          <w:ilvl w:val="0"/>
          <w:numId w:val="1"/>
        </w:numPr>
        <w:jc w:val="center"/>
        <w:outlineLvl w:val="0"/>
        <w:rPr>
          <w:rFonts w:ascii="Calibri" w:hAnsi="Calibri" w:eastAsia="宋体" w:cs="Times New Roman"/>
          <w:b/>
          <w:bCs/>
          <w:kern w:val="44"/>
          <w:sz w:val="36"/>
          <w:szCs w:val="44"/>
          <w:highlight w:val="none"/>
        </w:rPr>
      </w:pPr>
      <w:bookmarkStart w:id="2" w:name="_Toc25915"/>
      <w:r>
        <w:rPr>
          <w:rFonts w:hint="eastAsia" w:ascii="Calibri" w:hAnsi="Calibri" w:eastAsia="宋体" w:cs="Times New Roman"/>
          <w:b/>
          <w:bCs/>
          <w:kern w:val="44"/>
          <w:sz w:val="36"/>
          <w:szCs w:val="44"/>
          <w:highlight w:val="none"/>
        </w:rPr>
        <w:t xml:space="preserve"> 投标须知前附表</w:t>
      </w:r>
      <w:bookmarkEnd w:id="2"/>
    </w:p>
    <w:p>
      <w:pPr>
        <w:pStyle w:val="17"/>
        <w:jc w:val="center"/>
        <w:rPr>
          <w:rFonts w:ascii="Calibri" w:hAnsi="Calibri" w:eastAsia="宋体" w:cs="Times New Roman"/>
          <w:b/>
          <w:bCs/>
          <w:kern w:val="44"/>
          <w:sz w:val="36"/>
          <w:szCs w:val="44"/>
          <w:highlight w:val="none"/>
        </w:rPr>
      </w:pP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本部分是对“投标须知”正文的具体补充和修改，如有不一致，以“前附表”为准。</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34"/>
                <w:rFonts w:ascii="宋体" w:hAnsi="宋体" w:eastAsia="宋体" w:cs="宋体"/>
                <w:b/>
                <w:sz w:val="28"/>
                <w:szCs w:val="28"/>
                <w:highlight w:val="none"/>
              </w:rPr>
            </w:pPr>
            <w:bookmarkStart w:id="3" w:name="_Toc346372875"/>
            <w:r>
              <w:rPr>
                <w:rStyle w:val="134"/>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highlight w:val="none"/>
              </w:rPr>
            </w:pPr>
            <w:r>
              <w:rPr>
                <w:rStyle w:val="134"/>
                <w:rFonts w:hint="eastAsia" w:ascii="宋体" w:hAnsi="宋体" w:eastAsia="宋体" w:cs="宋体"/>
                <w:b/>
                <w:sz w:val="28"/>
                <w:szCs w:val="28"/>
                <w:highlight w:val="none"/>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w:t>
            </w:r>
            <w:r>
              <w:rPr>
                <w:rFonts w:hint="eastAsia" w:ascii="宋体" w:hAnsi="宋体" w:eastAsia="宋体" w:cs="宋体"/>
                <w:b/>
                <w:bCs/>
                <w:sz w:val="24"/>
                <w:szCs w:val="24"/>
                <w:highlight w:val="none"/>
                <w:lang w:eastAsia="zh-CN"/>
              </w:rPr>
              <w:t>济南车桥公司磨床在线检测升级改造技改项目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lang w:val="en-US" w:eastAsia="zh-CN"/>
              </w:rPr>
              <w:t xml:space="preserve"> ZBGL2026070324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highlight w:val="none"/>
                <w:u w:val="none"/>
                <w:lang w:val="en-US" w:eastAsia="zh-CN"/>
              </w:rPr>
              <w:t>在锥齿轮热后A/B线2台数控磨床、输入轴线1台数控磨床上各增加1套在线测量控制系统。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重汽（济南）车桥有限公司</w:t>
            </w:r>
            <w:r>
              <w:rPr>
                <w:rFonts w:hint="eastAsia" w:ascii="宋体" w:hAnsi="宋体" w:eastAsia="宋体" w:cs="宋体"/>
                <w:bCs/>
                <w:snapToGrid w:val="0"/>
                <w:kern w:val="0"/>
                <w:sz w:val="24"/>
                <w:szCs w:val="24"/>
                <w:highlight w:val="none"/>
              </w:rPr>
              <w:t xml:space="preserve"> </w:t>
            </w:r>
          </w:p>
          <w:p>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Cs/>
                <w:snapToGrid w:val="0"/>
                <w:kern w:val="0"/>
                <w:sz w:val="24"/>
                <w:szCs w:val="24"/>
                <w:highlight w:val="none"/>
                <w:lang w:val="en-US" w:eastAsia="zh-CN"/>
              </w:rPr>
              <w:t>李月兵</w:t>
            </w:r>
          </w:p>
          <w:p>
            <w:pPr>
              <w:pStyle w:val="17"/>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Cs/>
                <w:snapToGrid w:val="0"/>
                <w:kern w:val="0"/>
                <w:sz w:val="24"/>
                <w:szCs w:val="24"/>
                <w:highlight w:val="none"/>
                <w:lang w:val="en-US" w:eastAsia="zh-CN"/>
              </w:rPr>
              <w:t>17860602093</w:t>
            </w:r>
          </w:p>
          <w:p>
            <w:pPr>
              <w:ind w:firstLine="482" w:firstLineChars="200"/>
              <w:rPr>
                <w:rFonts w:hint="eastAsia" w:ascii="宋体" w:hAnsi="宋体" w:eastAsia="宋体" w:cs="宋体"/>
                <w:b/>
                <w:snapToGrid w:val="0"/>
                <w:kern w:val="0"/>
                <w:sz w:val="24"/>
                <w:szCs w:val="24"/>
                <w:highlight w:val="none"/>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fldChar w:fldCharType="begin"/>
            </w:r>
            <w:r>
              <w:rPr>
                <w:rFonts w:hint="eastAsia" w:ascii="宋体" w:hAnsi="宋体" w:eastAsia="宋体" w:cs="宋体"/>
                <w:b/>
                <w:snapToGrid w:val="0"/>
                <w:color w:val="auto"/>
                <w:kern w:val="0"/>
                <w:sz w:val="24"/>
                <w:szCs w:val="24"/>
                <w:highlight w:val="none"/>
                <w:lang w:val="en-US" w:eastAsia="zh-CN"/>
              </w:rPr>
              <w:instrText xml:space="preserve"> HYPERLINK "mailto:liyuebing@sinotruk.com" </w:instrText>
            </w:r>
            <w:r>
              <w:rPr>
                <w:rFonts w:hint="eastAsia" w:ascii="宋体" w:hAnsi="宋体" w:eastAsia="宋体" w:cs="宋体"/>
                <w:b/>
                <w:snapToGrid w:val="0"/>
                <w:color w:val="auto"/>
                <w:kern w:val="0"/>
                <w:sz w:val="24"/>
                <w:szCs w:val="24"/>
                <w:highlight w:val="none"/>
                <w:lang w:val="en-US" w:eastAsia="zh-CN"/>
              </w:rPr>
              <w:fldChar w:fldCharType="separate"/>
            </w:r>
            <w:r>
              <w:rPr>
                <w:rStyle w:val="45"/>
                <w:rFonts w:hint="eastAsia" w:ascii="宋体" w:hAnsi="宋体" w:eastAsia="宋体" w:cs="宋体"/>
                <w:b/>
                <w:snapToGrid w:val="0"/>
                <w:color w:val="auto"/>
                <w:kern w:val="0"/>
                <w:sz w:val="24"/>
                <w:szCs w:val="24"/>
                <w:highlight w:val="none"/>
                <w:lang w:val="en-US" w:eastAsia="zh-CN"/>
              </w:rPr>
              <w:t>liyuebing</w:t>
            </w:r>
            <w:r>
              <w:rPr>
                <w:rStyle w:val="45"/>
                <w:rFonts w:hint="eastAsia" w:ascii="宋体" w:hAnsi="宋体" w:eastAsia="宋体" w:cs="宋体"/>
                <w:b/>
                <w:snapToGrid w:val="0"/>
                <w:color w:val="auto"/>
                <w:kern w:val="0"/>
                <w:sz w:val="24"/>
                <w:szCs w:val="24"/>
                <w:highlight w:val="none"/>
              </w:rPr>
              <w:t>@sinotruk.com</w:t>
            </w:r>
            <w:r>
              <w:rPr>
                <w:rFonts w:hint="eastAsia" w:ascii="宋体" w:hAnsi="宋体" w:eastAsia="宋体" w:cs="宋体"/>
                <w:b/>
                <w:snapToGrid w:val="0"/>
                <w:color w:val="auto"/>
                <w:kern w:val="0"/>
                <w:sz w:val="24"/>
                <w:szCs w:val="24"/>
                <w:highlight w:val="none"/>
                <w:lang w:val="en-US" w:eastAsia="zh-CN"/>
              </w:rPr>
              <w:fldChar w:fldCharType="end"/>
            </w:r>
          </w:p>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lang w:val="en-US" w:eastAsia="zh-CN"/>
              </w:rPr>
              <w:t>技术</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范士国</w:t>
            </w:r>
            <w:r>
              <w:rPr>
                <w:rFonts w:hint="eastAsia" w:ascii="宋体" w:hAnsi="宋体" w:eastAsia="宋体" w:cs="宋体"/>
                <w:b/>
                <w:snapToGrid w:val="0"/>
                <w:kern w:val="0"/>
                <w:sz w:val="24"/>
                <w:szCs w:val="24"/>
                <w:highlight w:val="none"/>
              </w:rPr>
              <w:t xml:space="preserve">   </w:t>
            </w:r>
          </w:p>
          <w:p>
            <w:pPr>
              <w:pStyle w:val="17"/>
              <w:ind w:firstLine="482" w:firstLineChars="200"/>
              <w:rPr>
                <w:rFonts w:hint="eastAsia"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15269140365</w:t>
            </w:r>
          </w:p>
          <w:p>
            <w:pPr>
              <w:ind w:firstLine="482" w:firstLineChars="200"/>
              <w:rPr>
                <w:rFonts w:hint="eastAsia"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邮箱：f525230627@126.com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pPr>
              <w:pStyle w:val="17"/>
              <w:ind w:firstLine="420" w:firstLineChars="200"/>
              <w:rPr>
                <w:rFonts w:eastAsia="宋体"/>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10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hAnsi="宋体" w:eastAsia="宋体" w:cs="宋体"/>
                <w:color w:val="000000"/>
                <w:sz w:val="24"/>
                <w:szCs w:val="24"/>
              </w:rPr>
              <w:t>；</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p>
          <w:p>
            <w:pPr>
              <w:pStyle w:val="17"/>
              <w:rPr>
                <w:rFonts w:hint="eastAsia" w:hAnsi="宋体" w:eastAsia="宋体" w:cs="宋体"/>
                <w:color w:val="000000"/>
                <w:sz w:val="24"/>
                <w:szCs w:val="24"/>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7月31</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8月6</w:t>
            </w:r>
            <w:r>
              <w:rPr>
                <w:rFonts w:hint="eastAsia" w:ascii="宋体" w:hAnsi="宋体" w:eastAsia="宋体" w:cs="宋体"/>
                <w:bCs/>
                <w:sz w:val="24"/>
                <w:szCs w:val="24"/>
                <w:highlight w:val="none"/>
              </w:rPr>
              <w:t>日12:00前；</w:t>
            </w:r>
          </w:p>
          <w:p>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8月6</w:t>
            </w:r>
            <w:r>
              <w:rPr>
                <w:rFonts w:hint="eastAsia" w:ascii="宋体" w:hAnsi="宋体" w:eastAsia="宋体" w:cs="宋体"/>
                <w:sz w:val="24"/>
                <w:szCs w:val="24"/>
                <w:highlight w:val="none"/>
              </w:rPr>
              <w:t>日17:00前；</w:t>
            </w:r>
          </w:p>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none"/>
                <w:lang w:eastAsia="zh-CN"/>
              </w:rPr>
              <w:t>2026</w:t>
            </w:r>
            <w:r>
              <w:rPr>
                <w:rFonts w:hint="eastAsia" w:eastAsia="宋体" w:cs="宋体"/>
                <w:highlight w:val="none"/>
              </w:rPr>
              <w:t>年</w:t>
            </w:r>
            <w:r>
              <w:rPr>
                <w:rFonts w:hint="eastAsia" w:eastAsia="宋体" w:cs="宋体"/>
                <w:highlight w:val="none"/>
                <w:lang w:val="en-US" w:eastAsia="zh-CN"/>
              </w:rPr>
              <w:t>8月8</w:t>
            </w:r>
            <w:r>
              <w:rPr>
                <w:rFonts w:hint="eastAsia" w:eastAsia="宋体" w:cs="宋体"/>
                <w:highlight w:val="none"/>
              </w:rPr>
              <w:t>日17时00分00秒</w:t>
            </w:r>
          </w:p>
          <w:p>
            <w:pPr>
              <w:pStyle w:val="117"/>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1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pPr>
              <w:pStyle w:val="17"/>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none"/>
                <w:u w:val="single"/>
                <w:lang w:eastAsia="zh-CN"/>
              </w:rPr>
              <w:t>2026</w:t>
            </w:r>
            <w:r>
              <w:rPr>
                <w:rFonts w:hint="eastAsia" w:hAnsi="宋体" w:eastAsia="宋体" w:cs="宋体"/>
                <w:sz w:val="24"/>
                <w:szCs w:val="24"/>
                <w:highlight w:val="none"/>
                <w:u w:val="single"/>
              </w:rPr>
              <w:t>年</w:t>
            </w:r>
            <w:r>
              <w:rPr>
                <w:rFonts w:hint="eastAsia" w:hAnsi="宋体" w:eastAsia="宋体" w:cs="宋体"/>
                <w:sz w:val="24"/>
                <w:szCs w:val="24"/>
                <w:highlight w:val="none"/>
                <w:u w:val="single"/>
                <w:lang w:val="en-US" w:eastAsia="zh-CN"/>
              </w:rPr>
              <w:t>8月14</w:t>
            </w:r>
            <w:r>
              <w:rPr>
                <w:rFonts w:hint="eastAsia" w:hAnsi="宋体" w:eastAsia="宋体" w:cs="宋体"/>
                <w:sz w:val="24"/>
                <w:szCs w:val="24"/>
                <w:highlight w:val="none"/>
              </w:rPr>
              <w:t>日</w:t>
            </w:r>
            <w:r>
              <w:rPr>
                <w:rFonts w:hint="eastAsia" w:hAnsi="宋体" w:eastAsia="宋体" w:cs="宋体"/>
                <w:kern w:val="0"/>
                <w:sz w:val="24"/>
                <w:szCs w:val="24"/>
                <w:highlight w:val="none"/>
              </w:rPr>
              <w:t>上午9</w:t>
            </w:r>
            <w:r>
              <w:rPr>
                <w:rFonts w:hint="eastAsia" w:hAnsi="宋体" w:eastAsia="宋体" w:cs="宋体"/>
                <w:sz w:val="24"/>
                <w:szCs w:val="24"/>
                <w:highlight w:val="none"/>
              </w:rPr>
              <w:t>:00:00（北京时间）</w:t>
            </w:r>
          </w:p>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投标文件有效期：</w:t>
            </w:r>
            <w:r>
              <w:rPr>
                <w:rFonts w:hint="eastAsia" w:ascii="宋体" w:hAnsi="宋体" w:eastAsia="宋体" w:cs="宋体"/>
                <w:sz w:val="24"/>
                <w:szCs w:val="24"/>
                <w:highlight w:val="none"/>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5000</w:t>
            </w:r>
            <w:r>
              <w:rPr>
                <w:rFonts w:hint="eastAsia" w:ascii="宋体" w:hAnsi="宋体" w:eastAsia="宋体" w:cs="宋体"/>
                <w:sz w:val="24"/>
                <w:szCs w:val="24"/>
                <w:highlight w:val="yellow"/>
              </w:rPr>
              <w:t>元</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招标人地址：济南市高新区世纪大道757号车桥公司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开户银行：浙商银行股份有限公司济南分行</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银行帐号：4510000010120100527995</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8</w:t>
            </w:r>
            <w:r>
              <w:rPr>
                <w:rFonts w:hint="eastAsia" w:ascii="宋体" w:hAnsi="宋体" w:cs="宋体"/>
                <w:sz w:val="24"/>
                <w:szCs w:val="24"/>
                <w:highlight w:val="none"/>
              </w:rPr>
              <w:t>月</w:t>
            </w:r>
            <w:r>
              <w:rPr>
                <w:rFonts w:hint="eastAsia" w:ascii="宋体" w:hAnsi="宋体" w:cs="宋体"/>
                <w:sz w:val="24"/>
                <w:szCs w:val="24"/>
                <w:highlight w:val="none"/>
                <w:lang w:val="en-US" w:eastAsia="zh-CN"/>
              </w:rPr>
              <w:t>8</w:t>
            </w:r>
            <w:r>
              <w:rPr>
                <w:rFonts w:hint="eastAsia" w:ascii="宋体" w:hAnsi="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cs="宋体"/>
                <w:sz w:val="24"/>
                <w:szCs w:val="24"/>
                <w:highlight w:val="none"/>
              </w:rPr>
              <w:t>：</w:t>
            </w:r>
            <w:r>
              <w:rPr>
                <w:rFonts w:ascii="宋体" w:hAnsi="宋体" w:cs="宋体"/>
                <w:sz w:val="24"/>
                <w:szCs w:val="24"/>
                <w:highlight w:val="none"/>
              </w:rPr>
              <w:t>0</w:t>
            </w:r>
            <w:r>
              <w:rPr>
                <w:rFonts w:hint="eastAsia" w:ascii="宋体" w:hAnsi="宋体" w:cs="宋体"/>
                <w:sz w:val="24"/>
                <w:szCs w:val="24"/>
                <w:highlight w:val="none"/>
              </w:rPr>
              <w:t>0前</w:t>
            </w:r>
          </w:p>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14</w:t>
            </w:r>
            <w:bookmarkStart w:id="1512" w:name="_GoBack"/>
            <w:bookmarkEnd w:id="1512"/>
            <w:r>
              <w:rPr>
                <w:rFonts w:hint="eastAsia" w:ascii="宋体" w:hAnsi="宋体" w:cs="宋体"/>
                <w:sz w:val="24"/>
                <w:szCs w:val="24"/>
                <w:highlight w:val="none"/>
              </w:rPr>
              <w:t>日9:00:00</w:t>
            </w:r>
            <w:r>
              <w:rPr>
                <w:rFonts w:hint="eastAsia" w:ascii="宋体" w:hAnsi="宋体" w:eastAsia="宋体" w:cs="宋体"/>
                <w:kern w:val="0"/>
                <w:sz w:val="24"/>
                <w:szCs w:val="24"/>
                <w:highlight w:val="none"/>
              </w:rPr>
              <w:t>。</w:t>
            </w:r>
          </w:p>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济南市高新区世纪大道757号车桥公司</w:t>
            </w:r>
            <w:r>
              <w:rPr>
                <w:rFonts w:hint="eastAsia" w:ascii="宋体" w:hAnsi="宋体" w:eastAsia="宋体" w:cs="宋体"/>
                <w:b w:val="0"/>
                <w:bCs w:val="0"/>
                <w:sz w:val="24"/>
                <w:szCs w:val="24"/>
                <w:highlight w:val="none"/>
                <w:lang w:val="en-US" w:eastAsia="zh-CN"/>
              </w:rPr>
              <w:t>第二会议室，具体会议室</w:t>
            </w:r>
            <w:r>
              <w:rPr>
                <w:rFonts w:hint="eastAsia" w:ascii="宋体" w:hAnsi="宋体" w:eastAsia="宋体" w:cs="宋体"/>
                <w:sz w:val="24"/>
                <w:szCs w:val="24"/>
                <w:highlight w:val="none"/>
                <w:lang w:val="en-US" w:eastAsia="zh-CN"/>
              </w:rPr>
              <w:t>开标前通知</w:t>
            </w:r>
            <w:r>
              <w:rPr>
                <w:rFonts w:hint="eastAsia" w:ascii="宋体" w:hAnsi="宋体" w:eastAsia="宋体" w:cs="宋体"/>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评标方法：资质标审核→唱标→技术标评审→商务标评审。综合评标法，技术标</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0%，商务标</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0%。</w:t>
            </w:r>
            <w:r>
              <w:rPr>
                <w:rFonts w:hint="eastAsia" w:ascii="宋体" w:hAnsi="宋体" w:eastAsia="宋体" w:cs="宋体"/>
                <w:sz w:val="24"/>
                <w:szCs w:val="24"/>
                <w:highlight w:val="none"/>
              </w:rPr>
              <w:t>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lang w:val="en-US" w:eastAsia="zh-CN"/>
              </w:rPr>
              <w:t>30</w:t>
            </w:r>
            <w:r>
              <w:rPr>
                <w:rFonts w:hint="eastAsia" w:ascii="宋体" w:hAnsi="宋体" w:eastAsia="宋体" w:cs="宋体"/>
                <w:sz w:val="24"/>
                <w:szCs w:val="24"/>
              </w:rPr>
              <w:t>个日历日之内交货至供货地点</w:t>
            </w:r>
          </w:p>
          <w:p>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 xml:space="preserve">2. 接续 </w:t>
            </w:r>
            <w:r>
              <w:rPr>
                <w:rFonts w:hint="eastAsia" w:ascii="宋体" w:hAnsi="宋体" w:eastAsia="宋体" w:cs="宋体"/>
                <w:sz w:val="24"/>
                <w:szCs w:val="24"/>
                <w:lang w:val="en-US" w:eastAsia="zh-CN"/>
              </w:rPr>
              <w:t>15</w:t>
            </w:r>
            <w:r>
              <w:rPr>
                <w:rFonts w:hint="eastAsia" w:ascii="宋体" w:hAnsi="宋体" w:eastAsia="宋体" w:cs="宋体"/>
                <w:sz w:val="24"/>
                <w:szCs w:val="24"/>
              </w:rPr>
              <w:t>个日历日之内安装调试完毕；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交货方式：</w:t>
            </w:r>
            <w:r>
              <w:rPr>
                <w:rFonts w:hint="eastAsia" w:hAnsi="宋体" w:eastAsia="宋体" w:cs="宋体"/>
                <w:color w:val="000000"/>
                <w:sz w:val="24"/>
                <w:szCs w:val="24"/>
                <w:highlight w:val="none"/>
              </w:rPr>
              <w:t>交钥匙方式；</w:t>
            </w:r>
          </w:p>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交货地点：</w:t>
            </w:r>
            <w:r>
              <w:rPr>
                <w:rFonts w:hint="eastAsia" w:ascii="宋体" w:hAnsi="宋体" w:eastAsia="宋体" w:cs="宋体"/>
                <w:color w:val="000000"/>
                <w:sz w:val="24"/>
                <w:szCs w:val="24"/>
                <w:highlight w:val="none"/>
              </w:rPr>
              <w:t>重汽（济南）车桥有限公司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35"/>
              <w:spacing w:after="0" w:line="240" w:lineRule="auto"/>
              <w:ind w:firstLine="482"/>
              <w:rPr>
                <w:rFonts w:ascii="宋体" w:hAnsi="宋体" w:cs="宋体"/>
                <w:b/>
                <w:bCs/>
                <w:sz w:val="24"/>
                <w:szCs w:val="24"/>
              </w:rPr>
            </w:pPr>
            <w:r>
              <w:rPr>
                <w:rFonts w:hint="eastAsia" w:ascii="宋体" w:hAnsi="宋体" w:cs="宋体"/>
                <w:b/>
                <w:bCs/>
                <w:sz w:val="24"/>
                <w:szCs w:val="24"/>
                <w:u w:val="single"/>
              </w:rPr>
              <w:t>付款方式：半年期商业汇票（包括银行承兑汇票和商业承兑汇票）</w:t>
            </w:r>
          </w:p>
          <w:p>
            <w:pPr>
              <w:ind w:firstLine="480" w:firstLineChars="200"/>
              <w:rPr>
                <w:rFonts w:ascii="宋体" w:hAnsi="宋体" w:eastAsia="宋体" w:cs="宋体"/>
                <w:sz w:val="24"/>
                <w:szCs w:val="24"/>
              </w:rPr>
            </w:pPr>
            <w:r>
              <w:rPr>
                <w:rFonts w:ascii="宋体" w:hAnsi="宋体" w:eastAsia="宋体" w:cs="宋体"/>
                <w:sz w:val="24"/>
                <w:szCs w:val="24"/>
              </w:rPr>
              <w:t>1.合同生效设备全部到齐无质量问题通过买方初步验收并到货后，卖方开具金额为该合同设备价格30%的增值税专用发票带30%的收据（含复印件二份），经买方依照财务制度审核无误后支付合同价款的30%。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2.设备全部到齐，经现场安装、调试、验收合格交付使用后，卖方提交金额为合同价款60%的收据并附带下列单据，经买方依照财务制度审核无误后支付合同价款的60%。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a.金额为该合同设备价格70%的增值税专用发票（含复印件二份），具体开票信息详见发票信息表，根据表中所列分别开具增值税发票。</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b.该套设备最终验收报告的原件及其复印件两份。</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3.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1"/>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8.1</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投标内容的分解报价、设计图纸等招标人所需要的各类资料，招标人为推进项目招标定标流程时需要上述资料的，中标人应及时无偿提供。</w:t>
            </w:r>
          </w:p>
          <w:p>
            <w:pPr>
              <w:pStyle w:val="1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中标方应在合同签订后</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日内</w:t>
            </w:r>
            <w:r>
              <w:rPr>
                <w:rFonts w:hint="eastAsia" w:ascii="宋体" w:hAnsi="宋体" w:eastAsia="宋体" w:cs="宋体"/>
                <w:sz w:val="24"/>
                <w:szCs w:val="24"/>
                <w:highlight w:val="none"/>
                <w:lang w:val="en-US" w:eastAsia="zh-CN"/>
              </w:rPr>
              <w:t>编制</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CN"/>
              </w:rPr>
              <w:t>项目计划和项目组织机构并盖章发给招标方</w:t>
            </w:r>
            <w:r>
              <w:rPr>
                <w:rFonts w:hint="eastAsia" w:ascii="宋体" w:hAnsi="宋体" w:eastAsia="宋体" w:cs="宋体"/>
                <w:sz w:val="24"/>
                <w:szCs w:val="24"/>
                <w:highlight w:val="none"/>
              </w:rPr>
              <w:t>。</w:t>
            </w:r>
          </w:p>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中标人应在合同签订后</w:t>
            </w:r>
            <w:r>
              <w:rPr>
                <w:rFonts w:hint="eastAsia" w:ascii="宋体" w:hAnsi="宋体" w:eastAsia="宋体" w:cs="宋体"/>
                <w:color w:val="FF0000"/>
                <w:sz w:val="24"/>
                <w:szCs w:val="24"/>
                <w:highlight w:val="yellow"/>
              </w:rPr>
              <w:t>15日</w:t>
            </w:r>
            <w:r>
              <w:rPr>
                <w:rFonts w:hint="eastAsia" w:ascii="宋体" w:hAnsi="宋体" w:eastAsia="宋体" w:cs="宋体"/>
                <w:sz w:val="24"/>
                <w:szCs w:val="24"/>
              </w:rPr>
              <w:t>内需根据设计</w:t>
            </w:r>
            <w:r>
              <w:rPr>
                <w:rStyle w:val="42"/>
                <w:rFonts w:hint="eastAsia" w:ascii="宋体" w:hAnsi="宋体" w:eastAsia="宋体" w:cs="宋体"/>
                <w:sz w:val="24"/>
                <w:szCs w:val="24"/>
              </w:rPr>
              <w:t>提资</w:t>
            </w:r>
            <w:r>
              <w:rPr>
                <w:rFonts w:hint="eastAsia" w:ascii="宋体" w:hAnsi="宋体" w:eastAsia="宋体" w:cs="宋体"/>
                <w:sz w:val="24"/>
                <w:szCs w:val="24"/>
              </w:rPr>
              <w:t>要求提供详细的</w:t>
            </w:r>
            <w:r>
              <w:rPr>
                <w:rStyle w:val="42"/>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2"/>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2"/>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pPr>
        <w:pStyle w:val="17"/>
        <w:numPr>
          <w:ilvl w:val="0"/>
          <w:numId w:val="1"/>
        </w:numPr>
        <w:jc w:val="center"/>
        <w:outlineLvl w:val="0"/>
        <w:rPr>
          <w:rFonts w:ascii="Calibri" w:hAnsi="Calibri" w:eastAsia="宋体" w:cs="Times New Roman"/>
          <w:b/>
          <w:bCs/>
          <w:kern w:val="44"/>
          <w:sz w:val="36"/>
          <w:szCs w:val="44"/>
          <w:highlight w:val="none"/>
        </w:rPr>
        <w:sectPr>
          <w:headerReference r:id="rId9" w:type="default"/>
          <w:footerReference r:id="rId10" w:type="default"/>
          <w:pgSz w:w="11907" w:h="16840"/>
          <w:pgMar w:top="1304" w:right="1418" w:bottom="1304" w:left="1418" w:header="724" w:footer="851" w:gutter="0"/>
          <w:pgNumType w:fmt="decimal"/>
          <w:cols w:space="720" w:num="1"/>
          <w:docGrid w:linePitch="290" w:charSpace="-3931"/>
        </w:sectPr>
      </w:pPr>
    </w:p>
    <w:p>
      <w:pPr>
        <w:pStyle w:val="17"/>
        <w:jc w:val="center"/>
        <w:outlineLvl w:val="0"/>
        <w:rPr>
          <w:rFonts w:ascii="Calibri" w:hAnsi="Calibri" w:eastAsia="宋体" w:cs="Times New Roman"/>
          <w:b/>
          <w:bCs/>
          <w:kern w:val="44"/>
          <w:sz w:val="36"/>
          <w:szCs w:val="44"/>
          <w:highlight w:val="none"/>
        </w:rPr>
      </w:pPr>
      <w:bookmarkStart w:id="4" w:name="_Toc15609"/>
      <w:r>
        <w:rPr>
          <w:rFonts w:hint="eastAsia" w:ascii="Calibri" w:hAnsi="Calibri" w:eastAsia="宋体" w:cs="Times New Roman"/>
          <w:b/>
          <w:bCs/>
          <w:kern w:val="44"/>
          <w:sz w:val="36"/>
          <w:szCs w:val="44"/>
          <w:highlight w:val="none"/>
        </w:rPr>
        <w:t>第二部分 投标须知</w:t>
      </w:r>
      <w:bookmarkEnd w:id="4"/>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一、项目名称</w:t>
      </w:r>
    </w:p>
    <w:p>
      <w:pPr>
        <w:spacing w:line="360" w:lineRule="auto"/>
        <w:ind w:left="1679" w:leftChars="228" w:hanging="1200" w:hangingChars="5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项目名称：</w:t>
      </w:r>
      <w:bookmarkStart w:id="5" w:name="OLE_LINK1"/>
      <w:r>
        <w:rPr>
          <w:rFonts w:hint="eastAsia" w:ascii="宋体" w:hAnsi="宋体" w:eastAsia="宋体" w:cs="宋体"/>
          <w:color w:val="000000"/>
          <w:sz w:val="24"/>
          <w:szCs w:val="24"/>
          <w:highlight w:val="none"/>
        </w:rPr>
        <w:t>见《投标须知前附表》。</w:t>
      </w:r>
    </w:p>
    <w:bookmarkEnd w:id="5"/>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招标内容及形式</w:t>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见《投标须知前附表》。</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对于本项目需着重介绍的注意事项已经通过以下带颜色文档进行标记。</w:t>
      </w:r>
    </w:p>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具体要求详见《技术标书》。</w:t>
      </w:r>
    </w:p>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交货及付款</w:t>
      </w:r>
      <w:r>
        <w:rPr>
          <w:rFonts w:hint="eastAsia" w:ascii="宋体" w:hAnsi="宋体" w:eastAsia="宋体" w:cs="宋体"/>
          <w:b/>
          <w:bCs/>
          <w:sz w:val="24"/>
          <w:szCs w:val="24"/>
          <w:highlight w:val="none"/>
        </w:rPr>
        <w:tab/>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交货期、交货地点、交货方式、付款方式及比例见《投标须知前附表》第7条。</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四、投标说明</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1.报名方式</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投标人根据招标人在中国重汽官网等公开媒体上发布的招标信息，在“中国重汽e采通”平台报名。按照中国重汽e采通“SRM非生产供应商注册手册（附件15）”进行注册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注册时配套能力中的供货类别选择“直管单位非生产招标 / 工艺设备 / 工艺设备”对应的业务主管部门为“工艺研究院”，提交注册后请电话告知招标方联系人。</w:t>
      </w:r>
    </w:p>
    <w:p>
      <w:pPr>
        <w:spacing w:line="360" w:lineRule="auto"/>
        <w:ind w:firstLine="480" w:firstLineChars="200"/>
        <w:rPr>
          <w:rFonts w:ascii="宋体" w:hAnsi="宋体" w:eastAsia="宋体" w:cs="宋体"/>
          <w:color w:val="000000"/>
          <w:sz w:val="24"/>
          <w:szCs w:val="24"/>
          <w:highlight w:val="none"/>
        </w:rPr>
      </w:pPr>
      <w:r>
        <w:rPr>
          <w:rFonts w:hint="eastAsia" w:eastAsia="宋体" w:cs="Times New Roman"/>
          <w:color w:val="000000"/>
          <w:sz w:val="24"/>
          <w:szCs w:val="24"/>
          <w:highlight w:val="none"/>
        </w:rPr>
        <w:t>注册完毕后按照</w:t>
      </w:r>
      <w:r>
        <w:rPr>
          <w:rFonts w:hint="eastAsia" w:ascii="宋体" w:hAnsi="宋体" w:eastAsia="宋体" w:cs="宋体"/>
          <w:b/>
          <w:color w:val="000000"/>
          <w:sz w:val="24"/>
          <w:szCs w:val="24"/>
          <w:highlight w:val="none"/>
        </w:rPr>
        <w:t>“SRM系统供应商用户手册（附件16）”登录系统，</w:t>
      </w:r>
      <w:r>
        <w:rPr>
          <w:rFonts w:hint="eastAsia" w:ascii="宋体" w:hAnsi="宋体" w:eastAsia="宋体" w:cs="宋体"/>
          <w:color w:val="000000"/>
          <w:sz w:val="24"/>
          <w:szCs w:val="24"/>
          <w:highlight w:val="none"/>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投标保证金缴纳的时候，</w:t>
      </w:r>
      <w:r>
        <w:rPr>
          <w:rFonts w:hint="eastAsia" w:ascii="宋体" w:hAnsi="宋体" w:eastAsia="宋体" w:cs="宋体"/>
          <w:b/>
          <w:bCs/>
          <w:color w:val="000000"/>
          <w:sz w:val="24"/>
          <w:szCs w:val="24"/>
          <w:highlight w:val="none"/>
        </w:rPr>
        <w:t>务必备注所投标的项目名称</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不按要求报名的，或因未提供相关信息导致后期无法退回保证金的，需投标人承担责任。</w:t>
      </w:r>
    </w:p>
    <w:p>
      <w:pPr>
        <w:keepNext/>
        <w:keepLines/>
        <w:numPr>
          <w:ilvl w:val="0"/>
          <w:numId w:val="3"/>
        </w:num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投标条件</w:t>
      </w:r>
    </w:p>
    <w:p>
      <w:pPr>
        <w:pStyle w:val="17"/>
        <w:spacing w:line="360" w:lineRule="auto"/>
        <w:ind w:firstLine="480"/>
        <w:rPr>
          <w:rFonts w:hAnsi="宋体" w:eastAsia="宋体" w:cs="宋体"/>
          <w:b/>
          <w:color w:val="000000"/>
          <w:sz w:val="24"/>
          <w:szCs w:val="24"/>
          <w:highlight w:val="none"/>
        </w:rPr>
      </w:pPr>
      <w:r>
        <w:rPr>
          <w:rFonts w:hint="eastAsia" w:hAnsi="宋体" w:eastAsia="宋体" w:cs="宋体"/>
          <w:b/>
          <w:bCs/>
          <w:color w:val="000000"/>
          <w:sz w:val="24"/>
          <w:szCs w:val="24"/>
          <w:highlight w:val="none"/>
        </w:rPr>
        <w:t>投标条件详见招标文件“第一部分投标须知前附表1.6”。</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3.报价</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3.1</w:t>
      </w:r>
      <w:r>
        <w:rPr>
          <w:rFonts w:hint="eastAsia" w:hAnsi="宋体" w:eastAsia="宋体" w:cs="宋体"/>
          <w:sz w:val="24"/>
          <w:szCs w:val="24"/>
          <w:highlight w:val="none"/>
        </w:rPr>
        <w:t>本次招投标为</w:t>
      </w:r>
      <w:r>
        <w:rPr>
          <w:rFonts w:hint="eastAsia" w:hAnsi="宋体" w:eastAsia="宋体" w:cs="宋体"/>
          <w:color w:val="000000"/>
          <w:sz w:val="24"/>
          <w:szCs w:val="24"/>
          <w:highlight w:val="none"/>
        </w:rPr>
        <w:t>公开招标</w:t>
      </w:r>
      <w:r>
        <w:rPr>
          <w:rFonts w:hint="eastAsia" w:hAnsi="宋体" w:eastAsia="宋体" w:cs="宋体"/>
          <w:b/>
          <w:sz w:val="24"/>
          <w:szCs w:val="24"/>
          <w:highlight w:val="none"/>
        </w:rPr>
        <w:t>；</w:t>
      </w:r>
      <w:r>
        <w:rPr>
          <w:rFonts w:hint="eastAsia" w:hAnsi="宋体" w:eastAsia="宋体" w:cs="宋体"/>
          <w:color w:val="000000"/>
          <w:sz w:val="24"/>
          <w:szCs w:val="24"/>
          <w:highlight w:val="none"/>
        </w:rPr>
        <w:t>评标流程以及规则详见本部分第六条评标原则。</w:t>
      </w:r>
    </w:p>
    <w:p>
      <w:pPr>
        <w:spacing w:line="360" w:lineRule="auto"/>
        <w:ind w:firstLine="235" w:firstLineChars="98"/>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投标人自行勘察现场，进行合理报价。投标总报价应包括设备费、原厂服务费及相关配件、随机资料、保险、税费、运杂、安装调试、与其他专业配合及可预见的风险以及其它不可预见等全部费用。</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w:t>
      </w:r>
      <w:r>
        <w:rPr>
          <w:rFonts w:hint="eastAsia" w:ascii="宋体" w:hAnsi="宋体" w:eastAsia="宋体" w:cs="宋体"/>
          <w:b/>
          <w:bCs/>
          <w:color w:val="000000"/>
          <w:sz w:val="24"/>
          <w:szCs w:val="24"/>
          <w:highlight w:val="none"/>
        </w:rPr>
        <w:t>所有设备的报价货币单位为：</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元【人民币（应同时报含税价和不含税价并写明税率）】。</w:t>
      </w:r>
    </w:p>
    <w:p>
      <w:pPr>
        <w:keepNext/>
        <w:keepLines/>
        <w:spacing w:line="360" w:lineRule="auto"/>
        <w:ind w:firstLine="482" w:firstLineChars="200"/>
        <w:outlineLvl w:val="2"/>
        <w:rPr>
          <w:rFonts w:ascii="宋体" w:hAnsi="宋体" w:eastAsia="宋体" w:cs="宋体"/>
          <w:sz w:val="24"/>
          <w:szCs w:val="24"/>
          <w:highlight w:val="none"/>
        </w:rPr>
      </w:pPr>
      <w:r>
        <w:rPr>
          <w:rFonts w:hint="eastAsia" w:ascii="宋体" w:hAnsi="宋体" w:eastAsia="宋体" w:cs="宋体"/>
          <w:b/>
          <w:bCs/>
          <w:color w:val="000000"/>
          <w:sz w:val="24"/>
          <w:szCs w:val="24"/>
          <w:highlight w:val="none"/>
        </w:rPr>
        <w:t>4.设备要求：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4.1投标设备技术参数和总体要求按《技术标书》执行；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4.2设备制造完毕经出厂检验合格后方能发货；</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4.3设备包装按国家或部颁标准执行；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4.4设备交货要求直接发货至合同指定地点，否则买方有权拒绝接受货物；</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4.5投标企业按技术规范书提报设备详细技术资料；</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4.7设备设施颜色严格执行我公司企业标准《设备设施颜色标识》（Q/Z</w:t>
      </w:r>
      <w:r>
        <w:rPr>
          <w:rFonts w:hint="eastAsia" w:hAnsi="宋体" w:eastAsia="宋体" w:cs="宋体"/>
          <w:color w:val="000000"/>
          <w:sz w:val="24"/>
          <w:szCs w:val="24"/>
          <w:highlight w:val="yellow"/>
        </w:rPr>
        <w:t>Z30070-2021</w:t>
      </w:r>
      <w:r>
        <w:rPr>
          <w:rFonts w:hint="eastAsia" w:hAnsi="宋体" w:eastAsia="宋体" w:cs="宋体"/>
          <w:color w:val="000000"/>
          <w:sz w:val="24"/>
          <w:szCs w:val="24"/>
          <w:highlight w:val="none"/>
        </w:rPr>
        <w:t>）。</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5.其他要求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包装、运输、检验、交付、安装、调试、培训、结算、质保及售后服务等，按《技术标书》要求，在标书中列示说明，最终以合同约定为准。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6.询标</w:t>
      </w:r>
    </w:p>
    <w:p>
      <w:pPr>
        <w:keepNext/>
        <w:keepLines/>
        <w:spacing w:line="360" w:lineRule="auto"/>
        <w:ind w:firstLine="480" w:firstLineChars="200"/>
        <w:rPr>
          <w:rFonts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凡对本次招标提出的询问，均以招标人的书面答复为准。</w:t>
      </w:r>
    </w:p>
    <w:p>
      <w:pPr>
        <w:keepNext/>
        <w:keepLines/>
        <w:spacing w:line="360" w:lineRule="auto"/>
        <w:outlineLvl w:val="1"/>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五、议程安排</w:t>
      </w:r>
    </w:p>
    <w:p>
      <w:pPr>
        <w:keepNext/>
        <w:keepLines/>
        <w:spacing w:line="360" w:lineRule="auto"/>
        <w:ind w:firstLine="482" w:firstLineChars="200"/>
        <w:outlineLvl w:val="2"/>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1.发标时间</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见《投标须知前附表》2.1。</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2.发标方式</w:t>
      </w:r>
    </w:p>
    <w:p>
      <w:pPr>
        <w:keepNext/>
        <w:keepLines/>
        <w:spacing w:line="360" w:lineRule="auto"/>
        <w:ind w:firstLine="480" w:firstLineChars="200"/>
        <w:outlineLvl w:val="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中国重汽官网等公开媒体公布。</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3.答疑</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见《投标须知前附表》第二条，逾期不受理。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4.投标报名</w:t>
      </w:r>
    </w:p>
    <w:p>
      <w:pPr>
        <w:keepNext/>
        <w:keepLines/>
        <w:spacing w:line="360" w:lineRule="auto"/>
        <w:ind w:firstLine="482"/>
        <w:rPr>
          <w:rFonts w:ascii="宋体" w:hAnsi="宋体" w:eastAsia="宋体" w:cs="宋体"/>
          <w:sz w:val="24"/>
          <w:szCs w:val="24"/>
          <w:highlight w:val="none"/>
        </w:rPr>
      </w:pPr>
      <w:r>
        <w:rPr>
          <w:rFonts w:hint="eastAsia" w:ascii="宋体" w:hAnsi="宋体" w:eastAsia="宋体" w:cs="宋体"/>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pPr>
        <w:pStyle w:val="117"/>
        <w:ind w:firstLine="480"/>
        <w:rPr>
          <w:rFonts w:eastAsia="宋体" w:cs="宋体"/>
          <w:highlight w:val="none"/>
        </w:rPr>
      </w:pPr>
      <w:r>
        <w:rPr>
          <w:rFonts w:hint="eastAsia" w:eastAsia="宋体" w:cs="宋体"/>
          <w:highlight w:val="none"/>
        </w:rPr>
        <w:t>4.2招标人银行账户信息如下：见《投标须知前附表》4.2。</w:t>
      </w:r>
    </w:p>
    <w:p>
      <w:pPr>
        <w:pStyle w:val="117"/>
        <w:ind w:firstLine="480"/>
        <w:rPr>
          <w:rFonts w:eastAsia="宋体" w:cs="宋体"/>
          <w:highlight w:val="none"/>
        </w:rPr>
      </w:pPr>
      <w:r>
        <w:rPr>
          <w:rFonts w:hint="eastAsia" w:eastAsia="宋体" w:cs="宋体"/>
          <w:highlight w:val="none"/>
        </w:rPr>
        <w:t>转账附言：公司名称+项目名称+投标保证金；</w:t>
      </w:r>
    </w:p>
    <w:p>
      <w:pPr>
        <w:pStyle w:val="117"/>
        <w:ind w:firstLine="480"/>
        <w:rPr>
          <w:rFonts w:eastAsia="宋体" w:cs="宋体"/>
          <w:highlight w:val="none"/>
        </w:rPr>
      </w:pPr>
      <w:r>
        <w:rPr>
          <w:rFonts w:hint="eastAsia" w:eastAsia="宋体" w:cs="宋体"/>
          <w:highlight w:val="none"/>
        </w:rPr>
        <w:t>对于没有中标的投标人，投标保证金将于招标人内部完成中标人评审并确认最终中标人后在</w:t>
      </w:r>
      <w:r>
        <w:rPr>
          <w:rFonts w:hint="eastAsia" w:eastAsia="宋体" w:cs="宋体"/>
          <w:highlight w:val="none"/>
          <w:lang w:val="en-US" w:eastAsia="zh-CN"/>
        </w:rPr>
        <w:t>一个付款周期</w:t>
      </w:r>
      <w:r>
        <w:rPr>
          <w:rFonts w:hint="eastAsia" w:eastAsia="宋体" w:cs="宋体"/>
          <w:highlight w:val="none"/>
        </w:rPr>
        <w:t>内予以原路返还（无息）；对于中标方，投标保证金将在签订合同后</w:t>
      </w:r>
      <w:r>
        <w:rPr>
          <w:rFonts w:hint="eastAsia" w:eastAsia="宋体" w:cs="宋体"/>
          <w:highlight w:val="none"/>
          <w:lang w:val="en-US" w:eastAsia="zh-CN"/>
        </w:rPr>
        <w:t>一个付款周期</w:t>
      </w:r>
      <w:r>
        <w:rPr>
          <w:rFonts w:hint="eastAsia" w:eastAsia="宋体" w:cs="宋体"/>
          <w:highlight w:val="none"/>
        </w:rPr>
        <w:t>内原路返还（无息）；</w:t>
      </w:r>
    </w:p>
    <w:p>
      <w:pPr>
        <w:pStyle w:val="117"/>
        <w:ind w:firstLine="480"/>
        <w:rPr>
          <w:rFonts w:eastAsia="宋体" w:cs="宋体"/>
          <w:highlight w:val="none"/>
        </w:rPr>
      </w:pPr>
      <w:r>
        <w:rPr>
          <w:rFonts w:hint="eastAsia" w:eastAsia="宋体" w:cs="宋体"/>
          <w:highlight w:val="none"/>
        </w:rPr>
        <w:t>4.3说明</w:t>
      </w:r>
    </w:p>
    <w:p>
      <w:pPr>
        <w:pStyle w:val="117"/>
        <w:ind w:firstLine="480"/>
        <w:rPr>
          <w:rFonts w:eastAsia="宋体" w:cs="宋体"/>
          <w:highlight w:val="none"/>
        </w:rPr>
      </w:pPr>
      <w:r>
        <w:rPr>
          <w:rFonts w:hint="eastAsia" w:eastAsia="宋体" w:cs="宋体"/>
          <w:highlight w:val="none"/>
        </w:rPr>
        <w:t>4.3.1 投标人在向招标人出示《投标保证金缴纳凭证》后方可进行投标；</w:t>
      </w:r>
    </w:p>
    <w:p>
      <w:pPr>
        <w:pStyle w:val="117"/>
        <w:ind w:firstLine="480"/>
        <w:rPr>
          <w:rFonts w:eastAsia="宋体" w:cs="宋体"/>
          <w:highlight w:val="none"/>
        </w:rPr>
      </w:pPr>
      <w:r>
        <w:rPr>
          <w:rFonts w:hint="eastAsia" w:eastAsia="宋体" w:cs="宋体"/>
          <w:highlight w:val="none"/>
        </w:rPr>
        <w:t>4.3.2 发生以下情况时，招标人有权没收保证金：</w:t>
      </w:r>
    </w:p>
    <w:p>
      <w:pPr>
        <w:pStyle w:val="117"/>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pPr>
        <w:pStyle w:val="117"/>
        <w:ind w:firstLine="480"/>
        <w:rPr>
          <w:rFonts w:eastAsia="宋体" w:cs="宋体"/>
          <w:highlight w:val="none"/>
        </w:rPr>
      </w:pPr>
      <w:r>
        <w:rPr>
          <w:rFonts w:hint="eastAsia" w:eastAsia="宋体" w:cs="宋体"/>
          <w:highlight w:val="none"/>
        </w:rPr>
        <w:t>4.3.2.2 投标人递送投标文件后，无正当理由放弃投标的；</w:t>
      </w:r>
    </w:p>
    <w:p>
      <w:pPr>
        <w:pStyle w:val="117"/>
        <w:ind w:firstLine="480"/>
        <w:rPr>
          <w:rFonts w:eastAsia="宋体" w:cs="宋体"/>
          <w:highlight w:val="none"/>
        </w:rPr>
      </w:pPr>
      <w:r>
        <w:rPr>
          <w:rFonts w:hint="eastAsia" w:eastAsia="宋体" w:cs="宋体"/>
          <w:highlight w:val="none"/>
        </w:rPr>
        <w:t>4.3.2.3若为视频开标，招标过程中澄清函等资料原件未按要求提交的；</w:t>
      </w:r>
    </w:p>
    <w:p>
      <w:pPr>
        <w:pStyle w:val="117"/>
        <w:ind w:firstLine="480"/>
        <w:rPr>
          <w:rFonts w:eastAsia="宋体" w:cs="宋体"/>
          <w:highlight w:val="none"/>
        </w:rPr>
      </w:pPr>
      <w:r>
        <w:rPr>
          <w:rFonts w:hint="eastAsia" w:eastAsia="宋体" w:cs="宋体"/>
          <w:highlight w:val="none"/>
        </w:rPr>
        <w:t>4.3.2.4自中标通知书发出之日起30日内，中标人无正当理由不签订合同的；</w:t>
      </w:r>
    </w:p>
    <w:p>
      <w:pPr>
        <w:pStyle w:val="117"/>
        <w:ind w:firstLine="480"/>
        <w:rPr>
          <w:rFonts w:eastAsia="宋体" w:cs="宋体"/>
          <w:highlight w:val="none"/>
        </w:rPr>
      </w:pPr>
      <w:r>
        <w:rPr>
          <w:rFonts w:hint="eastAsia" w:eastAsia="宋体" w:cs="宋体"/>
          <w:highlight w:val="none"/>
        </w:rPr>
        <w:t>4.3.2.5投标人在投标过程中被查实有串标、围标、陪标等违规违纪行为的；</w:t>
      </w:r>
    </w:p>
    <w:p>
      <w:pPr>
        <w:pStyle w:val="117"/>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pPr>
        <w:pStyle w:val="11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pPr>
        <w:pStyle w:val="117"/>
        <w:ind w:firstLine="480"/>
        <w:rPr>
          <w:rFonts w:eastAsia="宋体" w:cs="宋体"/>
          <w:highlight w:val="none"/>
        </w:rPr>
      </w:pPr>
      <w:r>
        <w:rPr>
          <w:rFonts w:hint="eastAsia" w:eastAsia="宋体" w:cs="宋体"/>
          <w:highlight w:val="none"/>
        </w:rPr>
        <w:t>4.4投标报名截止时间</w:t>
      </w:r>
    </w:p>
    <w:p>
      <w:pPr>
        <w:pStyle w:val="117"/>
        <w:ind w:firstLine="480"/>
        <w:rPr>
          <w:rFonts w:eastAsia="宋体" w:cs="宋体"/>
          <w:highlight w:val="none"/>
        </w:rPr>
      </w:pPr>
      <w:r>
        <w:rPr>
          <w:rFonts w:hint="eastAsia" w:eastAsia="宋体" w:cs="宋体"/>
          <w:highlight w:val="none"/>
        </w:rPr>
        <w:t>报名方式：见《投标须知前附表》2.3。</w:t>
      </w:r>
    </w:p>
    <w:p>
      <w:pPr>
        <w:pStyle w:val="117"/>
        <w:ind w:firstLine="480"/>
        <w:rPr>
          <w:rFonts w:eastAsia="宋体" w:cs="宋体"/>
          <w:highlight w:val="none"/>
        </w:rPr>
      </w:pPr>
      <w:r>
        <w:rPr>
          <w:rFonts w:hint="eastAsia" w:eastAsia="宋体" w:cs="宋体"/>
          <w:highlight w:val="none"/>
        </w:rPr>
        <w:t>报名提交资料：均为盖章电子扫描版，用“公司名称+文件名称”命名。</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如果是授权委托人投标，</w:t>
      </w:r>
      <w:r>
        <w:rPr>
          <w:rFonts w:hint="eastAsia" w:ascii="宋体" w:hAnsi="宋体" w:eastAsia="宋体" w:cs="宋体"/>
          <w:color w:val="000000"/>
          <w:sz w:val="24"/>
          <w:szCs w:val="24"/>
          <w:highlight w:val="none"/>
        </w:rPr>
        <w:t>要提交营业执照副本、法人授权委托书（含法人及授权人身份信息证明、授权代表联系方式）。</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如果是法人参加投标</w:t>
      </w:r>
      <w:r>
        <w:rPr>
          <w:rFonts w:hint="eastAsia" w:ascii="宋体" w:hAnsi="宋体" w:eastAsia="宋体" w:cs="宋体"/>
          <w:color w:val="000000"/>
          <w:sz w:val="24"/>
          <w:szCs w:val="24"/>
          <w:highlight w:val="none"/>
        </w:rPr>
        <w:t>，要提交营业执照副本、法人代表证明文件。</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5.开标时间</w:t>
      </w:r>
    </w:p>
    <w:p>
      <w:pPr>
        <w:keepNext/>
        <w:keepLines/>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见《投标须知前附表》5.1，若有变动另行通知。</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6.开标方式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pPr>
        <w:spacing w:line="360" w:lineRule="auto"/>
        <w:jc w:val="left"/>
        <w:outlineLvl w:val="1"/>
        <w:rPr>
          <w:rFonts w:ascii="宋体" w:hAnsi="宋体" w:eastAsia="宋体" w:cs="宋体"/>
          <w:b/>
          <w:sz w:val="24"/>
          <w:szCs w:val="24"/>
          <w:highlight w:val="none"/>
        </w:rPr>
      </w:pPr>
      <w:bookmarkStart w:id="6" w:name="_Toc33266627"/>
      <w:bookmarkStart w:id="7" w:name="_Toc33267001"/>
      <w:bookmarkStart w:id="8" w:name="_Toc33266914"/>
      <w:bookmarkStart w:id="9" w:name="_Toc33285487"/>
      <w:bookmarkStart w:id="10" w:name="_Toc33265653"/>
      <w:bookmarkStart w:id="11" w:name="_Toc33265752"/>
      <w:bookmarkStart w:id="12" w:name="_Toc33266950"/>
      <w:r>
        <w:rPr>
          <w:rFonts w:hint="eastAsia" w:ascii="宋体" w:hAnsi="宋体" w:eastAsia="宋体" w:cs="宋体"/>
          <w:b/>
          <w:sz w:val="24"/>
          <w:szCs w:val="24"/>
          <w:highlight w:val="none"/>
        </w:rPr>
        <w:t>六、评价原则</w:t>
      </w:r>
      <w:bookmarkEnd w:id="6"/>
      <w:bookmarkEnd w:id="7"/>
      <w:bookmarkEnd w:id="8"/>
      <w:bookmarkEnd w:id="9"/>
      <w:bookmarkEnd w:id="10"/>
      <w:bookmarkEnd w:id="11"/>
      <w:bookmarkEnd w:id="12"/>
      <w:bookmarkStart w:id="13" w:name="_Toc395116633"/>
    </w:p>
    <w:bookmarkEnd w:id="13"/>
    <w:p>
      <w:p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1.评标</w:t>
      </w:r>
    </w:p>
    <w:p>
      <w:pPr>
        <w:adjustRightInd w:val="0"/>
        <w:snapToGrid w:val="0"/>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sz w:val="24"/>
          <w:szCs w:val="24"/>
          <w:highlight w:val="none"/>
        </w:rPr>
        <w:t>本次招标</w:t>
      </w:r>
      <w:bookmarkStart w:id="14" w:name="_Toc33267002"/>
      <w:bookmarkStart w:id="15" w:name="_Toc33265753"/>
      <w:bookmarkStart w:id="16" w:name="_Toc33266915"/>
      <w:bookmarkStart w:id="17" w:name="_Toc395116634"/>
      <w:bookmarkStart w:id="18" w:name="_Toc33265654"/>
      <w:bookmarkStart w:id="19" w:name="_Toc33266951"/>
      <w:bookmarkStart w:id="20" w:name="_Toc33266628"/>
      <w:bookmarkStart w:id="21" w:name="_Toc33285489"/>
      <w:r>
        <w:rPr>
          <w:rFonts w:hint="eastAsia" w:ascii="宋体" w:hAnsi="宋体" w:eastAsia="宋体" w:cs="宋体"/>
          <w:sz w:val="24"/>
          <w:szCs w:val="24"/>
          <w:highlight w:val="none"/>
        </w:rPr>
        <w:t>采用</w:t>
      </w:r>
      <w:r>
        <w:rPr>
          <w:rFonts w:hint="eastAsia" w:ascii="宋体" w:hAnsi="宋体" w:eastAsia="宋体" w:cs="宋体"/>
          <w:sz w:val="24"/>
          <w:szCs w:val="24"/>
          <w:highlight w:val="none"/>
          <w:lang w:val="en-US" w:eastAsia="zh-CN"/>
        </w:rPr>
        <w:t>综合评标法</w:t>
      </w:r>
      <w:r>
        <w:rPr>
          <w:rFonts w:hint="eastAsia" w:ascii="宋体" w:hAnsi="宋体" w:eastAsia="宋体" w:cs="宋体"/>
          <w:sz w:val="24"/>
          <w:szCs w:val="24"/>
          <w:highlight w:val="none"/>
        </w:rPr>
        <w:t>。</w:t>
      </w:r>
      <w:r>
        <w:rPr>
          <w:rFonts w:hint="eastAsia" w:ascii="宋体" w:hAnsi="宋体" w:eastAsia="宋体" w:cs="宋体"/>
          <w:b/>
          <w:color w:val="000000"/>
          <w:sz w:val="24"/>
          <w:szCs w:val="24"/>
          <w:highlight w:val="none"/>
        </w:rPr>
        <w:t>对未中标单位不做任何解释。</w:t>
      </w:r>
    </w:p>
    <w:bookmarkEnd w:id="14"/>
    <w:bookmarkEnd w:id="15"/>
    <w:bookmarkEnd w:id="16"/>
    <w:bookmarkEnd w:id="17"/>
    <w:bookmarkEnd w:id="18"/>
    <w:bookmarkEnd w:id="19"/>
    <w:bookmarkEnd w:id="20"/>
    <w:bookmarkEnd w:id="21"/>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评标流程：</w:t>
      </w:r>
    </w:p>
    <w:p>
      <w:pPr>
        <w:pStyle w:val="17"/>
        <w:spacing w:line="360" w:lineRule="auto"/>
        <w:ind w:firstLine="482" w:firstLineChars="200"/>
        <w:rPr>
          <w:rFonts w:hAnsi="宋体" w:eastAsia="宋体" w:cs="宋体"/>
          <w:sz w:val="24"/>
          <w:szCs w:val="24"/>
          <w:highlight w:val="none"/>
        </w:rPr>
      </w:pPr>
      <w:r>
        <w:rPr>
          <w:rFonts w:hint="eastAsia" w:hAnsi="宋体" w:eastAsia="宋体" w:cs="宋体"/>
          <w:b/>
          <w:color w:val="000000"/>
          <w:sz w:val="24"/>
          <w:szCs w:val="24"/>
          <w:highlight w:val="none"/>
        </w:rPr>
        <w:t>投标文件包含《投标文件（资质标）》、《投标文件（技术标）》、《投标文件（商务标）》（开标一览表），共计三个文件。</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按照第三部分第三条投标文件组成资格证明文件中的1.1-1.1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yellow"/>
        </w:rPr>
        <w:t>请投标人确认中国重汽e采通系统中供应商信息完整、准确，因供应商信息不全或错误导致的报名不成功，由投标人自行承担。</w:t>
      </w:r>
    </w:p>
    <w:p>
      <w:pPr>
        <w:numPr>
          <w:ilvl w:val="0"/>
          <w:numId w:val="6"/>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sz w:val="24"/>
          <w:szCs w:val="24"/>
          <w:highlight w:val="none"/>
        </w:rPr>
        <w:t>资质评审：资质审核通过的单位，可以进入</w:t>
      </w:r>
      <w:r>
        <w:rPr>
          <w:rFonts w:hint="eastAsia" w:ascii="宋体" w:hAnsi="宋体" w:eastAsia="宋体" w:cs="宋体"/>
          <w:b/>
          <w:color w:val="000000"/>
          <w:sz w:val="24"/>
          <w:szCs w:val="24"/>
          <w:highlight w:val="none"/>
        </w:rPr>
        <w:t>公开唱标环节；</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公开唱标：公示资质标入围单位的开标价格及商务条款响应情况</w:t>
      </w:r>
      <w:r>
        <w:rPr>
          <w:rFonts w:hint="eastAsia" w:ascii="宋体" w:hAnsi="宋体" w:eastAsia="宋体" w:cs="宋体"/>
          <w:b/>
          <w:sz w:val="24"/>
          <w:szCs w:val="24"/>
          <w:highlight w:val="none"/>
        </w:rPr>
        <w:t>；</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rPr>
        <w:t>技术标评分标准见附件14；</w:t>
      </w:r>
    </w:p>
    <w:p>
      <w:pPr>
        <w:numPr>
          <w:ilvl w:val="0"/>
          <w:numId w:val="8"/>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商务标评审：商务条款相应确认→价格澄清→商务标评审；评审期间产生的商务价格澄清均由投标人在重汽e采通平台限时内完成提交；</w:t>
      </w:r>
    </w:p>
    <w:p>
      <w:pPr>
        <w:numPr>
          <w:ilvl w:val="255"/>
          <w:numId w:val="0"/>
        </w:num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注意：投标人均需要自带笔记本电脑在重汽e采通进行自主投标和提交澄清函；投标和提交澄清函均有时间限制，超时未提交的按无效处理。</w:t>
      </w:r>
    </w:p>
    <w:p>
      <w:pPr>
        <w:numPr>
          <w:ilvl w:val="0"/>
          <w:numId w:val="9"/>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中标人确定：</w:t>
      </w:r>
      <w:r>
        <w:rPr>
          <w:rFonts w:hint="eastAsia" w:ascii="宋体" w:hAnsi="宋体" w:eastAsia="宋体" w:cs="Times New Roman"/>
          <w:b/>
          <w:sz w:val="24"/>
          <w:szCs w:val="24"/>
          <w:highlight w:val="none"/>
          <w:lang w:val="en-US" w:eastAsia="zh-CN"/>
        </w:rPr>
        <w:t>在满足招标方技术要求的前提下</w:t>
      </w:r>
      <w:r>
        <w:rPr>
          <w:rFonts w:hint="eastAsia" w:ascii="宋体" w:hAnsi="宋体" w:eastAsia="宋体" w:cs="Times New Roman"/>
          <w:b/>
          <w:sz w:val="24"/>
          <w:szCs w:val="24"/>
          <w:highlight w:val="none"/>
        </w:rPr>
        <w:t>，原则上综合评标法</w:t>
      </w:r>
      <w:r>
        <w:rPr>
          <w:rFonts w:hint="eastAsia" w:ascii="宋体" w:hAnsi="宋体" w:eastAsia="宋体" w:cs="Times New Roman"/>
          <w:b/>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highlight w:val="none"/>
          <w:lang w:bidi="ar"/>
        </w:rPr>
        <w:t>变更意向中标人</w:t>
      </w:r>
      <w:r>
        <w:rPr>
          <w:rFonts w:hint="eastAsia" w:ascii="宋体" w:hAnsi="宋体" w:eastAsia="宋体" w:cs="宋体"/>
          <w:color w:val="000000"/>
          <w:sz w:val="24"/>
          <w:szCs w:val="24"/>
          <w:highlight w:val="none"/>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七、合同签订</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1.招标人根据评标工作小组的评标结果确定中标人，在</w:t>
      </w:r>
      <w:r>
        <w:rPr>
          <w:rFonts w:hint="eastAsia" w:ascii="Times New Roman" w:hAnsi="Times New Roman" w:eastAsia="宋体" w:cs="Times New Roman"/>
          <w:color w:val="000000"/>
          <w:sz w:val="24"/>
          <w:szCs w:val="24"/>
          <w:highlight w:val="none"/>
        </w:rPr>
        <w:t>中国</w:t>
      </w:r>
      <w:r>
        <w:rPr>
          <w:rFonts w:hint="eastAsia" w:ascii="宋体" w:hAnsi="宋体" w:eastAsia="宋体" w:cs="宋体"/>
          <w:color w:val="000000"/>
          <w:sz w:val="24"/>
          <w:szCs w:val="24"/>
          <w:highlight w:val="none"/>
        </w:rPr>
        <w:t>重汽e采通平台公布中标结果，并发送中标通知。</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2.中标人应该在中标通知书规定的时间、地点与招标人签订采购合同，否则按照开标后撤回投标处理。</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5.合同以双方最终签署的版本为准。</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八、废标及终止招标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pPr>
        <w:pStyle w:val="17"/>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22" w:name="OLE_LINK26"/>
      <w:bookmarkStart w:id="23" w:name="OLE_LINK28"/>
      <w:bookmarkStart w:id="24" w:name="OLE_LINK27"/>
      <w:bookmarkStart w:id="25" w:name="OLE_LINK29"/>
      <w:bookmarkStart w:id="26" w:name="OLE_LINK25"/>
      <w:r>
        <w:rPr>
          <w:rFonts w:hint="eastAsia" w:ascii="宋体" w:hAnsi="宋体" w:eastAsia="宋体" w:cs="宋体"/>
          <w:bCs/>
          <w:sz w:val="24"/>
          <w:szCs w:val="24"/>
          <w:highlight w:val="none"/>
        </w:rPr>
        <w:t>；</w:t>
      </w:r>
      <w:bookmarkEnd w:id="22"/>
      <w:bookmarkEnd w:id="23"/>
      <w:bookmarkEnd w:id="24"/>
      <w:bookmarkEnd w:id="25"/>
      <w:bookmarkEnd w:id="26"/>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pPr>
        <w:pStyle w:val="17"/>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ascii="宋体" w:hAnsi="宋体" w:eastAsia="宋体" w:cs="宋体"/>
          <w:b/>
          <w:color w:val="000000"/>
          <w:sz w:val="24"/>
          <w:szCs w:val="24"/>
          <w:highlight w:val="none"/>
        </w:rPr>
      </w:pPr>
      <w:r>
        <w:rPr>
          <w:rFonts w:hint="eastAsia" w:ascii="宋体" w:hAnsi="宋体" w:eastAsia="宋体" w:cs="宋体"/>
          <w:b/>
          <w:bCs/>
          <w:sz w:val="24"/>
          <w:szCs w:val="24"/>
          <w:highlight w:val="none"/>
        </w:rPr>
        <w:t>九、本次招标最终解释权</w:t>
      </w:r>
      <w:r>
        <w:rPr>
          <w:rFonts w:hint="eastAsia" w:ascii="宋体" w:hAnsi="宋体" w:eastAsia="宋体" w:cs="宋体"/>
          <w:b/>
          <w:color w:val="000000"/>
          <w:sz w:val="24"/>
          <w:szCs w:val="24"/>
          <w:highlight w:val="none"/>
        </w:rPr>
        <w:t>归重汽（济南）车桥有限公司。</w:t>
      </w:r>
    </w:p>
    <w:p>
      <w:pPr>
        <w:pStyle w:val="17"/>
        <w:spacing w:line="360" w:lineRule="auto"/>
        <w:jc w:val="center"/>
        <w:rPr>
          <w:rFonts w:hAnsi="宋体" w:eastAsia="宋体" w:cs="宋体"/>
          <w:b/>
          <w:bCs/>
          <w:kern w:val="44"/>
          <w:sz w:val="24"/>
          <w:szCs w:val="24"/>
          <w:highlight w:val="none"/>
        </w:rPr>
        <w:sectPr>
          <w:footerReference r:id="rId11" w:type="default"/>
          <w:pgSz w:w="11907" w:h="16840"/>
          <w:pgMar w:top="1304" w:right="1418" w:bottom="1304" w:left="1418" w:header="724" w:footer="851" w:gutter="0"/>
          <w:pgNumType w:fmt="decimal"/>
          <w:cols w:space="720" w:num="1"/>
          <w:docGrid w:linePitch="290" w:charSpace="-3931"/>
        </w:sectPr>
      </w:pPr>
    </w:p>
    <w:p>
      <w:pPr>
        <w:pStyle w:val="17"/>
        <w:numPr>
          <w:ilvl w:val="255"/>
          <w:numId w:val="0"/>
        </w:numPr>
        <w:jc w:val="center"/>
        <w:outlineLvl w:val="0"/>
        <w:rPr>
          <w:rFonts w:ascii="Calibri" w:hAnsi="Calibri" w:eastAsia="宋体" w:cs="Times New Roman"/>
          <w:b/>
          <w:bCs/>
          <w:kern w:val="44"/>
          <w:sz w:val="36"/>
          <w:szCs w:val="44"/>
          <w:highlight w:val="none"/>
        </w:rPr>
      </w:pPr>
      <w:bookmarkStart w:id="27" w:name="_Toc22879"/>
      <w:r>
        <w:rPr>
          <w:rFonts w:hint="eastAsia" w:ascii="Calibri" w:hAnsi="Calibri" w:eastAsia="宋体" w:cs="Times New Roman"/>
          <w:b/>
          <w:bCs/>
          <w:kern w:val="44"/>
          <w:sz w:val="36"/>
          <w:szCs w:val="44"/>
          <w:highlight w:val="none"/>
        </w:rPr>
        <w:t>第三部分 投标文件编制</w:t>
      </w:r>
      <w:bookmarkEnd w:id="27"/>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一、投标文件的编制</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2.投标文件和与投标有关的所有文件均应使用中文。</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3.除投标文件的技术规格中另有规定外，投标文件中所使用的计量单位应为中华人民共和国法定计量单位。</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二、投标文件资料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1.投标人所投标设备详细技术资料清单，在标书中列示说明；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2.投标人完整的技术支持与售后服务实施方案，在标书中列示说明，包含但不限于以下内容：</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B、售后服务机构或网点（名称、地址、联系人、电话）。</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C、针对本项目的技术服务团队情况（人员数量、姓名、电话、专业资质等）。</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D、日常维护保养及故障排除措施保证。</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color w:val="000000"/>
          <w:sz w:val="24"/>
          <w:szCs w:val="24"/>
          <w:highlight w:val="none"/>
        </w:rPr>
        <w:t>3.投标人关于包装、运输、检验、交付、安装、调试、培训等方案，均需在投标文件中列示说明。</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三、投标文件的组成</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sz w:val="24"/>
          <w:szCs w:val="24"/>
          <w:highlight w:val="none"/>
        </w:rPr>
        <w:t>本项目投标文件分为</w:t>
      </w:r>
      <w:r>
        <w:rPr>
          <w:rFonts w:hint="eastAsia" w:ascii="宋体" w:hAnsi="宋体" w:eastAsia="宋体" w:cs="宋体"/>
          <w:b/>
          <w:sz w:val="24"/>
          <w:szCs w:val="24"/>
          <w:highlight w:val="none"/>
        </w:rPr>
        <w:t>纸质版</w:t>
      </w:r>
      <w:r>
        <w:rPr>
          <w:rFonts w:hint="eastAsia" w:ascii="宋体" w:hAnsi="宋体" w:eastAsia="宋体" w:cs="宋体"/>
          <w:bCs/>
          <w:sz w:val="24"/>
          <w:szCs w:val="24"/>
          <w:highlight w:val="none"/>
        </w:rPr>
        <w:t>投标文件和</w:t>
      </w:r>
      <w:r>
        <w:rPr>
          <w:rFonts w:hint="eastAsia" w:ascii="宋体" w:hAnsi="宋体" w:eastAsia="宋体" w:cs="宋体"/>
          <w:b/>
          <w:sz w:val="24"/>
          <w:szCs w:val="24"/>
          <w:highlight w:val="none"/>
        </w:rPr>
        <w:t>电子版</w:t>
      </w:r>
      <w:r>
        <w:rPr>
          <w:rFonts w:hint="eastAsia" w:ascii="宋体" w:hAnsi="宋体" w:eastAsia="宋体" w:cs="宋体"/>
          <w:bCs/>
          <w:sz w:val="24"/>
          <w:szCs w:val="24"/>
          <w:highlight w:val="none"/>
        </w:rPr>
        <w:t>投标文件，均由</w:t>
      </w:r>
      <w:r>
        <w:rPr>
          <w:rFonts w:hint="eastAsia" w:ascii="宋体" w:hAnsi="宋体" w:eastAsia="宋体" w:cs="宋体"/>
          <w:b/>
          <w:sz w:val="24"/>
          <w:szCs w:val="24"/>
          <w:highlight w:val="none"/>
        </w:rPr>
        <w:t>《投标文件（资质标）》、《投标文件（技术标）》、《投标文件（商务标）》（开标一览表）</w:t>
      </w:r>
      <w:r>
        <w:rPr>
          <w:rFonts w:hint="eastAsia" w:ascii="宋体" w:hAnsi="宋体" w:eastAsia="宋体" w:cs="宋体"/>
          <w:bCs/>
          <w:sz w:val="24"/>
          <w:szCs w:val="24"/>
          <w:highlight w:val="none"/>
        </w:rPr>
        <w:t>文件组成，共计3</w:t>
      </w:r>
      <w:r>
        <w:rPr>
          <w:rFonts w:hint="eastAsia" w:ascii="宋体" w:hAnsi="宋体" w:eastAsia="宋体" w:cs="宋体"/>
          <w:bCs/>
          <w:color w:val="000000"/>
          <w:sz w:val="24"/>
          <w:szCs w:val="24"/>
          <w:highlight w:val="none"/>
        </w:rPr>
        <w:t>个文件。</w:t>
      </w:r>
    </w:p>
    <w:p>
      <w:pPr>
        <w:spacing w:line="360" w:lineRule="auto"/>
        <w:ind w:firstLine="482" w:firstLineChars="200"/>
        <w:rPr>
          <w:rFonts w:ascii="宋体" w:hAnsi="宋体" w:eastAsia="宋体" w:cs="宋体"/>
          <w:bCs/>
          <w:color w:val="000000"/>
          <w:sz w:val="24"/>
          <w:szCs w:val="24"/>
          <w:highlight w:val="none"/>
        </w:rPr>
      </w:pPr>
      <w:r>
        <w:rPr>
          <w:rFonts w:hint="eastAsia" w:ascii="宋体" w:hAnsi="宋体" w:eastAsia="宋体" w:cs="宋体"/>
          <w:b/>
          <w:color w:val="000000"/>
          <w:sz w:val="24"/>
          <w:szCs w:val="24"/>
          <w:highlight w:val="none"/>
        </w:rPr>
        <w:t>投标文件的份数要求及投递方式</w:t>
      </w:r>
      <w:r>
        <w:rPr>
          <w:rFonts w:hint="eastAsia" w:ascii="宋体" w:hAnsi="宋体" w:eastAsia="宋体" w:cs="宋体"/>
          <w:bCs/>
          <w:color w:val="000000"/>
          <w:sz w:val="24"/>
          <w:szCs w:val="24"/>
          <w:highlight w:val="none"/>
        </w:rPr>
        <w:t>，见《投标须知前附表》第3条。</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详见附件格式1—13，其余未尽事宜请按各单位习惯制定即可。</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p>
    <w:p>
      <w:pPr>
        <w:spacing w:line="360" w:lineRule="auto"/>
        <w:ind w:firstLine="482" w:firstLineChars="200"/>
        <w:rPr>
          <w:rFonts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pPr>
        <w:spacing w:line="360" w:lineRule="auto"/>
        <w:ind w:firstLine="480" w:firstLineChars="200"/>
        <w:rPr>
          <w:rFonts w:hAnsi="宋体" w:eastAsia="宋体" w:cs="宋体"/>
          <w:b/>
          <w:color w:val="000000"/>
          <w:sz w:val="24"/>
          <w:szCs w:val="24"/>
          <w:highlight w:val="none"/>
        </w:rPr>
      </w:pPr>
      <w:r>
        <w:rPr>
          <w:rFonts w:hint="eastAsia" w:ascii="宋体" w:hAnsi="宋体" w:eastAsia="宋体" w:cs="宋体"/>
          <w:bCs/>
          <w:color w:val="000000"/>
          <w:sz w:val="24"/>
          <w:szCs w:val="24"/>
          <w:highlight w:val="none"/>
        </w:rPr>
        <w:t>2.2</w:t>
      </w:r>
      <w:r>
        <w:rPr>
          <w:rFonts w:hint="eastAsia" w:hAnsi="宋体" w:eastAsia="宋体" w:cs="宋体"/>
          <w:color w:val="000000"/>
          <w:sz w:val="24"/>
          <w:szCs w:val="24"/>
          <w:highlight w:val="none"/>
        </w:rPr>
        <w:t>设备分项配置表（附件5-2），列明项目设备分项配置规格型号、品牌等信息，非标机械部件提供单件图纸（要求分项明细与附表9-1完全对应），但</w:t>
      </w:r>
      <w:r>
        <w:rPr>
          <w:rFonts w:hint="eastAsia" w:ascii="宋体" w:hAnsi="宋体" w:eastAsia="宋体" w:cs="宋体"/>
          <w:b/>
          <w:color w:val="000000"/>
          <w:sz w:val="24"/>
          <w:szCs w:val="24"/>
          <w:highlight w:val="none"/>
        </w:rPr>
        <w:t>注意：</w:t>
      </w:r>
      <w:r>
        <w:rPr>
          <w:rFonts w:hint="eastAsia" w:hAnsi="宋体" w:eastAsia="宋体" w:cs="宋体"/>
          <w:b/>
          <w:color w:val="000000"/>
          <w:sz w:val="24"/>
          <w:szCs w:val="24"/>
          <w:highlight w:val="none"/>
        </w:rPr>
        <w:t>此表在技术标书中，禁止出现任何分项价格及项目总价；</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2.3提供202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年1月1日以来同类产品的制造销售业绩（用户名单、联系方式），并附合同复印件。该同类项目业绩一览表必</w:t>
      </w:r>
      <w:r>
        <w:rPr>
          <w:rFonts w:hint="eastAsia" w:ascii="宋体" w:hAnsi="宋体" w:eastAsia="宋体" w:cs="宋体"/>
          <w:b/>
          <w:bCs/>
          <w:color w:val="000000"/>
          <w:sz w:val="24"/>
          <w:szCs w:val="24"/>
          <w:highlight w:val="none"/>
        </w:rPr>
        <w:t>须如实填写，应全尽全</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一览表最终的所有业绩合同总额汇总必填</w:t>
      </w:r>
      <w:r>
        <w:rPr>
          <w:rFonts w:hint="eastAsia" w:ascii="宋体" w:hAnsi="宋体" w:eastAsia="宋体" w:cs="宋体"/>
          <w:color w:val="000000"/>
          <w:sz w:val="24"/>
          <w:szCs w:val="24"/>
          <w:highlight w:val="none"/>
        </w:rPr>
        <w:t>，数据将影响现场评标专家组对投标单位的业绩考评。</w:t>
      </w:r>
      <w:r>
        <w:rPr>
          <w:rFonts w:hint="eastAsia" w:ascii="宋体" w:hAnsi="宋体" w:eastAsia="宋体" w:cs="宋体"/>
          <w:b/>
          <w:bCs/>
          <w:color w:val="000000"/>
          <w:sz w:val="24"/>
          <w:szCs w:val="24"/>
          <w:highlight w:val="none"/>
        </w:rPr>
        <w:t>若未提供相应业绩证明，根据技术标评分规则，将影响现场评标专家组对投标单位业绩判定打分</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2.4供货期及保证措施；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2.5产品的技术服务和售后服务内容及措施；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2.6交货进度及计划；</w:t>
      </w:r>
    </w:p>
    <w:p>
      <w:pPr>
        <w:spacing w:line="360" w:lineRule="auto"/>
        <w:ind w:firstLine="480" w:firstLineChars="200"/>
        <w:rPr>
          <w:rFonts w:ascii="宋体" w:hAnsi="宋体" w:eastAsia="宋体" w:cs="宋体"/>
          <w:color w:val="000000"/>
          <w:sz w:val="24"/>
          <w:szCs w:val="24"/>
          <w:highlight w:val="none"/>
        </w:rPr>
      </w:pPr>
      <w:bookmarkStart w:id="29" w:name="_Toc536542319"/>
      <w:r>
        <w:rPr>
          <w:rFonts w:hint="eastAsia" w:ascii="宋体" w:hAnsi="宋体" w:eastAsia="宋体" w:cs="宋体"/>
          <w:color w:val="000000"/>
          <w:sz w:val="24"/>
          <w:szCs w:val="24"/>
          <w:highlight w:val="none"/>
        </w:rPr>
        <w:t>2.7投标产品技术支持材料</w:t>
      </w:r>
      <w:bookmarkEnd w:id="29"/>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2.8设备质量承诺函（附件7）；</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2.9投标人需提交的其它资料。</w:t>
      </w: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sz w:val="24"/>
          <w:szCs w:val="24"/>
          <w:highlight w:val="none"/>
        </w:rPr>
        <w:t>《投标文件（商务标）》（开标一览表）</w:t>
      </w:r>
      <w:r>
        <w:rPr>
          <w:rFonts w:hint="eastAsia" w:ascii="宋体" w:hAnsi="宋体" w:eastAsia="宋体" w:cs="宋体"/>
          <w:b/>
          <w:bCs/>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3.1开标一览表（附件8）；</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3.2投标报价明细表（附件9-1至9-5）</w:t>
      </w:r>
      <w:r>
        <w:rPr>
          <w:rFonts w:hint="eastAsia" w:ascii="宋体" w:hAnsi="宋体" w:eastAsia="宋体" w:cs="宋体"/>
          <w:b/>
          <w:bCs/>
          <w:color w:val="000000"/>
          <w:sz w:val="24"/>
          <w:szCs w:val="24"/>
          <w:highlight w:val="none"/>
          <w:lang w:eastAsia="zh-CN"/>
        </w:rPr>
        <w:t>【分项报价中需明确：规格型号、材质、重量、数量、品牌、价格等信息，注明是否包含加工费等其他费用】</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3.3商务条款偏离表（附件10）</w:t>
      </w:r>
      <w:bookmarkStart w:id="30" w:name="OLE_LINK18"/>
      <w:bookmarkStart w:id="31" w:name="OLE_LINK19"/>
      <w:r>
        <w:rPr>
          <w:rFonts w:hint="eastAsia" w:ascii="宋体" w:hAnsi="宋体" w:eastAsia="宋体" w:cs="宋体"/>
          <w:b/>
          <w:color w:val="000000"/>
          <w:sz w:val="24"/>
          <w:szCs w:val="24"/>
          <w:highlight w:val="none"/>
        </w:rPr>
        <w:t>；</w:t>
      </w:r>
      <w:bookmarkEnd w:id="30"/>
      <w:bookmarkEnd w:id="31"/>
      <w:r>
        <w:rPr>
          <w:rFonts w:hint="eastAsia" w:ascii="宋体" w:hAnsi="宋体" w:eastAsia="宋体" w:cs="宋体"/>
          <w:color w:val="000000"/>
          <w:sz w:val="24"/>
          <w:szCs w:val="24"/>
          <w:highlight w:val="none"/>
        </w:rPr>
        <w:t xml:space="preserve"> </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3.4投标人承诺（附件11）</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3.5服务承诺函（附件12），</w:t>
      </w:r>
      <w:r>
        <w:rPr>
          <w:rFonts w:hint="eastAsia" w:ascii="宋体" w:hAnsi="宋体" w:eastAsia="宋体" w:cs="宋体"/>
          <w:b/>
          <w:color w:val="000000"/>
          <w:sz w:val="24"/>
          <w:szCs w:val="24"/>
          <w:highlight w:val="none"/>
        </w:rPr>
        <w:t>需写明质保期以外服务费用情况</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3.6按招标文件投标人须知和技术规格书中要求提供的有关文件</w:t>
      </w:r>
      <w:r>
        <w:rPr>
          <w:rFonts w:hint="eastAsia" w:ascii="宋体" w:hAnsi="宋体" w:eastAsia="宋体" w:cs="宋体"/>
          <w:color w:val="000000"/>
          <w:sz w:val="24"/>
          <w:szCs w:val="24"/>
          <w:highlight w:val="none"/>
          <w:lang w:val="en-US" w:eastAsia="zh-CN"/>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四、投标文件格式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详见第六部分投标文件附件格式1—13，其余未尽事宜请按各单位习惯制定即可。</w:t>
      </w:r>
    </w:p>
    <w:p>
      <w:pPr>
        <w:pStyle w:val="17"/>
        <w:jc w:val="center"/>
        <w:rPr>
          <w:rFonts w:ascii="Calibri" w:hAnsi="Calibri" w:eastAsia="宋体" w:cs="Times New Roman"/>
          <w:b/>
          <w:bCs/>
          <w:kern w:val="44"/>
          <w:sz w:val="36"/>
          <w:szCs w:val="44"/>
          <w:highlight w:val="none"/>
        </w:rPr>
        <w:sectPr>
          <w:pgSz w:w="11907" w:h="16840"/>
          <w:pgMar w:top="1304" w:right="1418" w:bottom="1304" w:left="1418" w:header="724" w:footer="851" w:gutter="0"/>
          <w:pgNumType w:fmt="decimal"/>
          <w:cols w:space="720" w:num="1"/>
          <w:docGrid w:linePitch="290" w:charSpace="-3931"/>
        </w:sectPr>
      </w:pPr>
    </w:p>
    <w:bookmarkEnd w:id="0"/>
    <w:bookmarkEnd w:id="1"/>
    <w:p>
      <w:pPr>
        <w:keepNext/>
        <w:keepLines/>
        <w:numPr>
          <w:ilvl w:val="0"/>
          <w:numId w:val="10"/>
        </w:numPr>
        <w:jc w:val="center"/>
        <w:outlineLvl w:val="0"/>
        <w:rPr>
          <w:rFonts w:hint="eastAsia" w:ascii="Calibri" w:hAnsi="Calibri" w:eastAsia="宋体" w:cs="Times New Roman"/>
          <w:b/>
          <w:bCs/>
          <w:kern w:val="44"/>
          <w:sz w:val="36"/>
          <w:szCs w:val="44"/>
        </w:rPr>
      </w:pPr>
      <w:bookmarkStart w:id="32" w:name="_Toc9849"/>
      <w:bookmarkStart w:id="33" w:name="_Toc169605877"/>
      <w:bookmarkStart w:id="34" w:name="_Toc465187648"/>
      <w:r>
        <w:rPr>
          <w:rFonts w:hint="eastAsia" w:ascii="Calibri" w:hAnsi="Calibri" w:eastAsia="宋体" w:cs="Times New Roman"/>
          <w:b/>
          <w:bCs/>
          <w:kern w:val="44"/>
          <w:sz w:val="36"/>
          <w:szCs w:val="44"/>
        </w:rPr>
        <w:t>技术标书</w:t>
      </w:r>
      <w:bookmarkEnd w:id="32"/>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项目名称：</w:t>
      </w:r>
      <w:r>
        <w:rPr>
          <w:rFonts w:hint="eastAsia" w:ascii="仿宋" w:hAnsi="仿宋" w:eastAsia="仿宋" w:cs="仿宋"/>
          <w:bCs/>
          <w:color w:val="auto"/>
          <w:sz w:val="32"/>
          <w:szCs w:val="32"/>
          <w:highlight w:val="none"/>
          <w:u w:val="single"/>
        </w:rPr>
        <w:t xml:space="preserve"> 济南车桥公司磨床在线检测升级改造技改项目</w:t>
      </w:r>
      <w:r>
        <w:rPr>
          <w:rFonts w:hint="eastAsia" w:ascii="仿宋" w:hAnsi="仿宋" w:eastAsia="仿宋" w:cs="仿宋"/>
          <w:color w:val="auto"/>
          <w:sz w:val="32"/>
          <w:szCs w:val="32"/>
          <w:highlight w:val="none"/>
          <w:u w:val="single"/>
        </w:rPr>
        <w:t xml:space="preserve">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货物名称：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在线尺寸监控单元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adjustRightInd w:val="0"/>
        <w:snapToGrid w:val="0"/>
        <w:spacing w:before="163" w:beforeLines="50" w:after="163" w:afterLines="50" w:line="360" w:lineRule="auto"/>
        <w:jc w:val="center"/>
        <w:outlineLvl w:val="0"/>
        <w:rPr>
          <w:rFonts w:hint="eastAsia" w:ascii="仿宋" w:hAnsi="仿宋" w:eastAsia="仿宋" w:cs="仿宋"/>
          <w:b/>
          <w:bCs/>
          <w:color w:val="auto"/>
          <w:highlight w:val="none"/>
        </w:rPr>
      </w:pPr>
      <w:bookmarkStart w:id="35" w:name="_Toc16358"/>
      <w:bookmarkStart w:id="36" w:name="_Toc14517"/>
      <w:bookmarkStart w:id="37" w:name="_Toc7110"/>
      <w:bookmarkStart w:id="38" w:name="_Toc4532"/>
      <w:bookmarkStart w:id="39" w:name="_Toc6346"/>
      <w:bookmarkStart w:id="40" w:name="_Toc24913"/>
      <w:bookmarkStart w:id="41" w:name="_Toc18805"/>
      <w:bookmarkStart w:id="42" w:name="_Toc8032"/>
      <w:bookmarkStart w:id="43" w:name="_Toc19672"/>
      <w:bookmarkStart w:id="44" w:name="_Toc13555"/>
      <w:bookmarkStart w:id="45" w:name="_Toc13605"/>
      <w:bookmarkStart w:id="46" w:name="_Toc7511"/>
      <w:bookmarkStart w:id="47" w:name="_Toc24964"/>
      <w:bookmarkStart w:id="48" w:name="_Toc12714"/>
      <w:bookmarkStart w:id="49" w:name="_Toc8202"/>
      <w:bookmarkStart w:id="50" w:name="_Toc12563"/>
      <w:bookmarkStart w:id="51" w:name="_Toc11355"/>
      <w:bookmarkStart w:id="52" w:name="_Toc30738"/>
      <w:bookmarkStart w:id="53" w:name="_Toc21497"/>
      <w:bookmarkStart w:id="54" w:name="_Toc20467"/>
      <w:bookmarkStart w:id="55" w:name="_Toc12552"/>
      <w:bookmarkStart w:id="56" w:name="_Toc1884"/>
      <w:bookmarkStart w:id="57" w:name="_Toc22649"/>
      <w:bookmarkStart w:id="58" w:name="_Toc3565"/>
      <w:bookmarkStart w:id="59" w:name="_Toc32378"/>
      <w:bookmarkStart w:id="60" w:name="_Toc2174"/>
      <w:bookmarkStart w:id="61" w:name="_Toc6957"/>
      <w:bookmarkStart w:id="62" w:name="_Toc4483"/>
      <w:bookmarkStart w:id="63" w:name="_Toc20272"/>
      <w:bookmarkStart w:id="64" w:name="_Toc18182"/>
      <w:bookmarkStart w:id="65" w:name="_Toc3372"/>
      <w:bookmarkStart w:id="66" w:name="_Toc13562"/>
      <w:bookmarkStart w:id="67" w:name="_Toc7975"/>
      <w:bookmarkStart w:id="68" w:name="_Toc19716"/>
      <w:bookmarkStart w:id="69" w:name="_Toc19570"/>
      <w:bookmarkStart w:id="70" w:name="_Toc133783966"/>
      <w:bookmarkStart w:id="71" w:name="_Toc2042"/>
      <w:bookmarkStart w:id="72" w:name="_Toc23870"/>
      <w:bookmarkStart w:id="73" w:name="_Toc73112396"/>
      <w:bookmarkStart w:id="74" w:name="_Toc4029"/>
      <w:bookmarkStart w:id="75" w:name="_Toc18606"/>
      <w:bookmarkStart w:id="76" w:name="_Toc4194"/>
      <w:bookmarkStart w:id="77" w:name="_Toc28236"/>
      <w:bookmarkStart w:id="78" w:name="_Toc13988"/>
    </w:p>
    <w:p>
      <w:pPr>
        <w:rPr>
          <w:rFonts w:hint="eastAsia"/>
        </w:rPr>
      </w:pPr>
      <w:r>
        <w:rPr>
          <w:rFonts w:hint="eastAsia"/>
        </w:rPr>
        <w:br w:type="page"/>
      </w:r>
    </w:p>
    <w:p>
      <w:pPr>
        <w:pStyle w:val="12"/>
        <w:rPr>
          <w:rFonts w:hint="eastAsia"/>
        </w:rPr>
      </w:pP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第一章采购货物概况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Toc133783967"/>
    </w:p>
    <w:p>
      <w:pPr>
        <w:adjustRightInd w:val="0"/>
        <w:snapToGrid w:val="0"/>
        <w:spacing w:line="360" w:lineRule="auto"/>
        <w:jc w:val="center"/>
        <w:outlineLvl w:val="1"/>
        <w:rPr>
          <w:rFonts w:ascii="仿宋" w:hAnsi="仿宋" w:eastAsia="仿宋" w:cs="仿宋"/>
          <w:b/>
          <w:bCs/>
          <w:color w:val="auto"/>
          <w:highlight w:val="none"/>
        </w:rPr>
      </w:pPr>
      <w:bookmarkStart w:id="80" w:name="_Toc16714"/>
      <w:bookmarkStart w:id="81" w:name="_Toc5826"/>
      <w:bookmarkStart w:id="82" w:name="_Toc7159"/>
      <w:bookmarkStart w:id="83" w:name="_Toc7333"/>
      <w:bookmarkStart w:id="84" w:name="_Toc6436"/>
      <w:bookmarkStart w:id="85" w:name="_Toc892"/>
      <w:bookmarkStart w:id="86" w:name="_Toc25011"/>
      <w:bookmarkStart w:id="87" w:name="_Toc10612"/>
      <w:bookmarkStart w:id="88" w:name="_Toc6606"/>
      <w:bookmarkStart w:id="89" w:name="_Toc29157"/>
      <w:bookmarkStart w:id="90" w:name="_Toc9983"/>
      <w:bookmarkStart w:id="91" w:name="_Toc22942"/>
      <w:bookmarkStart w:id="92" w:name="_Toc864"/>
      <w:bookmarkStart w:id="93" w:name="_Toc30246"/>
      <w:bookmarkStart w:id="94" w:name="_Toc5983"/>
      <w:bookmarkStart w:id="95" w:name="_Toc11763"/>
      <w:bookmarkStart w:id="96" w:name="_Toc29605"/>
      <w:bookmarkStart w:id="97" w:name="_Toc22424"/>
      <w:bookmarkStart w:id="98" w:name="_Toc19070"/>
      <w:bookmarkStart w:id="99" w:name="_Toc28361"/>
      <w:bookmarkStart w:id="100" w:name="_Toc73112397"/>
      <w:bookmarkStart w:id="101" w:name="_Toc2940"/>
      <w:bookmarkStart w:id="102" w:name="_Toc11411"/>
      <w:bookmarkStart w:id="103" w:name="_Toc30245"/>
      <w:bookmarkStart w:id="104" w:name="_Toc6498"/>
      <w:bookmarkStart w:id="105" w:name="_Toc8362"/>
      <w:bookmarkStart w:id="106" w:name="_Toc5172"/>
      <w:bookmarkStart w:id="107" w:name="_Toc30808"/>
      <w:bookmarkStart w:id="108" w:name="_Toc29927"/>
      <w:bookmarkStart w:id="109" w:name="_Toc5400"/>
      <w:bookmarkStart w:id="110" w:name="_Toc5609"/>
      <w:bookmarkStart w:id="111" w:name="_Toc24689"/>
      <w:bookmarkStart w:id="112" w:name="_Toc5420"/>
      <w:bookmarkStart w:id="113" w:name="_Toc2152"/>
      <w:bookmarkStart w:id="114" w:name="_Toc27214"/>
      <w:bookmarkStart w:id="115" w:name="_Toc21756"/>
      <w:bookmarkStart w:id="116" w:name="_Toc7515"/>
      <w:bookmarkStart w:id="117" w:name="_Toc2996"/>
      <w:bookmarkStart w:id="118" w:name="_Toc4004"/>
      <w:bookmarkStart w:id="119" w:name="_Toc31000"/>
      <w:bookmarkStart w:id="120" w:name="_Toc17474"/>
      <w:bookmarkStart w:id="121" w:name="_Toc21892"/>
      <w:r>
        <w:rPr>
          <w:rFonts w:hint="eastAsia" w:ascii="仿宋" w:hAnsi="仿宋" w:eastAsia="仿宋" w:cs="仿宋"/>
          <w:b/>
          <w:bCs/>
          <w:color w:val="auto"/>
          <w:highlight w:val="none"/>
        </w:rPr>
        <w:t>第一节使用环境</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20"/>
        <w:tabs>
          <w:tab w:val="left" w:pos="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1项目名称：</w:t>
      </w:r>
      <w:r>
        <w:rPr>
          <w:rFonts w:hint="eastAsia" w:ascii="仿宋" w:hAnsi="仿宋" w:eastAsia="仿宋" w:cs="仿宋"/>
          <w:color w:val="auto"/>
          <w:highlight w:val="none"/>
          <w:shd w:val="pct10" w:color="auto" w:fill="FFFFFF"/>
        </w:rPr>
        <w:t>磨床在线检测升级改造项目</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2建设地点：</w:t>
      </w:r>
      <w:r>
        <w:rPr>
          <w:rFonts w:hint="eastAsia" w:ascii="仿宋" w:hAnsi="仿宋" w:eastAsia="仿宋" w:cs="仿宋"/>
          <w:color w:val="auto"/>
          <w:highlight w:val="none"/>
          <w:shd w:val="pct10" w:color="auto" w:fill="FFFFFF"/>
        </w:rPr>
        <w:t>重汽(济南)车桥有限公司</w:t>
      </w:r>
      <w:r>
        <w:rPr>
          <w:rFonts w:hint="eastAsia" w:ascii="仿宋" w:hAnsi="仿宋" w:eastAsia="仿宋" w:cs="仿宋"/>
          <w:color w:val="auto"/>
          <w:highlight w:val="none"/>
        </w:rPr>
        <w:t>（工地）</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3使用地点：</w:t>
      </w:r>
      <w:r>
        <w:rPr>
          <w:rFonts w:hint="eastAsia" w:ascii="仿宋" w:hAnsi="仿宋" w:eastAsia="仿宋" w:cs="仿宋"/>
          <w:color w:val="auto"/>
          <w:highlight w:val="none"/>
          <w:shd w:val="pct10" w:color="auto" w:fill="FFFFFF"/>
        </w:rPr>
        <w:t>车桥公司齿轮加工车间</w:t>
      </w:r>
      <w:r>
        <w:rPr>
          <w:rFonts w:hint="eastAsia" w:ascii="仿宋" w:hAnsi="仿宋" w:eastAsia="仿宋" w:cs="仿宋"/>
          <w:color w:val="auto"/>
          <w:highlight w:val="none"/>
        </w:rPr>
        <w:t>（室内）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4工作制度：全年工作</w:t>
      </w:r>
      <w:r>
        <w:rPr>
          <w:rFonts w:hint="eastAsia" w:ascii="仿宋" w:hAnsi="仿宋" w:eastAsia="仿宋" w:cs="仿宋"/>
          <w:color w:val="auto"/>
          <w:highlight w:val="none"/>
          <w:shd w:val="pct10" w:color="auto" w:fill="FFFFFF"/>
        </w:rPr>
        <w:t>300</w:t>
      </w:r>
      <w:r>
        <w:rPr>
          <w:rFonts w:hint="eastAsia" w:ascii="仿宋" w:hAnsi="仿宋" w:eastAsia="仿宋" w:cs="仿宋"/>
          <w:color w:val="auto"/>
          <w:highlight w:val="none"/>
        </w:rPr>
        <w:t>天、</w:t>
      </w:r>
      <w:r>
        <w:rPr>
          <w:rFonts w:hint="eastAsia" w:ascii="仿宋" w:hAnsi="仿宋" w:eastAsia="仿宋" w:cs="仿宋"/>
          <w:color w:val="auto"/>
          <w:highlight w:val="none"/>
          <w:shd w:val="pct10" w:color="auto" w:fill="FFFFFF"/>
          <w:lang w:val="en-US" w:eastAsia="zh-CN"/>
        </w:rPr>
        <w:t>2</w:t>
      </w:r>
      <w:r>
        <w:rPr>
          <w:rFonts w:hint="eastAsia" w:ascii="仿宋" w:hAnsi="仿宋" w:eastAsia="仿宋" w:cs="仿宋"/>
          <w:color w:val="auto"/>
          <w:highlight w:val="none"/>
        </w:rPr>
        <w:t xml:space="preserve">班制、设备年时基数 </w:t>
      </w:r>
      <w:r>
        <w:rPr>
          <w:rFonts w:hint="eastAsia" w:ascii="仿宋" w:hAnsi="仿宋" w:eastAsia="仿宋" w:cs="仿宋"/>
          <w:color w:val="auto"/>
          <w:highlight w:val="none"/>
          <w:shd w:val="pct10" w:color="auto" w:fill="FFFFFF"/>
        </w:rPr>
        <w:t>7200</w:t>
      </w:r>
      <w:r>
        <w:rPr>
          <w:rFonts w:hint="eastAsia" w:ascii="仿宋" w:hAnsi="仿宋" w:eastAsia="仿宋" w:cs="仿宋"/>
          <w:color w:val="auto"/>
          <w:highlight w:val="none"/>
        </w:rPr>
        <w:t xml:space="preserve"> 小时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5使用地点区域自然环境：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5.1海拨高度：1000m以下。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5.2环境温度：室外极端最低温度-19.7℃、极端最高温度42℃，昼夜最大温差25℃；室内温度5～40℃。</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5.3相对湿度：年平均59%，最大95%、最小15%。</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 地震裂度：七度。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6能源环境：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6.1电力：中国制式，供电电压</w:t>
      </w:r>
      <w:r>
        <w:rPr>
          <w:rFonts w:hint="eastAsia" w:ascii="仿宋" w:hAnsi="仿宋" w:eastAsia="仿宋" w:cs="仿宋"/>
          <w:color w:val="auto"/>
          <w:highlight w:val="none"/>
          <w:u w:val="single"/>
          <w:shd w:val="pct10" w:color="auto" w:fill="FFFFFF"/>
        </w:rPr>
        <w:t>380V±15%/220V±15%</w:t>
      </w:r>
      <w:r>
        <w:rPr>
          <w:rFonts w:hint="eastAsia" w:ascii="仿宋" w:hAnsi="仿宋" w:eastAsia="仿宋" w:cs="仿宋"/>
          <w:color w:val="auto"/>
          <w:highlight w:val="none"/>
        </w:rPr>
        <w:t>，供电频率50Hz±2%。</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 xml:space="preserve">6.2 </w:t>
      </w:r>
      <w:r>
        <w:rPr>
          <w:rFonts w:hint="eastAsia" w:ascii="仿宋" w:hAnsi="仿宋" w:eastAsia="仿宋" w:cs="仿宋"/>
          <w:color w:val="auto"/>
          <w:kern w:val="0"/>
          <w:highlight w:val="none"/>
        </w:rPr>
        <w:t>给水：市政自来水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6.3压缩空气：自备空压机自产压缩空气，压力范围</w:t>
      </w:r>
      <w:r>
        <w:rPr>
          <w:rFonts w:hint="eastAsia" w:ascii="仿宋" w:hAnsi="仿宋" w:eastAsia="仿宋" w:cs="仿宋"/>
          <w:color w:val="auto"/>
          <w:highlight w:val="none"/>
          <w:u w:val="single"/>
          <w:shd w:val="pct10" w:color="auto" w:fill="FFFFFF"/>
        </w:rPr>
        <w:t>0.5 ±0.1MPa</w:t>
      </w:r>
      <w:r>
        <w:rPr>
          <w:rFonts w:hint="eastAsia" w:ascii="仿宋" w:hAnsi="仿宋" w:eastAsia="仿宋" w:cs="仿宋"/>
          <w:color w:val="auto"/>
          <w:highlight w:val="none"/>
        </w:rPr>
        <w:t>。</w:t>
      </w:r>
      <w:bookmarkStart w:id="122" w:name="_Toc429"/>
      <w:bookmarkStart w:id="123" w:name="_Toc4175"/>
      <w:bookmarkStart w:id="124" w:name="_Toc24481"/>
      <w:bookmarkStart w:id="125" w:name="_Toc31241"/>
      <w:bookmarkStart w:id="126" w:name="_Toc6636"/>
      <w:bookmarkStart w:id="127" w:name="_Toc9561"/>
      <w:bookmarkStart w:id="128" w:name="_Toc5282"/>
      <w:bookmarkStart w:id="129" w:name="_Toc15369"/>
      <w:bookmarkStart w:id="130" w:name="_Toc8728"/>
      <w:bookmarkStart w:id="131" w:name="_Toc29019"/>
      <w:bookmarkStart w:id="132" w:name="_Toc9143"/>
      <w:bookmarkStart w:id="133" w:name="_Toc5374"/>
      <w:bookmarkStart w:id="134" w:name="_Toc30431"/>
      <w:bookmarkStart w:id="135" w:name="_Toc13324"/>
      <w:bookmarkStart w:id="136" w:name="_Toc29333"/>
      <w:bookmarkStart w:id="137" w:name="_Toc17605"/>
      <w:bookmarkStart w:id="138" w:name="_Toc8740"/>
      <w:bookmarkStart w:id="139" w:name="_Toc17682"/>
      <w:bookmarkStart w:id="140" w:name="_Toc5421"/>
      <w:bookmarkStart w:id="141" w:name="_Toc27449"/>
      <w:bookmarkStart w:id="142" w:name="_Toc22983"/>
      <w:bookmarkStart w:id="143" w:name="_Toc133783968"/>
      <w:bookmarkStart w:id="144" w:name="_Toc12401"/>
      <w:bookmarkStart w:id="145" w:name="_Toc9671"/>
      <w:bookmarkStart w:id="146" w:name="_Toc9784"/>
      <w:bookmarkStart w:id="147" w:name="_Toc24563"/>
      <w:bookmarkStart w:id="148" w:name="_Toc11744"/>
      <w:bookmarkStart w:id="149" w:name="_Toc18569"/>
      <w:bookmarkStart w:id="150" w:name="_Toc21616"/>
      <w:bookmarkStart w:id="151" w:name="_Toc17543"/>
      <w:bookmarkStart w:id="152" w:name="_Toc27857"/>
      <w:bookmarkStart w:id="153" w:name="_Toc23473"/>
      <w:bookmarkStart w:id="154" w:name="_Toc6433"/>
    </w:p>
    <w:p>
      <w:pPr>
        <w:adjustRightInd w:val="0"/>
        <w:snapToGrid w:val="0"/>
        <w:spacing w:line="360" w:lineRule="auto"/>
        <w:jc w:val="center"/>
        <w:outlineLvl w:val="1"/>
        <w:rPr>
          <w:rFonts w:ascii="仿宋" w:hAnsi="仿宋" w:eastAsia="仿宋" w:cs="仿宋"/>
          <w:color w:val="auto"/>
          <w:highlight w:val="none"/>
        </w:rPr>
      </w:pPr>
      <w:bookmarkStart w:id="155" w:name="_Toc1424"/>
      <w:bookmarkStart w:id="156" w:name="_Toc21957"/>
      <w:bookmarkStart w:id="157" w:name="_Toc32599"/>
      <w:bookmarkStart w:id="158" w:name="_Toc18778"/>
      <w:bookmarkStart w:id="159" w:name="_Toc8560"/>
      <w:bookmarkStart w:id="160" w:name="_Toc17750"/>
      <w:bookmarkStart w:id="161" w:name="_Toc29190"/>
      <w:bookmarkStart w:id="162" w:name="_Toc10013"/>
      <w:bookmarkStart w:id="163" w:name="_Toc73112398"/>
      <w:bookmarkStart w:id="164" w:name="_Toc1523"/>
      <w:bookmarkStart w:id="165" w:name="_Toc24559"/>
      <w:bookmarkStart w:id="166" w:name="_Toc13544"/>
      <w:bookmarkStart w:id="167" w:name="_Toc18032"/>
      <w:bookmarkStart w:id="168" w:name="_Toc21302"/>
      <w:r>
        <w:rPr>
          <w:rFonts w:hint="eastAsia" w:ascii="仿宋" w:hAnsi="仿宋" w:eastAsia="仿宋" w:cs="仿宋"/>
          <w:b/>
          <w:bCs/>
          <w:color w:val="auto"/>
          <w:highlight w:val="none"/>
        </w:rPr>
        <w:t>第二节采购货物概况</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1货物（或生产线）：</w:t>
      </w:r>
      <w:r>
        <w:rPr>
          <w:rFonts w:hint="eastAsia" w:ascii="仿宋" w:hAnsi="仿宋" w:eastAsia="仿宋" w:cs="仿宋"/>
          <w:color w:val="auto"/>
          <w:highlight w:val="none"/>
          <w:u w:val="single"/>
        </w:rPr>
        <w:t>在线尺寸监控单元</w:t>
      </w:r>
      <w:r>
        <w:rPr>
          <w:rFonts w:hint="eastAsia" w:ascii="仿宋" w:hAnsi="仿宋" w:eastAsia="仿宋" w:cs="仿宋"/>
          <w:color w:val="auto"/>
          <w:highlight w:val="none"/>
        </w:rPr>
        <w:t xml:space="preserve"> （详见下表）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2货物（或生产线）数量：</w:t>
      </w:r>
      <w:r>
        <w:rPr>
          <w:rFonts w:hint="eastAsia" w:ascii="仿宋" w:hAnsi="仿宋" w:eastAsia="仿宋" w:cs="仿宋"/>
          <w:color w:val="auto"/>
          <w:highlight w:val="none"/>
          <w:u w:val="single"/>
          <w:shd w:val="pct10" w:color="auto" w:fill="FFFFFF"/>
          <w:lang w:val="en-US" w:eastAsia="zh-CN"/>
        </w:rPr>
        <w:t>3</w:t>
      </w:r>
      <w:r>
        <w:rPr>
          <w:rFonts w:hint="eastAsia" w:ascii="仿宋" w:hAnsi="仿宋" w:eastAsia="仿宋" w:cs="仿宋"/>
          <w:color w:val="auto"/>
          <w:highlight w:val="none"/>
          <w:u w:val="single"/>
          <w:shd w:val="pct10" w:color="auto" w:fill="FFFFFF"/>
        </w:rPr>
        <w:t>套</w:t>
      </w:r>
      <w:r>
        <w:rPr>
          <w:rFonts w:hint="eastAsia" w:ascii="仿宋" w:hAnsi="仿宋" w:eastAsia="仿宋" w:cs="仿宋"/>
          <w:color w:val="auto"/>
          <w:highlight w:val="none"/>
        </w:rPr>
        <w:t>（详见下表）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采购货物（或生产线）主要构成一览表</w:t>
      </w:r>
    </w:p>
    <w:tbl>
      <w:tblPr>
        <w:tblStyle w:val="36"/>
        <w:tblW w:w="7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1"/>
        <w:gridCol w:w="1218"/>
        <w:gridCol w:w="784"/>
        <w:gridCol w:w="1061"/>
        <w:gridCol w:w="1571"/>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序号</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货物名称</w:t>
            </w:r>
          </w:p>
        </w:tc>
        <w:tc>
          <w:tcPr>
            <w:tcW w:w="121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型号规格</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单位</w:t>
            </w:r>
          </w:p>
        </w:tc>
        <w:tc>
          <w:tcPr>
            <w:tcW w:w="106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数量</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安装地点/ 服务对象</w:t>
            </w:r>
          </w:p>
        </w:tc>
        <w:tc>
          <w:tcPr>
            <w:tcW w:w="117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供货方式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1</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highlight w:val="none"/>
                <w:lang w:val="en-US" w:eastAsia="zh-CN"/>
              </w:rPr>
              <w:t>在线尺寸监控单元</w:t>
            </w:r>
          </w:p>
        </w:tc>
        <w:tc>
          <w:tcPr>
            <w:tcW w:w="1218"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套</w:t>
            </w:r>
          </w:p>
        </w:tc>
        <w:tc>
          <w:tcPr>
            <w:tcW w:w="1061"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3</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车桥公司齿轮加工车间</w:t>
            </w:r>
          </w:p>
        </w:tc>
        <w:tc>
          <w:tcPr>
            <w:tcW w:w="1178" w:type="dxa"/>
            <w:shd w:val="clear" w:color="auto" w:fill="auto"/>
            <w:vAlign w:val="center"/>
          </w:tcPr>
          <w:p>
            <w:pPr>
              <w:pStyle w:val="20"/>
              <w:snapToGrid w:val="0"/>
              <w:spacing w:line="360" w:lineRule="auto"/>
              <w:ind w:firstLine="0" w:firstLineChars="0"/>
              <w:jc w:val="both"/>
              <w:rPr>
                <w:rFonts w:hint="default"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交钥匙</w:t>
            </w:r>
          </w:p>
        </w:tc>
      </w:tr>
    </w:tbl>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①本表所列采购货物仅为货物（或生产线）的主要构成部分，应配套供货以及招标方所列其它货物（或设备）和服务，请投标方认真阅读“供货范围”。若有异议，不管是多么微小，都应在投标文件“商务偏离”章节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②本表“供货方式”指：交钥匙方式——包括制造、运输、定点卸货、安装、调试和验收以及培训等。</w:t>
      </w:r>
    </w:p>
    <w:p>
      <w:pPr>
        <w:jc w:val="center"/>
        <w:outlineLvl w:val="0"/>
        <w:rPr>
          <w:rFonts w:ascii="仿宋" w:hAnsi="仿宋" w:eastAsia="仿宋" w:cs="仿宋"/>
          <w:b/>
          <w:bCs/>
          <w:color w:val="auto"/>
          <w:highlight w:val="none"/>
        </w:rPr>
      </w:pPr>
      <w:bookmarkStart w:id="169" w:name="_Toc23603"/>
      <w:bookmarkStart w:id="170" w:name="_Toc28168"/>
      <w:bookmarkStart w:id="171" w:name="_Toc27638"/>
      <w:bookmarkStart w:id="172" w:name="_Toc2018"/>
      <w:bookmarkStart w:id="173" w:name="_Toc24992"/>
      <w:bookmarkStart w:id="174" w:name="_Toc32616"/>
      <w:bookmarkStart w:id="175" w:name="_Toc30429"/>
      <w:bookmarkStart w:id="176" w:name="_Toc15180"/>
      <w:bookmarkStart w:id="177" w:name="_Toc20034"/>
      <w:bookmarkStart w:id="178" w:name="_Toc4488"/>
      <w:bookmarkStart w:id="179" w:name="_Toc22689"/>
      <w:bookmarkStart w:id="180" w:name="_Toc133783969"/>
      <w:bookmarkStart w:id="181" w:name="_Toc4881"/>
      <w:bookmarkStart w:id="182" w:name="_Toc26149"/>
      <w:bookmarkStart w:id="183" w:name="_Toc18120"/>
      <w:bookmarkStart w:id="184" w:name="_Toc32524"/>
      <w:bookmarkStart w:id="185" w:name="_Toc13878"/>
      <w:bookmarkStart w:id="186" w:name="_Toc73112399"/>
      <w:bookmarkStart w:id="187" w:name="_Toc7813"/>
      <w:bookmarkStart w:id="188" w:name="_Toc1621"/>
      <w:bookmarkStart w:id="189" w:name="_Toc7338"/>
      <w:bookmarkStart w:id="190" w:name="_Toc8565"/>
      <w:bookmarkStart w:id="191" w:name="_Toc10441"/>
      <w:bookmarkStart w:id="192" w:name="_Toc30487"/>
      <w:bookmarkStart w:id="193" w:name="_Toc22658"/>
      <w:bookmarkStart w:id="194" w:name="_Toc7739"/>
      <w:bookmarkStart w:id="195" w:name="_Toc26470"/>
      <w:bookmarkStart w:id="196" w:name="_Toc19793"/>
      <w:bookmarkStart w:id="197" w:name="_Toc498"/>
      <w:bookmarkStart w:id="198" w:name="_Toc761"/>
      <w:bookmarkStart w:id="199" w:name="_Toc17465"/>
      <w:bookmarkStart w:id="200" w:name="_Toc29174"/>
      <w:bookmarkStart w:id="201" w:name="_Toc31734"/>
      <w:bookmarkStart w:id="202" w:name="_Toc8780"/>
      <w:bookmarkStart w:id="203" w:name="_Toc16387"/>
      <w:bookmarkStart w:id="204" w:name="_Toc6687"/>
      <w:bookmarkStart w:id="205" w:name="_Toc10580"/>
      <w:bookmarkStart w:id="206" w:name="_Toc4743"/>
      <w:bookmarkStart w:id="207" w:name="_Toc24597"/>
      <w:bookmarkStart w:id="208" w:name="_Toc11605"/>
      <w:bookmarkStart w:id="209" w:name="_Toc19015"/>
      <w:bookmarkStart w:id="210" w:name="_Toc12377"/>
      <w:bookmarkStart w:id="211" w:name="_Toc2875"/>
      <w:r>
        <w:rPr>
          <w:rFonts w:hint="eastAsia" w:ascii="仿宋" w:hAnsi="仿宋" w:eastAsia="仿宋" w:cs="仿宋"/>
          <w:b/>
          <w:bCs/>
          <w:color w:val="auto"/>
          <w:highlight w:val="none"/>
        </w:rPr>
        <w:t>第二章技术要求</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snapToGrid w:val="0"/>
        <w:spacing w:line="360" w:lineRule="auto"/>
        <w:ind w:firstLine="422" w:firstLineChars="200"/>
        <w:outlineLvl w:val="1"/>
        <w:rPr>
          <w:rFonts w:ascii="仿宋" w:hAnsi="仿宋" w:eastAsia="仿宋" w:cs="仿宋"/>
          <w:b/>
          <w:bCs/>
          <w:color w:val="auto"/>
          <w:highlight w:val="none"/>
        </w:rPr>
      </w:pPr>
      <w:bookmarkStart w:id="212" w:name="_Toc13195"/>
      <w:bookmarkStart w:id="213" w:name="_Toc29354"/>
      <w:bookmarkStart w:id="214" w:name="_Toc4126"/>
      <w:bookmarkStart w:id="215" w:name="_Toc27930"/>
      <w:bookmarkStart w:id="216" w:name="_Toc1111"/>
      <w:bookmarkStart w:id="217" w:name="_Toc20402"/>
      <w:bookmarkStart w:id="218" w:name="_Toc22422"/>
      <w:bookmarkStart w:id="219" w:name="_Toc5714"/>
      <w:bookmarkStart w:id="220" w:name="_Toc477"/>
      <w:bookmarkStart w:id="221" w:name="_Toc27282"/>
      <w:bookmarkStart w:id="222" w:name="_Toc25950"/>
      <w:bookmarkStart w:id="223" w:name="_Toc21559"/>
      <w:bookmarkStart w:id="224" w:name="_Toc380"/>
      <w:bookmarkStart w:id="225" w:name="_Toc39"/>
      <w:bookmarkStart w:id="226" w:name="_Toc15744"/>
      <w:bookmarkStart w:id="227" w:name="_Toc31246"/>
      <w:bookmarkStart w:id="228" w:name="_Toc16822"/>
      <w:bookmarkStart w:id="229" w:name="_Toc11621"/>
      <w:bookmarkStart w:id="230" w:name="_Toc11056"/>
      <w:bookmarkStart w:id="231" w:name="_Toc5804"/>
      <w:bookmarkStart w:id="232" w:name="_Toc28751"/>
      <w:bookmarkStart w:id="233" w:name="_Toc16063"/>
      <w:bookmarkStart w:id="234" w:name="_Toc9894"/>
      <w:bookmarkStart w:id="235" w:name="_Toc5110"/>
      <w:bookmarkStart w:id="236" w:name="_Toc5450"/>
      <w:bookmarkStart w:id="237" w:name="_Toc15995"/>
      <w:bookmarkStart w:id="238" w:name="_Toc20792"/>
      <w:bookmarkStart w:id="239" w:name="_Toc26827"/>
      <w:bookmarkStart w:id="240" w:name="_Toc9134"/>
      <w:bookmarkStart w:id="241" w:name="_Toc6003"/>
      <w:bookmarkStart w:id="242" w:name="_Toc1968"/>
      <w:bookmarkStart w:id="243" w:name="_Toc73112400"/>
      <w:bookmarkStart w:id="244" w:name="_Toc5876"/>
      <w:bookmarkStart w:id="245" w:name="_Toc23050"/>
      <w:bookmarkStart w:id="246" w:name="_Toc18792"/>
      <w:bookmarkStart w:id="247" w:name="_Toc23337"/>
      <w:bookmarkStart w:id="248" w:name="_Toc7141"/>
      <w:bookmarkStart w:id="249" w:name="_Toc15747"/>
      <w:bookmarkStart w:id="250" w:name="_Toc2473"/>
      <w:bookmarkStart w:id="251" w:name="_Toc31434"/>
      <w:bookmarkStart w:id="252" w:name="_Toc29489"/>
      <w:r>
        <w:rPr>
          <w:rFonts w:hint="eastAsia" w:ascii="仿宋" w:hAnsi="仿宋" w:eastAsia="仿宋" w:cs="仿宋"/>
          <w:b/>
          <w:bCs/>
          <w:color w:val="auto"/>
          <w:highlight w:val="none"/>
        </w:rPr>
        <w:t>1基本要求</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 投标方所供的货物（或生产线），必须符合中国最新版的法律、法规和相关标准、规范的要求，符合项目所在地政府有关特殊要求。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 投标方所供货物（或生产线）涉及的、招标方有权使用的专利权技术以及知识产权保护的其它技术等，应保证招标方不因此受到任何侵权指控以及实际损失。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 投标方应保证所供货物（或生产线）的先进性、可靠性、经济性和实用性，并为全新货物（或设备）,并具有该货物(或设备)所有功能的永久使用权。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 投标方应满足招标方提出的各项技术要求，必要时应当免费提供技术承诺或担保。</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 投标方应保证所供货物（或设备）必须符合当前国家或地方最新安全、环保、职业健康最新法律、法规及《机械制造企业安全生产标准化</w:t>
      </w:r>
      <w:r>
        <w:rPr>
          <w:rFonts w:hint="eastAsia" w:ascii="仿宋" w:hAnsi="仿宋" w:eastAsia="仿宋" w:cs="仿宋"/>
          <w:color w:val="auto"/>
          <w:highlight w:val="none"/>
          <w:lang w:eastAsia="zh-CN"/>
        </w:rPr>
        <w:t>规范</w:t>
      </w:r>
      <w:r>
        <w:rPr>
          <w:rFonts w:hint="eastAsia" w:ascii="仿宋" w:hAnsi="仿宋" w:eastAsia="仿宋" w:cs="仿宋"/>
          <w:color w:val="auto"/>
          <w:highlight w:val="none"/>
        </w:rPr>
        <w:t>》各项要求 。确保货物在使用管理过程中满足《职业健康安全管理体系》、《环境管理体系》等方面的国家标准、规范及地方规章要求。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 投标方应保证所供货物（或设备）为中国公布的非淘汰货物（或设备），并为中国指定或规定的主管部门认可的环保型和节能型货物（或设备）。招标的中标货物不接受试验品（提供证据），还应是原产地的货物。</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 设备用能设计基本要求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1.7.1 任何用能设备均应遵循《能源管理体系要求》（ISO 50001:2018）、《能源管理体系 机械制造企业认证要求》（RB/T 119-2015）的相关规定，并在《能源管理体系要求》下开展设备的采购、维护、保养、淘汰更换等工作。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1.7.2 为方便用能设备的计量统计，新增采购设备应在《用能单位能源计量器具配备和管理通则》（GB17167-2006）指导下配备符合相应要求的能源计量器具。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1.7.3 供方应确保各类机电设备（产品）无《高耗能机电设备（产品）淘汰目录（第一批）》、《高耗能机电设备（产品）淘汰目录（第二批）》、《高耗能机电设备（产品）淘汰目录（第三批）》、《高耗能机电设备（产品）淘汰目录（第四批）》所罗列的各类淘汰机电设备（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1.7.4 在各类机电设备（产品）的采购过程中应优先选用符合《节能机电设备（产品）推荐目录（</w:t>
      </w:r>
      <w:r>
        <w:rPr>
          <w:rFonts w:hint="eastAsia" w:ascii="仿宋" w:hAnsi="仿宋" w:eastAsia="仿宋" w:cs="仿宋"/>
          <w:color w:val="auto"/>
          <w:highlight w:val="none"/>
          <w:lang w:val="en-US" w:eastAsia="zh-CN"/>
        </w:rPr>
        <w:t>第一至</w:t>
      </w:r>
      <w:r>
        <w:rPr>
          <w:rFonts w:hint="eastAsia" w:ascii="仿宋" w:hAnsi="仿宋" w:eastAsia="仿宋" w:cs="仿宋"/>
          <w:color w:val="auto"/>
          <w:highlight w:val="none"/>
        </w:rPr>
        <w:t>第七批）》的机电设备（产品）。原则上，电机功率≥7.5kW，必须选用一级能效。电机功率&lt;7.5kw，优先选用一级能效;其中对于能源供应类设备及年运行时间≥2000h 工艺设备的电机必须选用一级能效。杜绝选用三级及以下能效。空调必须选用一级能效，变压器最低选用二级能效，对于特殊场景、特殊用途其他设备结合性价比综合考虑、充分论证。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1.7.5 供方应确保设备的附属各类机电设备、设施（如：电机、风机、电器控制系统、润滑、保温隔热、照明等等）符合国家现行的相关专项标准要求。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 投标方应保证所供货物（或生产线）的完整性和成套性，能保证货物（或生产线）的正常运行、使用。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1.9 投标方应对招标方采购的货物（或生产线）所涉及的技术、产能等信息负有保密义务，特殊项目应当无条件签署保密协议。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 设备使用仪表和自控设备要求：</w:t>
      </w:r>
    </w:p>
    <w:p>
      <w:pPr>
        <w:pStyle w:val="20"/>
        <w:snapToGrid w:val="0"/>
        <w:spacing w:line="360" w:lineRule="auto"/>
        <w:ind w:firstLine="420" w:firstLineChars="200"/>
        <w:rPr>
          <w:rFonts w:ascii="仿宋" w:hAnsi="仿宋" w:eastAsia="仿宋" w:cs="仿宋"/>
          <w:color w:val="auto"/>
          <w:highlight w:val="none"/>
        </w:rPr>
      </w:pPr>
      <w:bookmarkStart w:id="253" w:name="_Toc5025"/>
      <w:bookmarkStart w:id="254" w:name="_Toc7044"/>
      <w:bookmarkStart w:id="255" w:name="_Toc2908"/>
      <w:bookmarkStart w:id="256" w:name="_Toc30944"/>
      <w:bookmarkStart w:id="257" w:name="_Toc5010"/>
      <w:bookmarkStart w:id="258" w:name="_Toc31111"/>
      <w:r>
        <w:rPr>
          <w:rFonts w:hint="eastAsia" w:ascii="仿宋" w:hAnsi="仿宋" w:eastAsia="仿宋" w:cs="仿宋"/>
          <w:color w:val="auto"/>
          <w:highlight w:val="none"/>
        </w:rPr>
        <w:t>1.10.1 设备使用仪表通用技术要求:</w:t>
      </w:r>
      <w:bookmarkEnd w:id="253"/>
      <w:bookmarkEnd w:id="254"/>
      <w:bookmarkEnd w:id="255"/>
      <w:bookmarkEnd w:id="256"/>
      <w:bookmarkEnd w:id="257"/>
      <w:bookmarkEnd w:id="25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1.10.1.1 投标人及供货商应保证所提供的仪表和自控设备，完全符合或高于本文通用技术要求及相应产品技术规范的要求，并应保证其供应产品在本工程指明的环境条件下能够长期安全、正常地运行。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1.10.1.2 投标人及供货商所提供的产品，应符合中华人民共和国国家质量监督检验检疫总局发布的《强制性产品认证管理规定》(AQSIQ)的要求，请投标人及供货商确认其投标产品是否包括在《中华人民共和国实施强制性产品认证的产品目录》内，包括在目录中的产品应取得被授权的认证机构颁发的“中国国家强制性产品认证证书”(CCC)。无论任何原因造成的不良后果均由投标人及供货商负责。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1.10.1.3 仪表、自控设备以及其附件所需电源，应符合产品技术规范提出的配电要求。在运输和储存期间，仪表和自控设备外壳上，凡用于连接的所有接口及孔、洞、附件应用堵头进行保护，并应清楚地标明其用途, 并注明“能源、计量”使用状态。 国家规定属于强制检定的仪表、自控设备应符合铅封等强制要求标准。</w:t>
      </w:r>
    </w:p>
    <w:p>
      <w:pPr>
        <w:pStyle w:val="20"/>
        <w:snapToGrid w:val="0"/>
        <w:spacing w:line="360" w:lineRule="auto"/>
        <w:ind w:firstLine="420" w:firstLineChars="200"/>
        <w:rPr>
          <w:rFonts w:ascii="仿宋" w:hAnsi="仿宋" w:eastAsia="仿宋" w:cs="仿宋"/>
          <w:color w:val="auto"/>
          <w:highlight w:val="none"/>
        </w:rPr>
      </w:pPr>
      <w:bookmarkStart w:id="259" w:name="_Toc26032"/>
      <w:bookmarkStart w:id="260" w:name="_Toc16669"/>
      <w:bookmarkStart w:id="261" w:name="_Toc5075"/>
      <w:bookmarkStart w:id="262" w:name="_Toc9364"/>
      <w:bookmarkStart w:id="263" w:name="_Toc581"/>
      <w:bookmarkStart w:id="264" w:name="_Toc32105"/>
      <w:r>
        <w:rPr>
          <w:rFonts w:hint="eastAsia" w:ascii="仿宋" w:hAnsi="仿宋" w:eastAsia="仿宋" w:cs="仿宋"/>
          <w:color w:val="auto"/>
          <w:highlight w:val="none"/>
        </w:rPr>
        <w:t>1.10.2 准确度要求: </w:t>
      </w:r>
      <w:bookmarkEnd w:id="259"/>
      <w:bookmarkEnd w:id="260"/>
      <w:bookmarkEnd w:id="261"/>
      <w:bookmarkEnd w:id="262"/>
      <w:bookmarkEnd w:id="263"/>
      <w:bookmarkEnd w:id="264"/>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1.10.2.1 投标人及供货商所提供的仪表和自控设备应在测量原理上符合相应产品的专用技术规格书中的要求，应保证出厂产品的实际准确度等于或优于提供的技术资料中的标称准确度。货物所使用计量用仪器、仪表和自控设备，该产品应附有具备CNAS、CAL、CMA（国际或国家）计量认证资质的市级以上国家法定计量检定机构出具的校准证书、检定证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1.10.2.2 仪表和自控设备的准确度应不受周围环境和安装位置的影响，任何生产过程中存在的正常振动，不应造成测量准确度的变化。仪表和自控设备的零点和重复性应非常稳定，并符合各专用技术规格书中的有关技术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1.10.2.3 项目验收时，投标方提供测量功能设备及计量器具资质合格证书，招标方根据实际情况进行相关复检，复检合格视为合格。</w:t>
      </w:r>
    </w:p>
    <w:p>
      <w:pPr>
        <w:pStyle w:val="20"/>
        <w:snapToGrid w:val="0"/>
        <w:spacing w:line="360" w:lineRule="auto"/>
        <w:ind w:firstLine="420" w:firstLineChars="200"/>
        <w:rPr>
          <w:rFonts w:ascii="仿宋" w:hAnsi="仿宋" w:eastAsia="仿宋" w:cs="仿宋"/>
          <w:color w:val="auto"/>
          <w:highlight w:val="none"/>
        </w:rPr>
      </w:pPr>
      <w:bookmarkStart w:id="265" w:name="_Toc8799"/>
      <w:bookmarkStart w:id="266" w:name="_Toc31048"/>
      <w:bookmarkStart w:id="267" w:name="_Toc5510"/>
      <w:bookmarkStart w:id="268" w:name="_Toc25422"/>
      <w:bookmarkStart w:id="269" w:name="_Toc28774"/>
      <w:bookmarkStart w:id="270" w:name="_Toc1291"/>
      <w:r>
        <w:rPr>
          <w:rFonts w:hint="eastAsia" w:ascii="仿宋" w:hAnsi="仿宋" w:eastAsia="仿宋" w:cs="仿宋"/>
          <w:color w:val="auto"/>
          <w:highlight w:val="none"/>
        </w:rPr>
        <w:t>1.10.3 材质要求: </w:t>
      </w:r>
      <w:bookmarkEnd w:id="265"/>
      <w:bookmarkEnd w:id="266"/>
      <w:bookmarkEnd w:id="267"/>
      <w:bookmarkEnd w:id="268"/>
      <w:bookmarkEnd w:id="269"/>
      <w:bookmarkEnd w:id="2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人及供货商应保证所提供的仪表和自控设备在材料的使用方无任何设计问题，能够满足或高于实际操作和使用过程中的要求，如压力、温度、粘度、组份等的要求。应保证所有零部件的材质必须符合环境条件如湿度、温度以及防爆、防碰、防磁的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★1.11投标方所供设备应按“交钥匙工程”要求。</w:t>
      </w:r>
    </w:p>
    <w:p>
      <w:pPr>
        <w:snapToGrid w:val="0"/>
        <w:spacing w:line="360" w:lineRule="auto"/>
        <w:ind w:firstLine="422" w:firstLineChars="200"/>
        <w:outlineLvl w:val="1"/>
        <w:rPr>
          <w:rFonts w:ascii="仿宋" w:hAnsi="仿宋" w:eastAsia="仿宋" w:cs="仿宋"/>
          <w:color w:val="auto"/>
          <w:highlight w:val="none"/>
        </w:rPr>
      </w:pPr>
      <w:bookmarkStart w:id="271" w:name="_Hlk69924518"/>
      <w:r>
        <w:rPr>
          <w:rFonts w:hint="eastAsia" w:ascii="仿宋" w:hAnsi="仿宋" w:eastAsia="仿宋" w:cs="仿宋"/>
          <w:b/>
          <w:bCs/>
          <w:color w:val="auto"/>
          <w:highlight w:val="none"/>
        </w:rPr>
        <w:t xml:space="preserve">2 </w:t>
      </w:r>
      <w:r>
        <w:rPr>
          <w:rFonts w:hint="eastAsia" w:ascii="仿宋" w:hAnsi="仿宋" w:eastAsia="仿宋" w:cs="仿宋"/>
          <w:color w:val="auto"/>
          <w:highlight w:val="none"/>
          <w:lang w:bidi="ar"/>
        </w:rPr>
        <w:t>执行标准</w:t>
      </w:r>
    </w:p>
    <w:bookmarkEnd w:id="271"/>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2.1  招标方此处所列标准仅为涉及的主要标准，而且不保证其为最新版执行标准；投标方应当在投标文件中予以补充和完善。</w:t>
      </w:r>
    </w:p>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2.2  投标方需要执行的标准，应当以所供设备通过招标方将来组织的最终验收之日后需要执行的标准。</w:t>
      </w:r>
    </w:p>
    <w:p>
      <w:pPr>
        <w:spacing w:line="480" w:lineRule="exact"/>
        <w:ind w:firstLine="420" w:firstLineChars="200"/>
        <w:rPr>
          <w:rFonts w:hint="eastAsia" w:ascii="仿宋" w:hAnsi="仿宋" w:eastAsia="仿宋" w:cs="仿宋"/>
          <w:color w:val="auto"/>
          <w:highlight w:val="none"/>
          <w:lang w:bidi="ar"/>
        </w:rPr>
      </w:pPr>
      <w:r>
        <w:rPr>
          <w:rFonts w:hint="eastAsia" w:ascii="仿宋" w:hAnsi="仿宋" w:eastAsia="仿宋" w:cs="仿宋"/>
          <w:color w:val="auto"/>
          <w:highlight w:val="none"/>
          <w:lang w:bidi="ar"/>
        </w:rPr>
        <w:t>2.3  涉及的主要标准表（包含但不限于）</w:t>
      </w:r>
    </w:p>
    <w:tbl>
      <w:tblPr>
        <w:tblStyle w:val="36"/>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348"/>
        <w:gridCol w:w="2081"/>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标准名称</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标准编号</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电工成套装置中的导线颜色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2681-81</w:t>
            </w:r>
          </w:p>
        </w:tc>
        <w:tc>
          <w:tcPr>
            <w:tcW w:w="660" w:type="dxa"/>
            <w:vMerge w:val="restart"/>
            <w:tcBorders>
              <w:top w:val="single" w:color="auto" w:sz="4" w:space="0"/>
              <w:left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电工成套装置中的指示灯和按钮的颜色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2682-81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电能质量公用电网谐波</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14549-93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金属切削机床安全防护通用技术条件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15760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9061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机床电气通用技术条件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5226</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7</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fldChar w:fldCharType="begin"/>
            </w:r>
            <w:r>
              <w:rPr>
                <w:rFonts w:hint="eastAsia" w:ascii="仿宋" w:hAnsi="仿宋" w:eastAsia="仿宋" w:cs="仿宋"/>
                <w:color w:val="auto"/>
                <w:sz w:val="21"/>
                <w:szCs w:val="21"/>
                <w:highlight w:val="none"/>
                <w:lang w:bidi="ar"/>
              </w:rPr>
              <w:instrText xml:space="preserve"> HYPERLINK "http://wenku.baidu.com/view/db95ac1014791711cc791788.html" \t "F:/工艺工程部/项目/2021年固定资产投资/工艺院批复项目/标书/_blank" </w:instrText>
            </w:r>
            <w:r>
              <w:rPr>
                <w:rFonts w:hint="eastAsia" w:ascii="仿宋" w:hAnsi="仿宋" w:eastAsia="仿宋" w:cs="仿宋"/>
                <w:color w:val="auto"/>
                <w:sz w:val="21"/>
                <w:szCs w:val="21"/>
                <w:highlight w:val="none"/>
                <w:lang w:bidi="ar"/>
              </w:rPr>
              <w:fldChar w:fldCharType="separate"/>
            </w:r>
            <w:r>
              <w:rPr>
                <w:rFonts w:hint="eastAsia" w:ascii="仿宋" w:hAnsi="仿宋" w:eastAsia="仿宋" w:cs="仿宋"/>
                <w:color w:val="auto"/>
                <w:sz w:val="21"/>
                <w:szCs w:val="21"/>
                <w:highlight w:val="none"/>
                <w:lang w:bidi="ar"/>
              </w:rPr>
              <w:t>机械设备防护罩安全标准</w:t>
            </w:r>
            <w:r>
              <w:rPr>
                <w:rFonts w:hint="eastAsia" w:ascii="仿宋" w:hAnsi="仿宋" w:eastAsia="仿宋" w:cs="仿宋"/>
                <w:color w:val="auto"/>
                <w:sz w:val="21"/>
                <w:szCs w:val="21"/>
                <w:highlight w:val="none"/>
                <w:lang w:bidi="ar"/>
              </w:rPr>
              <w:fldChar w:fldCharType="end"/>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GB8196-2003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机械安全 防止上下肢触及危险区的安全距离</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/T </w:t>
            </w:r>
            <w:r>
              <w:rPr>
                <w:rFonts w:hint="eastAsia" w:ascii="仿宋" w:hAnsi="仿宋" w:eastAsia="仿宋" w:cs="仿宋"/>
                <w:color w:val="auto"/>
                <w:sz w:val="21"/>
                <w:szCs w:val="21"/>
                <w:highlight w:val="none"/>
                <w:lang w:bidi="ar"/>
              </w:rPr>
              <w:t>23821-20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双手操纵装置 设计和选择原则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19671</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安全防护的实施准则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30574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接近机械的固定设施 </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GB/T 17888-2020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工业企业设计</w:t>
            </w:r>
            <w:r>
              <w:rPr>
                <w:rFonts w:hint="eastAsia" w:ascii="仿宋" w:hAnsi="仿宋" w:eastAsia="仿宋" w:cs="仿宋"/>
                <w:color w:val="auto"/>
                <w:sz w:val="21"/>
                <w:szCs w:val="21"/>
                <w:highlight w:val="none"/>
                <w:lang w:eastAsia="zh-CN" w:bidi="ar"/>
              </w:rPr>
              <w:t>卫生标准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Z1</w:t>
            </w:r>
            <w:r>
              <w:rPr>
                <w:rFonts w:hint="eastAsia" w:ascii="仿宋" w:hAnsi="仿宋" w:eastAsia="仿宋" w:cs="仿宋"/>
                <w:color w:val="auto"/>
                <w:sz w:val="21"/>
                <w:szCs w:val="21"/>
                <w:highlight w:val="none"/>
                <w:lang w:bidi="ar"/>
              </w:rPr>
              <w:t>-</w:t>
            </w:r>
            <w:r>
              <w:rPr>
                <w:rFonts w:hint="eastAsia" w:ascii="仿宋" w:hAnsi="仿宋" w:eastAsia="仿宋" w:cs="仿宋"/>
                <w:color w:val="auto"/>
                <w:sz w:val="21"/>
                <w:szCs w:val="21"/>
                <w:highlight w:val="none"/>
                <w:lang w:val="en-US" w:eastAsia="zh-CN" w:bidi="ar"/>
              </w:rPr>
              <w:t>2010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13</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工业企业噪声控制设计规范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500</w:t>
            </w:r>
            <w:r>
              <w:rPr>
                <w:rFonts w:hint="eastAsia" w:ascii="仿宋" w:hAnsi="仿宋" w:eastAsia="仿宋" w:cs="仿宋"/>
                <w:color w:val="auto"/>
                <w:sz w:val="21"/>
                <w:szCs w:val="21"/>
                <w:highlight w:val="none"/>
                <w:lang w:bidi="ar"/>
              </w:rPr>
              <w:t>87-</w:t>
            </w:r>
            <w:r>
              <w:rPr>
                <w:rFonts w:hint="eastAsia" w:ascii="仿宋" w:hAnsi="仿宋" w:eastAsia="仿宋" w:cs="仿宋"/>
                <w:color w:val="auto"/>
                <w:sz w:val="21"/>
                <w:szCs w:val="21"/>
                <w:highlight w:val="none"/>
                <w:lang w:val="en-US" w:eastAsia="zh-CN" w:bidi="ar"/>
              </w:rPr>
              <w:t>2013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工业企业噪声测量规范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GBJ</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122-88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工作场所物理因素测量</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GBZ/T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189.1-2007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高耗能落后机电设备（产品）淘汰目录（第二批）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高耗能落后机电设备（产品）淘汰目录（第三批）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高耗能落后机电设备（产品）淘汰目录（第一批）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高耗能落后机电设备（产品）淘汰目录（第</w:t>
            </w:r>
            <w:r>
              <w:rPr>
                <w:rFonts w:hint="eastAsia" w:ascii="仿宋" w:hAnsi="仿宋" w:eastAsia="仿宋" w:cs="仿宋"/>
                <w:color w:val="auto"/>
                <w:sz w:val="21"/>
                <w:szCs w:val="21"/>
                <w:highlight w:val="none"/>
                <w:lang w:val="en-US" w:eastAsia="zh-CN" w:bidi="ar"/>
              </w:rPr>
              <w:t>四</w:t>
            </w:r>
            <w:r>
              <w:rPr>
                <w:rFonts w:hint="eastAsia" w:ascii="仿宋" w:hAnsi="仿宋" w:eastAsia="仿宋" w:cs="仿宋"/>
                <w:color w:val="auto"/>
                <w:sz w:val="21"/>
                <w:szCs w:val="21"/>
                <w:highlight w:val="none"/>
                <w:lang w:bidi="ar"/>
              </w:rPr>
              <w:t>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节能机电设备（产品）推荐目录</w:t>
            </w:r>
            <w:r>
              <w:rPr>
                <w:rFonts w:hint="eastAsia" w:ascii="仿宋" w:hAnsi="仿宋" w:eastAsia="仿宋" w:cs="仿宋"/>
                <w:color w:val="auto"/>
                <w:sz w:val="21"/>
                <w:szCs w:val="21"/>
                <w:highlight w:val="none"/>
                <w:lang w:val="en-US" w:eastAsia="zh-CN" w:bidi="ar"/>
              </w:rPr>
              <w:t>(第一至第七批)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用能单位能源计量器具配备和管理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17167-20</w:t>
            </w:r>
            <w:r>
              <w:rPr>
                <w:rFonts w:hint="eastAsia" w:ascii="仿宋" w:hAnsi="仿宋" w:eastAsia="仿宋" w:cs="仿宋"/>
                <w:color w:val="auto"/>
                <w:sz w:val="21"/>
                <w:szCs w:val="21"/>
                <w:highlight w:val="none"/>
                <w:lang w:val="en-US" w:eastAsia="zh-CN" w:bidi="ar"/>
              </w:rPr>
              <w:t>25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工作场所物理因素测量 第8部分噪声</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Z/T 189.8-2007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产品验收实施规范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JB/T 10825-2008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工业机器人电气设备及系统 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39463</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工业机器人控制单元的信息安全通用要求</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抓握型夹持器物体搬运 词汇和特性表示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19400-2003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面向人机协作的工业机器人设计规范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39402</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28</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性能规范及其试验方法</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12642-2001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29</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词汇</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12643-1997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30</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12644-2001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坐标系和运动命名原则</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16977-2005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安全实施规范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20867-2007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电磁相容性试验方法和性能评估准则指南</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19397-2003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机械安全设计通则风险评估与风险降低</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15706-2012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机械电气安全机械电气设备第1部分:通用技术条件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226.1-2019</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机械安全急停功能设计原则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16754-2021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工作场所有害因素职业接触限值第2部分:物理因素</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GBZ2.2-2007</w:t>
            </w:r>
          </w:p>
        </w:tc>
        <w:tc>
          <w:tcPr>
            <w:tcW w:w="660" w:type="dxa"/>
            <w:vMerge w:val="continue"/>
            <w:tcBorders>
              <w:left w:val="single" w:color="auto" w:sz="4" w:space="0"/>
              <w:bottom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bl>
    <w:p>
      <w:pPr>
        <w:spacing w:line="360" w:lineRule="exact"/>
        <w:rPr>
          <w:rFonts w:ascii="仿宋" w:hAnsi="仿宋" w:eastAsia="仿宋" w:cs="仿宋"/>
          <w:color w:val="auto"/>
          <w:sz w:val="21"/>
          <w:highlight w:val="none"/>
        </w:rPr>
      </w:pPr>
      <w:r>
        <w:rPr>
          <w:rFonts w:hint="eastAsia" w:ascii="仿宋" w:hAnsi="仿宋" w:eastAsia="仿宋" w:cs="仿宋"/>
          <w:color w:val="auto"/>
          <w:sz w:val="21"/>
          <w:highlight w:val="none"/>
          <w:lang w:bidi="ar"/>
        </w:rPr>
        <w:t>备注：1、如果有采用国际标准的货物，其执行标准由投标方提供、招标方确认。</w:t>
      </w:r>
    </w:p>
    <w:p>
      <w:pPr>
        <w:snapToGrid w:val="0"/>
        <w:spacing w:line="360" w:lineRule="auto"/>
        <w:ind w:firstLine="422" w:firstLineChars="200"/>
        <w:outlineLvl w:val="1"/>
        <w:rPr>
          <w:rFonts w:ascii="仿宋" w:hAnsi="仿宋" w:eastAsia="仿宋" w:cs="仿宋"/>
          <w:b/>
          <w:bCs/>
          <w:color w:val="auto"/>
          <w:highlight w:val="none"/>
        </w:rPr>
      </w:pPr>
      <w:bookmarkStart w:id="272" w:name="_Toc7648"/>
      <w:bookmarkStart w:id="273" w:name="_Toc20964"/>
      <w:bookmarkStart w:id="274" w:name="_Toc5212"/>
      <w:bookmarkStart w:id="275" w:name="_Toc8461"/>
      <w:bookmarkStart w:id="276" w:name="_Toc22289"/>
      <w:bookmarkStart w:id="277" w:name="_Toc17980"/>
      <w:bookmarkStart w:id="278" w:name="_Toc19250"/>
      <w:bookmarkStart w:id="279" w:name="_Toc32006"/>
      <w:bookmarkStart w:id="280" w:name="_Toc7623"/>
      <w:bookmarkStart w:id="281" w:name="_Toc1411"/>
      <w:bookmarkStart w:id="282" w:name="_Toc27027"/>
      <w:bookmarkStart w:id="283" w:name="_Toc29779"/>
      <w:bookmarkStart w:id="284" w:name="_Toc14059"/>
      <w:bookmarkStart w:id="285" w:name="_Toc21638"/>
      <w:bookmarkStart w:id="286" w:name="_Toc5441"/>
      <w:bookmarkStart w:id="287" w:name="_Toc30383"/>
      <w:bookmarkStart w:id="288" w:name="_Toc12179"/>
      <w:bookmarkStart w:id="289" w:name="_Toc12125"/>
      <w:bookmarkStart w:id="290" w:name="_Toc11599"/>
      <w:bookmarkStart w:id="291" w:name="_Toc4217"/>
      <w:bookmarkStart w:id="292" w:name="_Toc19476"/>
      <w:bookmarkStart w:id="293" w:name="_Toc17231"/>
      <w:bookmarkStart w:id="294" w:name="_Toc73112401"/>
      <w:bookmarkStart w:id="295" w:name="_Toc13103"/>
      <w:bookmarkStart w:id="296" w:name="_Toc32758"/>
      <w:bookmarkStart w:id="297" w:name="_Toc4470"/>
      <w:bookmarkStart w:id="298" w:name="_Toc20016"/>
      <w:bookmarkStart w:id="299" w:name="_Toc6030"/>
      <w:bookmarkStart w:id="300" w:name="_Toc3292"/>
      <w:bookmarkStart w:id="301" w:name="_Toc29247"/>
      <w:bookmarkStart w:id="302" w:name="_Toc16137"/>
      <w:bookmarkStart w:id="303" w:name="_Toc13423"/>
      <w:bookmarkStart w:id="304" w:name="_Toc5402"/>
      <w:bookmarkStart w:id="305" w:name="_Toc1676"/>
      <w:bookmarkStart w:id="306" w:name="_Toc26406"/>
      <w:bookmarkStart w:id="307" w:name="_Toc27157"/>
      <w:bookmarkStart w:id="308" w:name="_Toc6412"/>
      <w:bookmarkStart w:id="309" w:name="_Toc31630"/>
      <w:bookmarkStart w:id="310" w:name="_Toc7786"/>
      <w:bookmarkStart w:id="311" w:name="_Toc19638"/>
      <w:bookmarkStart w:id="312" w:name="_Toc7895"/>
      <w:bookmarkStart w:id="313" w:name="_Toc1883"/>
      <w:r>
        <w:rPr>
          <w:rFonts w:hint="eastAsia" w:ascii="仿宋" w:hAnsi="仿宋" w:eastAsia="仿宋" w:cs="仿宋"/>
          <w:b/>
          <w:bCs/>
          <w:color w:val="auto"/>
          <w:highlight w:val="none"/>
        </w:rPr>
        <w:t>3技术规范</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20"/>
        <w:snapToGrid w:val="0"/>
        <w:spacing w:line="360" w:lineRule="auto"/>
        <w:ind w:firstLine="420" w:firstLineChars="200"/>
        <w:rPr>
          <w:rFonts w:hint="eastAsia" w:ascii="仿宋" w:hAnsi="仿宋" w:eastAsia="仿宋" w:cs="仿宋"/>
          <w:color w:val="auto"/>
          <w:highlight w:val="none"/>
        </w:rPr>
      </w:pPr>
      <w:bookmarkStart w:id="314" w:name="_Toc26258"/>
      <w:bookmarkStart w:id="315" w:name="_Toc14166"/>
      <w:bookmarkStart w:id="316" w:name="_Toc12757"/>
      <w:bookmarkStart w:id="317" w:name="_Toc17783"/>
      <w:bookmarkStart w:id="318" w:name="_Toc15548"/>
      <w:bookmarkStart w:id="319" w:name="_Toc19055"/>
      <w:bookmarkStart w:id="320" w:name="_Toc27515"/>
      <w:bookmarkStart w:id="321" w:name="_Toc43"/>
      <w:bookmarkStart w:id="322" w:name="_Toc21407"/>
      <w:bookmarkStart w:id="323" w:name="_Toc26033"/>
      <w:bookmarkStart w:id="324" w:name="_Toc22042"/>
      <w:bookmarkStart w:id="325" w:name="_Toc26873"/>
      <w:bookmarkStart w:id="326" w:name="_Toc30668"/>
      <w:bookmarkStart w:id="327" w:name="_Toc20150"/>
      <w:bookmarkStart w:id="328" w:name="_Toc3050"/>
      <w:bookmarkStart w:id="329" w:name="_Toc26683"/>
      <w:bookmarkStart w:id="330" w:name="_Toc10677"/>
      <w:bookmarkStart w:id="331" w:name="_Toc16518"/>
      <w:bookmarkStart w:id="332" w:name="_Toc25588"/>
      <w:r>
        <w:rPr>
          <w:rFonts w:hint="eastAsia" w:ascii="仿宋" w:hAnsi="仿宋" w:eastAsia="仿宋" w:cs="仿宋"/>
          <w:color w:val="auto"/>
          <w:highlight w:val="none"/>
        </w:rPr>
        <w:t>3.1生产线能力及产品说明</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3.1.1生产能力及节拍</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奥利康锥齿轮热后</w:t>
      </w:r>
      <w:r>
        <w:rPr>
          <w:rFonts w:hint="eastAsia" w:ascii="仿宋" w:hAnsi="仿宋" w:eastAsia="仿宋" w:cs="仿宋"/>
          <w:color w:val="auto"/>
          <w:highlight w:val="none"/>
          <w:lang w:val="en-US" w:eastAsia="zh-CN"/>
        </w:rPr>
        <w:t>自动线</w:t>
      </w:r>
      <w:r>
        <w:rPr>
          <w:rFonts w:hint="eastAsia" w:ascii="仿宋" w:hAnsi="仿宋" w:eastAsia="仿宋" w:cs="仿宋"/>
          <w:color w:val="auto"/>
          <w:highlight w:val="none"/>
        </w:rPr>
        <w:t>A/B线</w:t>
      </w:r>
      <w:r>
        <w:rPr>
          <w:rFonts w:hint="eastAsia" w:ascii="仿宋" w:hAnsi="仿宋" w:eastAsia="仿宋" w:cs="仿宋"/>
          <w:color w:val="auto"/>
          <w:highlight w:val="none"/>
          <w:lang w:val="en-US" w:eastAsia="zh-CN"/>
        </w:rPr>
        <w:t>内</w:t>
      </w:r>
      <w:r>
        <w:rPr>
          <w:rFonts w:hint="eastAsia" w:ascii="仿宋" w:hAnsi="仿宋" w:eastAsia="仿宋" w:cs="仿宋"/>
          <w:color w:val="auto"/>
          <w:highlight w:val="none"/>
        </w:rPr>
        <w:t>各有一台MKS1632</w:t>
      </w:r>
      <w:r>
        <w:rPr>
          <w:rFonts w:hint="eastAsia" w:ascii="仿宋" w:hAnsi="仿宋" w:eastAsia="仿宋" w:cs="仿宋"/>
          <w:color w:val="auto"/>
          <w:highlight w:val="none"/>
          <w:lang w:val="en-US" w:eastAsia="zh-CN"/>
        </w:rPr>
        <w:t>A</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为</w:t>
      </w:r>
      <w:r>
        <w:rPr>
          <w:rFonts w:hint="eastAsia" w:ascii="仿宋" w:hAnsi="仿宋" w:eastAsia="仿宋" w:cs="仿宋"/>
          <w:color w:val="auto"/>
          <w:highlight w:val="none"/>
        </w:rPr>
        <w:t>每台设备增加第二级外圆尺寸控制系统，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输入轴</w:t>
      </w:r>
      <w:r>
        <w:rPr>
          <w:rFonts w:hint="eastAsia" w:ascii="仿宋" w:hAnsi="仿宋" w:eastAsia="仿宋" w:cs="仿宋"/>
          <w:color w:val="auto"/>
          <w:highlight w:val="none"/>
          <w:lang w:val="en-US" w:eastAsia="zh-CN"/>
        </w:rPr>
        <w:t>实现型号为</w:t>
      </w:r>
      <w:r>
        <w:rPr>
          <w:rFonts w:hint="eastAsia" w:ascii="仿宋" w:hAnsi="仿宋" w:eastAsia="仿宋" w:cs="仿宋"/>
          <w:color w:val="auto"/>
          <w:highlight w:val="none"/>
        </w:rPr>
        <w:t>MKS1632</w:t>
      </w:r>
      <w:r>
        <w:rPr>
          <w:rFonts w:hint="eastAsia" w:ascii="仿宋" w:hAnsi="仿宋" w:eastAsia="仿宋" w:cs="仿宋"/>
          <w:color w:val="auto"/>
          <w:highlight w:val="none"/>
          <w:lang w:val="en-US" w:eastAsia="zh-CN"/>
        </w:rPr>
        <w:t>B</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改造升级，增加第二级外圆尺寸控制系统，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的自动化闭环控制，保</w:t>
      </w:r>
      <w:r>
        <w:rPr>
          <w:rFonts w:hint="eastAsia" w:ascii="仿宋" w:hAnsi="仿宋" w:eastAsia="仿宋" w:cs="仿宋"/>
          <w:color w:val="auto"/>
          <w:highlight w:val="none"/>
          <w:lang w:val="en-US" w:eastAsia="zh-CN"/>
        </w:rPr>
        <w:t>证</w:t>
      </w:r>
      <w:r>
        <w:rPr>
          <w:rFonts w:hint="eastAsia" w:ascii="仿宋" w:hAnsi="仿宋" w:eastAsia="仿宋" w:cs="仿宋"/>
          <w:color w:val="auto"/>
          <w:highlight w:val="none"/>
        </w:rPr>
        <w:t>产品加工精度。</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生产节拍</w:t>
      </w:r>
      <w:r>
        <w:rPr>
          <w:rFonts w:hint="eastAsia" w:ascii="仿宋" w:hAnsi="仿宋" w:eastAsia="仿宋" w:cs="仿宋"/>
          <w:color w:val="auto"/>
          <w:highlight w:val="none"/>
          <w:lang w:val="en-US" w:eastAsia="zh-CN"/>
        </w:rPr>
        <w:t>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量仪增加使用后不得增加原有工序机加工时间。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3.1.2产品状态：</w:t>
      </w:r>
    </w:p>
    <w:tbl>
      <w:tblPr>
        <w:tblStyle w:val="36"/>
        <w:tblW w:w="8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783"/>
        <w:gridCol w:w="1995"/>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材质</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ascii="仿宋" w:hAnsi="仿宋" w:eastAsia="仿宋" w:cs="仿宋"/>
                <w:color w:val="auto"/>
                <w:sz w:val="21"/>
                <w:szCs w:val="21"/>
                <w:highlight w:val="none"/>
                <w:lang w:bidi="ar"/>
              </w:rPr>
              <w:t>22CrMo</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val="en-US" w:eastAsia="zh-CN" w:bidi="ar"/>
              </w:rPr>
              <w:t>渗碳淬火件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表面硬度60-65HRC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2</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输入轴</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4</w:t>
            </w:r>
            <w:r>
              <w:rPr>
                <w:rFonts w:ascii="仿宋" w:hAnsi="仿宋" w:eastAsia="仿宋" w:cs="仿宋"/>
                <w:color w:val="auto"/>
                <w:sz w:val="21"/>
                <w:szCs w:val="21"/>
                <w:highlight w:val="none"/>
                <w:lang w:bidi="ar"/>
              </w:rPr>
              <w:t>2CrMo</w:t>
            </w: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感应淬火件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表面硬度56-60HRC</w:t>
            </w: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3.1.3产品简图:可附图。</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955925" cy="1421130"/>
            <wp:effectExtent l="0" t="0" r="15875" b="7620"/>
            <wp:docPr id="17" name="图片 17" descr="7fc29ef929c82d9984678c1772e4ac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fc29ef929c82d9984678c1772e4acb4"/>
                    <pic:cNvPicPr>
                      <a:picLocks noChangeAspect="1"/>
                    </pic:cNvPicPr>
                  </pic:nvPicPr>
                  <pic:blipFill>
                    <a:blip r:embed="rId47"/>
                    <a:stretch>
                      <a:fillRect/>
                    </a:stretch>
                  </pic:blipFill>
                  <pic:spPr>
                    <a:xfrm>
                      <a:off x="0" y="0"/>
                      <a:ext cx="2955925" cy="1421130"/>
                    </a:xfrm>
                    <a:prstGeom prst="rect">
                      <a:avLst/>
                    </a:prstGeom>
                  </pic:spPr>
                </pic:pic>
              </a:graphicData>
            </a:graphic>
          </wp:inline>
        </w:drawing>
      </w:r>
    </w:p>
    <w:p>
      <w:pPr>
        <w:pStyle w:val="20"/>
        <w:snapToGrid w:val="0"/>
        <w:spacing w:line="360" w:lineRule="auto"/>
        <w:ind w:left="0" w:leftChars="0" w:firstLine="0" w:firstLineChars="0"/>
        <w:jc w:val="center"/>
        <w:rPr>
          <w:rFonts w:hint="default" w:eastAsia="宋体"/>
          <w:color w:val="auto"/>
          <w:highlight w:val="none"/>
          <w:lang w:val="en-US" w:eastAsia="zh-CN"/>
        </w:rPr>
      </w:pPr>
      <w:r>
        <w:rPr>
          <w:rFonts w:hint="eastAsia" w:ascii="仿宋" w:hAnsi="仿宋" w:eastAsia="仿宋" w:cs="仿宋"/>
          <w:color w:val="auto"/>
          <w:highlight w:val="none"/>
          <w:lang w:val="en-US" w:eastAsia="zh-CN"/>
        </w:rPr>
        <w:t>产品810-35611-0019输入轴磨外圆工序简图，监控尺寸φ50（-0.009/-0.025）</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3042920" cy="1478915"/>
            <wp:effectExtent l="0" t="0" r="5080" b="6985"/>
            <wp:docPr id="18" name="图片 18" descr="7fb1b011855aacf83b7bcac5b7ae27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fb1b011855aacf83b7bcac5b7ae279b"/>
                    <pic:cNvPicPr>
                      <a:picLocks noChangeAspect="1"/>
                    </pic:cNvPicPr>
                  </pic:nvPicPr>
                  <pic:blipFill>
                    <a:blip r:embed="rId48"/>
                    <a:stretch>
                      <a:fillRect/>
                    </a:stretch>
                  </pic:blipFill>
                  <pic:spPr>
                    <a:xfrm>
                      <a:off x="0" y="0"/>
                      <a:ext cx="3042920" cy="1478915"/>
                    </a:xfrm>
                    <a:prstGeom prst="rect">
                      <a:avLst/>
                    </a:prstGeom>
                  </pic:spPr>
                </pic:pic>
              </a:graphicData>
            </a:graphic>
          </wp:inline>
        </w:drawing>
      </w: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产品AZ7117327037输入轴磨外圆序简图，监控尺寸φ44（-0.009/-0.025）</w:t>
      </w:r>
    </w:p>
    <w:p>
      <w:pPr>
        <w:pStyle w:val="20"/>
        <w:snapToGrid w:val="0"/>
        <w:spacing w:line="360" w:lineRule="auto"/>
        <w:ind w:firstLine="420" w:firstLineChars="200"/>
        <w:jc w:val="center"/>
        <w:rPr>
          <w:rFonts w:hint="eastAsia" w:ascii="仿宋" w:hAnsi="仿宋" w:eastAsia="仿宋" w:cs="仿宋"/>
          <w:color w:val="auto"/>
          <w:highlight w:val="none"/>
          <w:lang w:val="en-US" w:eastAsia="zh-CN"/>
        </w:rPr>
      </w:pP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产品AZ7117328009输入轴磨外圆序简图，监控尺寸φ44（-0.009/-0.025）</w:t>
      </w:r>
    </w:p>
    <w:p>
      <w:pPr>
        <w:pStyle w:val="20"/>
        <w:snapToGrid w:val="0"/>
        <w:spacing w:line="360" w:lineRule="auto"/>
        <w:ind w:firstLine="420" w:firstLineChars="20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149215" cy="3036570"/>
            <wp:effectExtent l="0" t="0" r="13335" b="11430"/>
            <wp:docPr id="31" name="图片 31" descr="17c62410646e4061546afad079c4a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c62410646e4061546afad079c4a2cf"/>
                    <pic:cNvPicPr>
                      <a:picLocks noChangeAspect="1"/>
                    </pic:cNvPicPr>
                  </pic:nvPicPr>
                  <pic:blipFill>
                    <a:blip r:embed="rId49"/>
                    <a:stretch>
                      <a:fillRect/>
                    </a:stretch>
                  </pic:blipFill>
                  <pic:spPr>
                    <a:xfrm>
                      <a:off x="0" y="0"/>
                      <a:ext cx="5149215" cy="303657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rPr>
      </w:pPr>
      <w:r>
        <w:rPr>
          <w:rFonts w:hint="eastAsia"/>
          <w:color w:val="auto"/>
          <w:highlight w:val="none"/>
          <w:lang w:val="en-US" w:eastAsia="zh-CN"/>
        </w:rPr>
        <w:t xml:space="preserve"> </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MCY12系列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，监控尺寸φ60（+0.021/+0.002）</w:t>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drawing>
          <wp:inline distT="0" distB="0" distL="114300" distR="114300">
            <wp:extent cx="5039360" cy="2682240"/>
            <wp:effectExtent l="0" t="0" r="8890" b="3810"/>
            <wp:docPr id="42" name="图片 42" descr="519edc36ec09b639d6d128d2447f7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519edc36ec09b639d6d128d2447f7c33"/>
                    <pic:cNvPicPr>
                      <a:picLocks noChangeAspect="1"/>
                    </pic:cNvPicPr>
                  </pic:nvPicPr>
                  <pic:blipFill>
                    <a:blip r:embed="rId50"/>
                    <a:stretch>
                      <a:fillRect/>
                    </a:stretch>
                  </pic:blipFill>
                  <pic:spPr>
                    <a:xfrm>
                      <a:off x="0" y="0"/>
                      <a:ext cx="5039360" cy="268224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MCY13系列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，监控尺寸φ65（+0.021/+0.002）</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3.1.4产品重量：</w:t>
      </w:r>
    </w:p>
    <w:tbl>
      <w:tblPr>
        <w:tblStyle w:val="36"/>
        <w:tblW w:w="5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213"/>
        <w:gridCol w:w="141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产品重量/Kg</w:t>
            </w:r>
          </w:p>
        </w:tc>
        <w:tc>
          <w:tcPr>
            <w:tcW w:w="70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25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2213"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输入轴</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15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3.1.5布置布局：</w:t>
      </w:r>
    </w:p>
    <w:p>
      <w:pPr>
        <w:pStyle w:val="20"/>
        <w:snapToGrid w:val="0"/>
        <w:spacing w:line="360" w:lineRule="auto"/>
        <w:ind w:left="0" w:leftChars="0" w:firstLine="0" w:firstLineChars="0"/>
        <w:jc w:val="center"/>
        <w:rPr>
          <w:rFonts w:hint="eastAsia" w:ascii="仿宋" w:hAnsi="仿宋" w:eastAsia="仿宋" w:cs="仿宋"/>
          <w:color w:val="auto"/>
          <w:highlight w:val="none"/>
        </w:rPr>
      </w:pPr>
      <w:r>
        <w:rPr>
          <w:rFonts w:hint="eastAsia" w:ascii="仿宋" w:hAnsi="仿宋" w:eastAsia="仿宋" w:cs="仿宋"/>
          <w:color w:val="auto"/>
          <w:highlight w:val="none"/>
        </w:rPr>
        <w:drawing>
          <wp:inline distT="0" distB="0" distL="114300" distR="114300">
            <wp:extent cx="4056380" cy="2514600"/>
            <wp:effectExtent l="9525" t="9525" r="10795" b="952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51"/>
                    <a:stretch>
                      <a:fillRect/>
                    </a:stretch>
                  </pic:blipFill>
                  <pic:spPr>
                    <a:xfrm>
                      <a:off x="0" y="0"/>
                      <a:ext cx="4056380" cy="2514600"/>
                    </a:xfrm>
                    <a:prstGeom prst="rect">
                      <a:avLst/>
                    </a:prstGeom>
                    <a:ln>
                      <a:solidFill>
                        <a:srgbClr val="0000FF"/>
                      </a:solidFill>
                    </a:ln>
                  </pic:spPr>
                </pic:pic>
              </a:graphicData>
            </a:graphic>
          </wp:inline>
        </w:drawing>
      </w:r>
    </w:p>
    <w:p>
      <w:pPr>
        <w:pStyle w:val="20"/>
        <w:snapToGrid w:val="0"/>
        <w:spacing w:line="360" w:lineRule="auto"/>
        <w:ind w:firstLine="420" w:firstLineChars="20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图1 奥利康锥齿轮热后自动线A/B线主动锥齿轮磨床位置</w:t>
      </w:r>
    </w:p>
    <w:p>
      <w:pPr>
        <w:pStyle w:val="20"/>
        <w:snapToGrid w:val="0"/>
        <w:spacing w:line="360" w:lineRule="auto"/>
        <w:ind w:left="0" w:leftChars="0" w:firstLine="0" w:firstLineChars="0"/>
        <w:jc w:val="both"/>
        <w:rPr>
          <w:color w:val="auto"/>
          <w:highlight w:val="none"/>
        </w:rPr>
      </w:pPr>
      <w:r>
        <w:rPr>
          <w:color w:val="auto"/>
          <w:highlight w:val="none"/>
        </w:rPr>
        <w:drawing>
          <wp:inline distT="0" distB="0" distL="114300" distR="114300">
            <wp:extent cx="5381625" cy="1432560"/>
            <wp:effectExtent l="9525" t="9525" r="19050" b="24765"/>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52"/>
                    <a:stretch>
                      <a:fillRect/>
                    </a:stretch>
                  </pic:blipFill>
                  <pic:spPr>
                    <a:xfrm>
                      <a:off x="0" y="0"/>
                      <a:ext cx="5381625" cy="1432560"/>
                    </a:xfrm>
                    <a:prstGeom prst="rect">
                      <a:avLst/>
                    </a:prstGeom>
                    <a:ln>
                      <a:solidFill>
                        <a:srgbClr val="0000FF"/>
                      </a:solidFill>
                    </a:ln>
                  </pic:spPr>
                </pic:pic>
              </a:graphicData>
            </a:graphic>
          </wp:inline>
        </w:drawing>
      </w:r>
    </w:p>
    <w:p>
      <w:pPr>
        <w:pStyle w:val="20"/>
        <w:snapToGrid w:val="0"/>
        <w:spacing w:line="360" w:lineRule="auto"/>
        <w:ind w:left="0" w:leftChars="0" w:firstLine="0" w:firstLineChars="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图2 输入轴磨床位置</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3.1.6工艺流程（参考）： </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奥利康锥齿轮热后自动线A/B线主动锥齿轮磨床：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后，设备开门→机械手上料→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机械手下料（新增零部件不得影响机械手上下料）。</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输入轴线磨床：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val="en-US" w:eastAsia="zh-CN"/>
        </w:rPr>
        <w:t>人工上料→</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人工下料（新增零部件不得影响上下料）。</w:t>
      </w:r>
    </w:p>
    <w:p>
      <w:pPr>
        <w:pStyle w:val="20"/>
        <w:snapToGrid w:val="0"/>
        <w:spacing w:line="360" w:lineRule="auto"/>
        <w:ind w:firstLine="420" w:firstLineChars="200"/>
        <w:rPr>
          <w:rFonts w:hint="eastAsia" w:ascii="仿宋" w:hAnsi="仿宋" w:eastAsia="仿宋" w:cs="仿宋"/>
          <w:color w:val="auto"/>
          <w:highlight w:val="none"/>
        </w:rPr>
      </w:pPr>
      <w:bookmarkStart w:id="333" w:name="_Toc21078"/>
      <w:bookmarkStart w:id="334" w:name="_Toc16070"/>
      <w:bookmarkStart w:id="335" w:name="_Toc10192"/>
      <w:bookmarkStart w:id="336" w:name="_Toc4858"/>
      <w:bookmarkStart w:id="337" w:name="_Toc26412"/>
      <w:bookmarkStart w:id="338" w:name="_Toc1016"/>
      <w:bookmarkStart w:id="339" w:name="_Toc12871"/>
      <w:bookmarkStart w:id="340" w:name="_Toc1265"/>
      <w:bookmarkStart w:id="341" w:name="_Toc3740"/>
      <w:bookmarkStart w:id="342" w:name="_Toc2507"/>
      <w:bookmarkStart w:id="343" w:name="_Toc20295"/>
      <w:bookmarkStart w:id="344" w:name="_Toc4763"/>
      <w:bookmarkStart w:id="345" w:name="_Toc315"/>
      <w:bookmarkStart w:id="346" w:name="_Toc18742"/>
      <w:bookmarkStart w:id="347" w:name="_Toc28832"/>
      <w:bookmarkStart w:id="348" w:name="_Toc18984"/>
      <w:bookmarkStart w:id="349" w:name="_Toc16344"/>
      <w:bookmarkStart w:id="350" w:name="_Toc5701"/>
      <w:bookmarkStart w:id="351" w:name="_Toc20831"/>
      <w:r>
        <w:rPr>
          <w:rFonts w:hint="eastAsia" w:ascii="仿宋" w:hAnsi="仿宋" w:eastAsia="仿宋" w:cs="仿宋"/>
          <w:color w:val="auto"/>
          <w:highlight w:val="none"/>
        </w:rPr>
        <w:t>3.2主要功能：</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实现奥利康锥齿轮热后自动线A/B线主动锥齿轮磨床与输入轴线磨床二级外圆磨削过程中的在线测量</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并将测量结果反馈至机床数控系统，形成“测量-反馈-补偿-合格”的自动化闭环控制，确保产品质量符合要求。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锥齿轮热后自动线A、B两条产线，新增加在线尺寸监控单元必须实现线外调整（即操作者无需进入自动线内即可对监控单元进行调整）。</w:t>
      </w:r>
    </w:p>
    <w:p>
      <w:pPr>
        <w:pStyle w:val="20"/>
        <w:snapToGrid w:val="0"/>
        <w:spacing w:line="360" w:lineRule="auto"/>
        <w:ind w:firstLine="420" w:firstLineChars="200"/>
        <w:rPr>
          <w:rFonts w:ascii="仿宋" w:hAnsi="仿宋" w:eastAsia="仿宋" w:cs="仿宋"/>
          <w:color w:val="auto"/>
          <w:highlight w:val="none"/>
        </w:rPr>
      </w:pPr>
      <w:bookmarkStart w:id="352" w:name="_Toc9455"/>
      <w:bookmarkStart w:id="353" w:name="_Toc14275"/>
      <w:bookmarkStart w:id="354" w:name="_Toc12930"/>
      <w:bookmarkStart w:id="355" w:name="_Toc30729"/>
      <w:bookmarkStart w:id="356" w:name="_Toc6887"/>
      <w:bookmarkStart w:id="357" w:name="_Toc2103"/>
      <w:bookmarkStart w:id="358" w:name="_Toc4440"/>
      <w:bookmarkStart w:id="359" w:name="_Toc2740"/>
      <w:bookmarkStart w:id="360" w:name="_Toc32014"/>
      <w:bookmarkStart w:id="361" w:name="_Toc15114"/>
      <w:bookmarkStart w:id="362" w:name="_Toc20138"/>
      <w:bookmarkStart w:id="363" w:name="_Toc30232"/>
      <w:bookmarkStart w:id="364" w:name="_Toc21042"/>
      <w:bookmarkStart w:id="365" w:name="_Toc29045"/>
      <w:bookmarkStart w:id="366" w:name="_Toc6956"/>
      <w:bookmarkStart w:id="367" w:name="_Toc30017"/>
      <w:bookmarkStart w:id="368" w:name="_Toc6592"/>
      <w:bookmarkStart w:id="369" w:name="_Toc21034"/>
      <w:bookmarkStart w:id="370" w:name="_Toc19625"/>
      <w:r>
        <w:rPr>
          <w:rFonts w:hint="eastAsia" w:ascii="仿宋" w:hAnsi="仿宋" w:eastAsia="仿宋" w:cs="仿宋"/>
          <w:color w:val="auto"/>
          <w:highlight w:val="none"/>
        </w:rPr>
        <w:t>3.3技术要求及参数</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20"/>
        <w:snapToGrid w:val="0"/>
        <w:spacing w:line="360" w:lineRule="auto"/>
        <w:ind w:firstLine="420" w:firstLineChars="200"/>
        <w:rPr>
          <w:rFonts w:hint="default" w:ascii="仿宋" w:hAnsi="仿宋" w:eastAsia="仿宋"/>
          <w:color w:val="auto"/>
          <w:highlight w:val="none"/>
          <w:lang w:val="en-US" w:eastAsia="zh-CN"/>
        </w:rPr>
      </w:pPr>
      <w:r>
        <w:rPr>
          <w:rFonts w:hint="eastAsia" w:ascii="仿宋" w:hAnsi="仿宋" w:eastAsia="仿宋"/>
          <w:color w:val="auto"/>
          <w:highlight w:val="none"/>
        </w:rPr>
        <w:t>3.3.1</w:t>
      </w:r>
      <w:r>
        <w:rPr>
          <w:rFonts w:hint="eastAsia" w:ascii="仿宋" w:hAnsi="仿宋" w:eastAsia="仿宋"/>
          <w:color w:val="auto"/>
          <w:highlight w:val="none"/>
          <w:lang w:val="en-US" w:eastAsia="zh-CN"/>
        </w:rPr>
        <w:t>在线控制单元完成增加后所控制的尺寸CPK</w:t>
      </w:r>
      <w:r>
        <w:rPr>
          <w:rFonts w:hint="eastAsia" w:ascii="仿宋" w:hAnsi="仿宋" w:eastAsia="仿宋"/>
          <w:color w:val="auto"/>
          <w:highlight w:val="none"/>
        </w:rPr>
        <w:t>≥1.</w:t>
      </w:r>
      <w:r>
        <w:rPr>
          <w:rFonts w:hint="eastAsia" w:ascii="仿宋" w:hAnsi="仿宋" w:eastAsia="仿宋"/>
          <w:color w:val="auto"/>
          <w:highlight w:val="none"/>
          <w:lang w:val="en-US" w:eastAsia="zh-CN"/>
        </w:rPr>
        <w:t>33</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rPr>
        <w:t>3.3.2.</w:t>
      </w:r>
      <w:r>
        <w:rPr>
          <w:rFonts w:hint="eastAsia" w:ascii="仿宋" w:hAnsi="仿宋" w:eastAsia="仿宋"/>
          <w:color w:val="auto"/>
          <w:highlight w:val="none"/>
          <w:lang w:val="en-US" w:eastAsia="zh-CN"/>
        </w:rPr>
        <w:t>主要参数及精度配置</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3.3.2.1根据要求制作制作相应校准件（每套设备1件），并提供相应的校准证书。</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3.3.2.2增加整套全新在线量仪，实现100%全加工过程工件尺寸监控，量仪重复精度 ≤0.001mm，测头形式为接触式，测量范围满足图纸尺寸要求。</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3.3.2.3整个系统的信号传输方式使用有线传输。</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3.3.2.4整个测量系统CGK≥1.67。</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3.3.2.5设备量仪满足在切削液、金属粉尘环境内正常使用，耐受高压切削液喷淋和金属粉尘，可长期泡浸切削液。</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3.3.2.6</w:t>
      </w:r>
      <w:r>
        <w:rPr>
          <w:rFonts w:hint="eastAsia" w:ascii="仿宋" w:hAnsi="仿宋" w:eastAsia="仿宋" w:cs="仿宋"/>
          <w:color w:val="auto"/>
          <w:highlight w:val="none"/>
          <w:lang w:val="en-US" w:eastAsia="zh-CN"/>
        </w:rPr>
        <w:t>在线尺寸监控单元</w:t>
      </w:r>
      <w:r>
        <w:rPr>
          <w:rFonts w:hint="eastAsia" w:ascii="仿宋" w:hAnsi="仿宋" w:eastAsia="仿宋" w:cs="仿宋"/>
          <w:color w:val="auto"/>
          <w:highlight w:val="none"/>
        </w:rPr>
        <w:t>安装后不</w:t>
      </w:r>
      <w:r>
        <w:rPr>
          <w:rFonts w:hint="eastAsia" w:ascii="仿宋" w:hAnsi="仿宋" w:eastAsia="仿宋" w:cs="仿宋"/>
          <w:color w:val="auto"/>
          <w:highlight w:val="none"/>
          <w:lang w:val="en-US" w:eastAsia="zh-CN"/>
        </w:rPr>
        <w:t>得</w:t>
      </w:r>
      <w:r>
        <w:rPr>
          <w:rFonts w:hint="eastAsia" w:ascii="仿宋" w:hAnsi="仿宋" w:eastAsia="仿宋" w:cs="仿宋"/>
          <w:color w:val="auto"/>
          <w:highlight w:val="none"/>
        </w:rPr>
        <w:t>影响与自动线</w:t>
      </w:r>
      <w:r>
        <w:rPr>
          <w:rFonts w:hint="eastAsia" w:ascii="仿宋" w:hAnsi="仿宋" w:eastAsia="仿宋" w:cs="仿宋"/>
          <w:color w:val="auto"/>
          <w:highlight w:val="none"/>
          <w:lang w:val="en-US" w:eastAsia="zh-CN"/>
        </w:rPr>
        <w:t>之间的信号交互，保证自动线运行顺畅，不得影响</w:t>
      </w:r>
      <w:r>
        <w:rPr>
          <w:rFonts w:hint="eastAsia" w:ascii="仿宋" w:hAnsi="仿宋" w:eastAsia="仿宋" w:cs="仿宋"/>
          <w:color w:val="auto"/>
          <w:highlight w:val="none"/>
        </w:rPr>
        <w:t>产品周转、机械手运行和设备操作</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3.3.3在线尺寸监控单元动力方式</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4"/>
        <w:gridCol w:w="1615"/>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vAlign w:val="center"/>
          </w:tcPr>
          <w:p>
            <w:pPr>
              <w:overflowPunct w:val="0"/>
              <w:snapToGrid w:val="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产品名称</w:t>
            </w:r>
          </w:p>
        </w:tc>
        <w:tc>
          <w:tcPr>
            <w:tcW w:w="1615"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动力方式</w:t>
            </w:r>
          </w:p>
        </w:tc>
        <w:tc>
          <w:tcPr>
            <w:tcW w:w="1000"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A线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widowControl/>
              <w:jc w:val="center"/>
              <w:textAlignment w:val="center"/>
              <w:rPr>
                <w:rFonts w:hint="eastAsia" w:ascii="仿宋" w:hAnsi="仿宋" w:eastAsia="仿宋" w:cs="仿宋"/>
                <w:color w:val="auto"/>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B线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输入轴</w:t>
            </w:r>
            <w:r>
              <w:rPr>
                <w:rFonts w:hint="eastAsia" w:ascii="仿宋" w:hAnsi="仿宋" w:eastAsia="仿宋" w:cs="仿宋"/>
                <w:color w:val="auto"/>
                <w:sz w:val="21"/>
                <w:szCs w:val="21"/>
                <w:highlight w:val="none"/>
                <w:lang w:val="en-US" w:eastAsia="zh-CN"/>
              </w:rPr>
              <w:t>线磨床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bl>
    <w:p>
      <w:pPr>
        <w:pStyle w:val="20"/>
        <w:snapToGrid w:val="0"/>
        <w:spacing w:line="360" w:lineRule="auto"/>
        <w:ind w:firstLine="420" w:firstLineChars="200"/>
        <w:rPr>
          <w:rFonts w:hint="eastAsia" w:ascii="仿宋" w:hAnsi="仿宋" w:eastAsia="仿宋" w:cs="仿宋"/>
          <w:color w:val="auto"/>
          <w:highlight w:val="none"/>
        </w:rPr>
      </w:pPr>
      <w:bookmarkStart w:id="371" w:name="_Toc31070"/>
      <w:bookmarkStart w:id="372" w:name="_Toc19257"/>
      <w:bookmarkStart w:id="373" w:name="_Toc7237"/>
      <w:bookmarkStart w:id="374" w:name="_Toc31161"/>
      <w:bookmarkStart w:id="375" w:name="_Toc12134"/>
      <w:bookmarkStart w:id="376" w:name="_Toc31203"/>
      <w:bookmarkStart w:id="377" w:name="_Toc11090"/>
      <w:bookmarkStart w:id="378" w:name="_Toc20175"/>
      <w:bookmarkStart w:id="379" w:name="_Toc16054"/>
      <w:bookmarkStart w:id="380" w:name="_Toc5217"/>
      <w:bookmarkStart w:id="381" w:name="_Toc21816"/>
      <w:bookmarkStart w:id="382" w:name="_Toc15804"/>
      <w:bookmarkStart w:id="383" w:name="_Toc22251"/>
      <w:bookmarkStart w:id="384" w:name="_Toc22966"/>
      <w:bookmarkStart w:id="385" w:name="_Toc3790"/>
      <w:bookmarkStart w:id="386" w:name="_Toc16236"/>
      <w:bookmarkStart w:id="387" w:name="_Toc31998"/>
      <w:bookmarkStart w:id="388" w:name="_Toc21455"/>
      <w:bookmarkStart w:id="389" w:name="_Toc16004"/>
      <w:r>
        <w:rPr>
          <w:rFonts w:hint="eastAsia" w:ascii="仿宋" w:hAnsi="仿宋" w:eastAsia="仿宋" w:cs="仿宋"/>
          <w:color w:val="auto"/>
          <w:highlight w:val="none"/>
          <w:lang w:val="en-US" w:eastAsia="zh-CN"/>
        </w:rPr>
        <w:t>3.3.3.1改造使用设备液压系统时</w:t>
      </w:r>
      <w:r>
        <w:rPr>
          <w:rFonts w:hint="eastAsia" w:ascii="仿宋" w:hAnsi="仿宋" w:eastAsia="仿宋" w:cs="仿宋"/>
          <w:color w:val="auto"/>
          <w:highlight w:val="none"/>
        </w:rPr>
        <w:t>液压阀采用叠加式，采用国际知名品牌；</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3.3.3.2</w:t>
      </w:r>
      <w:r>
        <w:rPr>
          <w:rFonts w:hint="eastAsia" w:ascii="仿宋" w:hAnsi="仿宋" w:eastAsia="仿宋" w:cs="仿宋"/>
          <w:color w:val="auto"/>
          <w:highlight w:val="none"/>
        </w:rPr>
        <w:t>液压系统全部采用选用知名产密封件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其它主要要求</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供方所提供的三套设备及相关配件必须为同一型号</w:t>
      </w:r>
      <w:r>
        <w:rPr>
          <w:rFonts w:hint="eastAsia" w:ascii="仿宋" w:hAnsi="仿宋" w:eastAsia="仿宋" w:cs="仿宋"/>
          <w:color w:val="auto"/>
          <w:highlight w:val="none"/>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3.4.2在线尺寸测量单元为不低于马波斯、东京精密等水平的进口国际知名品牌，量仪增加后对整个加工程序进行优化，保证产品的加工生产，且不影响原产线的自动化生产。</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投标货物设备要求</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w:t>
      </w:r>
      <w:r>
        <w:rPr>
          <w:rFonts w:hint="eastAsia" w:ascii="仿宋" w:hAnsi="仿宋" w:eastAsia="仿宋" w:cs="仿宋"/>
          <w:color w:val="auto"/>
          <w:highlight w:val="none"/>
        </w:rPr>
        <w:t>1 设备规范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.1.1</w:t>
      </w:r>
      <w:r>
        <w:rPr>
          <w:rFonts w:hint="eastAsia" w:ascii="仿宋" w:hAnsi="仿宋" w:eastAsia="仿宋" w:cs="仿宋"/>
          <w:color w:val="auto"/>
          <w:highlight w:val="none"/>
        </w:rPr>
        <w:t>设备设计合理，制造精良，性能稳定可靠，且使用维修方便，造型美观，设备的结构应保证有足够的静态、动态、热稳态刚度。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.1.2</w:t>
      </w:r>
      <w:r>
        <w:rPr>
          <w:rFonts w:hint="eastAsia" w:ascii="仿宋" w:hAnsi="仿宋" w:eastAsia="仿宋" w:cs="仿宋"/>
          <w:color w:val="auto"/>
          <w:highlight w:val="none"/>
        </w:rPr>
        <w:t>设备防护门安全性好，方便操作维修，并配置门联锁，门联锁与PLC数据程序有互锁要求，在安全门未关闭时，设备无法运行。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.1.3</w:t>
      </w:r>
      <w:r>
        <w:rPr>
          <w:rFonts w:hint="eastAsia" w:ascii="仿宋" w:hAnsi="仿宋" w:eastAsia="仿宋" w:cs="仿宋"/>
          <w:color w:val="auto"/>
          <w:highlight w:val="none"/>
        </w:rPr>
        <w:t>设备所用全部轴承、丝杠、导轨选用NSK\SKF\THK及招标方认可的同等级品牌国际名牌产品。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电气规范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1</w:t>
      </w:r>
      <w:r>
        <w:rPr>
          <w:rFonts w:hint="eastAsia" w:ascii="仿宋" w:hAnsi="仿宋" w:eastAsia="仿宋" w:cs="仿宋"/>
          <w:color w:val="auto"/>
          <w:highlight w:val="none"/>
        </w:rPr>
        <w:t>电器柜标准配置采用全封闭式，电器柜加装工业空调，门框加装密封条，保证密封防尘，外形光洁美观；电器柜内的元件须布局合理，元件之间应保证有足够的空间以便于维修，装有维修用电源插座，元件的安装应整齐规范，号码清晰、耐油、不易脱落，电缆线在电气柜内应长短合适、布局美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2</w:t>
      </w:r>
      <w:r>
        <w:rPr>
          <w:rFonts w:hint="eastAsia" w:ascii="仿宋" w:hAnsi="仿宋" w:eastAsia="仿宋" w:cs="仿宋"/>
          <w:color w:val="auto"/>
          <w:highlight w:val="none"/>
        </w:rPr>
        <w:t>设备及电气系统必须要做好屏蔽和良好接地；符合相关安全规定、操控部分使用安全电压。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3</w:t>
      </w:r>
      <w:r>
        <w:rPr>
          <w:rFonts w:hint="eastAsia" w:ascii="仿宋" w:hAnsi="仿宋" w:eastAsia="仿宋" w:cs="仿宋"/>
          <w:color w:val="auto"/>
          <w:highlight w:val="none"/>
        </w:rPr>
        <w:t>电器元件全部采用取得国际电工认证标准的正规厂商产品，主要电器元件采用施耐德、西门子、巴鲁夫、TRUCK、IFM等世界著名品牌；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4</w:t>
      </w:r>
      <w:r>
        <w:rPr>
          <w:rFonts w:hint="eastAsia" w:ascii="仿宋" w:hAnsi="仿宋" w:eastAsia="仿宋" w:cs="仿宋"/>
          <w:color w:val="auto"/>
          <w:highlight w:val="none"/>
        </w:rPr>
        <w:t>设备和PLC控制系统采用西门子samrt系列、S1200系列、S1500系列、三菱等世界著名品牌，输入输出点各留20%备用点；主要低压元件采用著名公司产品；气动元件、光电开关、行程开关等均采用国内外知名产品；伺服电机、变频器选用西门子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5</w:t>
      </w:r>
      <w:r>
        <w:rPr>
          <w:rFonts w:hint="eastAsia" w:ascii="仿宋" w:hAnsi="仿宋" w:eastAsia="仿宋" w:cs="仿宋"/>
          <w:color w:val="auto"/>
          <w:highlight w:val="none"/>
        </w:rPr>
        <w:t>电气PLC控制器的电源前端加有隔离变压器和滤波器，防止电网的波动和噪声污染使PLC发生故障。同时通过程序实现完善的互锁保护和报警功能使系统的安全运行得以保证。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6</w:t>
      </w:r>
      <w:r>
        <w:rPr>
          <w:rFonts w:hint="eastAsia" w:ascii="仿宋" w:hAnsi="仿宋" w:eastAsia="仿宋" w:cs="仿宋"/>
          <w:color w:val="auto"/>
          <w:highlight w:val="none"/>
        </w:rPr>
        <w:t>整套设备配备电力计量装置。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7 </w:t>
      </w:r>
      <w:r>
        <w:rPr>
          <w:rFonts w:hint="eastAsia" w:ascii="仿宋" w:hAnsi="仿宋" w:eastAsia="仿宋" w:cs="仿宋"/>
          <w:color w:val="auto"/>
          <w:highlight w:val="none"/>
        </w:rPr>
        <w:t>采用LED亮度高、不眩目的照明设施。</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8 </w:t>
      </w:r>
      <w:r>
        <w:rPr>
          <w:rFonts w:hint="eastAsia" w:ascii="仿宋" w:hAnsi="仿宋" w:eastAsia="仿宋" w:cs="仿宋"/>
          <w:color w:val="auto"/>
          <w:highlight w:val="none"/>
        </w:rPr>
        <w:t>对有电子记忆功能的设备推荐合适的电池或不间断电源设备，以使电子记忆在无电情况下不被消除。</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控制系统</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.1</w:t>
      </w:r>
      <w:r>
        <w:rPr>
          <w:rFonts w:hint="eastAsia" w:ascii="仿宋" w:hAnsi="仿宋" w:eastAsia="仿宋" w:cs="仿宋"/>
          <w:color w:val="auto"/>
          <w:highlight w:val="none"/>
        </w:rPr>
        <w:t>控制系统具备简体中文显示的人机交互界面，应具备</w:t>
      </w:r>
      <w:r>
        <w:rPr>
          <w:rFonts w:hint="eastAsia" w:ascii="仿宋" w:hAnsi="仿宋" w:eastAsia="仿宋" w:cs="仿宋"/>
          <w:color w:val="auto"/>
          <w:highlight w:val="none"/>
          <w:lang w:val="en-US" w:eastAsia="zh-CN"/>
        </w:rPr>
        <w:t>数据</w:t>
      </w:r>
      <w:r>
        <w:rPr>
          <w:rFonts w:hint="eastAsia" w:ascii="仿宋" w:hAnsi="仿宋" w:eastAsia="仿宋" w:cs="仿宋"/>
          <w:color w:val="auto"/>
          <w:highlight w:val="none"/>
        </w:rPr>
        <w:t>自动采集、监控并显示、数据存储、</w:t>
      </w:r>
      <w:r>
        <w:rPr>
          <w:rFonts w:hint="eastAsia" w:ascii="仿宋" w:hAnsi="仿宋" w:eastAsia="仿宋" w:cs="仿宋"/>
          <w:color w:val="auto"/>
          <w:highlight w:val="none"/>
          <w:lang w:val="en-US" w:eastAsia="zh-CN"/>
        </w:rPr>
        <w:t>历史</w:t>
      </w:r>
      <w:r>
        <w:rPr>
          <w:rFonts w:hint="eastAsia" w:ascii="仿宋" w:hAnsi="仿宋" w:eastAsia="仿宋" w:cs="仿宋"/>
          <w:color w:val="auto"/>
          <w:highlight w:val="none"/>
        </w:rPr>
        <w:t>数据查询</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生产线（设备）运行状况及生产活动信息数据等功能。生产线（设备）运行状况及生产活动信息数据不限于以下信息：生产状态统计、产品质量监控与统计、设备运行管控、程序管理等。</w:t>
      </w:r>
    </w:p>
    <w:p>
      <w:pPr>
        <w:pStyle w:val="20"/>
        <w:snapToGrid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lang w:val="en-US" w:eastAsia="zh-CN" w:bidi="ar-SA"/>
        </w:rPr>
        <w:t>3.6.3.2</w:t>
      </w:r>
      <w:r>
        <w:rPr>
          <w:rFonts w:hint="eastAsia" w:ascii="仿宋" w:hAnsi="仿宋" w:eastAsia="仿宋" w:cs="仿宋"/>
          <w:color w:val="auto"/>
          <w:highlight w:val="none"/>
          <w:lang w:val="en-US" w:eastAsia="zh-CN"/>
        </w:rPr>
        <w:t>投标方免费提供数据交互功能，交互数据包括但不限于实时数据、历史数据、报警信息等。</w:t>
      </w:r>
    </w:p>
    <w:p>
      <w:pPr>
        <w:pStyle w:val="20"/>
        <w:snapToGrid w:val="0"/>
        <w:spacing w:line="360" w:lineRule="auto"/>
        <w:ind w:firstLine="480" w:firstLineChars="20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3.6.3.3控制系统须具有相应的以太网、总线等通讯接口，且免费开放所有通讯接口，</w:t>
      </w:r>
      <w:r>
        <w:rPr>
          <w:rFonts w:hint="eastAsia" w:ascii="仿宋" w:hAnsi="仿宋" w:eastAsia="仿宋" w:cs="仿宋"/>
          <w:color w:val="auto"/>
          <w:highlight w:val="none"/>
        </w:rPr>
        <w:t>提供系统涉及所有通信协议</w:t>
      </w:r>
      <w:r>
        <w:rPr>
          <w:rFonts w:hint="eastAsia" w:ascii="仿宋" w:hAnsi="仿宋" w:eastAsia="仿宋" w:cs="仿宋"/>
          <w:color w:val="auto"/>
          <w:highlight w:val="none"/>
          <w:lang w:eastAsia="zh-CN"/>
        </w:rPr>
        <w:t>，</w:t>
      </w:r>
      <w:r>
        <w:rPr>
          <w:rFonts w:hint="eastAsia" w:ascii="仿宋" w:hAnsi="仿宋" w:eastAsia="仿宋" w:cs="仿宋"/>
          <w:color w:val="auto"/>
          <w:kern w:val="0"/>
          <w:sz w:val="24"/>
          <w:szCs w:val="24"/>
          <w:highlight w:val="none"/>
          <w:lang w:val="en-US" w:eastAsia="zh-CN" w:bidi="ar-SA"/>
        </w:rPr>
        <w:t>包括但不限于以太网、RS232、RS485、PROFIBUS、PROFINET、MODBUS 等常见接口，以及设备特有的专用接口</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控制系统具备自动、调试、手动功能模式。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5投标方</w:t>
      </w:r>
      <w:r>
        <w:rPr>
          <w:rFonts w:ascii="仿宋" w:hAnsi="仿宋" w:eastAsia="仿宋" w:cs="仿宋"/>
          <w:color w:val="auto"/>
          <w:highlight w:val="none"/>
          <w:lang w:val="en-US" w:eastAsia="zh-CN"/>
        </w:rPr>
        <w:t>必须提供所有设备程序的源代码，包括但不限于 PLC</w:t>
      </w:r>
      <w:r>
        <w:rPr>
          <w:rFonts w:hint="eastAsia" w:ascii="仿宋" w:hAnsi="仿宋" w:eastAsia="仿宋" w:cs="仿宋"/>
          <w:color w:val="auto"/>
          <w:highlight w:val="none"/>
          <w:lang w:val="en-US" w:eastAsia="zh-CN"/>
        </w:rPr>
        <w:t>程序、HMI 程序、机器人程序、视觉程序、伺服等。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lang w:val="en-US" w:eastAsia="zh-CN"/>
        </w:rPr>
        <w:t xml:space="preserve"> </w:t>
      </w:r>
      <w:r>
        <w:rPr>
          <w:rFonts w:hint="eastAsia" w:ascii="仿宋" w:hAnsi="仿宋" w:eastAsia="仿宋" w:cs="仿宋"/>
          <w:color w:val="auto"/>
          <w:highlight w:val="none"/>
          <w:lang w:val="en-US" w:eastAsia="zh-CN"/>
        </w:rPr>
        <w:t>投标方</w:t>
      </w:r>
      <w:r>
        <w:rPr>
          <w:rFonts w:ascii="仿宋" w:hAnsi="仿宋" w:eastAsia="仿宋" w:cs="仿宋"/>
          <w:color w:val="auto"/>
          <w:highlight w:val="none"/>
          <w:lang w:val="en-US" w:eastAsia="zh-CN"/>
        </w:rPr>
        <w:t>所提供的程序不得设置任何密码、保护等限制手段，</w:t>
      </w:r>
      <w:r>
        <w:rPr>
          <w:rFonts w:hint="eastAsia" w:ascii="仿宋" w:hAnsi="仿宋" w:eastAsia="仿宋" w:cs="仿宋"/>
          <w:color w:val="auto"/>
          <w:highlight w:val="none"/>
          <w:lang w:val="en-US" w:eastAsia="zh-CN"/>
        </w:rPr>
        <w:t>PLC 不得设置修改下载权限，功能块不得设置密码保护。HMI界面等需要密码保护的程序，投标方必须提供所有级别的用户名、密码。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7 投标方需在设备入场前提供设备程序源码，HMI 界面各级用户名和密码，并保证与现场程序一致。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8 投标方需在终验收前提供最新的设备程序源码和电气图纸，图纸要求为可编辑原格式（EPLAN、CAD 格式）且与实际接线一致。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投标方提供系统恢复盘（备份），在系统出现故障需要重装系统时，保证招标方自主重装系统后，控制系统能后恢复到投标方调试完成最终交付时的状态。</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10项目若包含在线监控或 MES 系统，所属 MES 系统均应将所提取数据传输至重汽 IOT 平台,并由I0T 平台再传输至厂家 MES系统内。</w:t>
      </w: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default" w:ascii="仿宋" w:hAnsi="仿宋" w:eastAsia="仿宋" w:cs="仿宋"/>
          <w:color w:val="auto"/>
          <w:highlight w:val="none"/>
          <w:lang w:val="en-US" w:eastAsia="zh-CN"/>
        </w:rPr>
      </w:pPr>
    </w:p>
    <w:p>
      <w:pPr>
        <w:pStyle w:val="20"/>
        <w:snapToGrid w:val="0"/>
        <w:spacing w:line="360" w:lineRule="auto"/>
        <w:ind w:firstLine="420" w:firstLineChars="200"/>
        <w:rPr>
          <w:rFonts w:ascii="仿宋" w:hAnsi="仿宋" w:eastAsia="仿宋" w:cs="仿宋"/>
          <w:color w:val="auto"/>
          <w:highlight w:val="none"/>
        </w:rPr>
      </w:pPr>
      <w:bookmarkStart w:id="390" w:name="_Toc20611"/>
      <w:bookmarkStart w:id="391" w:name="_Toc13942"/>
      <w:bookmarkStart w:id="392" w:name="_Toc2985"/>
      <w:bookmarkStart w:id="393" w:name="_Toc32598"/>
      <w:bookmarkStart w:id="394" w:name="_Toc20368"/>
      <w:bookmarkStart w:id="395" w:name="_Toc24889"/>
      <w:bookmarkStart w:id="396" w:name="_Toc15181"/>
      <w:bookmarkStart w:id="397" w:name="_Toc16996"/>
      <w:bookmarkStart w:id="398" w:name="_Toc6345"/>
      <w:bookmarkStart w:id="399" w:name="_Toc6136"/>
      <w:bookmarkStart w:id="400" w:name="_Toc11183"/>
      <w:r>
        <w:rPr>
          <w:rFonts w:hint="eastAsia" w:ascii="仿宋" w:hAnsi="仿宋" w:eastAsia="仿宋" w:cs="仿宋"/>
          <w:color w:val="auto"/>
          <w:highlight w:val="none"/>
        </w:rPr>
        <w:t>3.</w:t>
      </w:r>
      <w:bookmarkEnd w:id="390"/>
      <w:bookmarkEnd w:id="391"/>
      <w:bookmarkEnd w:id="392"/>
      <w:bookmarkEnd w:id="393"/>
      <w:bookmarkEnd w:id="394"/>
      <w:bookmarkEnd w:id="395"/>
      <w:bookmarkEnd w:id="396"/>
      <w:bookmarkEnd w:id="397"/>
      <w:bookmarkEnd w:id="398"/>
      <w:bookmarkEnd w:id="399"/>
      <w:bookmarkEnd w:id="400"/>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本项目</w:t>
      </w:r>
      <w:r>
        <w:rPr>
          <w:rFonts w:hint="eastAsia" w:ascii="仿宋" w:hAnsi="仿宋" w:eastAsia="仿宋" w:cs="仿宋"/>
          <w:color w:val="auto"/>
          <w:highlight w:val="none"/>
          <w:lang w:val="en-US" w:eastAsia="zh-CN"/>
        </w:rPr>
        <w:t>供货及</w:t>
      </w:r>
      <w:r>
        <w:rPr>
          <w:rFonts w:hint="eastAsia" w:ascii="仿宋" w:hAnsi="仿宋" w:eastAsia="仿宋" w:cs="仿宋"/>
          <w:color w:val="auto"/>
          <w:highlight w:val="none"/>
        </w:rPr>
        <w:t>品牌清单</w:t>
      </w:r>
    </w:p>
    <w:tbl>
      <w:tblPr>
        <w:tblStyle w:val="37"/>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112"/>
        <w:gridCol w:w="1150"/>
        <w:gridCol w:w="1113"/>
        <w:gridCol w:w="1200"/>
        <w:gridCol w:w="1400"/>
        <w:gridCol w:w="1025"/>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112"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150" w:type="dxa"/>
            <w:vAlign w:val="center"/>
          </w:tcPr>
          <w:p>
            <w:pPr>
              <w:pStyle w:val="20"/>
              <w:snapToGrid w:val="0"/>
              <w:spacing w:line="360" w:lineRule="auto"/>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数量</w:t>
            </w:r>
          </w:p>
        </w:tc>
        <w:tc>
          <w:tcPr>
            <w:tcW w:w="1113"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品牌1</w:t>
            </w:r>
          </w:p>
        </w:tc>
        <w:tc>
          <w:tcPr>
            <w:tcW w:w="12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品牌2</w:t>
            </w:r>
          </w:p>
        </w:tc>
        <w:tc>
          <w:tcPr>
            <w:tcW w:w="14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品牌3</w:t>
            </w:r>
          </w:p>
        </w:tc>
        <w:tc>
          <w:tcPr>
            <w:tcW w:w="1025"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备注</w:t>
            </w:r>
          </w:p>
        </w:tc>
        <w:tc>
          <w:tcPr>
            <w:tcW w:w="1312" w:type="dxa"/>
            <w:vAlign w:val="center"/>
          </w:tcPr>
          <w:p>
            <w:pPr>
              <w:pStyle w:val="20"/>
              <w:snapToGrid w:val="0"/>
              <w:spacing w:line="360" w:lineRule="auto"/>
              <w:ind w:firstLine="0" w:firstLineChars="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可验证阶段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bl>
    <w:p>
      <w:pPr>
        <w:pStyle w:val="20"/>
        <w:snapToGrid w:val="0"/>
        <w:spacing w:line="360" w:lineRule="auto"/>
        <w:ind w:firstLine="422" w:firstLineChars="200"/>
        <w:rPr>
          <w:rFonts w:ascii="仿宋" w:hAnsi="仿宋" w:eastAsia="仿宋" w:cs="仿宋"/>
          <w:color w:val="auto"/>
          <w:sz w:val="21"/>
          <w:szCs w:val="21"/>
          <w:highlight w:val="none"/>
        </w:rPr>
      </w:pPr>
      <w:r>
        <w:rPr>
          <w:rFonts w:hint="eastAsia" w:ascii="仿宋" w:hAnsi="仿宋" w:eastAsia="仿宋" w:cs="仿宋"/>
          <w:b/>
          <w:color w:val="auto"/>
          <w:kern w:val="2"/>
          <w:sz w:val="21"/>
          <w:szCs w:val="21"/>
          <w:highlight w:val="none"/>
          <w:lang w:bidi="ar"/>
        </w:rPr>
        <w:t>注：</w:t>
      </w:r>
      <w:r>
        <w:rPr>
          <w:rFonts w:hint="eastAsia" w:ascii="仿宋" w:hAnsi="仿宋" w:eastAsia="仿宋" w:cs="仿宋"/>
          <w:bCs/>
          <w:color w:val="auto"/>
          <w:kern w:val="2"/>
          <w:sz w:val="21"/>
          <w:szCs w:val="21"/>
          <w:highlight w:val="none"/>
          <w:lang w:bidi="ar"/>
        </w:rPr>
        <w:t>1.</w:t>
      </w:r>
      <w:r>
        <w:rPr>
          <w:rFonts w:hint="eastAsia" w:ascii="仿宋" w:hAnsi="仿宋" w:eastAsia="仿宋" w:cs="仿宋"/>
          <w:color w:val="auto"/>
          <w:kern w:val="2"/>
          <w:sz w:val="21"/>
          <w:szCs w:val="21"/>
          <w:highlight w:val="none"/>
          <w:lang w:bidi="ar"/>
        </w:rPr>
        <w:t>未注明国产或进口的元件均按进口元件选定；</w:t>
      </w:r>
      <w:r>
        <w:rPr>
          <w:rFonts w:hint="eastAsia" w:ascii="仿宋" w:hAnsi="仿宋" w:eastAsia="仿宋" w:cs="仿宋"/>
          <w:b/>
          <w:color w:val="auto"/>
          <w:kern w:val="2"/>
          <w:sz w:val="21"/>
          <w:szCs w:val="21"/>
          <w:highlight w:val="none"/>
          <w:lang w:bidi="ar"/>
        </w:rPr>
        <w:t>2.</w:t>
      </w:r>
      <w:r>
        <w:rPr>
          <w:rFonts w:hint="eastAsia" w:ascii="仿宋" w:hAnsi="仿宋" w:eastAsia="仿宋" w:cs="仿宋"/>
          <w:color w:val="auto"/>
          <w:kern w:val="2"/>
          <w:sz w:val="21"/>
          <w:szCs w:val="21"/>
          <w:highlight w:val="none"/>
          <w:lang w:bidi="ar"/>
        </w:rPr>
        <w:t>出现不能满足附表选型时，应与招标方进行协商，必须取得招标方的批准；</w:t>
      </w:r>
      <w:r>
        <w:rPr>
          <w:rFonts w:hint="eastAsia" w:ascii="仿宋" w:hAnsi="仿宋" w:eastAsia="仿宋" w:cs="仿宋"/>
          <w:b/>
          <w:color w:val="auto"/>
          <w:kern w:val="2"/>
          <w:sz w:val="21"/>
          <w:szCs w:val="21"/>
          <w:highlight w:val="none"/>
          <w:lang w:bidi="ar"/>
        </w:rPr>
        <w:t>3.</w:t>
      </w:r>
      <w:r>
        <w:rPr>
          <w:rFonts w:hint="eastAsia" w:ascii="仿宋" w:hAnsi="仿宋" w:eastAsia="仿宋" w:cs="仿宋"/>
          <w:color w:val="auto"/>
          <w:kern w:val="2"/>
          <w:sz w:val="21"/>
          <w:szCs w:val="21"/>
          <w:highlight w:val="none"/>
          <w:lang w:bidi="ar"/>
        </w:rPr>
        <w:t>所有电气零部件保护等级须符合IEC：IP-54以上，如工艺要求更高的防护以实际工艺要求为准。</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项目用能统计</w:t>
      </w:r>
    </w:p>
    <w:tbl>
      <w:tblPr>
        <w:tblStyle w:val="36"/>
        <w:tblW w:w="4997" w:type="pct"/>
        <w:jc w:val="center"/>
        <w:tblLayout w:type="autofit"/>
        <w:tblCellMar>
          <w:top w:w="0" w:type="dxa"/>
          <w:left w:w="0" w:type="dxa"/>
          <w:bottom w:w="0" w:type="dxa"/>
          <w:right w:w="0" w:type="dxa"/>
        </w:tblCellMar>
      </w:tblPr>
      <w:tblGrid>
        <w:gridCol w:w="490"/>
        <w:gridCol w:w="1362"/>
        <w:gridCol w:w="1480"/>
        <w:gridCol w:w="1158"/>
        <w:gridCol w:w="1340"/>
        <w:gridCol w:w="1293"/>
        <w:gridCol w:w="1134"/>
        <w:gridCol w:w="839"/>
      </w:tblGrid>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序号</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项目（设备）名称</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项目装机容量（KW）</w:t>
            </w: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项目压缩空气用量（m³/h）</w:t>
            </w: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项目用水量（t/h）</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项目蒸汽用量（t/h）</w:t>
            </w: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天然气用量（m³/h）</w:t>
            </w: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备注</w:t>
            </w: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锥齿轮热后A线磨床在线检测量仪系统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锥齿轮热后B线磨床在线检测量仪系统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输入轴线磨床在线检测量仪系统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bl>
    <w:p>
      <w:pPr>
        <w:rPr>
          <w:color w:val="auto"/>
          <w:highlight w:val="none"/>
        </w:rPr>
      </w:pPr>
      <w:r>
        <w:rPr>
          <w:rFonts w:hint="eastAsia" w:ascii="仿宋" w:hAnsi="仿宋" w:eastAsia="仿宋"/>
          <w:color w:val="auto"/>
          <w:highlight w:val="none"/>
        </w:rPr>
        <w:t>备注：本表作为投标方编制投标技术文件的一般格式。表中应当尽可能准确并列全。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安全及环保要求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9.1</w:t>
      </w:r>
      <w:r>
        <w:rPr>
          <w:rFonts w:hint="eastAsia" w:ascii="仿宋" w:hAnsi="仿宋" w:eastAsia="仿宋" w:cs="仿宋"/>
          <w:color w:val="auto"/>
          <w:highlight w:val="none"/>
        </w:rPr>
        <w:t>投标方所供的货物（或生产线），必须符合中国最新版的安全</w:t>
      </w:r>
      <w:r>
        <w:rPr>
          <w:rFonts w:hint="eastAsia" w:ascii="仿宋" w:hAnsi="仿宋" w:eastAsia="仿宋" w:cs="仿宋"/>
          <w:color w:val="auto"/>
          <w:highlight w:val="none"/>
          <w:lang w:eastAsia="zh-CN"/>
        </w:rPr>
        <w:t>、环保、消防及职业健康的</w:t>
      </w:r>
      <w:r>
        <w:rPr>
          <w:rFonts w:hint="eastAsia" w:ascii="仿宋" w:hAnsi="仿宋" w:eastAsia="仿宋" w:cs="仿宋"/>
          <w:color w:val="auto"/>
          <w:highlight w:val="none"/>
        </w:rPr>
        <w:t>法律、法规要求，符合行业安全标准及项目所在地政府有关特殊要求。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9.2</w:t>
      </w:r>
      <w:r>
        <w:rPr>
          <w:rFonts w:hint="eastAsia" w:ascii="仿宋" w:hAnsi="仿宋" w:eastAsia="仿宋" w:cs="仿宋"/>
          <w:color w:val="auto"/>
          <w:highlight w:val="none"/>
        </w:rPr>
        <w:t xml:space="preserve"> 货物（或生产线）应完整且所有的零部件应该安装安全、牢固，外观无损伤，所有的焊缝饱满、无残渣等缺陷且符合国家及行业相关标准。</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3 对生产线存在安全</w:t>
      </w:r>
      <w:r>
        <w:rPr>
          <w:rFonts w:hint="eastAsia" w:ascii="仿宋" w:hAnsi="仿宋" w:eastAsia="仿宋" w:cs="仿宋"/>
          <w:color w:val="auto"/>
          <w:highlight w:val="none"/>
          <w:lang w:val="en-US" w:eastAsia="zh-CN"/>
        </w:rPr>
        <w:t>风险</w:t>
      </w:r>
      <w:r>
        <w:rPr>
          <w:rFonts w:hint="eastAsia" w:ascii="仿宋" w:hAnsi="仿宋" w:eastAsia="仿宋" w:cs="仿宋"/>
          <w:color w:val="auto"/>
          <w:highlight w:val="none"/>
        </w:rPr>
        <w:t>的工位必须采取安全措施，如：线体防护板、高温防护、光栅等。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4 从安全生产的角度考虑各单元及工位应设有急停按钮，并有明显标识。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5</w:t>
      </w:r>
      <w:r>
        <w:rPr>
          <w:rFonts w:hint="eastAsia" w:ascii="仿宋" w:hAnsi="仿宋" w:eastAsia="仿宋" w:cs="仿宋"/>
          <w:color w:val="auto"/>
          <w:highlight w:val="none"/>
        </w:rPr>
        <w:t xml:space="preserve"> 单元操作面板上有上电按钮和急停按钮，上电后可对系统进行操作。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6</w:t>
      </w:r>
      <w:r>
        <w:rPr>
          <w:rFonts w:hint="eastAsia" w:ascii="仿宋" w:hAnsi="仿宋" w:eastAsia="仿宋" w:cs="仿宋"/>
          <w:color w:val="auto"/>
          <w:highlight w:val="none"/>
        </w:rPr>
        <w:t xml:space="preserve"> 所有电气安装和施工均应符合我国现行行业标准（规范）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7</w:t>
      </w:r>
      <w:r>
        <w:rPr>
          <w:rFonts w:hint="eastAsia" w:ascii="仿宋" w:hAnsi="仿宋" w:eastAsia="仿宋" w:cs="仿宋"/>
          <w:color w:val="auto"/>
          <w:highlight w:val="none"/>
        </w:rPr>
        <w:t xml:space="preserve"> 投标方必须提供所供设备相应的安全操作规程和安全事项的说明书，危险化学品“一书一签”；负责对招标方相关人员开展“四新”安全培训。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8</w:t>
      </w:r>
      <w:r>
        <w:rPr>
          <w:rFonts w:hint="eastAsia" w:ascii="仿宋" w:hAnsi="仿宋" w:eastAsia="仿宋" w:cs="仿宋"/>
          <w:color w:val="auto"/>
          <w:highlight w:val="none"/>
        </w:rPr>
        <w:t>货物（或生产线）应运行稳定、可靠、安全，无非正常变形，非正常振动，无异常声音；无漏水、漏液、漏气（汽）、漏电等现象。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9</w:t>
      </w:r>
      <w:r>
        <w:rPr>
          <w:rFonts w:hint="eastAsia" w:ascii="仿宋" w:hAnsi="仿宋" w:eastAsia="仿宋" w:cs="仿宋"/>
          <w:color w:val="auto"/>
          <w:highlight w:val="none"/>
        </w:rPr>
        <w:t xml:space="preserve"> 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0</w:t>
      </w:r>
      <w:r>
        <w:rPr>
          <w:rFonts w:hint="eastAsia" w:ascii="仿宋" w:hAnsi="仿宋" w:eastAsia="仿宋" w:cs="仿宋"/>
          <w:color w:val="auto"/>
          <w:highlight w:val="none"/>
        </w:rPr>
        <w:t>地线联接和地极符合国际（ISO/IEC）标准规范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1</w:t>
      </w:r>
      <w:r>
        <w:rPr>
          <w:rFonts w:hint="eastAsia" w:ascii="仿宋" w:hAnsi="仿宋" w:eastAsia="仿宋" w:cs="仿宋"/>
          <w:color w:val="auto"/>
          <w:highlight w:val="none"/>
        </w:rPr>
        <w:t>货物（或生产线）正常运行时，噪声等环境影响因素满足国家（《工作场所物理因素测量 噪声》GBZ/T 189.8-2007. 噪音≤80dB(A)（距设备一米处测量））和当地环保主管部门规定。项目验收时，投标方须提供</w:t>
      </w:r>
      <w:r>
        <w:rPr>
          <w:rFonts w:hint="eastAsia" w:ascii="方正仿宋_GB2312" w:hAnsi="宋体" w:eastAsia="方正仿宋_GB2312" w:cs="宋体"/>
          <w:color w:val="auto"/>
          <w:highlight w:val="none"/>
          <w:lang w:bidi="ar"/>
        </w:rPr>
        <w:t>由第三方监测机构出具的噪音合格监测报告。</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2</w:t>
      </w:r>
      <w:r>
        <w:rPr>
          <w:rFonts w:hint="eastAsia" w:ascii="仿宋" w:hAnsi="仿宋" w:eastAsia="仿宋" w:cs="仿宋"/>
          <w:color w:val="auto"/>
          <w:highlight w:val="none"/>
        </w:rPr>
        <w:t xml:space="preserve"> 可附有投标方认为能够证明其所供货物（或生产线）安全性水平、节能性水平、环保性水平等相关的其它证明文件或资料、报告等，如电气开关柜等电气设备的内部故障电弧效应试验报告、噪声较大设备的噪声检验报告等。</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3</w:t>
      </w:r>
      <w:r>
        <w:rPr>
          <w:rFonts w:hint="eastAsia" w:ascii="仿宋" w:hAnsi="仿宋" w:eastAsia="仿宋" w:cs="仿宋"/>
          <w:color w:val="auto"/>
          <w:highlight w:val="none"/>
        </w:rPr>
        <w:t xml:space="preserve"> 涉及需要进行环保、职业卫生强制检测的项目（设备、设施），应由中标方提供权威第三方检测机构出具的完工检测报告。</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4</w:t>
      </w:r>
      <w:r>
        <w:rPr>
          <w:rFonts w:hint="eastAsia" w:ascii="仿宋" w:hAnsi="仿宋" w:eastAsia="仿宋" w:cs="仿宋"/>
          <w:color w:val="auto"/>
          <w:highlight w:val="none"/>
        </w:rPr>
        <w:t xml:space="preserve"> 特种设备应提供济南市特种设备检验研究院出具的首次检验报告，招标方协助中标方办理相关注册登记手续。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5</w:t>
      </w:r>
      <w:r>
        <w:rPr>
          <w:rFonts w:hint="eastAsia" w:ascii="仿宋" w:hAnsi="仿宋" w:eastAsia="仿宋" w:cs="仿宋"/>
          <w:color w:val="auto"/>
          <w:highlight w:val="none"/>
        </w:rPr>
        <w:t>机器人作业区域安全防护。</w:t>
      </w:r>
      <w:r>
        <w:rPr>
          <w:rFonts w:hint="eastAsia" w:ascii="仿宋" w:hAnsi="仿宋" w:eastAsia="仿宋" w:cs="仿宋"/>
          <w:color w:val="auto"/>
          <w:highlight w:val="none"/>
          <w:lang w:val="en-US" w:eastAsia="zh-CN"/>
        </w:rPr>
        <w:t>机器人作业区域需安装</w:t>
      </w:r>
      <w:r>
        <w:rPr>
          <w:rFonts w:hint="eastAsia" w:ascii="仿宋" w:hAnsi="仿宋" w:eastAsia="仿宋" w:cs="仿宋"/>
          <w:color w:val="auto"/>
          <w:highlight w:val="none"/>
        </w:rPr>
        <w:t>安全防护</w:t>
      </w:r>
      <w:r>
        <w:rPr>
          <w:rFonts w:hint="eastAsia" w:ascii="仿宋" w:hAnsi="仿宋" w:eastAsia="仿宋" w:cs="仿宋"/>
          <w:color w:val="auto"/>
          <w:highlight w:val="none"/>
          <w:lang w:val="en-US" w:eastAsia="zh-CN"/>
        </w:rPr>
        <w:t>隔离，安全防护隔离</w:t>
      </w:r>
      <w:r>
        <w:rPr>
          <w:rFonts w:hint="eastAsia" w:ascii="仿宋" w:hAnsi="仿宋" w:eastAsia="仿宋" w:cs="仿宋"/>
          <w:color w:val="auto"/>
          <w:highlight w:val="none"/>
        </w:rPr>
        <w:t>形式：采用型钢材质整体式设计，由方管焊接框架结构和金属网格组成，防护栏立柱和防护栏采用螺栓连接；安全门采用门联锁进行安全防护。门联锁必须保证，只有当安全门处于完全关闭状态时，才容许机器人自动运行，当安全门打开时机器人须立即停止运行。</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投标方所投货物外观颜色标准按招标方提供的标准《Q/ZZ 30070—2020》或双方书面约定的标准执行。</w:t>
      </w:r>
    </w:p>
    <w:p>
      <w:pPr>
        <w:snapToGrid w:val="0"/>
        <w:spacing w:line="360" w:lineRule="auto"/>
        <w:ind w:firstLine="422" w:firstLineChars="200"/>
        <w:outlineLvl w:val="1"/>
        <w:rPr>
          <w:rFonts w:ascii="仿宋" w:hAnsi="仿宋" w:eastAsia="仿宋" w:cs="仿宋"/>
          <w:b/>
          <w:bCs/>
          <w:color w:val="auto"/>
          <w:highlight w:val="none"/>
        </w:rPr>
      </w:pPr>
      <w:bookmarkStart w:id="401" w:name="_Toc24311"/>
      <w:bookmarkStart w:id="402" w:name="_Toc24239"/>
      <w:bookmarkStart w:id="403" w:name="_Toc28651"/>
      <w:bookmarkStart w:id="404" w:name="_Toc963"/>
      <w:bookmarkStart w:id="405" w:name="_Toc10838"/>
      <w:bookmarkStart w:id="406" w:name="_Toc17206"/>
      <w:bookmarkStart w:id="407" w:name="_Toc24970"/>
      <w:bookmarkStart w:id="408" w:name="_Toc16723"/>
      <w:bookmarkStart w:id="409" w:name="_Toc11655"/>
      <w:bookmarkStart w:id="410" w:name="_Toc31046"/>
      <w:bookmarkStart w:id="411" w:name="_Toc25096"/>
      <w:bookmarkStart w:id="412" w:name="_Toc14191"/>
      <w:bookmarkStart w:id="413" w:name="_Toc14715"/>
      <w:bookmarkStart w:id="414" w:name="_Toc8256"/>
      <w:bookmarkStart w:id="415" w:name="_Toc28302"/>
      <w:bookmarkStart w:id="416" w:name="_Toc31832"/>
      <w:bookmarkStart w:id="417" w:name="_Toc14754"/>
      <w:bookmarkStart w:id="418" w:name="_Toc13730"/>
      <w:bookmarkStart w:id="419" w:name="_Toc10224"/>
      <w:bookmarkStart w:id="420" w:name="_Toc14086"/>
      <w:bookmarkStart w:id="421" w:name="_Toc3721"/>
      <w:bookmarkStart w:id="422" w:name="_Toc30526"/>
      <w:bookmarkStart w:id="423" w:name="_Toc466"/>
      <w:bookmarkStart w:id="424" w:name="_Toc1717"/>
      <w:bookmarkStart w:id="425" w:name="_Toc11448"/>
      <w:bookmarkStart w:id="426" w:name="_Toc16458"/>
      <w:bookmarkStart w:id="427" w:name="_Toc31509"/>
      <w:bookmarkStart w:id="428" w:name="_Toc16595"/>
      <w:bookmarkStart w:id="429" w:name="_Toc12383"/>
      <w:bookmarkStart w:id="430" w:name="_Toc8333"/>
      <w:bookmarkStart w:id="431" w:name="_Toc15063"/>
      <w:bookmarkStart w:id="432" w:name="_Toc28134"/>
      <w:bookmarkStart w:id="433" w:name="_Toc2761"/>
      <w:bookmarkStart w:id="434" w:name="_Toc2382"/>
      <w:bookmarkStart w:id="435" w:name="_Toc11237"/>
      <w:bookmarkStart w:id="436" w:name="_Toc11582"/>
      <w:bookmarkStart w:id="437" w:name="_Toc3096"/>
      <w:bookmarkStart w:id="438" w:name="_Toc73"/>
      <w:bookmarkStart w:id="439" w:name="_Toc12980"/>
      <w:bookmarkStart w:id="440" w:name="_Toc4932"/>
      <w:bookmarkStart w:id="441" w:name="_Toc900"/>
      <w:bookmarkStart w:id="442" w:name="_Toc73112402"/>
      <w:r>
        <w:rPr>
          <w:rFonts w:hint="eastAsia" w:ascii="仿宋" w:hAnsi="仿宋" w:eastAsia="仿宋" w:cs="仿宋"/>
          <w:b/>
          <w:bCs/>
          <w:color w:val="auto"/>
          <w:highlight w:val="none"/>
        </w:rPr>
        <w:t>4特别提示</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本技术要求，仅对功能、设计、结构、性能、安装和试验等方面，提出了最低和一般性的技术要求；并未对一切技术细节作出规定，未充分引述有关标准和规范的条文。投标方应保证提供的货物（或生产线）是符合本技术标书和国家最新的有关标准、规范的优质产品。若有异议，不管是多么微小，都应在投标文件“技术偏离”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4.2本技术要求所使用的标准、规范等，如与投标方所执行的标准、规范不一致时，应按高于本技术要求所列的标准、规范执行，并在投标文件“技术偏离”中予以说明。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4.3投标方认为所供货物（或生产线）必需由招标方配备、解决或提供的其它要求，如设备基础隔振和减振设施、软化水、洁净气源等，均应在投标文件“技术偏离”中予以充分说明。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4.4投标方须负责在终验收前，在招标方设备现场对投标设备实施电能质量和公用电网谐波检测并出具检测报告。检测工作由投标方负责安排第三方实施（第三方的资质须由招标方认可）。</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4.5投标文件中，针对“特别提示”条款所做的回应，将作为投标方能否中标的重要依据之一。</w:t>
      </w:r>
      <w:bookmarkStart w:id="443" w:name="_Toc1337839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投标方所投货物外观颜色标准按招标方提供的标准或双方书面约定的标准执行。</w:t>
      </w: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444" w:name="_Toc20994"/>
      <w:bookmarkStart w:id="445" w:name="_Toc19081"/>
      <w:bookmarkStart w:id="446" w:name="_Toc6352"/>
      <w:bookmarkStart w:id="447" w:name="_Toc32382"/>
      <w:bookmarkStart w:id="448" w:name="_Toc16317"/>
      <w:bookmarkStart w:id="449" w:name="_Toc14583"/>
      <w:bookmarkStart w:id="450" w:name="_Toc20841"/>
      <w:bookmarkStart w:id="451" w:name="_Toc22347"/>
      <w:bookmarkStart w:id="452" w:name="_Toc24173"/>
      <w:bookmarkStart w:id="453" w:name="_Toc19812"/>
      <w:bookmarkStart w:id="454" w:name="_Toc1962"/>
      <w:bookmarkStart w:id="455" w:name="_Toc26551"/>
      <w:bookmarkStart w:id="456" w:name="_Toc21086"/>
      <w:bookmarkStart w:id="457" w:name="_Toc1909"/>
      <w:bookmarkStart w:id="458" w:name="_Toc3808"/>
      <w:bookmarkStart w:id="459" w:name="_Toc11725"/>
      <w:bookmarkStart w:id="460" w:name="_Toc22156"/>
      <w:bookmarkStart w:id="461" w:name="_Toc19805"/>
      <w:bookmarkStart w:id="462" w:name="_Toc30892"/>
      <w:bookmarkStart w:id="463" w:name="_Toc8892"/>
      <w:bookmarkStart w:id="464" w:name="_Toc26601"/>
      <w:bookmarkStart w:id="465" w:name="_Toc22516"/>
      <w:bookmarkStart w:id="466" w:name="_Toc16352"/>
      <w:bookmarkStart w:id="467" w:name="_Toc22662"/>
      <w:bookmarkStart w:id="468" w:name="_Toc7258"/>
      <w:bookmarkStart w:id="469" w:name="_Toc11390"/>
      <w:bookmarkStart w:id="470" w:name="_Toc20329"/>
      <w:bookmarkStart w:id="471" w:name="_Toc4641"/>
      <w:bookmarkStart w:id="472" w:name="_Toc20260"/>
      <w:bookmarkStart w:id="473" w:name="_Toc28398"/>
      <w:bookmarkStart w:id="474" w:name="_Toc73112403"/>
      <w:bookmarkStart w:id="475" w:name="_Toc28745"/>
      <w:bookmarkStart w:id="476" w:name="_Toc29006"/>
      <w:bookmarkStart w:id="477" w:name="_Toc27327"/>
      <w:bookmarkStart w:id="478" w:name="_Toc10828"/>
      <w:bookmarkStart w:id="479" w:name="_Toc1171"/>
      <w:bookmarkStart w:id="480" w:name="_Toc16316"/>
      <w:bookmarkStart w:id="481" w:name="_Toc13526"/>
      <w:bookmarkStart w:id="482" w:name="_Toc19022"/>
      <w:bookmarkStart w:id="483" w:name="_Toc17909"/>
      <w:bookmarkStart w:id="484" w:name="_Toc31816"/>
      <w:bookmarkStart w:id="485" w:name="_Toc22710"/>
      <w:r>
        <w:rPr>
          <w:rFonts w:hint="eastAsia" w:ascii="仿宋" w:hAnsi="仿宋" w:eastAsia="仿宋" w:cs="仿宋"/>
          <w:b/>
          <w:bCs/>
          <w:color w:val="auto"/>
          <w:highlight w:val="none"/>
        </w:rPr>
        <w:t>第三章供货范围及供货方式</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3"/>
        <w:snapToGrid w:val="0"/>
        <w:spacing w:before="0" w:after="0" w:line="360" w:lineRule="auto"/>
        <w:ind w:left="6" w:firstLine="474"/>
        <w:jc w:val="center"/>
        <w:rPr>
          <w:rFonts w:ascii="仿宋" w:hAnsi="仿宋" w:eastAsia="仿宋" w:cs="仿宋"/>
          <w:b w:val="0"/>
          <w:bCs w:val="0"/>
          <w:color w:val="auto"/>
          <w:sz w:val="24"/>
          <w:szCs w:val="24"/>
          <w:highlight w:val="none"/>
        </w:rPr>
      </w:pPr>
      <w:bookmarkStart w:id="486" w:name="_Toc680"/>
      <w:bookmarkStart w:id="487" w:name="_Toc13578"/>
      <w:bookmarkStart w:id="488" w:name="_Toc5032"/>
      <w:bookmarkStart w:id="489" w:name="_Toc12581"/>
      <w:bookmarkStart w:id="490" w:name="_Toc32716"/>
      <w:bookmarkStart w:id="491" w:name="_Toc8963"/>
      <w:bookmarkStart w:id="492" w:name="_Toc25354"/>
      <w:bookmarkStart w:id="493" w:name="_Toc32750"/>
      <w:bookmarkStart w:id="494" w:name="_Toc27831"/>
      <w:bookmarkStart w:id="495" w:name="_Toc32542"/>
      <w:bookmarkStart w:id="496" w:name="_Toc73112404"/>
      <w:bookmarkStart w:id="497" w:name="_Toc32741"/>
      <w:bookmarkStart w:id="498" w:name="_Toc28344"/>
      <w:bookmarkStart w:id="499" w:name="_Toc8238"/>
      <w:bookmarkStart w:id="500" w:name="_Toc19860"/>
      <w:bookmarkStart w:id="501" w:name="_Toc9580"/>
      <w:bookmarkStart w:id="502" w:name="_Toc14383"/>
      <w:bookmarkStart w:id="503" w:name="_Toc4032"/>
      <w:bookmarkStart w:id="504" w:name="_Toc4896"/>
      <w:bookmarkStart w:id="505" w:name="_Toc27567"/>
      <w:bookmarkStart w:id="506" w:name="_Toc11227"/>
      <w:bookmarkStart w:id="507" w:name="_Toc3639"/>
      <w:bookmarkStart w:id="508" w:name="_Toc31722"/>
      <w:bookmarkStart w:id="509" w:name="_Toc5052"/>
      <w:bookmarkStart w:id="510" w:name="_Toc29751"/>
      <w:bookmarkStart w:id="511" w:name="_Toc6219"/>
      <w:bookmarkStart w:id="512" w:name="_Toc133783971"/>
      <w:bookmarkStart w:id="513" w:name="_Toc18238"/>
      <w:bookmarkStart w:id="514" w:name="_Toc19155"/>
      <w:bookmarkStart w:id="515" w:name="_Toc9571"/>
      <w:bookmarkStart w:id="516" w:name="_Toc19908"/>
      <w:bookmarkStart w:id="517" w:name="_Toc20301"/>
      <w:bookmarkStart w:id="518" w:name="_Toc32286"/>
      <w:bookmarkStart w:id="519" w:name="_Toc969"/>
      <w:bookmarkStart w:id="520" w:name="_Toc2127"/>
      <w:bookmarkStart w:id="521" w:name="_Toc6864"/>
      <w:bookmarkStart w:id="522" w:name="_Toc2288"/>
      <w:bookmarkStart w:id="523" w:name="_Toc20721"/>
      <w:bookmarkStart w:id="524" w:name="_Toc10323"/>
      <w:bookmarkStart w:id="525" w:name="_Toc20066"/>
      <w:bookmarkStart w:id="526" w:name="_Toc19111"/>
      <w:bookmarkStart w:id="527" w:name="_Toc3358"/>
      <w:bookmarkStart w:id="528" w:name="_Toc9994"/>
      <w:bookmarkStart w:id="529" w:name="_Toc16027"/>
      <w:bookmarkStart w:id="530" w:name="_Toc11979"/>
      <w:bookmarkStart w:id="531" w:name="_Toc5131"/>
      <w:bookmarkStart w:id="532" w:name="_Toc17404"/>
      <w:r>
        <w:rPr>
          <w:rFonts w:hint="eastAsia" w:ascii="仿宋" w:hAnsi="仿宋" w:eastAsia="仿宋" w:cs="仿宋"/>
          <w:b w:val="0"/>
          <w:bCs w:val="0"/>
          <w:color w:val="auto"/>
          <w:sz w:val="24"/>
          <w:szCs w:val="24"/>
          <w:highlight w:val="none"/>
        </w:rPr>
        <w:t>第一节供货范围</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snapToGrid w:val="0"/>
        <w:spacing w:line="360" w:lineRule="auto"/>
        <w:ind w:left="480"/>
        <w:outlineLvl w:val="2"/>
        <w:rPr>
          <w:rFonts w:ascii="仿宋" w:hAnsi="仿宋" w:eastAsia="仿宋" w:cs="仿宋"/>
          <w:b/>
          <w:bCs/>
          <w:color w:val="auto"/>
          <w:highlight w:val="none"/>
        </w:rPr>
      </w:pPr>
      <w:bookmarkStart w:id="533" w:name="_Toc14280"/>
      <w:bookmarkStart w:id="534" w:name="_Toc18305"/>
      <w:bookmarkStart w:id="535" w:name="_Toc5149"/>
      <w:bookmarkStart w:id="536" w:name="_Toc15878"/>
      <w:bookmarkStart w:id="537" w:name="_Toc73112405"/>
      <w:bookmarkStart w:id="538" w:name="_Toc13760"/>
      <w:bookmarkStart w:id="539" w:name="_Toc9769"/>
      <w:bookmarkStart w:id="540" w:name="_Toc6385"/>
      <w:bookmarkStart w:id="541" w:name="_Toc14137"/>
      <w:bookmarkStart w:id="542" w:name="_Toc21071"/>
      <w:bookmarkStart w:id="543" w:name="_Toc29417"/>
      <w:bookmarkStart w:id="544" w:name="_Toc4815"/>
      <w:bookmarkStart w:id="545" w:name="_Toc17029"/>
      <w:bookmarkStart w:id="546" w:name="_Toc18228"/>
      <w:bookmarkStart w:id="547" w:name="_Toc17678"/>
      <w:bookmarkStart w:id="548" w:name="_Toc28468"/>
      <w:bookmarkStart w:id="549" w:name="_Toc4850"/>
      <w:bookmarkStart w:id="550" w:name="_Toc272"/>
      <w:bookmarkStart w:id="551" w:name="_Toc25761"/>
      <w:bookmarkStart w:id="552" w:name="_Toc17608"/>
      <w:r>
        <w:rPr>
          <w:rFonts w:hint="eastAsia" w:ascii="仿宋" w:hAnsi="仿宋" w:eastAsia="仿宋" w:cs="仿宋"/>
          <w:b/>
          <w:bCs/>
          <w:color w:val="auto"/>
          <w:highlight w:val="none"/>
        </w:rPr>
        <w:t>1主要供货范围</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1.1招标方只提供所需厂房、货物（或生产线）的基本砼基础，如不满足项目需求，由投标方负责进行建设。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1.2招标方只负责提供符合本技术标书中“采购货物概况”和“使用环境”章节所列明品质的电力、自来水、压缩空气、蒸汽、天然气（或煤气）管线至车间接口,投标方负责从车间接口到项目系统的对接。</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1.3投标方应提供包括货物（或生产线）正常运行所必需的全套连线设备、材料等；如：联接法兰外端面（含联接螺栓）之内的、电气系统接口压线板（插座等）之内的设备、材料等；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1.4投标方应提供包括货物（或生产线）正常运行、使用所必需的过桥、护栏、防护网、盖板等辅助设施。标书中有要求的，按标书要求提供；标书中无具体要求而投标方认为必须具备的，在投标文件报价明细中，单独报价（但不计入税费等其它费用的计算基数）。</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1.5投标方应提供包括为达到环保、消防和</w:t>
      </w:r>
      <w:r>
        <w:rPr>
          <w:rFonts w:hint="eastAsia" w:ascii="仿宋" w:hAnsi="仿宋" w:eastAsia="仿宋" w:cs="仿宋"/>
          <w:color w:val="auto"/>
          <w:highlight w:val="none"/>
          <w:lang w:eastAsia="zh-CN"/>
        </w:rPr>
        <w:t>职业健康</w:t>
      </w:r>
      <w:r>
        <w:rPr>
          <w:rFonts w:hint="eastAsia" w:ascii="仿宋" w:hAnsi="仿宋" w:eastAsia="仿宋" w:cs="仿宋"/>
          <w:color w:val="auto"/>
          <w:highlight w:val="none"/>
        </w:rPr>
        <w:t>等国家法律、法规和标准、规范要求的除尘系统、通风系统以及近距离照明系统等配套的设备、材料等。如投标方难以提供或无优势提供，则应当在投标文件的技术偏离条款中，予以详细说明并注明投标报价未包含该部分的货值。</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1.6投标方应提供包括为保证货物（或生产线）自身正常运行所必需的、适应使用地点条件的通风、冷却、降温系统等。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1.7投标方应提供包括为保证货物（或生产线）正常安装、调试和验收完成及以前所必需的整套配件、附件及材料、油料等。如果终验收完成后，投标方有需要收回的配件、附件、材料、油料等，应当在投标文件的技术偏离条款中，予以详细说明；否则视同包括在供货范围之内。</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1.8投标方应提供货物（或生产线）维修所必需的专用工具，并在投标报价部分说明数量。</w:t>
      </w:r>
    </w:p>
    <w:p>
      <w:pPr>
        <w:snapToGrid w:val="0"/>
        <w:spacing w:line="360" w:lineRule="auto"/>
        <w:ind w:left="480"/>
        <w:outlineLvl w:val="2"/>
        <w:rPr>
          <w:rFonts w:ascii="仿宋" w:hAnsi="仿宋" w:eastAsia="仿宋" w:cs="仿宋"/>
          <w:b/>
          <w:bCs/>
          <w:color w:val="auto"/>
          <w:highlight w:val="none"/>
        </w:rPr>
      </w:pPr>
      <w:bookmarkStart w:id="553" w:name="_Toc18018"/>
      <w:bookmarkStart w:id="554" w:name="_Toc3726"/>
      <w:bookmarkStart w:id="555" w:name="_Toc73112406"/>
      <w:bookmarkStart w:id="556" w:name="_Toc30004"/>
      <w:bookmarkStart w:id="557" w:name="_Toc31723"/>
      <w:bookmarkStart w:id="558" w:name="_Toc5521"/>
      <w:bookmarkStart w:id="559" w:name="_Toc434"/>
      <w:bookmarkStart w:id="560" w:name="_Toc6916"/>
      <w:bookmarkStart w:id="561" w:name="_Toc31685"/>
      <w:bookmarkStart w:id="562" w:name="_Toc29389"/>
      <w:bookmarkStart w:id="563" w:name="_Toc20059"/>
      <w:bookmarkStart w:id="564" w:name="_Toc11531"/>
      <w:bookmarkStart w:id="565" w:name="_Toc2744"/>
      <w:bookmarkStart w:id="566" w:name="_Toc8330"/>
      <w:bookmarkStart w:id="567" w:name="_Toc30087"/>
      <w:bookmarkStart w:id="568" w:name="_Toc10211"/>
      <w:bookmarkStart w:id="569" w:name="_Toc19187"/>
      <w:bookmarkStart w:id="570" w:name="_Toc25570"/>
      <w:bookmarkStart w:id="571" w:name="_Toc10027"/>
      <w:bookmarkStart w:id="572" w:name="_Toc31074"/>
      <w:r>
        <w:rPr>
          <w:rFonts w:hint="eastAsia" w:ascii="仿宋" w:hAnsi="仿宋" w:eastAsia="仿宋" w:cs="仿宋"/>
          <w:b/>
          <w:bCs/>
          <w:color w:val="auto"/>
          <w:highlight w:val="none"/>
        </w:rPr>
        <w:t>2备品备件、易损件和专用耗材供货范围</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20"/>
        <w:snapToGrid w:val="0"/>
        <w:spacing w:line="360" w:lineRule="auto"/>
        <w:ind w:left="6" w:firstLine="474"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2.1招标方招标文件所指备品备件、易损件和专用耗材，是招标方为保证货物（或生产线）质保期之后正常运行一年所自备自用的备品备件、易损件和专用耗材。</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2.2投标方按照招标文件要求提供、或投标方认为招标方应当储备的备品备件、易损件和专用耗材，投标方应当在投标报价部分分别说明所列备品备件、易损件和专用耗材的使用时间。</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2.3投标方应提供易损件和专用耗材的制造图纸及其技术要求等资料。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2.4投标文件中，应当有备品备件、易损件和专用耗材的详细清单（内容包括名称、型号、规格、单位、数量、</w:t>
      </w:r>
      <w:r>
        <w:rPr>
          <w:rFonts w:hint="eastAsia" w:ascii="仿宋" w:hAnsi="仿宋" w:eastAsia="仿宋" w:cs="仿宋"/>
          <w:color w:val="auto"/>
          <w:highlight w:val="none"/>
          <w:lang w:val="en-US" w:eastAsia="zh-CN"/>
        </w:rPr>
        <w:t>品牌、</w:t>
      </w:r>
      <w:r>
        <w:rPr>
          <w:rFonts w:hint="eastAsia" w:ascii="仿宋" w:hAnsi="仿宋" w:eastAsia="仿宋" w:cs="仿宋"/>
          <w:color w:val="auto"/>
          <w:highlight w:val="none"/>
        </w:rPr>
        <w:t>生产厂家、单价、总价</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重汽折扣价</w:t>
      </w:r>
      <w:r>
        <w:rPr>
          <w:rFonts w:hint="eastAsia" w:ascii="仿宋" w:hAnsi="仿宋" w:eastAsia="仿宋" w:cs="仿宋"/>
          <w:color w:val="auto"/>
          <w:highlight w:val="none"/>
        </w:rPr>
        <w:t>等）。机床和机器人的主要参数、配置表、关键件和进口外购明细表、随机附明细表、技术文件明细表等。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2.5备品备件、易损件和专用耗材的费用应分类单列，并计入投标总报价之内。</w:t>
      </w:r>
    </w:p>
    <w:p>
      <w:pPr>
        <w:snapToGrid w:val="0"/>
        <w:spacing w:line="360" w:lineRule="auto"/>
        <w:ind w:left="480"/>
        <w:outlineLvl w:val="2"/>
        <w:rPr>
          <w:rFonts w:ascii="仿宋" w:hAnsi="仿宋" w:eastAsia="仿宋" w:cs="仿宋"/>
          <w:b/>
          <w:bCs/>
          <w:color w:val="auto"/>
          <w:highlight w:val="none"/>
        </w:rPr>
      </w:pPr>
      <w:bookmarkStart w:id="573" w:name="_Toc8769"/>
      <w:bookmarkStart w:id="574" w:name="_Toc30185"/>
      <w:bookmarkStart w:id="575" w:name="_Toc13573"/>
      <w:bookmarkStart w:id="576" w:name="_Toc253"/>
      <w:bookmarkStart w:id="577" w:name="_Toc29526"/>
      <w:bookmarkStart w:id="578" w:name="_Toc8994"/>
      <w:bookmarkStart w:id="579" w:name="_Toc21438"/>
      <w:bookmarkStart w:id="580" w:name="_Toc30460"/>
      <w:bookmarkStart w:id="581" w:name="_Toc27176"/>
      <w:bookmarkStart w:id="582" w:name="_Toc14387"/>
      <w:bookmarkStart w:id="583" w:name="_Toc29028"/>
      <w:bookmarkStart w:id="584" w:name="_Toc26974"/>
      <w:bookmarkStart w:id="585" w:name="_Toc11396"/>
      <w:bookmarkStart w:id="586" w:name="_Toc73112407"/>
      <w:bookmarkStart w:id="587" w:name="_Toc29622"/>
      <w:bookmarkStart w:id="588" w:name="_Toc23668"/>
      <w:bookmarkStart w:id="589" w:name="_Toc19082"/>
      <w:bookmarkStart w:id="590" w:name="_Toc20956"/>
      <w:bookmarkStart w:id="591" w:name="_Toc6474"/>
      <w:bookmarkStart w:id="592" w:name="_Toc30333"/>
      <w:r>
        <w:rPr>
          <w:rFonts w:hint="eastAsia" w:ascii="仿宋" w:hAnsi="仿宋" w:eastAsia="仿宋" w:cs="仿宋"/>
          <w:b/>
          <w:bCs/>
          <w:color w:val="auto"/>
          <w:highlight w:val="none"/>
        </w:rPr>
        <w:t>3技术资料供货范围</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20"/>
        <w:snapToGrid w:val="0"/>
        <w:spacing w:line="360" w:lineRule="auto"/>
        <w:ind w:left="6" w:firstLine="474" w:firstLineChars="0"/>
        <w:rPr>
          <w:rFonts w:ascii="仿宋" w:hAnsi="仿宋" w:eastAsia="仿宋" w:cs="仿宋"/>
          <w:color w:val="auto"/>
          <w:highlight w:val="none"/>
        </w:rPr>
      </w:pPr>
      <w:bookmarkStart w:id="593" w:name="_Toc133783972"/>
      <w:r>
        <w:rPr>
          <w:rFonts w:hint="eastAsia" w:ascii="仿宋" w:hAnsi="仿宋" w:eastAsia="仿宋" w:cs="仿宋"/>
          <w:color w:val="auto"/>
          <w:highlight w:val="none"/>
        </w:rPr>
        <w:t>技术资料（进口设备要求中英文对照）包括：</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3.1设备安全操作规程和使用手册；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PLC编程手册和使用手册；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3.3维修手册及保养手册；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3.4液压原理图（含动作顺序表）、气动原理图（含动作顺序表）、润滑原理图、电气原理图、电器接线图、电气元件分布图、梯形图（带中文注释）；</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3.5总装配图和主要部件的装配图，全部自制零件正规图纸，提供机床所有零件的明细表，零件号与装配图应一一对应，且能方便地查找零件在装配图上的位置。提供关键件、易损件零件图。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3.6采购部件提供正规装配图及零件明细;标准件提供明细（包括型号、规格、部位、数量、制造厂家）并与装配图一一对应；提供关键件，易损件明细。</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3.7提供所有电气元件，液压元件，气动元件，润滑元件明细表（包括型号、规格、部位、数量、制造厂家）。</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3.8 主要外购装置、外购件的使用指导说明书。</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3.9主要零部件、元器件，由投标方负责检验，并提供检验报告。</w:t>
      </w:r>
    </w:p>
    <w:p>
      <w:pPr>
        <w:snapToGrid w:val="0"/>
        <w:spacing w:line="360" w:lineRule="auto"/>
        <w:ind w:left="6" w:firstLine="474"/>
        <w:rPr>
          <w:rFonts w:ascii="仿宋" w:hAnsi="仿宋" w:eastAsia="仿宋" w:cs="仿宋"/>
          <w:color w:val="auto"/>
          <w:kern w:val="0"/>
          <w:highlight w:val="none"/>
        </w:rPr>
      </w:pPr>
      <w:r>
        <w:rPr>
          <w:rFonts w:hint="eastAsia" w:ascii="仿宋" w:hAnsi="仿宋" w:eastAsia="仿宋" w:cs="仿宋"/>
          <w:color w:val="auto"/>
          <w:highlight w:val="none"/>
        </w:rPr>
        <w:t>3.10 应提供设备出厂所必须的具备国际标准或国内标准规定的具备相关计量检定资质单位精度检验证书、性能测试记录和报告。校准（标定）作业指导书。</w:t>
      </w:r>
    </w:p>
    <w:p>
      <w:pPr>
        <w:snapToGrid w:val="0"/>
        <w:spacing w:line="360" w:lineRule="auto"/>
        <w:ind w:left="6" w:firstLine="474"/>
        <w:rPr>
          <w:rFonts w:ascii="仿宋" w:hAnsi="仿宋" w:eastAsia="仿宋" w:cs="仿宋"/>
          <w:color w:val="auto"/>
          <w:highlight w:val="none"/>
        </w:rPr>
      </w:pPr>
      <w:r>
        <w:rPr>
          <w:rFonts w:hint="eastAsia" w:ascii="仿宋" w:hAnsi="仿宋" w:eastAsia="仿宋" w:cs="仿宋"/>
          <w:color w:val="auto"/>
          <w:highlight w:val="none"/>
        </w:rPr>
        <w:t>应提供具有测量、检定、校准等功能设备及具备有压力、温度、流量、位移等计量监控要求的计量器具进行检定/校准/标定所用受控标准器具及作业指导书、检定机构名单。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3.11 提供设备消耗水、电、气的详细资料。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3.12 保证设备正常运行、维护和保养必需的其他参数和资料。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3.13、投标方须负责在合同签订后</w:t>
      </w:r>
      <w:r>
        <w:rPr>
          <w:rFonts w:hint="eastAsia" w:ascii="仿宋" w:hAnsi="仿宋" w:eastAsia="仿宋" w:cs="仿宋"/>
          <w:color w:val="auto"/>
          <w:highlight w:val="none"/>
          <w:u w:val="single"/>
          <w:shd w:val="pct10" w:color="auto" w:fill="FFFFFF"/>
        </w:rPr>
        <w:t>30</w:t>
      </w:r>
      <w:r>
        <w:rPr>
          <w:rFonts w:hint="eastAsia" w:ascii="仿宋" w:hAnsi="仿宋" w:eastAsia="仿宋" w:cs="仿宋"/>
          <w:color w:val="auto"/>
          <w:highlight w:val="none"/>
        </w:rPr>
        <w:t>日内，提供设备基础及相关的安装、设计资料，并提供电子版资料文件，文件格式为：.doc,.dwg或.dxf；（进口货物、设备应有中外文对照）；并同时提出对厂房、基础、公用设施、消防、环保等不超出招标文件、投标文件、答疑文件、技术交流文件、技术协议书和合同等规定的、有特殊要求的解释、说明和要求；</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3.14投标方须负责在预验收前，提供设备各部分的功能描述文件、图片、影像等资料（进口、设备应有中外文对照）；</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3.15投标方须负责在终验收前，提供招标方所需全套的工装、模具、吊（挂）具明细及其图纸、具体技术要求等资料；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3.16投标方须负责在终验收前，提供确定的设备的外购件、外协件、电气元件及主要原材料的供货厂家明细表；</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3.17投标方须负责在设备到达招标方工厂时，与设备一并提供包括设备的备品备件、易损件和专用耗材规定的图纸及技术参数、技术要求等资料；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3.18投标方须负责在设备到达招标方工厂时，与设备一并提供包括设备的操作维护手册，保养维修手册、安全操作规程和安全事项的说明书、仪器仪表检定和使用维修说明书、产品样本等技术资料、图片、影像等资料(对于进口设备，应有中外文资料说明)；</w:t>
      </w:r>
    </w:p>
    <w:p>
      <w:pPr>
        <w:pStyle w:val="20"/>
        <w:snapToGrid w:val="0"/>
        <w:spacing w:line="360" w:lineRule="auto"/>
        <w:ind w:left="6" w:firstLine="474" w:firstLineChars="0"/>
        <w:rPr>
          <w:rFonts w:hint="eastAsia" w:ascii="仿宋" w:hAnsi="仿宋" w:eastAsia="仿宋" w:cs="仿宋"/>
          <w:color w:val="auto"/>
          <w:highlight w:val="none"/>
        </w:rPr>
      </w:pPr>
      <w:r>
        <w:rPr>
          <w:rFonts w:hint="eastAsia" w:ascii="仿宋" w:hAnsi="仿宋" w:eastAsia="仿宋" w:cs="仿宋"/>
          <w:color w:val="auto"/>
          <w:highlight w:val="none"/>
        </w:rPr>
        <w:t>3.19投标方须负责在设备到达招标方工厂时，与设备一并提供包括设备的设计总图、设备全线布置图、电气资料（包括接线图、原理图、布线图、梯形图等）、液压（气动）原理图和系统图、安装基础图、维修图等有关的资料、图片、影像等资料(对于进口设备，应有中外文资料说明)；</w:t>
      </w:r>
    </w:p>
    <w:p>
      <w:pPr>
        <w:pStyle w:val="20"/>
        <w:snapToGrid w:val="0"/>
        <w:spacing w:line="360" w:lineRule="auto"/>
        <w:ind w:left="6" w:firstLine="474" w:firstLineChars="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3.20投标方在设备入场前提供接口的技术文档和参数说明，包括但不限于接口协议、通讯速率、数据格式等。 </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本“技术资料范围”所列的技术资料、图片、影像等，投标方应各提供</w:t>
      </w:r>
      <w:r>
        <w:rPr>
          <w:rFonts w:hint="eastAsia" w:ascii="仿宋" w:hAnsi="仿宋" w:eastAsia="仿宋" w:cs="仿宋"/>
          <w:color w:val="auto"/>
          <w:highlight w:val="none"/>
          <w:shd w:val="pct10" w:color="auto" w:fill="FFFFFF"/>
        </w:rPr>
        <w:t>4</w:t>
      </w:r>
      <w:r>
        <w:rPr>
          <w:rFonts w:hint="eastAsia" w:ascii="仿宋" w:hAnsi="仿宋" w:eastAsia="仿宋" w:cs="仿宋"/>
          <w:color w:val="auto"/>
          <w:highlight w:val="none"/>
        </w:rPr>
        <w:t>套，其中</w:t>
      </w:r>
      <w:r>
        <w:rPr>
          <w:rFonts w:hint="eastAsia" w:ascii="仿宋" w:hAnsi="仿宋" w:eastAsia="仿宋" w:cs="仿宋"/>
          <w:color w:val="auto"/>
          <w:highlight w:val="none"/>
          <w:shd w:val="pct10" w:color="auto" w:fill="FFFFFF"/>
        </w:rPr>
        <w:t>2</w:t>
      </w:r>
      <w:r>
        <w:rPr>
          <w:rFonts w:hint="eastAsia" w:ascii="仿宋" w:hAnsi="仿宋" w:eastAsia="仿宋" w:cs="仿宋"/>
          <w:color w:val="auto"/>
          <w:highlight w:val="none"/>
        </w:rPr>
        <w:t>套为电子版光（软）盘；每份技术文件应装有目录清单；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本“技术资料范围”所列要求，如招标方认为投标方提供的资料不能满足要求时，有权要求投标方补充或增加。</w:t>
      </w:r>
    </w:p>
    <w:p>
      <w:pPr>
        <w:adjustRightInd w:val="0"/>
        <w:snapToGrid w:val="0"/>
        <w:spacing w:before="163" w:beforeLines="50" w:after="163" w:afterLines="50" w:line="360" w:lineRule="auto"/>
        <w:jc w:val="center"/>
        <w:outlineLvl w:val="1"/>
        <w:rPr>
          <w:rFonts w:ascii="仿宋" w:hAnsi="仿宋" w:eastAsia="仿宋" w:cs="仿宋"/>
          <w:b/>
          <w:bCs/>
          <w:color w:val="auto"/>
          <w:highlight w:val="none"/>
        </w:rPr>
      </w:pPr>
      <w:bookmarkStart w:id="594" w:name="_Toc23025"/>
      <w:bookmarkStart w:id="595" w:name="_Toc17613"/>
      <w:bookmarkStart w:id="596" w:name="_Toc22358"/>
      <w:bookmarkStart w:id="597" w:name="_Toc16163"/>
      <w:bookmarkStart w:id="598" w:name="_Toc20754"/>
      <w:bookmarkStart w:id="599" w:name="_Toc27960"/>
      <w:bookmarkStart w:id="600" w:name="_Toc29792"/>
      <w:bookmarkStart w:id="601" w:name="_Toc4183"/>
      <w:bookmarkStart w:id="602" w:name="_Toc11837"/>
      <w:bookmarkStart w:id="603" w:name="_Toc8309"/>
      <w:bookmarkStart w:id="604" w:name="_Toc24898"/>
      <w:bookmarkStart w:id="605" w:name="_Toc16689"/>
      <w:bookmarkStart w:id="606" w:name="_Toc1998"/>
      <w:bookmarkStart w:id="607" w:name="_Toc25983"/>
      <w:bookmarkStart w:id="608" w:name="_Toc19194"/>
      <w:bookmarkStart w:id="609" w:name="_Toc5634"/>
      <w:bookmarkStart w:id="610" w:name="_Toc18492"/>
      <w:bookmarkStart w:id="611" w:name="_Toc29107"/>
      <w:bookmarkStart w:id="612" w:name="_Toc603"/>
      <w:bookmarkStart w:id="613" w:name="_Toc17660"/>
      <w:bookmarkStart w:id="614" w:name="_Toc4601"/>
      <w:bookmarkStart w:id="615" w:name="_Toc10692"/>
      <w:bookmarkStart w:id="616" w:name="_Toc12288"/>
      <w:bookmarkStart w:id="617" w:name="_Toc3580"/>
      <w:bookmarkStart w:id="618" w:name="_Toc13201"/>
      <w:bookmarkStart w:id="619" w:name="_Toc4676"/>
      <w:bookmarkStart w:id="620" w:name="_Toc18118"/>
      <w:bookmarkStart w:id="621" w:name="_Toc18839"/>
      <w:bookmarkStart w:id="622" w:name="_Toc15671"/>
      <w:bookmarkStart w:id="623" w:name="_Toc73112408"/>
      <w:bookmarkStart w:id="624" w:name="_Toc27636"/>
      <w:bookmarkStart w:id="625" w:name="_Toc6313"/>
      <w:bookmarkStart w:id="626" w:name="_Toc30635"/>
      <w:bookmarkStart w:id="627" w:name="_Toc3548"/>
      <w:bookmarkStart w:id="628" w:name="_Toc23856"/>
      <w:bookmarkStart w:id="629" w:name="_Toc4381"/>
      <w:bookmarkStart w:id="630" w:name="_Toc17572"/>
      <w:bookmarkStart w:id="631" w:name="_Toc21360"/>
      <w:bookmarkStart w:id="632" w:name="_Toc81"/>
      <w:bookmarkStart w:id="633" w:name="_Toc11851"/>
      <w:bookmarkStart w:id="634" w:name="_Toc1897"/>
      <w:bookmarkStart w:id="635" w:name="_Toc15620"/>
      <w:r>
        <w:rPr>
          <w:rFonts w:hint="eastAsia" w:ascii="仿宋" w:hAnsi="仿宋" w:eastAsia="仿宋" w:cs="仿宋"/>
          <w:b/>
          <w:bCs/>
          <w:color w:val="auto"/>
          <w:highlight w:val="none"/>
        </w:rPr>
        <w:t>第二节供货方式</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snapToGrid w:val="0"/>
        <w:spacing w:line="360" w:lineRule="auto"/>
        <w:ind w:left="480"/>
        <w:outlineLvl w:val="2"/>
        <w:rPr>
          <w:rFonts w:ascii="仿宋" w:hAnsi="仿宋" w:eastAsia="仿宋" w:cs="仿宋"/>
          <w:b/>
          <w:bCs/>
          <w:color w:val="auto"/>
          <w:highlight w:val="none"/>
        </w:rPr>
      </w:pPr>
      <w:bookmarkStart w:id="636" w:name="_Toc19237"/>
      <w:bookmarkStart w:id="637" w:name="_Toc28222"/>
      <w:bookmarkStart w:id="638" w:name="_Toc28360"/>
      <w:bookmarkStart w:id="639" w:name="_Toc28534"/>
      <w:bookmarkStart w:id="640" w:name="_Toc32491"/>
      <w:bookmarkStart w:id="641" w:name="_Toc27005"/>
      <w:bookmarkStart w:id="642" w:name="_Toc20263"/>
      <w:bookmarkStart w:id="643" w:name="_Toc1116"/>
      <w:bookmarkStart w:id="644" w:name="_Toc4344"/>
      <w:bookmarkStart w:id="645" w:name="_Toc11533"/>
      <w:bookmarkStart w:id="646" w:name="_Toc28962"/>
      <w:bookmarkStart w:id="647" w:name="_Toc3032"/>
      <w:bookmarkStart w:id="648" w:name="_Toc1474"/>
      <w:bookmarkStart w:id="649" w:name="_Toc28759"/>
      <w:bookmarkStart w:id="650" w:name="_Toc73112409"/>
      <w:bookmarkStart w:id="651" w:name="_Toc24179"/>
      <w:bookmarkStart w:id="652" w:name="_Toc14135"/>
      <w:bookmarkStart w:id="653" w:name="_Toc18282"/>
      <w:bookmarkStart w:id="654" w:name="_Toc10286"/>
      <w:bookmarkStart w:id="655" w:name="_Toc22679"/>
      <w:r>
        <w:rPr>
          <w:rFonts w:hint="eastAsia" w:ascii="仿宋" w:hAnsi="仿宋" w:eastAsia="仿宋" w:cs="仿宋"/>
          <w:b/>
          <w:bCs/>
          <w:color w:val="auto"/>
          <w:highlight w:val="none"/>
        </w:rPr>
        <w:t>1供货地点</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本项目建设工地。</w:t>
      </w:r>
    </w:p>
    <w:p>
      <w:pPr>
        <w:snapToGrid w:val="0"/>
        <w:spacing w:line="360" w:lineRule="auto"/>
        <w:ind w:left="480"/>
        <w:outlineLvl w:val="2"/>
        <w:rPr>
          <w:rFonts w:ascii="仿宋" w:hAnsi="仿宋" w:eastAsia="仿宋" w:cs="仿宋"/>
          <w:b/>
          <w:bCs/>
          <w:color w:val="auto"/>
          <w:highlight w:val="none"/>
        </w:rPr>
      </w:pPr>
      <w:bookmarkStart w:id="656" w:name="_Toc2280"/>
      <w:bookmarkStart w:id="657" w:name="_Toc11086"/>
      <w:bookmarkStart w:id="658" w:name="_Toc21521"/>
      <w:bookmarkStart w:id="659" w:name="_Toc73112410"/>
      <w:bookmarkStart w:id="660" w:name="_Toc5862"/>
      <w:bookmarkStart w:id="661" w:name="_Toc30858"/>
      <w:bookmarkStart w:id="662" w:name="_Toc9856"/>
      <w:bookmarkStart w:id="663" w:name="_Toc20257"/>
      <w:bookmarkStart w:id="664" w:name="_Toc27558"/>
      <w:bookmarkStart w:id="665" w:name="_Toc22044"/>
      <w:bookmarkStart w:id="666" w:name="_Toc11152"/>
      <w:bookmarkStart w:id="667" w:name="_Toc27724"/>
      <w:bookmarkStart w:id="668" w:name="_Toc6963"/>
      <w:bookmarkStart w:id="669" w:name="_Toc4215"/>
      <w:bookmarkStart w:id="670" w:name="_Toc26611"/>
      <w:bookmarkStart w:id="671" w:name="_Toc31657"/>
      <w:bookmarkStart w:id="672" w:name="_Toc6707"/>
      <w:bookmarkStart w:id="673" w:name="_Toc26178"/>
      <w:bookmarkStart w:id="674" w:name="_Toc531"/>
      <w:bookmarkStart w:id="675" w:name="_Toc8043"/>
      <w:r>
        <w:rPr>
          <w:rFonts w:hint="eastAsia" w:ascii="仿宋" w:hAnsi="仿宋" w:eastAsia="仿宋" w:cs="仿宋"/>
          <w:b/>
          <w:bCs/>
          <w:color w:val="auto"/>
          <w:highlight w:val="none"/>
        </w:rPr>
        <w:t>2供货时间</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snapToGrid w:val="0"/>
        <w:spacing w:line="360" w:lineRule="auto"/>
        <w:ind w:firstLine="420" w:firstLineChars="200"/>
        <w:jc w:val="left"/>
        <w:rPr>
          <w:rFonts w:ascii="仿宋" w:hAnsi="仿宋" w:eastAsia="仿宋" w:cs="仿宋"/>
          <w:strike/>
          <w:color w:val="auto"/>
          <w:highlight w:val="none"/>
        </w:rPr>
      </w:pPr>
      <w:r>
        <w:rPr>
          <w:rFonts w:hint="eastAsia" w:ascii="仿宋" w:hAnsi="仿宋" w:eastAsia="仿宋" w:cs="仿宋"/>
          <w:color w:val="auto"/>
          <w:highlight w:val="none"/>
        </w:rPr>
        <w:t>2.1投标方应自</w:t>
      </w:r>
      <w:r>
        <w:rPr>
          <w:rFonts w:hint="eastAsia" w:ascii="仿宋" w:hAnsi="仿宋" w:eastAsia="仿宋" w:cs="仿宋"/>
          <w:color w:val="auto"/>
          <w:highlight w:val="none"/>
          <w:lang w:val="en-US" w:eastAsia="zh-CN"/>
        </w:rPr>
        <w:t>签定合同起</w:t>
      </w:r>
      <w:r>
        <w:rPr>
          <w:rFonts w:hint="eastAsia" w:ascii="仿宋" w:hAnsi="仿宋" w:eastAsia="仿宋" w:cs="仿宋"/>
          <w:color w:val="auto"/>
          <w:highlight w:val="none"/>
          <w:u w:val="single"/>
          <w:shd w:val="pct10" w:color="auto" w:fill="FFFFFF"/>
          <w:lang w:val="en-US" w:eastAsia="zh-CN"/>
        </w:rPr>
        <w:t>30</w:t>
      </w:r>
      <w:r>
        <w:rPr>
          <w:rFonts w:hint="eastAsia" w:ascii="仿宋" w:hAnsi="仿宋" w:eastAsia="仿宋" w:cs="仿宋"/>
          <w:color w:val="auto"/>
          <w:highlight w:val="none"/>
        </w:rPr>
        <w:t>日历日之内交货至供货地点。</w:t>
      </w:r>
    </w:p>
    <w:p>
      <w:pPr>
        <w:snapToGrid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2.2连续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个日历日之内安装完毕；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个日历日之内调试完毕；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2.4投标方应当提供详细的工期计划。</w:t>
      </w:r>
    </w:p>
    <w:p>
      <w:pPr>
        <w:snapToGrid w:val="0"/>
        <w:spacing w:line="360" w:lineRule="auto"/>
        <w:ind w:left="480"/>
        <w:outlineLvl w:val="2"/>
        <w:rPr>
          <w:rFonts w:ascii="仿宋" w:hAnsi="仿宋" w:eastAsia="仿宋" w:cs="仿宋"/>
          <w:b/>
          <w:bCs/>
          <w:color w:val="auto"/>
          <w:highlight w:val="none"/>
        </w:rPr>
      </w:pPr>
      <w:bookmarkStart w:id="676" w:name="_Toc73112411"/>
      <w:bookmarkStart w:id="677" w:name="_Toc16960"/>
      <w:bookmarkStart w:id="678" w:name="_Toc31485"/>
      <w:bookmarkStart w:id="679" w:name="_Toc8419"/>
      <w:bookmarkStart w:id="680" w:name="_Toc18153"/>
      <w:bookmarkStart w:id="681" w:name="_Toc8193"/>
      <w:bookmarkStart w:id="682" w:name="_Toc24587"/>
      <w:bookmarkStart w:id="683" w:name="_Toc4431"/>
      <w:bookmarkStart w:id="684" w:name="_Toc29786"/>
      <w:bookmarkStart w:id="685" w:name="_Toc22394"/>
      <w:bookmarkStart w:id="686" w:name="_Toc22968"/>
      <w:bookmarkStart w:id="687" w:name="_Toc11749"/>
      <w:bookmarkStart w:id="688" w:name="_Toc5288"/>
      <w:bookmarkStart w:id="689" w:name="_Toc22617"/>
      <w:bookmarkStart w:id="690" w:name="_Toc30983"/>
      <w:bookmarkStart w:id="691" w:name="_Toc17351"/>
      <w:bookmarkStart w:id="692" w:name="_Toc9507"/>
      <w:bookmarkStart w:id="693" w:name="_Toc23122"/>
      <w:bookmarkStart w:id="694" w:name="_Toc17489"/>
      <w:bookmarkStart w:id="695" w:name="_Toc18845"/>
      <w:r>
        <w:rPr>
          <w:rFonts w:hint="eastAsia" w:ascii="仿宋" w:hAnsi="仿宋" w:eastAsia="仿宋" w:cs="仿宋"/>
          <w:b/>
          <w:bCs/>
          <w:color w:val="auto"/>
          <w:highlight w:val="none"/>
        </w:rPr>
        <w:t>3质保期</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3.1投标方所提供货物（或生产线）涉及的全部供货范围内的设备、材料、零配件和工器具等，除合同特别约定外，其质保期均自终验收签字生效之日起</w:t>
      </w:r>
      <w:r>
        <w:rPr>
          <w:rFonts w:hint="eastAsia" w:ascii="仿宋" w:hAnsi="仿宋" w:eastAsia="仿宋" w:cs="仿宋"/>
          <w:color w:val="auto"/>
          <w:highlight w:val="none"/>
          <w:u w:val="single"/>
          <w:shd w:val="pct10" w:color="auto" w:fill="FFFFFF"/>
        </w:rPr>
        <w:t>12</w:t>
      </w:r>
      <w:r>
        <w:rPr>
          <w:rFonts w:hint="eastAsia" w:ascii="仿宋" w:hAnsi="仿宋" w:eastAsia="仿宋" w:cs="仿宋"/>
          <w:color w:val="auto"/>
          <w:highlight w:val="none"/>
        </w:rPr>
        <w:t>个月。数控系统、伺服单元、电源模块、各轴电机及显示器等部分</w:t>
      </w:r>
      <w:r>
        <w:rPr>
          <w:rFonts w:hint="eastAsia" w:ascii="仿宋" w:hAnsi="仿宋" w:eastAsia="仿宋" w:cs="仿宋"/>
          <w:color w:val="auto"/>
          <w:highlight w:val="none"/>
          <w:u w:val="single"/>
          <w:shd w:val="pct10" w:color="auto" w:fill="FFFFFF"/>
        </w:rPr>
        <w:t>36</w:t>
      </w:r>
      <w:r>
        <w:rPr>
          <w:rFonts w:hint="eastAsia" w:ascii="仿宋" w:hAnsi="仿宋" w:eastAsia="仿宋" w:cs="仿宋"/>
          <w:color w:val="auto"/>
          <w:highlight w:val="none"/>
        </w:rPr>
        <w:t>月以内。</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3.2质保期之内，如果货物（或生产线）出现关键设备、总成、零部件或者多处一般设备、总成、零部件的更换或维修行为，则质保期自更换或维修行为结束、货物（或生产线）能够正常运行使用之日起重新计算。</w:t>
      </w:r>
    </w:p>
    <w:p>
      <w:pPr>
        <w:snapToGrid w:val="0"/>
        <w:spacing w:line="360" w:lineRule="auto"/>
        <w:ind w:left="480"/>
        <w:outlineLvl w:val="2"/>
        <w:rPr>
          <w:rFonts w:ascii="仿宋" w:hAnsi="仿宋" w:eastAsia="仿宋" w:cs="仿宋"/>
          <w:b/>
          <w:bCs/>
          <w:color w:val="auto"/>
          <w:highlight w:val="none"/>
        </w:rPr>
      </w:pPr>
      <w:bookmarkStart w:id="696" w:name="_Toc28907"/>
      <w:bookmarkStart w:id="697" w:name="_Toc17320"/>
      <w:bookmarkStart w:id="698" w:name="_Toc10272"/>
      <w:bookmarkStart w:id="699" w:name="_Toc29090"/>
      <w:bookmarkStart w:id="700" w:name="_Toc5126"/>
      <w:bookmarkStart w:id="701" w:name="_Toc14622"/>
      <w:bookmarkStart w:id="702" w:name="_Toc21555"/>
      <w:bookmarkStart w:id="703" w:name="_Toc16664"/>
      <w:bookmarkStart w:id="704" w:name="_Toc16381"/>
      <w:bookmarkStart w:id="705" w:name="_Toc20248"/>
      <w:bookmarkStart w:id="706" w:name="_Toc21924"/>
      <w:bookmarkStart w:id="707" w:name="_Toc27377"/>
      <w:bookmarkStart w:id="708" w:name="_Toc26040"/>
      <w:bookmarkStart w:id="709" w:name="_Toc20400"/>
      <w:bookmarkStart w:id="710" w:name="_Toc426"/>
      <w:bookmarkStart w:id="711" w:name="_Toc19011"/>
      <w:bookmarkStart w:id="712" w:name="_Toc12791"/>
      <w:bookmarkStart w:id="713" w:name="_Toc27729"/>
      <w:bookmarkStart w:id="714" w:name="_Toc27080"/>
      <w:bookmarkStart w:id="715" w:name="_Toc73112412"/>
      <w:r>
        <w:rPr>
          <w:rFonts w:hint="eastAsia" w:ascii="仿宋" w:hAnsi="仿宋" w:eastAsia="仿宋" w:cs="仿宋"/>
          <w:b/>
          <w:bCs/>
          <w:color w:val="auto"/>
          <w:highlight w:val="none"/>
        </w:rPr>
        <w:t>4包装</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4.1投标方所提供货物（或设备）的包装，应遵照国家标准和有关包装、包皮的技术条件，或按照最好的商业惯例进行包装。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4.2包装应能满足所需要采取的运输方式（船运、汽运或铁路运输）、多次吊装卸装、卸货以及长期露天堆放要求，应能防止雨淋、受潮、生锈、腐蚀、受振、受磁以及机械和化学因素等引起的损坏。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4.3投标方所提供货物（或设备）的包装，应能防止其一般性被窃或受外力破坏；一般不得采用有大缝隙的板条包装。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4.4投标方应对包装件做必要的加固和固定等防护措施，以防止运输可能造成的损坏。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4.5每个包装件应有装箱单，并至少标明名称、型号规格、数量、净重和毛重、投标方（或供货商）名称和制造日期等相关内容。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4.6每个包装箱应有明显标志，并具有中文书写的合同号、装运标志、发货和到货地点名称、发货人和收货人名称、货物（或生产线）名称和项目号、箱号和外型尺寸等内容。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4.7投标方还应按照不同的装运要求在包装箱上标明“小心轻放”、“箭头向上”、“防潮”、“防磁”、“不准平放”等标志，以及其它适用的国标通用标志。</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4.8包装箱应连续编号，不应出现重复编号。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4.9在不受到外界破坏情况下，包装应保证自交货日起一年内货物（或设备）完好无损。</w:t>
      </w:r>
    </w:p>
    <w:p>
      <w:pPr>
        <w:snapToGrid w:val="0"/>
        <w:spacing w:line="360" w:lineRule="auto"/>
        <w:ind w:left="480"/>
        <w:outlineLvl w:val="2"/>
        <w:rPr>
          <w:rFonts w:ascii="仿宋" w:hAnsi="仿宋" w:eastAsia="仿宋" w:cs="仿宋"/>
          <w:b/>
          <w:bCs/>
          <w:color w:val="auto"/>
          <w:highlight w:val="none"/>
        </w:rPr>
      </w:pPr>
      <w:bookmarkStart w:id="716" w:name="_Toc7046"/>
      <w:bookmarkStart w:id="717" w:name="_Toc32266"/>
      <w:bookmarkStart w:id="718" w:name="_Toc21886"/>
      <w:bookmarkStart w:id="719" w:name="_Toc22792"/>
      <w:bookmarkStart w:id="720" w:name="_Toc23221"/>
      <w:bookmarkStart w:id="721" w:name="_Toc1857"/>
      <w:bookmarkStart w:id="722" w:name="_Toc8"/>
      <w:bookmarkStart w:id="723" w:name="_Toc31538"/>
      <w:bookmarkStart w:id="724" w:name="_Toc22992"/>
      <w:bookmarkStart w:id="725" w:name="_Toc7889"/>
      <w:bookmarkStart w:id="726" w:name="_Toc73112413"/>
      <w:bookmarkStart w:id="727" w:name="_Toc26302"/>
      <w:bookmarkStart w:id="728" w:name="_Toc17990"/>
      <w:bookmarkStart w:id="729" w:name="_Toc25305"/>
      <w:bookmarkStart w:id="730" w:name="_Toc17881"/>
      <w:bookmarkStart w:id="731" w:name="_Toc5373"/>
      <w:bookmarkStart w:id="732" w:name="_Toc22949"/>
      <w:bookmarkStart w:id="733" w:name="_Toc20536"/>
      <w:bookmarkStart w:id="734" w:name="_Toc4346"/>
      <w:bookmarkStart w:id="735" w:name="_Toc21308"/>
      <w:r>
        <w:rPr>
          <w:rFonts w:hint="eastAsia" w:ascii="仿宋" w:hAnsi="仿宋" w:eastAsia="仿宋" w:cs="仿宋"/>
          <w:b/>
          <w:bCs/>
          <w:color w:val="auto"/>
          <w:highlight w:val="none"/>
        </w:rPr>
        <w:t>5运输</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5.1投标方应负责将货物（或设备）运到目的地，并必须做到货物（或设备）在任何运输过程中不受损坏和遗失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5.2同批货物（或设备）应统一包装、编号运输。</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5.3一般情况下，经由铁路、公路运输的包装件尺寸和重量不应超过国家所规定的尺寸限制。特殊情况应予以说明。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5.4在每批货物（或设备）发出后，投标方应立即通知招标方；通知中应指明：合同号、货运单号、件数、重量和货物（或设备）发出日期等相关内容。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5.5货物（或设备）运抵招标方现场后，投标方应负责货物（或设备）的卸货、搬运、保管等事宜；或按照合同约定。</w:t>
      </w:r>
      <w:bookmarkStart w:id="736" w:name="_Toc133783973"/>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737" w:name="_Toc11027"/>
      <w:bookmarkStart w:id="738" w:name="_Toc18423"/>
      <w:bookmarkStart w:id="739" w:name="_Toc14862"/>
      <w:bookmarkStart w:id="740" w:name="_Toc2668"/>
      <w:bookmarkStart w:id="741" w:name="_Toc12021"/>
      <w:bookmarkStart w:id="742" w:name="_Toc25292"/>
      <w:bookmarkStart w:id="743" w:name="_Toc10676"/>
      <w:bookmarkStart w:id="744" w:name="_Toc73112414"/>
      <w:bookmarkStart w:id="745" w:name="_Toc14023"/>
      <w:bookmarkStart w:id="746" w:name="_Toc16036"/>
      <w:bookmarkStart w:id="747" w:name="_Toc14229"/>
      <w:bookmarkStart w:id="748" w:name="_Toc19986"/>
      <w:bookmarkStart w:id="749" w:name="_Toc24978"/>
      <w:bookmarkStart w:id="750" w:name="_Toc29063"/>
      <w:bookmarkStart w:id="751" w:name="_Toc26651"/>
      <w:bookmarkStart w:id="752" w:name="_Toc32280"/>
      <w:bookmarkStart w:id="753" w:name="_Toc19133"/>
      <w:bookmarkStart w:id="754" w:name="_Toc7501"/>
      <w:bookmarkStart w:id="755" w:name="_Toc27169"/>
      <w:bookmarkStart w:id="756" w:name="_Toc14414"/>
      <w:bookmarkStart w:id="757" w:name="_Toc23255"/>
      <w:bookmarkStart w:id="758" w:name="_Toc14171"/>
      <w:bookmarkStart w:id="759" w:name="_Toc22680"/>
      <w:bookmarkStart w:id="760" w:name="_Toc28164"/>
      <w:bookmarkStart w:id="761" w:name="_Toc15153"/>
      <w:bookmarkStart w:id="762" w:name="_Toc26671"/>
      <w:bookmarkStart w:id="763" w:name="_Toc9059"/>
      <w:bookmarkStart w:id="764" w:name="_Toc7672"/>
      <w:bookmarkStart w:id="765" w:name="_Toc3739"/>
      <w:bookmarkStart w:id="766" w:name="_Toc24415"/>
      <w:bookmarkStart w:id="767" w:name="_Toc8515"/>
      <w:bookmarkStart w:id="768" w:name="_Toc28211"/>
      <w:bookmarkStart w:id="769" w:name="_Toc14916"/>
      <w:bookmarkStart w:id="770" w:name="_Toc24397"/>
      <w:bookmarkStart w:id="771" w:name="_Toc27085"/>
      <w:bookmarkStart w:id="772" w:name="_Toc25780"/>
      <w:bookmarkStart w:id="773" w:name="_Toc10275"/>
      <w:bookmarkStart w:id="774" w:name="_Toc25044"/>
      <w:bookmarkStart w:id="775" w:name="_Toc13927"/>
      <w:bookmarkStart w:id="776" w:name="_Toc10894"/>
      <w:bookmarkStart w:id="777" w:name="_Toc31301"/>
      <w:bookmarkStart w:id="778" w:name="_Toc12478"/>
      <w:bookmarkStart w:id="779" w:name="_Toc1740"/>
      <w:r>
        <w:rPr>
          <w:rFonts w:hint="eastAsia" w:ascii="仿宋" w:hAnsi="仿宋" w:eastAsia="仿宋" w:cs="仿宋"/>
          <w:b/>
          <w:bCs/>
          <w:color w:val="auto"/>
          <w:highlight w:val="none"/>
        </w:rPr>
        <w:t>第四章售中售后服务</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snapToGrid w:val="0"/>
        <w:spacing w:line="360" w:lineRule="auto"/>
        <w:ind w:left="480"/>
        <w:outlineLvl w:val="1"/>
        <w:rPr>
          <w:rFonts w:ascii="仿宋" w:hAnsi="仿宋" w:eastAsia="仿宋" w:cs="仿宋"/>
          <w:b/>
          <w:bCs/>
          <w:color w:val="auto"/>
          <w:highlight w:val="none"/>
        </w:rPr>
      </w:pPr>
      <w:bookmarkStart w:id="780" w:name="_Toc217"/>
      <w:bookmarkStart w:id="781" w:name="_Toc17832"/>
      <w:bookmarkStart w:id="782" w:name="_Toc29321"/>
      <w:bookmarkStart w:id="783" w:name="_Toc23892"/>
      <w:bookmarkStart w:id="784" w:name="_Toc20514"/>
      <w:bookmarkStart w:id="785" w:name="_Toc28487"/>
      <w:bookmarkStart w:id="786" w:name="_Toc8910"/>
      <w:bookmarkStart w:id="787" w:name="_Toc414"/>
      <w:bookmarkStart w:id="788" w:name="_Toc27811"/>
      <w:bookmarkStart w:id="789" w:name="_Toc4180"/>
      <w:bookmarkStart w:id="790" w:name="_Toc19735"/>
      <w:bookmarkStart w:id="791" w:name="_Toc9079"/>
      <w:bookmarkStart w:id="792" w:name="_Toc4682"/>
      <w:bookmarkStart w:id="793" w:name="_Toc25505"/>
      <w:bookmarkStart w:id="794" w:name="_Toc73112415"/>
      <w:bookmarkStart w:id="795" w:name="_Toc14199"/>
      <w:bookmarkStart w:id="796" w:name="_Toc9919"/>
      <w:bookmarkStart w:id="797" w:name="_Toc20772"/>
      <w:bookmarkStart w:id="798" w:name="_Toc24344"/>
      <w:bookmarkStart w:id="799" w:name="_Toc24654"/>
      <w:bookmarkStart w:id="800" w:name="_Toc12793"/>
      <w:bookmarkStart w:id="801" w:name="_Toc23541"/>
      <w:bookmarkStart w:id="802" w:name="_Toc10787"/>
      <w:bookmarkStart w:id="803" w:name="_Toc2564"/>
      <w:bookmarkStart w:id="804" w:name="_Toc18522"/>
      <w:bookmarkStart w:id="805" w:name="_Toc19576"/>
      <w:bookmarkStart w:id="806" w:name="_Toc13786"/>
      <w:bookmarkStart w:id="807" w:name="_Toc2661"/>
      <w:bookmarkStart w:id="808" w:name="_Toc3722"/>
      <w:bookmarkStart w:id="809" w:name="_Toc23493"/>
      <w:bookmarkStart w:id="810" w:name="_Toc13551"/>
      <w:bookmarkStart w:id="811" w:name="_Toc7723"/>
      <w:bookmarkStart w:id="812" w:name="_Toc8465"/>
      <w:bookmarkStart w:id="813" w:name="_Toc16066"/>
      <w:bookmarkStart w:id="814" w:name="_Toc4952"/>
      <w:bookmarkStart w:id="815" w:name="_Toc344"/>
      <w:bookmarkStart w:id="816" w:name="_Toc29262"/>
      <w:bookmarkStart w:id="817" w:name="_Toc10791"/>
      <w:bookmarkStart w:id="818" w:name="_Toc3697"/>
      <w:bookmarkStart w:id="819" w:name="_Toc17645"/>
      <w:bookmarkStart w:id="820" w:name="_Toc7036"/>
      <w:bookmarkStart w:id="821" w:name="_Toc788"/>
      <w:r>
        <w:rPr>
          <w:rFonts w:hint="eastAsia" w:ascii="仿宋" w:hAnsi="仿宋" w:eastAsia="仿宋" w:cs="仿宋"/>
          <w:b/>
          <w:bCs/>
          <w:color w:val="auto"/>
          <w:highlight w:val="none"/>
        </w:rPr>
        <w:t>1技术及培训服务</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1.1投标方应负责对招标方</w:t>
      </w:r>
      <w:r>
        <w:rPr>
          <w:rFonts w:hint="eastAsia" w:ascii="仿宋" w:hAnsi="仿宋" w:eastAsia="仿宋" w:cs="仿宋"/>
          <w:color w:val="auto"/>
          <w:highlight w:val="none"/>
          <w:u w:val="single"/>
          <w:shd w:val="pct10" w:color="auto" w:fill="FFFFFF"/>
        </w:rPr>
        <w:t xml:space="preserve"> 5</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名工程技术人员、维修人员和操作人员提供不少于</w:t>
      </w:r>
      <w:r>
        <w:rPr>
          <w:rFonts w:hint="eastAsia" w:ascii="仿宋" w:hAnsi="仿宋" w:eastAsia="仿宋" w:cs="仿宋"/>
          <w:color w:val="auto"/>
          <w:highlight w:val="none"/>
          <w:u w:val="single"/>
          <w:shd w:val="pct10" w:color="auto" w:fill="FFFFFF"/>
        </w:rPr>
        <w:t xml:space="preserve"> 10</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个日历日的免费的、生产制造现场的理论、技术和操作、维修、安全等方面的指导和培训，并为招标方受培训人员提供免费的培训地交通、食宿条件。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1.2投标方应负责在招标方货物（或生产线）使用现场，进行</w:t>
      </w:r>
      <w:r>
        <w:rPr>
          <w:rFonts w:hint="eastAsia" w:ascii="仿宋" w:hAnsi="仿宋" w:eastAsia="仿宋" w:cs="仿宋"/>
          <w:color w:val="auto"/>
          <w:highlight w:val="none"/>
          <w:shd w:val="pct10" w:color="auto" w:fill="FFFFFF"/>
        </w:rPr>
        <w:t>2～3</w:t>
      </w:r>
      <w:r>
        <w:rPr>
          <w:rFonts w:hint="eastAsia" w:ascii="仿宋" w:hAnsi="仿宋" w:eastAsia="仿宋" w:cs="仿宋"/>
          <w:color w:val="auto"/>
          <w:highlight w:val="none"/>
        </w:rPr>
        <w:t>次免费的技术指导和培训，并接受招标方有关人员的技术咨询。</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1.3投标方应免费提供全套培训资料。所有设备均需要配备产品说明书，包括设备的内部结构、组成及保养、维护、调试等相关内容，便于生产人员及维修人员查阅。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1.4投标方应按要求，免费积极协助和提供招标方以及招标方所委托的工程设计单位有关人员所需要的、与货物（或生产线）有关的工程设计资料、技术咨询等。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若投标方提供的货物（或生产线）涉及到外购外协货物、而且该货物的技术质量等较为关键、功能实现或操作较为困难，凡招标方提出需求的，投标方应能得到配套厂家的技术支持，并免费为招标方提供技术服务及培训。</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投标方负责制定对招标方人员在设备安全、操作运行、职业防护、诊断维修、使用保养和试验等方面的培训计划，并有专人负责实施培训计划，负责指导招标方受培训人员正确理解设计和制造意图，认识设备的特点和特性，掌握在运行、维修和使用管理中应遵守的规则等方面的综合知识。</w:t>
      </w:r>
    </w:p>
    <w:p>
      <w:pPr>
        <w:snapToGrid w:val="0"/>
        <w:spacing w:line="360" w:lineRule="auto"/>
        <w:ind w:left="480"/>
        <w:outlineLvl w:val="1"/>
        <w:rPr>
          <w:rFonts w:ascii="仿宋" w:hAnsi="仿宋" w:eastAsia="仿宋" w:cs="仿宋"/>
          <w:b/>
          <w:bCs/>
          <w:color w:val="auto"/>
          <w:highlight w:val="none"/>
        </w:rPr>
      </w:pPr>
      <w:bookmarkStart w:id="822" w:name="_Toc15460"/>
      <w:bookmarkStart w:id="823" w:name="_Toc30271"/>
      <w:bookmarkStart w:id="824" w:name="_Toc6394"/>
      <w:bookmarkStart w:id="825" w:name="_Toc16207"/>
      <w:bookmarkStart w:id="826" w:name="_Toc17849"/>
      <w:bookmarkStart w:id="827" w:name="_Toc19866"/>
      <w:bookmarkStart w:id="828" w:name="_Toc13864"/>
      <w:bookmarkStart w:id="829" w:name="_Toc3892"/>
      <w:bookmarkStart w:id="830" w:name="_Toc29981"/>
      <w:bookmarkStart w:id="831" w:name="_Toc3907"/>
      <w:bookmarkStart w:id="832" w:name="_Toc13970"/>
      <w:bookmarkStart w:id="833" w:name="_Toc9824"/>
      <w:bookmarkStart w:id="834" w:name="_Toc11516"/>
      <w:bookmarkStart w:id="835" w:name="_Toc5703"/>
      <w:bookmarkStart w:id="836" w:name="_Toc32690"/>
      <w:bookmarkStart w:id="837" w:name="_Toc29413"/>
      <w:bookmarkStart w:id="838" w:name="_Toc26430"/>
      <w:bookmarkStart w:id="839" w:name="_Toc73112416"/>
      <w:bookmarkStart w:id="840" w:name="_Toc16493"/>
      <w:bookmarkStart w:id="841" w:name="_Toc17516"/>
      <w:bookmarkStart w:id="842" w:name="_Toc26880"/>
      <w:bookmarkStart w:id="843" w:name="_Toc22693"/>
      <w:bookmarkStart w:id="844" w:name="_Toc17865"/>
      <w:bookmarkStart w:id="845" w:name="_Toc16867"/>
      <w:bookmarkStart w:id="846" w:name="_Toc1176"/>
      <w:bookmarkStart w:id="847" w:name="_Toc16259"/>
      <w:bookmarkStart w:id="848" w:name="_Toc31039"/>
      <w:bookmarkStart w:id="849" w:name="_Toc3042"/>
      <w:bookmarkStart w:id="850" w:name="_Toc10782"/>
      <w:bookmarkStart w:id="851" w:name="_Toc15028"/>
      <w:bookmarkStart w:id="852" w:name="_Toc13235"/>
      <w:bookmarkStart w:id="853" w:name="_Toc22719"/>
      <w:bookmarkStart w:id="854" w:name="_Toc14504"/>
      <w:bookmarkStart w:id="855" w:name="_Toc21693"/>
      <w:bookmarkStart w:id="856" w:name="_Toc22880"/>
      <w:bookmarkStart w:id="857" w:name="_Toc25347"/>
      <w:bookmarkStart w:id="858" w:name="_Toc19800"/>
      <w:bookmarkStart w:id="859" w:name="_Toc3976"/>
      <w:bookmarkStart w:id="860" w:name="_Toc1420"/>
      <w:bookmarkStart w:id="861" w:name="_Toc25721"/>
      <w:bookmarkStart w:id="862" w:name="_Toc11060"/>
      <w:r>
        <w:rPr>
          <w:rFonts w:hint="eastAsia" w:ascii="仿宋" w:hAnsi="仿宋" w:eastAsia="仿宋" w:cs="仿宋"/>
          <w:b/>
          <w:bCs/>
          <w:color w:val="auto"/>
          <w:highlight w:val="none"/>
        </w:rPr>
        <w:t>2安装调试服务</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2.1根据货物（或生产线）的要求，调试可分空载和负载两个阶段进行；招标方将予以积极配合，协助投标方达到货物（或生产线）的各项技术指标和性能要求。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安装调试与验收期间，若投标方提供的货物（或生产线）涉及到外购外协货物、而且该货物的技术质量等较为关键、功能实现或操作较为困难时，凡招标方提出需求的，投标方应能得到配套厂家的技术支持，并免费为招标方提供安装使用现场的指导与协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2.3投标方提供收费的或免费的、指导安装调试或负责安装调试，至少应在投标文件的报价章节中，予以明确说明。</w:t>
      </w:r>
    </w:p>
    <w:p>
      <w:pPr>
        <w:snapToGrid w:val="0"/>
        <w:spacing w:line="360" w:lineRule="auto"/>
        <w:ind w:left="480"/>
        <w:outlineLvl w:val="1"/>
        <w:rPr>
          <w:rFonts w:ascii="仿宋" w:hAnsi="仿宋" w:eastAsia="仿宋" w:cs="仿宋"/>
          <w:b/>
          <w:bCs/>
          <w:color w:val="auto"/>
          <w:highlight w:val="none"/>
        </w:rPr>
      </w:pPr>
      <w:bookmarkStart w:id="863" w:name="_Toc16337"/>
      <w:bookmarkStart w:id="864" w:name="_Toc10635"/>
      <w:bookmarkStart w:id="865" w:name="_Toc29126"/>
      <w:bookmarkStart w:id="866" w:name="_Toc628"/>
      <w:bookmarkStart w:id="867" w:name="_Toc4751"/>
      <w:bookmarkStart w:id="868" w:name="_Toc29125"/>
      <w:bookmarkStart w:id="869" w:name="_Toc32488"/>
      <w:bookmarkStart w:id="870" w:name="_Toc11229"/>
      <w:bookmarkStart w:id="871" w:name="_Toc218"/>
      <w:bookmarkStart w:id="872" w:name="_Toc1565"/>
      <w:bookmarkStart w:id="873" w:name="_Toc2097"/>
      <w:bookmarkStart w:id="874" w:name="_Toc73112417"/>
      <w:bookmarkStart w:id="875" w:name="_Toc29245"/>
      <w:bookmarkStart w:id="876" w:name="_Toc16706"/>
      <w:bookmarkStart w:id="877" w:name="_Toc1585"/>
      <w:bookmarkStart w:id="878" w:name="_Toc24615"/>
      <w:bookmarkStart w:id="879" w:name="_Toc30193"/>
      <w:bookmarkStart w:id="880" w:name="_Toc7956"/>
      <w:bookmarkStart w:id="881" w:name="_Toc13921"/>
      <w:bookmarkStart w:id="882" w:name="_Toc2510"/>
      <w:bookmarkStart w:id="883" w:name="_Toc12739"/>
      <w:bookmarkStart w:id="884" w:name="_Toc18269"/>
      <w:bookmarkStart w:id="885" w:name="_Toc16435"/>
      <w:bookmarkStart w:id="886" w:name="_Toc16916"/>
      <w:bookmarkStart w:id="887" w:name="_Toc2657"/>
      <w:bookmarkStart w:id="888" w:name="_Toc4076"/>
      <w:bookmarkStart w:id="889" w:name="_Toc3170"/>
      <w:bookmarkStart w:id="890" w:name="_Toc13443"/>
      <w:bookmarkStart w:id="891" w:name="_Toc9878"/>
      <w:bookmarkStart w:id="892" w:name="_Toc32442"/>
      <w:bookmarkStart w:id="893" w:name="_Toc22871"/>
      <w:bookmarkStart w:id="894" w:name="_Toc19674"/>
      <w:bookmarkStart w:id="895" w:name="_Toc8975"/>
      <w:bookmarkStart w:id="896" w:name="_Toc19810"/>
      <w:bookmarkStart w:id="897" w:name="_Toc30398"/>
      <w:bookmarkStart w:id="898" w:name="_Toc9269"/>
      <w:bookmarkStart w:id="899" w:name="_Toc17427"/>
      <w:bookmarkStart w:id="900" w:name="_Toc17284"/>
      <w:bookmarkStart w:id="901" w:name="_Toc9329"/>
      <w:bookmarkStart w:id="902" w:name="_Toc25079"/>
      <w:bookmarkStart w:id="903" w:name="_Toc16373"/>
      <w:bookmarkStart w:id="904" w:name="_Toc7783"/>
      <w:r>
        <w:rPr>
          <w:rFonts w:hint="eastAsia" w:ascii="仿宋" w:hAnsi="仿宋" w:eastAsia="仿宋" w:cs="仿宋"/>
          <w:b/>
          <w:bCs/>
          <w:color w:val="auto"/>
          <w:highlight w:val="none"/>
        </w:rPr>
        <w:t>3验收服务</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3.1投标方在招标方现场进行的货物（或生产线）的预验收和终验收配合或指导，应当是免费的。</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货物（或生产线）验收时，若投标方提供的货物（或生产线）涉及到外购外协货物、而且该货物的技术质量等较为关键、功能实现或操作较为困难时，凡招标方提出需求的，投标方应能得到配套厂家的技术支持，并免费为招标方提供使用现场验收的配合或指导。</w:t>
      </w:r>
    </w:p>
    <w:p>
      <w:pPr>
        <w:tabs>
          <w:tab w:val="left" w:pos="-1800"/>
          <w:tab w:val="left" w:pos="72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3.3在投标方所提供货物（或生产线）需要得到招标方建设项目所在地政府或行业主管部门的查验、试验、验收时，投标方应当免费完成或协助招标方完成所需要的工作、材料和服务等。协助完成的，应当在投标文件报价内容中予以说明，否则视同免费。</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3.4合格验收时，投标方提供测量功能设备及计量器具资质合格证书，招标方根据实际情况进行相关复检，复检合格视为合格。</w:t>
      </w:r>
    </w:p>
    <w:p>
      <w:pPr>
        <w:snapToGrid w:val="0"/>
        <w:spacing w:line="360" w:lineRule="auto"/>
        <w:ind w:left="480"/>
        <w:outlineLvl w:val="1"/>
        <w:rPr>
          <w:rFonts w:ascii="仿宋" w:hAnsi="仿宋" w:eastAsia="仿宋" w:cs="仿宋"/>
          <w:b/>
          <w:bCs/>
          <w:color w:val="auto"/>
          <w:highlight w:val="none"/>
        </w:rPr>
      </w:pPr>
      <w:bookmarkStart w:id="905" w:name="_Toc2093"/>
      <w:bookmarkStart w:id="906" w:name="_Toc19441"/>
      <w:bookmarkStart w:id="907" w:name="_Toc21987"/>
      <w:bookmarkStart w:id="908" w:name="_Toc7478"/>
      <w:bookmarkStart w:id="909" w:name="_Toc542"/>
      <w:bookmarkStart w:id="910" w:name="_Toc32682"/>
      <w:bookmarkStart w:id="911" w:name="_Toc20717"/>
      <w:bookmarkStart w:id="912" w:name="_Toc29778"/>
      <w:bookmarkStart w:id="913" w:name="_Toc17895"/>
      <w:bookmarkStart w:id="914" w:name="_Toc28635"/>
      <w:bookmarkStart w:id="915" w:name="_Toc18968"/>
      <w:bookmarkStart w:id="916" w:name="_Toc26554"/>
      <w:bookmarkStart w:id="917" w:name="_Toc29300"/>
      <w:bookmarkStart w:id="918" w:name="_Toc22392"/>
      <w:bookmarkStart w:id="919" w:name="_Toc6232"/>
      <w:bookmarkStart w:id="920" w:name="_Toc10808"/>
      <w:bookmarkStart w:id="921" w:name="_Toc32079"/>
      <w:bookmarkStart w:id="922" w:name="_Toc6099"/>
      <w:bookmarkStart w:id="923" w:name="_Toc11699"/>
      <w:bookmarkStart w:id="924" w:name="_Toc22965"/>
      <w:bookmarkStart w:id="925" w:name="_Toc1454"/>
      <w:bookmarkStart w:id="926" w:name="_Toc18836"/>
      <w:bookmarkStart w:id="927" w:name="_Toc20916"/>
      <w:bookmarkStart w:id="928" w:name="_Toc4417"/>
      <w:bookmarkStart w:id="929" w:name="_Toc1311"/>
      <w:bookmarkStart w:id="930" w:name="_Toc11213"/>
      <w:bookmarkStart w:id="931" w:name="_Toc29633"/>
      <w:bookmarkStart w:id="932" w:name="_Toc30412"/>
      <w:bookmarkStart w:id="933" w:name="_Toc1199"/>
      <w:bookmarkStart w:id="934" w:name="_Toc14739"/>
      <w:bookmarkStart w:id="935" w:name="_Toc8078"/>
      <w:bookmarkStart w:id="936" w:name="_Toc27224"/>
      <w:bookmarkStart w:id="937" w:name="_Toc20426"/>
      <w:bookmarkStart w:id="938" w:name="_Toc19397"/>
      <w:bookmarkStart w:id="939" w:name="_Toc26773"/>
      <w:bookmarkStart w:id="940" w:name="_Toc10014"/>
      <w:bookmarkStart w:id="941" w:name="_Toc3798"/>
      <w:bookmarkStart w:id="942" w:name="_Toc7782"/>
      <w:bookmarkStart w:id="943" w:name="_Toc20081"/>
      <w:bookmarkStart w:id="944" w:name="_Toc73112418"/>
      <w:bookmarkStart w:id="945" w:name="_Toc9592"/>
      <w:bookmarkStart w:id="946" w:name="_Toc17056"/>
      <w:r>
        <w:rPr>
          <w:rFonts w:hint="eastAsia" w:ascii="仿宋" w:hAnsi="仿宋" w:eastAsia="仿宋" w:cs="仿宋"/>
          <w:b/>
          <w:bCs/>
          <w:color w:val="auto"/>
          <w:highlight w:val="none"/>
        </w:rPr>
        <w:t>4售后服务</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4.1所有的售后服务均由投标方受理。如果发生问题并且收到报告，投标方应当在2小时内予以答复。</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4.2如发现所提供的货物（或生产线）存在问题，需要投标方解决或配合解决时：在质保期之内，应在接到通知后</w:t>
      </w:r>
      <w:r>
        <w:rPr>
          <w:rFonts w:hint="eastAsia" w:ascii="仿宋" w:hAnsi="仿宋" w:eastAsia="仿宋" w:cs="仿宋"/>
          <w:color w:val="auto"/>
          <w:highlight w:val="none"/>
          <w:u w:val="single"/>
          <w:shd w:val="pct10" w:color="auto" w:fill="FFFFFF"/>
        </w:rPr>
        <w:t>24</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小时内派有关人员到达现场；在质保期之外，应在接到通知后</w:t>
      </w:r>
      <w:r>
        <w:rPr>
          <w:rFonts w:hint="eastAsia" w:ascii="仿宋" w:hAnsi="仿宋" w:eastAsia="仿宋" w:cs="仿宋"/>
          <w:color w:val="auto"/>
          <w:highlight w:val="none"/>
          <w:u w:val="single"/>
          <w:shd w:val="pct10" w:color="auto" w:fill="FFFFFF"/>
        </w:rPr>
        <w:t>48</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4.3投标方派往招标方使用现场的人员，应具有较高的业务素质；现场解决问题时，不得无故拖延或推迟，应为招标方提供最佳的服务。</w:t>
      </w:r>
    </w:p>
    <w:p>
      <w:pPr>
        <w:adjustRightInd w:val="0"/>
        <w:snapToGrid w:val="0"/>
        <w:spacing w:line="360" w:lineRule="auto"/>
        <w:ind w:firstLine="420" w:firstLineChars="200"/>
        <w:rPr>
          <w:rFonts w:hint="eastAsia" w:eastAsia="仿宋"/>
          <w:color w:val="auto"/>
          <w:highlight w:val="none"/>
          <w:lang w:eastAsia="zh-CN"/>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4设备（或生产线）在使用周期内，投标方免费派遣技术人员与甲方调试团队共同进行设备通讯接口的调试工作。</w:t>
      </w:r>
    </w:p>
    <w:p>
      <w:pPr>
        <w:snapToGrid w:val="0"/>
        <w:spacing w:line="360" w:lineRule="auto"/>
        <w:ind w:left="480"/>
        <w:outlineLvl w:val="1"/>
        <w:rPr>
          <w:rFonts w:ascii="仿宋" w:hAnsi="仿宋" w:eastAsia="仿宋" w:cs="仿宋"/>
          <w:b/>
          <w:bCs/>
          <w:color w:val="auto"/>
          <w:highlight w:val="none"/>
        </w:rPr>
      </w:pPr>
      <w:bookmarkStart w:id="947" w:name="_Toc19301"/>
      <w:bookmarkStart w:id="948" w:name="_Toc32502"/>
      <w:bookmarkStart w:id="949" w:name="_Toc17891"/>
      <w:bookmarkStart w:id="950" w:name="_Toc30999"/>
      <w:bookmarkStart w:id="951" w:name="_Toc31498"/>
      <w:bookmarkStart w:id="952" w:name="_Toc27505"/>
      <w:bookmarkStart w:id="953" w:name="_Toc913"/>
      <w:bookmarkStart w:id="954" w:name="_Toc12294"/>
      <w:bookmarkStart w:id="955" w:name="_Toc6730"/>
      <w:bookmarkStart w:id="956" w:name="_Toc1118"/>
      <w:bookmarkStart w:id="957" w:name="_Toc26976"/>
      <w:bookmarkStart w:id="958" w:name="_Toc26287"/>
      <w:bookmarkStart w:id="959" w:name="_Toc28927"/>
      <w:bookmarkStart w:id="960" w:name="_Toc9982"/>
      <w:bookmarkStart w:id="961" w:name="_Toc3819"/>
      <w:bookmarkStart w:id="962" w:name="_Toc6984"/>
      <w:bookmarkStart w:id="963" w:name="_Toc18148"/>
      <w:bookmarkStart w:id="964" w:name="_Toc20936"/>
      <w:bookmarkStart w:id="965" w:name="_Toc13974"/>
      <w:bookmarkStart w:id="966" w:name="_Toc22732"/>
      <w:bookmarkStart w:id="967" w:name="_Toc115"/>
      <w:bookmarkStart w:id="968" w:name="_Toc21895"/>
      <w:bookmarkStart w:id="969" w:name="_Toc6107"/>
      <w:bookmarkStart w:id="970" w:name="_Toc30887"/>
      <w:bookmarkStart w:id="971" w:name="_Toc27285"/>
      <w:bookmarkStart w:id="972" w:name="_Toc27733"/>
      <w:bookmarkStart w:id="973" w:name="_Toc6354"/>
      <w:bookmarkStart w:id="974" w:name="_Toc32366"/>
      <w:bookmarkStart w:id="975" w:name="_Toc16849"/>
      <w:bookmarkStart w:id="976" w:name="_Toc22593"/>
      <w:bookmarkStart w:id="977" w:name="_Toc25242"/>
      <w:bookmarkStart w:id="978" w:name="_Toc26623"/>
      <w:bookmarkStart w:id="979" w:name="_Toc14349"/>
      <w:bookmarkStart w:id="980" w:name="_Toc25994"/>
      <w:bookmarkStart w:id="981" w:name="_Toc10752"/>
      <w:bookmarkStart w:id="982" w:name="_Toc73112419"/>
      <w:bookmarkStart w:id="983" w:name="_Toc25693"/>
      <w:bookmarkStart w:id="984" w:name="_Toc20327"/>
      <w:bookmarkStart w:id="985" w:name="_Toc9688"/>
      <w:bookmarkStart w:id="986" w:name="_Toc7130"/>
      <w:bookmarkStart w:id="987" w:name="_Toc4793"/>
      <w:bookmarkStart w:id="988" w:name="_Toc1573"/>
      <w:r>
        <w:rPr>
          <w:rFonts w:hint="eastAsia" w:ascii="仿宋" w:hAnsi="仿宋" w:eastAsia="仿宋" w:cs="仿宋"/>
          <w:b/>
          <w:bCs/>
          <w:color w:val="auto"/>
          <w:highlight w:val="none"/>
        </w:rPr>
        <w:t>5其它服务</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5.1若投标方所提供货物（或生产线）有需要进口的，投标方一般应自行、自费办理；必要时，招标方和投标方共同办理。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5.2除招标文件、投标文件、答疑文件、技术协议、合同等约定之外，投标方应免费负责必要的或强制性的货物（或生产线）的检验、试验、化验等直接费用。</w:t>
      </w:r>
      <w:bookmarkStart w:id="989" w:name="_Toc133783974"/>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990" w:name="_Toc19208"/>
      <w:bookmarkStart w:id="991" w:name="_Toc32409"/>
      <w:bookmarkStart w:id="992" w:name="_Toc2800"/>
      <w:bookmarkStart w:id="993" w:name="_Toc30293"/>
      <w:bookmarkStart w:id="994" w:name="_Toc9121"/>
      <w:bookmarkStart w:id="995" w:name="_Toc29269"/>
      <w:bookmarkStart w:id="996" w:name="_Toc9482"/>
      <w:bookmarkStart w:id="997" w:name="_Toc19942"/>
      <w:bookmarkStart w:id="998" w:name="_Toc25825"/>
      <w:bookmarkStart w:id="999" w:name="_Toc8076"/>
      <w:bookmarkStart w:id="1000" w:name="_Toc10492"/>
      <w:bookmarkStart w:id="1001" w:name="_Toc26489"/>
      <w:bookmarkStart w:id="1002" w:name="_Toc73112420"/>
      <w:bookmarkStart w:id="1003" w:name="_Toc23730"/>
      <w:bookmarkStart w:id="1004" w:name="_Toc16355"/>
      <w:bookmarkStart w:id="1005" w:name="_Toc10438"/>
      <w:bookmarkStart w:id="1006" w:name="_Toc13250"/>
      <w:bookmarkStart w:id="1007" w:name="_Toc7461"/>
      <w:bookmarkStart w:id="1008" w:name="_Toc18030"/>
      <w:bookmarkStart w:id="1009" w:name="_Toc27484"/>
      <w:bookmarkStart w:id="1010" w:name="_Toc10873"/>
      <w:bookmarkStart w:id="1011" w:name="_Toc13895"/>
      <w:bookmarkStart w:id="1012" w:name="_Toc29777"/>
      <w:bookmarkStart w:id="1013" w:name="_Toc25057"/>
      <w:bookmarkStart w:id="1014" w:name="_Toc5996"/>
      <w:bookmarkStart w:id="1015" w:name="_Toc18621"/>
      <w:bookmarkStart w:id="1016" w:name="_Toc4011"/>
      <w:bookmarkStart w:id="1017" w:name="_Toc5013"/>
      <w:bookmarkStart w:id="1018" w:name="_Toc32483"/>
      <w:bookmarkStart w:id="1019" w:name="_Toc24752"/>
      <w:bookmarkStart w:id="1020" w:name="_Toc16312"/>
      <w:bookmarkStart w:id="1021" w:name="_Toc9498"/>
      <w:bookmarkStart w:id="1022" w:name="_Toc2140"/>
      <w:bookmarkStart w:id="1023" w:name="_Toc21122"/>
      <w:bookmarkStart w:id="1024" w:name="_Toc11150"/>
      <w:bookmarkStart w:id="1025" w:name="_Toc6228"/>
      <w:bookmarkStart w:id="1026" w:name="_Toc12013"/>
      <w:bookmarkStart w:id="1027" w:name="_Toc8547"/>
      <w:bookmarkStart w:id="1028" w:name="_Toc22725"/>
      <w:bookmarkStart w:id="1029" w:name="_Toc12454"/>
      <w:bookmarkStart w:id="1030" w:name="_Toc15356"/>
      <w:bookmarkStart w:id="1031" w:name="_Toc14411"/>
      <w:bookmarkStart w:id="1032" w:name="_Toc19017"/>
      <w:r>
        <w:rPr>
          <w:rFonts w:hint="eastAsia" w:ascii="仿宋" w:hAnsi="仿宋" w:eastAsia="仿宋" w:cs="仿宋"/>
          <w:b/>
          <w:bCs/>
          <w:color w:val="auto"/>
          <w:highlight w:val="none"/>
        </w:rPr>
        <w:t>第五章预验收和终验收</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snapToGrid w:val="0"/>
        <w:spacing w:line="360" w:lineRule="auto"/>
        <w:ind w:left="482"/>
        <w:outlineLvl w:val="1"/>
        <w:rPr>
          <w:rFonts w:ascii="仿宋" w:hAnsi="仿宋" w:eastAsia="仿宋" w:cs="仿宋"/>
          <w:b/>
          <w:bCs/>
          <w:color w:val="auto"/>
          <w:highlight w:val="none"/>
        </w:rPr>
      </w:pPr>
      <w:bookmarkStart w:id="1033" w:name="_Toc7191"/>
      <w:bookmarkStart w:id="1034" w:name="_Toc27225"/>
      <w:bookmarkStart w:id="1035" w:name="_Toc23191"/>
      <w:bookmarkStart w:id="1036" w:name="_Toc7463"/>
      <w:bookmarkStart w:id="1037" w:name="_Toc13718"/>
      <w:bookmarkStart w:id="1038" w:name="_Toc10033"/>
      <w:bookmarkStart w:id="1039" w:name="_Toc1286"/>
      <w:bookmarkStart w:id="1040" w:name="_Toc24809"/>
      <w:bookmarkStart w:id="1041" w:name="_Toc4070"/>
      <w:bookmarkStart w:id="1042" w:name="_Toc29964"/>
      <w:bookmarkStart w:id="1043" w:name="_Toc7184"/>
      <w:bookmarkStart w:id="1044" w:name="_Toc73112421"/>
      <w:bookmarkStart w:id="1045" w:name="_Toc5401"/>
      <w:bookmarkStart w:id="1046" w:name="_Toc31478"/>
      <w:bookmarkStart w:id="1047" w:name="_Toc14965"/>
      <w:bookmarkStart w:id="1048" w:name="_Toc28506"/>
      <w:bookmarkStart w:id="1049" w:name="_Toc12239"/>
      <w:bookmarkStart w:id="1050" w:name="_Toc28073"/>
      <w:bookmarkStart w:id="1051" w:name="_Toc6378"/>
      <w:bookmarkStart w:id="1052" w:name="_Toc242"/>
      <w:bookmarkStart w:id="1053" w:name="_Toc21206"/>
      <w:bookmarkStart w:id="1054" w:name="_Toc22207"/>
      <w:bookmarkStart w:id="1055" w:name="_Toc17620"/>
      <w:bookmarkStart w:id="1056" w:name="_Toc3676"/>
      <w:bookmarkStart w:id="1057" w:name="_Toc27448"/>
      <w:bookmarkStart w:id="1058" w:name="_Toc12676"/>
      <w:bookmarkStart w:id="1059" w:name="_Toc15025"/>
      <w:bookmarkStart w:id="1060" w:name="_Toc2326"/>
      <w:bookmarkStart w:id="1061" w:name="_Toc29287"/>
      <w:bookmarkStart w:id="1062" w:name="_Toc27951"/>
      <w:bookmarkStart w:id="1063" w:name="_Toc6924"/>
      <w:bookmarkStart w:id="1064" w:name="_Toc29608"/>
      <w:bookmarkStart w:id="1065" w:name="_Toc9902"/>
      <w:bookmarkStart w:id="1066" w:name="_Toc25574"/>
      <w:bookmarkStart w:id="1067" w:name="_Toc22140"/>
      <w:bookmarkStart w:id="1068" w:name="_Toc21557"/>
      <w:bookmarkStart w:id="1069" w:name="_Toc14541"/>
      <w:bookmarkStart w:id="1070" w:name="_Toc23231"/>
      <w:bookmarkStart w:id="1071" w:name="_Toc24517"/>
      <w:bookmarkStart w:id="1072" w:name="_Toc11331"/>
      <w:bookmarkStart w:id="1073" w:name="_Toc22981"/>
      <w:bookmarkStart w:id="1074" w:name="_Toc29611"/>
      <w:r>
        <w:rPr>
          <w:rFonts w:hint="eastAsia" w:ascii="仿宋" w:hAnsi="仿宋" w:eastAsia="仿宋" w:cs="仿宋"/>
          <w:b/>
          <w:bCs/>
          <w:color w:val="auto"/>
          <w:highlight w:val="none"/>
        </w:rPr>
        <w:t>1验收的一般约定</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1.1验收标准一般以技术协议书和合同规定验收。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1.2如果验收过程中，发现招标文件、投标文件、答疑文件、技术交流文件等与技术协议书、合同存在差异，原则上以涉及条款中对买方最有利条款为验收依据。</w:t>
      </w:r>
    </w:p>
    <w:p>
      <w:pPr>
        <w:snapToGrid w:val="0"/>
        <w:spacing w:line="360" w:lineRule="auto"/>
        <w:ind w:left="482"/>
        <w:outlineLvl w:val="1"/>
        <w:rPr>
          <w:rFonts w:ascii="仿宋" w:hAnsi="仿宋" w:eastAsia="仿宋" w:cs="仿宋"/>
          <w:b/>
          <w:bCs/>
          <w:color w:val="auto"/>
          <w:highlight w:val="none"/>
        </w:rPr>
      </w:pPr>
      <w:bookmarkStart w:id="1075" w:name="_Toc21414"/>
      <w:bookmarkStart w:id="1076" w:name="_Toc73112422"/>
      <w:bookmarkStart w:id="1077" w:name="_Toc10568"/>
      <w:bookmarkStart w:id="1078" w:name="_Toc22558"/>
      <w:bookmarkStart w:id="1079" w:name="_Toc27120"/>
      <w:bookmarkStart w:id="1080" w:name="_Toc32581"/>
      <w:bookmarkStart w:id="1081" w:name="_Toc10200"/>
      <w:bookmarkStart w:id="1082" w:name="_Toc30274"/>
      <w:bookmarkStart w:id="1083" w:name="_Toc25951"/>
      <w:bookmarkStart w:id="1084" w:name="_Toc11335"/>
      <w:bookmarkStart w:id="1085" w:name="_Toc18517"/>
      <w:bookmarkStart w:id="1086" w:name="_Toc19505"/>
      <w:bookmarkStart w:id="1087" w:name="_Toc28873"/>
      <w:bookmarkStart w:id="1088" w:name="_Toc8338"/>
      <w:bookmarkStart w:id="1089" w:name="_Toc513"/>
      <w:bookmarkStart w:id="1090" w:name="_Toc23133"/>
      <w:bookmarkStart w:id="1091" w:name="_Toc9729"/>
      <w:bookmarkStart w:id="1092" w:name="_Toc11248"/>
      <w:bookmarkStart w:id="1093" w:name="_Toc2310"/>
      <w:bookmarkStart w:id="1094" w:name="_Toc23919"/>
      <w:bookmarkStart w:id="1095" w:name="_Toc8093"/>
      <w:bookmarkStart w:id="1096" w:name="_Toc6471"/>
      <w:bookmarkStart w:id="1097" w:name="_Toc21722"/>
      <w:bookmarkStart w:id="1098" w:name="_Toc28925"/>
      <w:bookmarkStart w:id="1099" w:name="_Toc16943"/>
      <w:bookmarkStart w:id="1100" w:name="_Toc20876"/>
      <w:bookmarkStart w:id="1101" w:name="_Toc21568"/>
      <w:bookmarkStart w:id="1102" w:name="_Toc27467"/>
      <w:bookmarkStart w:id="1103" w:name="_Toc15379"/>
      <w:bookmarkStart w:id="1104" w:name="_Toc1155"/>
      <w:bookmarkStart w:id="1105" w:name="_Toc6206"/>
      <w:bookmarkStart w:id="1106" w:name="_Toc13736"/>
      <w:bookmarkStart w:id="1107" w:name="_Toc22158"/>
      <w:bookmarkStart w:id="1108" w:name="_Toc17335"/>
      <w:bookmarkStart w:id="1109" w:name="_Toc13173"/>
      <w:bookmarkStart w:id="1110" w:name="_Toc8742"/>
      <w:bookmarkStart w:id="1111" w:name="_Toc17720"/>
      <w:bookmarkStart w:id="1112" w:name="_Toc8916"/>
      <w:bookmarkStart w:id="1113" w:name="_Toc7457"/>
      <w:bookmarkStart w:id="1114" w:name="_Toc29669"/>
      <w:bookmarkStart w:id="1115" w:name="_Toc7863"/>
      <w:bookmarkStart w:id="1116" w:name="_Toc31116"/>
      <w:r>
        <w:rPr>
          <w:rFonts w:hint="eastAsia" w:ascii="仿宋" w:hAnsi="仿宋" w:eastAsia="仿宋" w:cs="仿宋"/>
          <w:b/>
          <w:bCs/>
          <w:color w:val="auto"/>
          <w:highlight w:val="none"/>
        </w:rPr>
        <w:t>2检验</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2.1国产货物（或生产线）的检验由卖买双方按照合同要求或在制造现场进行。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2.2进口货物（或生产线）的检验按照下述要求进行：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2.1.1进口货物（或生产线）发货前，卖方应对货物（或生产线）的质量、型号、规格、性能和数量/重量作精密、全面的检验，并出具证明书，证明所供货物（或生产线）符合合同规定。</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2.1.2卖方应依据合同规定的要求，提供买卖双方达成一致的货物（或生产线）的验收标准和装箱单，作为买方检验的依据。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2.1.3进口货物（或生产线）到达目的地后，买方有权申请中国商品检验检疫局进行检验，如发现货物（或生产线）的品质及规格与合同或发票不符，除买方的责任外，买方有权在货物（或生产线）到达卸货目的地后</w:t>
      </w:r>
      <w:r>
        <w:rPr>
          <w:rFonts w:hint="eastAsia" w:ascii="仿宋" w:hAnsi="仿宋" w:eastAsia="仿宋" w:cs="仿宋"/>
          <w:color w:val="auto"/>
          <w:highlight w:val="none"/>
          <w:shd w:val="pct10" w:color="auto" w:fill="FFFFFF"/>
        </w:rPr>
        <w:t>180</w:t>
      </w:r>
      <w:r>
        <w:rPr>
          <w:rFonts w:hint="eastAsia" w:ascii="仿宋" w:hAnsi="仿宋" w:eastAsia="仿宋" w:cs="仿宋"/>
          <w:color w:val="auto"/>
          <w:highlight w:val="none"/>
        </w:rPr>
        <w:t>个日历日内，根据中国商品检验检疫局出具的证明书向卖方提出索赔，因索赔所发生的一切费用(包括检验检疫费等)均由卖方承担。</w:t>
      </w:r>
    </w:p>
    <w:p>
      <w:pPr>
        <w:snapToGrid w:val="0"/>
        <w:spacing w:line="360" w:lineRule="auto"/>
        <w:ind w:left="482"/>
        <w:outlineLvl w:val="1"/>
        <w:rPr>
          <w:rFonts w:ascii="仿宋" w:hAnsi="仿宋" w:eastAsia="仿宋" w:cs="仿宋"/>
          <w:b/>
          <w:bCs/>
          <w:color w:val="auto"/>
          <w:highlight w:val="none"/>
        </w:rPr>
      </w:pPr>
      <w:bookmarkStart w:id="1117" w:name="_Toc32111"/>
      <w:bookmarkStart w:id="1118" w:name="_Toc27538"/>
      <w:bookmarkStart w:id="1119" w:name="_Toc29497"/>
      <w:bookmarkStart w:id="1120" w:name="_Toc25654"/>
      <w:bookmarkStart w:id="1121" w:name="_Toc228"/>
      <w:bookmarkStart w:id="1122" w:name="_Toc10879"/>
      <w:bookmarkStart w:id="1123" w:name="_Toc17499"/>
      <w:bookmarkStart w:id="1124" w:name="_Toc21757"/>
      <w:bookmarkStart w:id="1125" w:name="_Toc30797"/>
      <w:bookmarkStart w:id="1126" w:name="_Toc14844"/>
      <w:bookmarkStart w:id="1127" w:name="_Toc1969"/>
      <w:bookmarkStart w:id="1128" w:name="_Toc11846"/>
      <w:bookmarkStart w:id="1129" w:name="_Toc8128"/>
      <w:bookmarkStart w:id="1130" w:name="_Toc8214"/>
      <w:bookmarkStart w:id="1131" w:name="_Toc14993"/>
      <w:bookmarkStart w:id="1132" w:name="_Toc14587"/>
      <w:bookmarkStart w:id="1133" w:name="_Toc5653"/>
      <w:bookmarkStart w:id="1134" w:name="_Toc23250"/>
      <w:bookmarkStart w:id="1135" w:name="_Toc19311"/>
      <w:bookmarkStart w:id="1136" w:name="_Toc27145"/>
      <w:bookmarkStart w:id="1137" w:name="_Toc8664"/>
      <w:bookmarkStart w:id="1138" w:name="_Toc73112423"/>
      <w:bookmarkStart w:id="1139" w:name="_Toc18595"/>
      <w:bookmarkStart w:id="1140" w:name="_Toc27310"/>
      <w:bookmarkStart w:id="1141" w:name="_Toc11780"/>
      <w:bookmarkStart w:id="1142" w:name="_Toc14904"/>
      <w:bookmarkStart w:id="1143" w:name="_Toc16878"/>
      <w:bookmarkStart w:id="1144" w:name="_Toc1461"/>
      <w:bookmarkStart w:id="1145" w:name="_Toc18036"/>
      <w:bookmarkStart w:id="1146" w:name="_Toc22379"/>
      <w:bookmarkStart w:id="1147" w:name="_Toc1041"/>
      <w:bookmarkStart w:id="1148" w:name="_Toc16665"/>
      <w:bookmarkStart w:id="1149" w:name="_Toc27629"/>
      <w:bookmarkStart w:id="1150" w:name="_Toc31780"/>
      <w:bookmarkStart w:id="1151" w:name="_Toc5604"/>
      <w:bookmarkStart w:id="1152" w:name="_Toc8477"/>
      <w:bookmarkStart w:id="1153" w:name="_Toc27594"/>
      <w:bookmarkStart w:id="1154" w:name="_Toc23252"/>
      <w:bookmarkStart w:id="1155" w:name="_Toc15488"/>
      <w:bookmarkStart w:id="1156" w:name="_Toc28225"/>
      <w:bookmarkStart w:id="1157" w:name="_Toc6506"/>
      <w:bookmarkStart w:id="1158" w:name="_Toc21487"/>
      <w:r>
        <w:rPr>
          <w:rFonts w:hint="eastAsia" w:ascii="仿宋" w:hAnsi="仿宋" w:eastAsia="仿宋" w:cs="仿宋"/>
          <w:b/>
          <w:bCs/>
          <w:color w:val="auto"/>
          <w:highlight w:val="none"/>
        </w:rPr>
        <w:t>3验收条件</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买卖双方按照合同约定执行了合同，同时货物（或生产线）完成了试运行并经检验合格，则具备验收条件。</w:t>
      </w:r>
    </w:p>
    <w:p>
      <w:pPr>
        <w:adjustRightInd w:val="0"/>
        <w:snapToGrid w:val="0"/>
        <w:spacing w:line="360" w:lineRule="auto"/>
        <w:ind w:firstLine="420" w:firstLineChars="200"/>
        <w:rPr>
          <w:rFonts w:ascii="仿宋" w:hAnsi="仿宋" w:eastAsia="仿宋" w:cs="仿宋"/>
          <w:color w:val="auto"/>
          <w:highlight w:val="none"/>
        </w:rPr>
      </w:pPr>
      <w:bookmarkStart w:id="1159" w:name="_Toc25547"/>
      <w:bookmarkStart w:id="1160" w:name="_Toc16622"/>
      <w:bookmarkStart w:id="1161" w:name="_Toc24921"/>
      <w:bookmarkStart w:id="1162" w:name="_Toc20087"/>
      <w:bookmarkStart w:id="1163" w:name="_Toc17709"/>
      <w:bookmarkStart w:id="1164" w:name="_Toc31639"/>
      <w:bookmarkStart w:id="1165" w:name="_Toc27856"/>
      <w:bookmarkStart w:id="1166" w:name="_Toc20504"/>
      <w:bookmarkStart w:id="1167" w:name="_Toc10586"/>
      <w:bookmarkStart w:id="1168" w:name="_Toc5952"/>
      <w:bookmarkStart w:id="1169" w:name="_Toc24814"/>
      <w:bookmarkStart w:id="1170" w:name="_Toc18487"/>
      <w:bookmarkStart w:id="1171" w:name="_Toc771"/>
      <w:bookmarkStart w:id="1172" w:name="_Toc362"/>
      <w:bookmarkStart w:id="1173" w:name="_Toc7303"/>
      <w:bookmarkStart w:id="1174" w:name="_Toc24377"/>
      <w:bookmarkStart w:id="1175" w:name="_Toc11412"/>
      <w:bookmarkStart w:id="1176" w:name="_Toc21811"/>
      <w:bookmarkStart w:id="1177" w:name="_Toc6977"/>
      <w:bookmarkStart w:id="1178" w:name="_Toc10389"/>
      <w:bookmarkStart w:id="1179" w:name="_Toc18903"/>
      <w:bookmarkStart w:id="1180" w:name="_Toc11902"/>
      <w:bookmarkStart w:id="1181" w:name="_Toc6731"/>
      <w:bookmarkStart w:id="1182" w:name="_Toc18963"/>
      <w:bookmarkStart w:id="1183" w:name="_Toc5473"/>
      <w:bookmarkStart w:id="1184" w:name="_Toc4157"/>
      <w:bookmarkStart w:id="1185" w:name="_Toc31328"/>
      <w:bookmarkStart w:id="1186" w:name="_Toc1849"/>
      <w:bookmarkStart w:id="1187" w:name="_Toc23170"/>
      <w:bookmarkStart w:id="1188" w:name="_Toc19344"/>
      <w:bookmarkStart w:id="1189" w:name="_Toc3034"/>
      <w:bookmarkStart w:id="1190" w:name="_Toc22247"/>
      <w:bookmarkStart w:id="1191" w:name="_Toc27848"/>
      <w:bookmarkStart w:id="1192" w:name="_Toc16974"/>
      <w:bookmarkStart w:id="1193" w:name="_Toc30563"/>
      <w:bookmarkStart w:id="1194" w:name="_Toc23548"/>
      <w:bookmarkStart w:id="1195" w:name="_Toc10052"/>
      <w:bookmarkStart w:id="1196" w:name="_Toc11234"/>
      <w:bookmarkStart w:id="1197" w:name="_Toc9015"/>
      <w:bookmarkStart w:id="1198" w:name="_Toc4741"/>
      <w:bookmarkStart w:id="1199" w:name="_Toc32498"/>
      <w:r>
        <w:rPr>
          <w:rFonts w:hint="eastAsia" w:ascii="仿宋" w:hAnsi="仿宋" w:eastAsia="仿宋" w:cs="仿宋"/>
          <w:color w:val="auto"/>
          <w:highlight w:val="none"/>
        </w:rPr>
        <w:t>3.1预验收一般条件</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3.1.1卖方已经按照“供货范围”要求提供了预验收资料，并且资料齐全、完整和有效。</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3.1.2货物（或生产线）应运行稳定、可靠、安全，无非正常变形，非正常振动，无异常声音；无漏水、漏液、漏气（汽）、漏电等现象。运动的零部件（如链条、联轴器、离合器、主轴、工作台等）动作平稳、灵活运动准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3.1.3货物（或生产线）应完整且所有的零部件应该安装安全、牢固，外观无损伤，所有的焊缝饱满、无残渣等缺陷。</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3.1.4一般情况下，所有的管路和线缆等，接头应完全正确、可靠地联接；应排列有序（正确、牢固、整齐），有必要的防护，无皱褶、收缩和裂缝等不良现象。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3.1.5货物（或生产线）的润滑系统工作正常、可靠，润滑点易于到达。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3.1.6使用的压力容器、电气等应具备合格证（如果有压力容器），</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3.1.7货物（或生产线）的油漆质量应饱满、有光泽，无掉漆、无色差、无“桔皮”等不良现象（特殊标志除外）。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3.1.8货物（或生产线）标牌完整、清晰、明确。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3.1.9地线联接和地极符合国际（ISO/IEC）标准规范。</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3.1.10货物（或生产线）的安全要求符合中国最新的相关法律、法规、标准和规范以及合同要求。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3.1.11预验收试件的发放：试件品种及数量由技术协议约定，试件由招标方发到中标方所产生的一切费用（或损失）由中标方承担。</w:t>
      </w:r>
    </w:p>
    <w:p>
      <w:pPr>
        <w:adjustRightInd w:val="0"/>
        <w:snapToGrid w:val="0"/>
        <w:spacing w:line="360" w:lineRule="auto"/>
        <w:ind w:firstLine="420" w:firstLineChars="200"/>
        <w:rPr>
          <w:rFonts w:ascii="仿宋" w:hAnsi="仿宋" w:eastAsia="仿宋" w:cs="仿宋"/>
          <w:color w:val="auto"/>
          <w:highlight w:val="none"/>
        </w:rPr>
      </w:pPr>
      <w:bookmarkStart w:id="1200" w:name="_Toc21629"/>
      <w:bookmarkStart w:id="1201" w:name="_Toc8879"/>
      <w:bookmarkStart w:id="1202" w:name="_Toc20374"/>
      <w:bookmarkStart w:id="1203" w:name="_Toc6062"/>
      <w:bookmarkStart w:id="1204" w:name="_Toc18823"/>
      <w:bookmarkStart w:id="1205" w:name="_Toc17523"/>
      <w:bookmarkStart w:id="1206" w:name="_Toc4643"/>
      <w:bookmarkStart w:id="1207" w:name="_Toc24950"/>
      <w:bookmarkStart w:id="1208" w:name="_Toc11537"/>
      <w:bookmarkStart w:id="1209" w:name="_Toc1293"/>
      <w:bookmarkStart w:id="1210" w:name="_Toc8938"/>
      <w:bookmarkStart w:id="1211" w:name="_Toc931"/>
      <w:bookmarkStart w:id="1212" w:name="_Toc16821"/>
      <w:bookmarkStart w:id="1213" w:name="_Toc5422"/>
      <w:bookmarkStart w:id="1214" w:name="_Toc26496"/>
      <w:bookmarkStart w:id="1215" w:name="_Toc12439"/>
      <w:bookmarkStart w:id="1216" w:name="_Toc30498"/>
      <w:bookmarkStart w:id="1217" w:name="_Toc14552"/>
      <w:bookmarkStart w:id="1218" w:name="_Toc12987"/>
      <w:bookmarkStart w:id="1219" w:name="_Toc21953"/>
      <w:bookmarkStart w:id="1220" w:name="_Toc24874"/>
      <w:bookmarkStart w:id="1221" w:name="_Toc29327"/>
      <w:bookmarkStart w:id="1222" w:name="_Toc7060"/>
      <w:bookmarkStart w:id="1223" w:name="_Toc21671"/>
      <w:bookmarkStart w:id="1224" w:name="_Toc2362"/>
      <w:bookmarkStart w:id="1225" w:name="_Toc29661"/>
      <w:bookmarkStart w:id="1226" w:name="_Toc2134"/>
      <w:bookmarkStart w:id="1227" w:name="_Toc22891"/>
      <w:bookmarkStart w:id="1228" w:name="_Toc15751"/>
      <w:bookmarkStart w:id="1229" w:name="_Toc4066"/>
      <w:bookmarkStart w:id="1230" w:name="_Toc27491"/>
      <w:bookmarkStart w:id="1231" w:name="_Toc9105"/>
      <w:bookmarkStart w:id="1232" w:name="_Toc17491"/>
      <w:bookmarkStart w:id="1233" w:name="_Toc19887"/>
      <w:bookmarkStart w:id="1234" w:name="_Toc8320"/>
      <w:bookmarkStart w:id="1235" w:name="_Toc19728"/>
      <w:bookmarkStart w:id="1236" w:name="_Toc4108"/>
      <w:bookmarkStart w:id="1237" w:name="_Toc3329"/>
      <w:bookmarkStart w:id="1238" w:name="_Toc17924"/>
      <w:bookmarkStart w:id="1239" w:name="_Toc28390"/>
      <w:bookmarkStart w:id="1240" w:name="_Toc23596"/>
      <w:r>
        <w:rPr>
          <w:rFonts w:hint="eastAsia" w:ascii="仿宋" w:hAnsi="仿宋" w:eastAsia="仿宋" w:cs="仿宋"/>
          <w:color w:val="auto"/>
          <w:highlight w:val="none"/>
        </w:rPr>
        <w:t>3.2终验收一般条件</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3.2.1经过预验收而且没有出现新的质量问题，或者满足预验收条款。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3.2.2货物（或生产线）安装调试完毕，并至少经过了验收要求的负荷试运行。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3.2.3货物（或生产线）正常运行时，噪声等环境影响因素满足国家（《工作场所物理因素测量 噪声》GBZ/T 189.8-2007. 噪音≤80dB(A)）和当地环保主管部门规定。投标方需提供由第三方检测机构出具的检测报告 ，检测事宜及费用由投标方负责，招标方负责相关配合协调工作。</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3.2.4计量仪器、仪表配套合理，采用中国的法定计量单位，计量准确、灵敏可靠。保证设计指标和仪器说明书的参数的实现。</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3.2.5试运行期间或之后无维修、调整等行为（特殊情况除外）。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3.2.6货物（或生产线）质量、技术性能等，达到签定的技术协议书和合同规定的终验收标准。</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3.2.7试件：终验收完成前的所有试件，</w:t>
      </w:r>
      <w:r>
        <w:rPr>
          <w:rFonts w:hint="eastAsia" w:ascii="仿宋" w:hAnsi="仿宋" w:eastAsia="仿宋" w:cs="仿宋"/>
          <w:color w:val="auto"/>
          <w:highlight w:val="none"/>
          <w:lang w:val="en-US" w:eastAsia="zh-CN"/>
        </w:rPr>
        <w:t>每套量仪</w:t>
      </w:r>
      <w:r>
        <w:rPr>
          <w:rFonts w:hint="eastAsia" w:ascii="仿宋" w:hAnsi="仿宋" w:eastAsia="仿宋" w:cs="仿宋"/>
          <w:color w:val="auto"/>
          <w:highlight w:val="none"/>
        </w:rPr>
        <w:t>可允许报废</w:t>
      </w:r>
      <w:r>
        <w:rPr>
          <w:rFonts w:hint="eastAsia" w:ascii="仿宋" w:hAnsi="仿宋" w:eastAsia="仿宋" w:cs="仿宋"/>
          <w:color w:val="auto"/>
          <w:highlight w:val="none"/>
          <w:shd w:val="pct10" w:color="auto" w:fill="FFFFFF"/>
        </w:rPr>
        <w:t>5</w:t>
      </w:r>
      <w:r>
        <w:rPr>
          <w:rFonts w:hint="eastAsia" w:ascii="仿宋" w:hAnsi="仿宋" w:eastAsia="仿宋" w:cs="仿宋"/>
          <w:color w:val="auto"/>
          <w:highlight w:val="none"/>
        </w:rPr>
        <w:t>件，超过此数量的产品损失费用由中标方承担。</w:t>
      </w:r>
      <w:bookmarkStart w:id="1241" w:name="_Toc1804"/>
      <w:bookmarkStart w:id="1242" w:name="_Toc193"/>
      <w:bookmarkStart w:id="1243" w:name="_Toc25411"/>
    </w:p>
    <w:p>
      <w:pPr>
        <w:adjustRightInd w:val="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8在终验收之前:提供平面布置图、设备安装基础图、设备总装配图、零部件总成装配图、电气等控制原理图、零部件图纸以上图纸要求尺寸、精度、公差及图纸编号等信息齐全并全部移交完成。(所有提供的图纸均应同步提供电子版)</w:t>
      </w:r>
    </w:p>
    <w:p>
      <w:pPr>
        <w:adjustRightInd w:val="0"/>
        <w:snapToGrid w:val="0"/>
        <w:spacing w:line="360" w:lineRule="auto"/>
        <w:ind w:firstLine="420" w:firstLineChars="200"/>
        <w:rPr>
          <w:rFonts w:hint="eastAsia"/>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9在终验收之前:提供设备全生命周期内的备品备件、易损件和专用耗材的明细清单并全部移交完成。</w:t>
      </w:r>
    </w:p>
    <w:p>
      <w:pPr>
        <w:snapToGrid w:val="0"/>
        <w:spacing w:line="360" w:lineRule="auto"/>
        <w:ind w:left="482"/>
        <w:outlineLvl w:val="1"/>
        <w:rPr>
          <w:rFonts w:ascii="仿宋" w:hAnsi="仿宋" w:eastAsia="仿宋" w:cs="仿宋"/>
          <w:b/>
          <w:bCs/>
          <w:color w:val="auto"/>
          <w:highlight w:val="none"/>
        </w:rPr>
      </w:pPr>
      <w:bookmarkStart w:id="1244" w:name="_Toc26083"/>
      <w:bookmarkStart w:id="1245" w:name="_Toc17549"/>
      <w:bookmarkStart w:id="1246" w:name="_Toc7243"/>
      <w:bookmarkStart w:id="1247" w:name="_Toc73112424"/>
      <w:bookmarkStart w:id="1248" w:name="_Toc17223"/>
      <w:bookmarkStart w:id="1249" w:name="_Toc1885"/>
      <w:bookmarkStart w:id="1250" w:name="_Toc22500"/>
      <w:bookmarkStart w:id="1251" w:name="_Toc6573"/>
      <w:bookmarkStart w:id="1252" w:name="_Toc9027"/>
      <w:bookmarkStart w:id="1253" w:name="_Toc10673"/>
      <w:bookmarkStart w:id="1254" w:name="_Toc21504"/>
      <w:bookmarkStart w:id="1255" w:name="_Toc20983"/>
      <w:bookmarkStart w:id="1256" w:name="_Toc1469"/>
      <w:bookmarkStart w:id="1257" w:name="_Toc11114"/>
      <w:bookmarkStart w:id="1258" w:name="_Toc21291"/>
      <w:bookmarkStart w:id="1259" w:name="_Toc1961"/>
      <w:bookmarkStart w:id="1260" w:name="_Toc32661"/>
      <w:bookmarkStart w:id="1261" w:name="_Toc1761"/>
      <w:r>
        <w:rPr>
          <w:rFonts w:hint="eastAsia" w:ascii="仿宋" w:hAnsi="仿宋" w:eastAsia="仿宋" w:cs="仿宋"/>
          <w:b/>
          <w:bCs/>
          <w:color w:val="auto"/>
          <w:highlight w:val="none"/>
        </w:rPr>
        <w:t>4终验收基本要求</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4.1货物（或生产线）允许情况下，一般先连续空运转</w:t>
      </w:r>
      <w:r>
        <w:rPr>
          <w:rFonts w:hint="eastAsia" w:ascii="仿宋" w:hAnsi="仿宋" w:eastAsia="仿宋" w:cs="仿宋"/>
          <w:color w:val="auto"/>
          <w:highlight w:val="none"/>
          <w:u w:val="single"/>
          <w:shd w:val="pct10" w:color="auto" w:fill="FFFFFF"/>
        </w:rPr>
        <w:t>8</w:t>
      </w:r>
      <w:r>
        <w:rPr>
          <w:rFonts w:hint="eastAsia" w:ascii="仿宋" w:hAnsi="仿宋" w:eastAsia="仿宋" w:cs="仿宋"/>
          <w:color w:val="auto"/>
          <w:highlight w:val="none"/>
        </w:rPr>
        <w:t>小时，然后再进行负荷运行。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4.2负荷运行时，货物（或生产线）应连续运行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5 </w:t>
      </w:r>
      <w:r>
        <w:rPr>
          <w:rFonts w:hint="eastAsia" w:ascii="仿宋" w:hAnsi="仿宋" w:eastAsia="仿宋" w:cs="仿宋"/>
          <w:color w:val="auto"/>
          <w:highlight w:val="none"/>
        </w:rPr>
        <w:t>天，每天连续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8 </w:t>
      </w:r>
      <w:r>
        <w:rPr>
          <w:rFonts w:hint="eastAsia" w:ascii="仿宋" w:hAnsi="仿宋" w:eastAsia="仿宋" w:cs="仿宋"/>
          <w:color w:val="auto"/>
          <w:highlight w:val="none"/>
        </w:rPr>
        <w:t>小时，除用户方面因素外，必须达到以下要求：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4.2.1在整个验收过程中没有维修、更换零部件或元件行为；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4.2.2所有出现的调整，每次调整时间均不超过</w:t>
      </w:r>
      <w:r>
        <w:rPr>
          <w:rFonts w:hint="eastAsia" w:ascii="仿宋" w:hAnsi="仿宋" w:eastAsia="仿宋" w:cs="仿宋"/>
          <w:color w:val="auto"/>
          <w:highlight w:val="none"/>
          <w:u w:val="single"/>
          <w:shd w:val="pct10" w:color="auto" w:fill="FFFFFF"/>
        </w:rPr>
        <w:t>120</w:t>
      </w:r>
      <w:r>
        <w:rPr>
          <w:rFonts w:hint="eastAsia" w:ascii="仿宋" w:hAnsi="仿宋" w:eastAsia="仿宋" w:cs="仿宋"/>
          <w:color w:val="auto"/>
          <w:highlight w:val="none"/>
        </w:rPr>
        <w:t>分钟；</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4.2.3所有调整时间的总和不超过总运行时间的</w:t>
      </w:r>
      <w:r>
        <w:rPr>
          <w:rFonts w:hint="eastAsia" w:ascii="仿宋" w:hAnsi="仿宋" w:eastAsia="仿宋" w:cs="仿宋"/>
          <w:color w:val="auto"/>
          <w:highlight w:val="none"/>
          <w:u w:val="single"/>
          <w:shd w:val="pct10" w:color="auto" w:fill="FFFFFF"/>
        </w:rPr>
        <w:t>10</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4.2.4累计负载运行实际性能（或生产率）达到合同规定</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量仪监控尺寸CPK≥1.33</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4.2.5终验收原则上要求一次完成。若一次验收不成功，最多允许两次；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4.2.6终验收通过后签署终验收报告（终验收报告以买方提供的签署完毕并盖章的《新增设备安装竣工验收转资单》为准），并移交、核对全部供货范围内物品。</w:t>
      </w:r>
      <w:bookmarkStart w:id="1262" w:name="_Toc133783975"/>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263" w:name="_Toc18510"/>
      <w:bookmarkStart w:id="1264" w:name="_Toc24925"/>
      <w:bookmarkStart w:id="1265" w:name="_Toc10830"/>
      <w:bookmarkStart w:id="1266" w:name="_Toc2612"/>
      <w:bookmarkStart w:id="1267" w:name="_Toc1673"/>
      <w:bookmarkStart w:id="1268" w:name="_Toc14133"/>
      <w:bookmarkStart w:id="1269" w:name="_Toc28136"/>
      <w:bookmarkStart w:id="1270" w:name="_Toc23397"/>
      <w:bookmarkStart w:id="1271" w:name="_Toc23268"/>
      <w:bookmarkStart w:id="1272" w:name="_Toc1228"/>
      <w:bookmarkStart w:id="1273" w:name="_Toc15351"/>
      <w:bookmarkStart w:id="1274" w:name="_Toc2249"/>
      <w:bookmarkStart w:id="1275" w:name="_Toc32074"/>
      <w:bookmarkStart w:id="1276" w:name="_Toc27346"/>
      <w:bookmarkStart w:id="1277" w:name="_Toc20836"/>
      <w:bookmarkStart w:id="1278" w:name="_Toc2957"/>
      <w:bookmarkStart w:id="1279" w:name="_Toc29322"/>
      <w:bookmarkStart w:id="1280" w:name="_Toc30125"/>
      <w:bookmarkStart w:id="1281" w:name="_Toc25348"/>
      <w:bookmarkStart w:id="1282" w:name="_Toc1705"/>
      <w:bookmarkStart w:id="1283" w:name="_Toc23616"/>
      <w:bookmarkStart w:id="1284" w:name="_Toc14217"/>
      <w:bookmarkStart w:id="1285" w:name="_Toc1683"/>
      <w:bookmarkStart w:id="1286" w:name="_Toc22488"/>
      <w:bookmarkStart w:id="1287" w:name="_Toc12636"/>
      <w:bookmarkStart w:id="1288" w:name="_Toc26248"/>
      <w:bookmarkStart w:id="1289" w:name="_Toc8015"/>
      <w:bookmarkStart w:id="1290" w:name="_Toc663"/>
      <w:bookmarkStart w:id="1291" w:name="_Toc22179"/>
      <w:bookmarkStart w:id="1292" w:name="_Toc17110"/>
      <w:bookmarkStart w:id="1293" w:name="_Toc30187"/>
      <w:bookmarkStart w:id="1294" w:name="_Toc27525"/>
      <w:bookmarkStart w:id="1295" w:name="_Toc15914"/>
      <w:bookmarkStart w:id="1296" w:name="_Toc28594"/>
      <w:bookmarkStart w:id="1297" w:name="_Toc4953"/>
      <w:bookmarkStart w:id="1298" w:name="_Toc18146"/>
      <w:bookmarkStart w:id="1299" w:name="_Toc1195"/>
      <w:bookmarkStart w:id="1300" w:name="_Toc7458"/>
      <w:bookmarkStart w:id="1301" w:name="_Toc8435"/>
      <w:bookmarkStart w:id="1302" w:name="_Toc73112425"/>
      <w:bookmarkStart w:id="1303" w:name="_Toc19911"/>
      <w:bookmarkStart w:id="1304" w:name="_Toc30219"/>
      <w:bookmarkStart w:id="1305" w:name="_Toc25401"/>
      <w:r>
        <w:rPr>
          <w:rFonts w:hint="eastAsia" w:ascii="仿宋" w:hAnsi="仿宋" w:eastAsia="仿宋" w:cs="仿宋"/>
          <w:b/>
          <w:bCs/>
          <w:color w:val="auto"/>
          <w:highlight w:val="none"/>
        </w:rPr>
        <w:t>第六章投标技术文件一般要求</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1投标方应认真阅读招标文件和本技术标书，并按要求编写投标技术文件。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2投标技术文件至少应对投标货物（或生产线）的“技术偏离”、“商务偏离”作出有无说明；若有，应予以详细填写和说明。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3投标技术文件至少应对投标货物（或生产线）的功能用途、技术性能、质量标准、技术参数等作出详细说明。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4投标技术文件至少应根据投标货物（或生产线）的关键设备、总成、零部件或系统作出优越性说明。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5投标技术文件至少应根据投标货物（或生产线）的配置，按照备品备件、易损件和专用耗材明细表要求以及投标货物（或生产线）主要配置一览表要求（见下表），认真全面填写。</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投标货物（或生产线）主要配置一览表单位：元</w:t>
      </w:r>
    </w:p>
    <w:tbl>
      <w:tblPr>
        <w:tblStyle w:val="36"/>
        <w:tblpPr w:leftFromText="180" w:rightFromText="180" w:vertAnchor="text" w:tblpXSpec="center" w:tblpY="1"/>
        <w:tblOverlap w:val="never"/>
        <w:tblW w:w="8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1940"/>
        <w:gridCol w:w="697"/>
        <w:gridCol w:w="697"/>
        <w:gridCol w:w="697"/>
        <w:gridCol w:w="697"/>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8"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940"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型号规格</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单位</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数量</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单价</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总价</w:t>
            </w:r>
          </w:p>
        </w:tc>
        <w:tc>
          <w:tcPr>
            <w:tcW w:w="1665"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bl>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备注：本表作为投标方编制投标技术文件的一般格式。表中应当尽可能将配置列全、列细，这将有助于投标方胜出。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6投标技术文件至少应对招标文件和本技术标书所提出的要求，将投标方认为难以满足的条款和要求，予以明确和详细的说明或澄清。</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7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8供货范围内的物品或服务，应当尽可能详细且分类填入配置表，其费用应当计入投标总报价之内。如果出现不一致的报价，将有可能导致废标。</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9除招标文件明确的验收标准或内容之外，投标方应当在投标文件中提供预验收（必要时）和终验收的标准以及规程，在合同签定之前，经投标方和招标方双方洽谈确认并签署，以作为验收标准执行。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10带 ★ 号条款为否定项条款。</w:t>
      </w:r>
      <w:bookmarkStart w:id="1306" w:name="_Toc133783976"/>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307" w:name="_Toc3256"/>
      <w:bookmarkStart w:id="1308" w:name="_Toc10484"/>
      <w:bookmarkStart w:id="1309" w:name="_Toc623"/>
      <w:bookmarkStart w:id="1310" w:name="_Toc9954"/>
      <w:bookmarkStart w:id="1311" w:name="_Toc3744"/>
      <w:bookmarkStart w:id="1312" w:name="_Toc17463"/>
      <w:bookmarkStart w:id="1313" w:name="_Toc5153"/>
      <w:bookmarkStart w:id="1314" w:name="_Toc24401"/>
      <w:bookmarkStart w:id="1315" w:name="_Toc2341"/>
      <w:bookmarkStart w:id="1316" w:name="_Toc15684"/>
      <w:bookmarkStart w:id="1317" w:name="_Toc25823"/>
      <w:bookmarkStart w:id="1318" w:name="_Toc22743"/>
      <w:bookmarkStart w:id="1319" w:name="_Toc29655"/>
      <w:bookmarkStart w:id="1320" w:name="_Toc73112426"/>
      <w:bookmarkStart w:id="1321" w:name="_Toc919"/>
      <w:bookmarkStart w:id="1322" w:name="_Toc17045"/>
      <w:bookmarkStart w:id="1323" w:name="_Toc2783"/>
      <w:bookmarkStart w:id="1324" w:name="_Toc13666"/>
      <w:bookmarkStart w:id="1325" w:name="_Toc2151"/>
      <w:bookmarkStart w:id="1326" w:name="_Toc26559"/>
      <w:bookmarkStart w:id="1327" w:name="_Toc16301"/>
      <w:bookmarkStart w:id="1328" w:name="_Toc4563"/>
      <w:bookmarkStart w:id="1329" w:name="_Toc13350"/>
      <w:bookmarkStart w:id="1330" w:name="_Toc29369"/>
      <w:bookmarkStart w:id="1331" w:name="_Toc7541"/>
      <w:bookmarkStart w:id="1332" w:name="_Toc10081"/>
      <w:bookmarkStart w:id="1333" w:name="_Toc1126"/>
      <w:bookmarkStart w:id="1334" w:name="_Toc19119"/>
      <w:bookmarkStart w:id="1335" w:name="_Toc5380"/>
      <w:bookmarkStart w:id="1336" w:name="_Toc11155"/>
      <w:bookmarkStart w:id="1337" w:name="_Toc671"/>
      <w:bookmarkStart w:id="1338" w:name="_Toc31830"/>
      <w:bookmarkStart w:id="1339" w:name="_Toc7423"/>
      <w:bookmarkStart w:id="1340" w:name="_Toc32403"/>
      <w:bookmarkStart w:id="1341" w:name="_Toc26481"/>
      <w:bookmarkStart w:id="1342" w:name="_Toc2177"/>
      <w:bookmarkStart w:id="1343" w:name="_Toc23538"/>
      <w:bookmarkStart w:id="1344" w:name="_Toc19821"/>
      <w:bookmarkStart w:id="1345" w:name="_Toc147"/>
      <w:bookmarkStart w:id="1346" w:name="_Toc11416"/>
      <w:bookmarkStart w:id="1347" w:name="_Toc19444"/>
      <w:bookmarkStart w:id="1348" w:name="_Toc15645"/>
      <w:bookmarkStart w:id="1349" w:name="_Toc17174"/>
      <w:r>
        <w:rPr>
          <w:rFonts w:hint="eastAsia" w:ascii="仿宋" w:hAnsi="仿宋" w:eastAsia="仿宋" w:cs="仿宋"/>
          <w:b/>
          <w:bCs/>
          <w:color w:val="auto"/>
          <w:highlight w:val="none"/>
        </w:rPr>
        <w:t>第七章其它要求</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snapToGrid w:val="0"/>
        <w:spacing w:line="360" w:lineRule="auto"/>
        <w:ind w:left="480"/>
        <w:outlineLvl w:val="1"/>
        <w:rPr>
          <w:rFonts w:ascii="仿宋" w:hAnsi="仿宋" w:eastAsia="仿宋" w:cs="仿宋"/>
          <w:b/>
          <w:bCs/>
          <w:color w:val="auto"/>
          <w:highlight w:val="none"/>
        </w:rPr>
      </w:pPr>
      <w:bookmarkStart w:id="1350" w:name="_Toc32525"/>
      <w:bookmarkStart w:id="1351" w:name="_Toc30535"/>
      <w:bookmarkStart w:id="1352" w:name="_Toc17727"/>
      <w:bookmarkStart w:id="1353" w:name="_Toc16802"/>
      <w:bookmarkStart w:id="1354" w:name="_Toc24782"/>
      <w:bookmarkStart w:id="1355" w:name="_Toc13820"/>
      <w:bookmarkStart w:id="1356" w:name="_Toc32470"/>
      <w:bookmarkStart w:id="1357" w:name="_Toc4997"/>
      <w:bookmarkStart w:id="1358" w:name="_Toc15541"/>
      <w:bookmarkStart w:id="1359" w:name="_Toc17435"/>
      <w:bookmarkStart w:id="1360" w:name="_Toc24669"/>
      <w:bookmarkStart w:id="1361" w:name="_Toc22430"/>
      <w:bookmarkStart w:id="1362" w:name="_Toc11901"/>
      <w:bookmarkStart w:id="1363" w:name="_Toc16829"/>
      <w:bookmarkStart w:id="1364" w:name="_Toc24680"/>
      <w:bookmarkStart w:id="1365" w:name="_Toc27273"/>
      <w:bookmarkStart w:id="1366" w:name="_Toc22010"/>
      <w:bookmarkStart w:id="1367" w:name="_Toc15205"/>
      <w:bookmarkStart w:id="1368" w:name="_Toc15256"/>
      <w:bookmarkStart w:id="1369" w:name="_Toc11058"/>
      <w:bookmarkStart w:id="1370" w:name="_Toc2497"/>
      <w:bookmarkStart w:id="1371" w:name="_Toc14684"/>
      <w:bookmarkStart w:id="1372" w:name="_Toc18469"/>
      <w:bookmarkStart w:id="1373" w:name="_Toc32012"/>
      <w:bookmarkStart w:id="1374" w:name="_Toc14484"/>
      <w:bookmarkStart w:id="1375" w:name="_Toc31105"/>
      <w:bookmarkStart w:id="1376" w:name="_Toc28364"/>
      <w:bookmarkStart w:id="1377" w:name="_Toc5514"/>
      <w:bookmarkStart w:id="1378" w:name="_Toc25903"/>
      <w:bookmarkStart w:id="1379" w:name="_Toc16614"/>
      <w:bookmarkStart w:id="1380" w:name="_Toc12406"/>
      <w:bookmarkStart w:id="1381" w:name="_Toc24181"/>
      <w:bookmarkStart w:id="1382" w:name="_Toc29015"/>
      <w:bookmarkStart w:id="1383" w:name="_Toc20262"/>
      <w:bookmarkStart w:id="1384" w:name="_Toc32544"/>
      <w:bookmarkStart w:id="1385" w:name="_Toc26831"/>
      <w:bookmarkStart w:id="1386" w:name="_Toc29679"/>
      <w:bookmarkStart w:id="1387" w:name="_Toc21465"/>
      <w:bookmarkStart w:id="1388" w:name="_Toc17702"/>
      <w:bookmarkStart w:id="1389" w:name="_Toc12542"/>
      <w:bookmarkStart w:id="1390" w:name="_Toc73112427"/>
      <w:bookmarkStart w:id="1391" w:name="_Toc17357"/>
      <w:r>
        <w:rPr>
          <w:rFonts w:hint="eastAsia" w:ascii="仿宋" w:hAnsi="仿宋" w:eastAsia="仿宋" w:cs="仿宋"/>
          <w:b/>
          <w:bCs/>
          <w:color w:val="auto"/>
          <w:highlight w:val="none"/>
        </w:rPr>
        <w:t>1特殊要求</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为保证本技术标书所列采购货物（或生产线）的质量以及先进性、可靠性、经济性和实用性，要求投标方在投标文件中，至少应具备以下资格证明文件或资料：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1.1投标方应是通过有关资格认证的单位，因此应附有有效期内的资格认证证书，如：ISO9001、VDA6.1、QS9000等。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1.2国产设备应附有采购货物（或设备）涉及的由“中国质量认证中心”颁发的《中国国家强制性产品认证证书》（CCC证书）。</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必须附有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1.4应附有其它与投标单位、采购货物（或生产线）有关的荣誉证书或资料。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1.5应附有中国相关国家部委颁发的有效期之内所必需的《生产许可证》。</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1.6应附有必要的采购货物（或设备）的相关检验、试验报告，如：《型式试验的检验报告》、《产品鉴定证书》、《新技术成果证书》等。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1.7投标方必须附有采购货物（或设备）涉及国家规定必须进行的检验、试验报告等。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可附有投标方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pPr>
        <w:snapToGrid w:val="0"/>
        <w:spacing w:line="360" w:lineRule="auto"/>
        <w:ind w:left="480"/>
        <w:outlineLvl w:val="1"/>
        <w:rPr>
          <w:rFonts w:ascii="仿宋" w:hAnsi="仿宋" w:eastAsia="仿宋" w:cs="仿宋"/>
          <w:b/>
          <w:bCs/>
          <w:color w:val="auto"/>
          <w:highlight w:val="none"/>
        </w:rPr>
      </w:pPr>
      <w:bookmarkStart w:id="1392" w:name="_Toc20370"/>
      <w:bookmarkStart w:id="1393" w:name="_Toc18674"/>
      <w:bookmarkStart w:id="1394" w:name="_Toc21942"/>
      <w:bookmarkStart w:id="1395" w:name="_Toc25028"/>
      <w:bookmarkStart w:id="1396" w:name="_Toc26724"/>
      <w:bookmarkStart w:id="1397" w:name="_Toc24176"/>
      <w:bookmarkStart w:id="1398" w:name="_Toc1823"/>
      <w:bookmarkStart w:id="1399" w:name="_Toc13497"/>
      <w:bookmarkStart w:id="1400" w:name="_Toc13528"/>
      <w:bookmarkStart w:id="1401" w:name="_Toc11255"/>
      <w:bookmarkStart w:id="1402" w:name="_Toc26307"/>
      <w:bookmarkStart w:id="1403" w:name="_Toc4278"/>
      <w:bookmarkStart w:id="1404" w:name="_Toc20830"/>
      <w:bookmarkStart w:id="1405" w:name="_Toc3323"/>
      <w:bookmarkStart w:id="1406" w:name="_Toc16457"/>
      <w:bookmarkStart w:id="1407" w:name="_Toc29233"/>
      <w:bookmarkStart w:id="1408" w:name="_Toc22893"/>
      <w:bookmarkStart w:id="1409" w:name="_Toc29954"/>
      <w:bookmarkStart w:id="1410" w:name="_Toc19315"/>
      <w:bookmarkStart w:id="1411" w:name="_Toc18745"/>
      <w:bookmarkStart w:id="1412" w:name="_Toc18370"/>
      <w:bookmarkStart w:id="1413" w:name="_Toc28267"/>
      <w:bookmarkStart w:id="1414" w:name="_Toc73112429"/>
      <w:bookmarkStart w:id="1415" w:name="_Toc14052"/>
      <w:bookmarkStart w:id="1416" w:name="_Toc8864"/>
      <w:bookmarkStart w:id="1417" w:name="_Toc14956"/>
      <w:bookmarkStart w:id="1418" w:name="_Toc28718"/>
      <w:bookmarkStart w:id="1419" w:name="_Toc28700"/>
      <w:bookmarkStart w:id="1420" w:name="_Toc22763"/>
      <w:bookmarkStart w:id="1421" w:name="_Toc4243"/>
      <w:bookmarkStart w:id="1422" w:name="_Toc3658"/>
      <w:bookmarkStart w:id="1423" w:name="_Toc28559"/>
      <w:bookmarkStart w:id="1424" w:name="_Toc25498"/>
      <w:bookmarkStart w:id="1425" w:name="_Toc5504"/>
      <w:bookmarkStart w:id="1426" w:name="_Toc24482"/>
      <w:bookmarkStart w:id="1427" w:name="_Toc27894"/>
      <w:bookmarkStart w:id="1428" w:name="_Toc27164"/>
      <w:bookmarkStart w:id="1429" w:name="_Toc11707"/>
      <w:bookmarkStart w:id="1430" w:name="_Toc26626"/>
      <w:bookmarkStart w:id="1431" w:name="_Toc3821"/>
      <w:bookmarkStart w:id="1432" w:name="_Toc335"/>
      <w:bookmarkStart w:id="1433" w:name="_Toc28380"/>
      <w:r>
        <w:rPr>
          <w:rFonts w:hint="eastAsia" w:ascii="仿宋" w:hAnsi="仿宋" w:eastAsia="仿宋" w:cs="仿宋"/>
          <w:b/>
          <w:bCs/>
          <w:color w:val="auto"/>
          <w:highlight w:val="none"/>
        </w:rPr>
        <w:t>2说明</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投标方可以根据自身的技术、经验等优势以及对招标文件和本技术标书的理解，写明对招标方所采购货物（或生产线）的优化方案或建议意见。投标方的这些努力，招标方表示感谢，并将有助于投标方优先胜出。</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2.2即使有建议意见或建议方案，仍应依据招标文件和本技术标书要求，编写符合要求的投标文件。建议方案或建议意见，应以单独篇章或文件，予以说明。</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请投标方仔细阅读“采购货物概况”章节内说明，针对允许分投分中的货物（或生产线），招标方有权利选择其中优秀设备或服务，作为投标方合同供货范围中的指定选用设备或服务（替代投标方分投而未中标部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2.4招标文件、投标文件、答疑文件、技术交流文件、技术协议书等，在招标过程全部为有效文件，如有差异，以对招标方或买方最有利的条款为准。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2.5本技术标书在“预验收和终验收”章节所列的招标方在合同签署后将成为买方，中标的投标方将成为卖方；为避免歧异，本技术标书在“预验收和终验收”之外的其它章节，均将潜在的卖方称为投标方、将买方称为招标方。</w:t>
      </w:r>
    </w:p>
    <w:p>
      <w:pPr>
        <w:rPr>
          <w:rFonts w:ascii="宋体" w:hAnsi="宋体" w:eastAsia="宋体" w:cs="宋体"/>
          <w:sz w:val="24"/>
          <w:szCs w:val="24"/>
          <w:highlight w:val="none"/>
        </w:rPr>
      </w:pPr>
      <w:r>
        <w:rPr>
          <w:rFonts w:ascii="宋体" w:hAnsi="宋体" w:eastAsia="宋体" w:cs="宋体"/>
          <w:sz w:val="24"/>
          <w:szCs w:val="24"/>
          <w:highlight w:val="none"/>
        </w:rPr>
        <w:br w:type="page"/>
      </w:r>
    </w:p>
    <w:p>
      <w:pPr>
        <w:adjustRightInd w:val="0"/>
        <w:snapToGrid w:val="0"/>
        <w:spacing w:line="360" w:lineRule="auto"/>
        <w:rPr>
          <w:rFonts w:ascii="宋体" w:hAnsi="宋体" w:eastAsia="宋体" w:cs="宋体"/>
          <w:sz w:val="24"/>
          <w:szCs w:val="24"/>
          <w:highlight w:val="none"/>
        </w:rPr>
      </w:pPr>
    </w:p>
    <w:bookmarkEnd w:id="33"/>
    <w:bookmarkEnd w:id="34"/>
    <w:p>
      <w:pPr>
        <w:rPr>
          <w:rFonts w:hint="eastAsia" w:ascii="宋体" w:hAnsi="宋体" w:eastAsia="宋体" w:cs="Times New Roman"/>
          <w:b/>
          <w:sz w:val="36"/>
          <w:szCs w:val="36"/>
          <w:highlight w:val="none"/>
        </w:rPr>
      </w:pPr>
      <w:bookmarkStart w:id="1434" w:name="_Toc28859"/>
    </w:p>
    <w:bookmarkEnd w:id="1434"/>
    <w:p>
      <w:pPr>
        <w:spacing w:line="360" w:lineRule="auto"/>
        <w:ind w:firstLine="723"/>
        <w:jc w:val="center"/>
        <w:outlineLvl w:val="0"/>
        <w:rPr>
          <w:rFonts w:ascii="宋体" w:hAnsi="Calibri" w:eastAsia="宋体" w:cs="Times New Roman"/>
          <w:b/>
          <w:sz w:val="36"/>
          <w:szCs w:val="36"/>
        </w:rPr>
      </w:pPr>
      <w:bookmarkStart w:id="1435" w:name="_Toc29691"/>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p>
    <w:p>
      <w:pPr>
        <w:adjustRightInd w:val="0"/>
        <w:snapToGrid w:val="0"/>
        <w:spacing w:line="360" w:lineRule="auto"/>
        <w:ind w:firstLine="400"/>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pPr>
        <w:adjustRightInd w:val="0"/>
        <w:snapToGrid w:val="0"/>
        <w:spacing w:line="360" w:lineRule="auto"/>
        <w:ind w:firstLine="400"/>
        <w:jc w:val="left"/>
        <w:rPr>
          <w:rFonts w:hint="eastAsia" w:ascii="宋体" w:hAnsi="宋体"/>
          <w:sz w:val="20"/>
          <w:szCs w:val="20"/>
        </w:rPr>
      </w:pPr>
    </w:p>
    <w:p>
      <w:pPr>
        <w:adjustRightInd w:val="0"/>
        <w:snapToGrid w:val="0"/>
        <w:spacing w:line="360" w:lineRule="auto"/>
        <w:ind w:firstLine="1040"/>
        <w:jc w:val="center"/>
        <w:rPr>
          <w:rFonts w:hint="eastAsia" w:ascii="方正小标宋简体" w:hAnsi="宋体" w:eastAsia="方正小标宋简体"/>
          <w:bCs/>
          <w:sz w:val="52"/>
          <w:szCs w:val="36"/>
        </w:rPr>
      </w:pPr>
    </w:p>
    <w:p>
      <w:pPr>
        <w:spacing w:line="360" w:lineRule="auto"/>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pPr>
        <w:spacing w:line="360" w:lineRule="auto"/>
        <w:jc w:val="center"/>
        <w:rPr>
          <w:rFonts w:ascii="方正小标宋简体" w:hAnsi="方正小标宋简体" w:eastAsia="方正小标宋简体" w:cs="方正小标宋简体"/>
          <w:w w:val="90"/>
          <w:sz w:val="56"/>
          <w:szCs w:val="56"/>
        </w:rPr>
      </w:pPr>
    </w:p>
    <w:p>
      <w:pPr>
        <w:spacing w:line="360" w:lineRule="auto"/>
        <w:jc w:val="center"/>
        <w:rPr>
          <w:rFonts w:ascii="仿宋_GB2312" w:hAnsi="仿宋_GB2312" w:eastAsia="仿宋_GB2312" w:cs="仿宋_GB2312"/>
          <w:bCs/>
          <w:sz w:val="24"/>
          <w:szCs w:val="24"/>
        </w:rPr>
      </w:pPr>
    </w:p>
    <w:p>
      <w:pPr>
        <w:spacing w:line="360" w:lineRule="auto"/>
        <w:jc w:val="center"/>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permStart w:id="0" w:edGrp="everyone"/>
      <w:r>
        <w:rPr>
          <w:rFonts w:hint="eastAsia" w:ascii="仿宋_GB2312" w:hAnsi="仿宋_GB2312" w:eastAsia="仿宋_GB2312" w:cs="仿宋_GB2312"/>
          <w:b/>
          <w:sz w:val="24"/>
          <w:szCs w:val="24"/>
          <w:u w:val="single"/>
        </w:rPr>
        <w:t>合同项目名称</w:t>
      </w:r>
      <w:permEnd w:id="0"/>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rPr>
        <w:t>甲方单位全称</w:t>
      </w:r>
      <w:permEnd w:id="1"/>
    </w:p>
    <w:p>
      <w:pPr>
        <w:spacing w:line="360" w:lineRule="auto"/>
        <w:ind w:firstLine="2168" w:firstLineChars="900"/>
        <w:jc w:val="left"/>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rPr>
        <w:t>乙方单位全称</w:t>
      </w:r>
      <w:permEnd w:id="2"/>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permStart w:id="3" w:edGrp="everyone"/>
      <w:r>
        <w:rPr>
          <w:rFonts w:hint="eastAsia" w:ascii="仿宋_GB2312" w:hAnsi="仿宋_GB2312" w:eastAsia="仿宋_GB2312" w:cs="仿宋_GB2312"/>
          <w:b/>
          <w:sz w:val="24"/>
          <w:szCs w:val="24"/>
          <w:u w:val="single"/>
        </w:rPr>
        <w:t>填写甲方所在县级行政区划，如“山东省济南市高新区/章丘区”等</w:t>
      </w:r>
      <w:permEnd w:id="3"/>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sectPr>
          <w:headerReference r:id="rId12" w:type="default"/>
          <w:footerReference r:id="rId13" w:type="default"/>
          <w:pgSz w:w="11907" w:h="16840"/>
          <w:pgMar w:top="1304" w:right="1418" w:bottom="1304" w:left="1418" w:header="724" w:footer="851" w:gutter="0"/>
          <w:pgNumType w:fmt="decimal"/>
          <w:cols w:space="720" w:num="1"/>
          <w:docGrid w:linePitch="290" w:charSpace="-3931"/>
        </w:sectPr>
      </w:pPr>
      <w:r>
        <w:rPr>
          <w:rFonts w:hint="eastAsia" w:ascii="仿宋_GB2312" w:hAnsi="仿宋_GB2312" w:eastAsia="仿宋_GB2312" w:cs="仿宋_GB2312"/>
          <w:bCs/>
          <w:sz w:val="24"/>
          <w:szCs w:val="24"/>
        </w:rPr>
        <w:t>合同签订时间：</w:t>
      </w:r>
      <w:permStart w:id="4" w:edGrp="everyone"/>
      <w:r>
        <w:rPr>
          <w:rFonts w:hint="eastAsia" w:ascii="仿宋_GB2312" w:hAnsi="仿宋_GB2312" w:eastAsia="仿宋_GB2312" w:cs="仿宋_GB2312"/>
          <w:b/>
          <w:sz w:val="24"/>
          <w:szCs w:val="24"/>
          <w:u w:val="single"/>
        </w:rPr>
        <w:t>按****年**月**日形式据实填写</w:t>
      </w:r>
      <w:permEnd w:id="4"/>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不含税总价小写，数值，小数点后保留两位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合计税额小写，数值，小数点后保留两位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含税总价小写，数值，小数点后保留两位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permStart w:id="11" w:edGrp="everyone"/>
      <w:r>
        <w:rPr>
          <w:rFonts w:hint="eastAsia" w:ascii="仿宋_GB2312" w:hAnsi="宋体" w:eastAsia="仿宋_GB2312"/>
          <w:b/>
          <w:bCs/>
          <w:sz w:val="24"/>
          <w:szCs w:val="24"/>
          <w:u w:val="single"/>
        </w:rPr>
        <w:t>据实选择，可填写“交钥匙方式”“指定地点交货”“自提”任一方式，其他情况请据实填写</w:t>
      </w:r>
      <w:permEnd w:id="11"/>
      <w:r>
        <w:rPr>
          <w:rFonts w:hint="eastAsia" w:ascii="仿宋_GB2312" w:hAnsi="宋体" w:eastAsia="仿宋_GB2312"/>
          <w:b/>
          <w:bCs/>
          <w:sz w:val="24"/>
          <w:szCs w:val="24"/>
          <w:u w:val="single"/>
        </w:rPr>
        <w:t>。</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permStart w:id="12" w:edGrp="everyone"/>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permEnd w:id="12"/>
      <w:r>
        <w:rPr>
          <w:rFonts w:hint="eastAsia" w:ascii="仿宋_GB2312" w:eastAsia="仿宋_GB2312" w:hAnsiTheme="minorEastAsia" w:cstheme="minorEastAsia"/>
          <w:b/>
          <w:bCs/>
          <w:sz w:val="24"/>
          <w:szCs w:val="24"/>
          <w:u w:val="single"/>
        </w:rPr>
        <w:t>。</w:t>
      </w:r>
      <w:r>
        <w:rPr>
          <w:rFonts w:hint="eastAsia" w:ascii="仿宋_GB2312" w:eastAsia="仿宋_GB2312" w:hAnsiTheme="minorEastAsia" w:cstheme="minorEastAsia"/>
          <w:sz w:val="24"/>
          <w:szCs w:val="24"/>
        </w:rPr>
        <w:t xml:space="preserve">    </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permStart w:id="13" w:edGrp="everyone"/>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ermEnd w:id="13"/>
      <w:r>
        <w:rPr>
          <w:rFonts w:hint="eastAsia" w:ascii="仿宋_GB2312" w:eastAsia="仿宋_GB2312" w:hAnsiTheme="minorEastAsia" w:cstheme="minorEastAsia"/>
          <w:b/>
          <w:bCs/>
          <w:sz w:val="24"/>
          <w:szCs w:val="24"/>
          <w:u w:val="single"/>
        </w:rPr>
        <w:t>。</w:t>
      </w:r>
    </w:p>
    <w:p>
      <w:pPr>
        <w:pStyle w:val="11"/>
        <w:spacing w:after="0" w:line="360" w:lineRule="auto"/>
        <w:ind w:firstLine="480" w:firstLineChars="200"/>
        <w:rPr>
          <w:rFonts w:ascii="仿宋_GB2312" w:eastAsia="仿宋_GB2312" w:hAnsiTheme="minorEastAsia" w:cstheme="minorEastAsia"/>
          <w:kern w:val="2"/>
          <w:sz w:val="24"/>
          <w:szCs w:val="24"/>
        </w:rPr>
      </w:pPr>
      <w:r>
        <w:rPr>
          <w:rFonts w:hint="eastAsia" w:ascii="仿宋_GB2312" w:eastAsia="仿宋_GB2312" w:hAnsiTheme="minorEastAsia" w:cstheme="minorEastAsia"/>
          <w:kern w:val="2"/>
          <w:sz w:val="24"/>
          <w:szCs w:val="24"/>
        </w:rPr>
        <w:t>1.5</w:t>
      </w:r>
      <w:r>
        <w:rPr>
          <w:rFonts w:ascii="仿宋_GB2312" w:eastAsia="仿宋_GB2312" w:hAnsiTheme="minorEastAsia" w:cstheme="minorEastAsia"/>
          <w:kern w:val="2"/>
          <w:sz w:val="24"/>
          <w:szCs w:val="24"/>
        </w:rPr>
        <w:t xml:space="preserve"> </w:t>
      </w:r>
      <w:r>
        <w:rPr>
          <w:rFonts w:hint="eastAsia" w:ascii="仿宋_GB2312" w:eastAsia="仿宋_GB2312" w:hAnsiTheme="minorEastAsia" w:cstheme="minorEastAsia"/>
          <w:kern w:val="2"/>
          <w:sz w:val="24"/>
          <w:szCs w:val="24"/>
        </w:rPr>
        <w:t>安装调试时长：</w:t>
      </w:r>
      <w:r>
        <w:rPr>
          <w:rFonts w:ascii="仿宋_GB2312" w:eastAsia="仿宋_GB2312" w:hAnsiTheme="minorEastAsia" w:cstheme="minorEastAsia"/>
          <w:kern w:val="2"/>
          <w:sz w:val="24"/>
          <w:szCs w:val="24"/>
        </w:rPr>
        <w:t>卖方须在到货后</w:t>
      </w:r>
      <w:permStart w:id="14" w:edGrp="everyone"/>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permEnd w:id="14"/>
      <w:r>
        <w:rPr>
          <w:rFonts w:hint="eastAsia" w:ascii="仿宋_GB2312" w:eastAsia="仿宋_GB2312" w:hAnsiTheme="minorEastAsia" w:cstheme="minorEastAsia"/>
          <w:sz w:val="24"/>
          <w:szCs w:val="24"/>
        </w:rPr>
        <w:t>个日历日</w:t>
      </w:r>
      <w:r>
        <w:rPr>
          <w:rFonts w:hint="eastAsia" w:ascii="仿宋_GB2312" w:eastAsia="仿宋_GB2312" w:hAnsiTheme="minorEastAsia" w:cstheme="minorEastAsia"/>
          <w:kern w:val="2"/>
          <w:sz w:val="24"/>
          <w:szCs w:val="24"/>
        </w:rPr>
        <w:t>内完成设备安装，安装完成后</w:t>
      </w:r>
      <w:permStart w:id="15" w:edGrp="everyone"/>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permEnd w:id="15"/>
      <w:r>
        <w:rPr>
          <w:rFonts w:hint="eastAsia" w:ascii="仿宋_GB2312" w:eastAsia="仿宋_GB2312" w:hAnsiTheme="minorEastAsia" w:cstheme="minorEastAsia"/>
          <w:kern w:val="2"/>
          <w:sz w:val="24"/>
          <w:szCs w:val="24"/>
        </w:rPr>
        <w:t>日历日内完成设备调试。</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permStart w:id="16" w:edGrp="everyone"/>
      <w:r>
        <w:rPr>
          <w:rFonts w:hint="eastAsia" w:ascii="仿宋_GB2312" w:eastAsia="仿宋_GB2312" w:hAnsiTheme="minorEastAsia" w:cstheme="minorEastAsia"/>
          <w:b/>
          <w:bCs/>
          <w:sz w:val="24"/>
          <w:szCs w:val="24"/>
          <w:u w:val="single"/>
        </w:rPr>
        <w:t>甲方提供调试产品的件数，不需要的，此处填写“0”</w:t>
      </w:r>
      <w:permEnd w:id="16"/>
      <w:r>
        <w:rPr>
          <w:rFonts w:ascii="仿宋_GB2312" w:eastAsia="仿宋_GB2312" w:hAnsiTheme="minorEastAsia" w:cstheme="minorEastAsia"/>
          <w:sz w:val="24"/>
          <w:szCs w:val="24"/>
        </w:rPr>
        <w:t>件，超出此数量部分由卖方提供，由此产生的相关费用由卖方承担。</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permStart w:id="17" w:edGrp="everyone"/>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permEnd w:id="17"/>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2.结算付款约定</w:t>
      </w:r>
    </w:p>
    <w:p>
      <w:pPr>
        <w:spacing w:line="360" w:lineRule="auto"/>
        <w:ind w:firstLine="480" w:firstLineChars="200"/>
        <w:rPr>
          <w:rFonts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permStart w:id="18" w:edGrp="everyone"/>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ermEnd w:id="18"/>
      <w:r>
        <w:rPr>
          <w:rFonts w:hint="eastAsia" w:ascii="仿宋_GB2312" w:hAnsi="黑体" w:eastAsia="仿宋_GB2312" w:cstheme="minorEastAsia"/>
          <w:b/>
          <w:bCs/>
          <w:sz w:val="24"/>
          <w:szCs w:val="24"/>
          <w:u w:val="single"/>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2.3.1</w:t>
      </w:r>
      <w:permStart w:id="20" w:edGrp="everyone"/>
      <w:r>
        <w:rPr>
          <w:rFonts w:hint="eastAsia" w:ascii="仿宋_GB2312" w:hAnsi="黑体" w:eastAsia="仿宋_GB2312" w:cstheme="minorEastAsia"/>
          <w:b/>
          <w:bCs/>
          <w:sz w:val="24"/>
          <w:szCs w:val="24"/>
          <w:u w:val="single"/>
        </w:rPr>
        <w:t>填写第一笔付款的满足要件，如“设备全部到齐无质量问题”。若存在价款支付的发票及财务审核条件与本条格式条款存有变动调整的，须在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0"/>
      <w:r>
        <w:rPr>
          <w:rFonts w:hint="eastAsia" w:ascii="仿宋_GB2312" w:hAnsi="黑体" w:eastAsia="仿宋_GB2312" w:cstheme="minorEastAsia"/>
          <w:sz w:val="24"/>
          <w:szCs w:val="24"/>
        </w:rPr>
        <w:t>, 买方收到相应金额的增值税专用发票及完整报账材料后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1" w:edGrp="everyone"/>
      <w:r>
        <w:rPr>
          <w:rFonts w:hint="eastAsia" w:ascii="仿宋_GB2312" w:hAnsi="黑体" w:eastAsia="仿宋_GB2312" w:cstheme="minorEastAsia"/>
          <w:b/>
          <w:bCs/>
          <w:sz w:val="24"/>
          <w:szCs w:val="24"/>
          <w:u w:val="single"/>
        </w:rPr>
        <w:t>第一笔付款的比例，数值</w:t>
      </w:r>
      <w:permEnd w:id="21"/>
      <w:r>
        <w:rPr>
          <w:rFonts w:hint="eastAsia" w:ascii="仿宋_GB2312" w:hAnsi="黑体" w:eastAsia="仿宋_GB2312" w:cstheme="minorEastAsia"/>
          <w:sz w:val="24"/>
          <w:szCs w:val="24"/>
        </w:rPr>
        <w:t>%即</w:t>
      </w:r>
      <w:permStart w:id="22" w:edGrp="everyone"/>
      <w:r>
        <w:rPr>
          <w:rFonts w:hint="eastAsia" w:ascii="仿宋_GB2312" w:hAnsi="黑体" w:eastAsia="仿宋_GB2312" w:cstheme="minorEastAsia"/>
          <w:b/>
          <w:bCs/>
          <w:sz w:val="24"/>
          <w:szCs w:val="24"/>
          <w:u w:val="single"/>
        </w:rPr>
        <w:t>第一笔付款金额</w:t>
      </w:r>
      <w:permEnd w:id="22"/>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2.3.3</w:t>
      </w:r>
      <w:permStart w:id="23" w:edGrp="everyone"/>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3"/>
      <w:r>
        <w:rPr>
          <w:rFonts w:hint="eastAsia" w:ascii="仿宋_GB2312" w:hAnsi="黑体" w:eastAsia="仿宋_GB2312" w:cstheme="minorEastAsia"/>
          <w:sz w:val="24"/>
          <w:szCs w:val="24"/>
        </w:rPr>
        <w:t>，买方收到合同全额增值税专用发票及完整报账材料后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4" w:edGrp="everyone"/>
      <w:r>
        <w:rPr>
          <w:rFonts w:hint="eastAsia" w:ascii="仿宋_GB2312" w:hAnsi="黑体" w:eastAsia="仿宋_GB2312" w:cstheme="minorEastAsia"/>
          <w:b/>
          <w:bCs/>
          <w:sz w:val="24"/>
          <w:szCs w:val="24"/>
          <w:u w:val="single"/>
        </w:rPr>
        <w:t>第二笔付款的比例，数值</w:t>
      </w:r>
      <w:permEnd w:id="24"/>
      <w:r>
        <w:rPr>
          <w:rFonts w:hint="eastAsia" w:ascii="仿宋_GB2312" w:hAnsi="黑体" w:eastAsia="仿宋_GB2312" w:cstheme="minorEastAsia"/>
          <w:sz w:val="24"/>
          <w:szCs w:val="24"/>
        </w:rPr>
        <w:t>%即</w:t>
      </w:r>
      <w:permStart w:id="25" w:edGrp="everyone"/>
      <w:r>
        <w:rPr>
          <w:rFonts w:hint="eastAsia" w:ascii="仿宋_GB2312" w:hAnsi="黑体" w:eastAsia="仿宋_GB2312" w:cstheme="minorEastAsia"/>
          <w:b/>
          <w:bCs/>
          <w:sz w:val="24"/>
          <w:szCs w:val="24"/>
          <w:u w:val="single"/>
        </w:rPr>
        <w:t>第二笔付款金额</w:t>
      </w:r>
      <w:permEnd w:id="25"/>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permStart w:id="26" w:edGrp="everyone"/>
      <w:r>
        <w:rPr>
          <w:rFonts w:hint="eastAsia" w:ascii="仿宋_GB2312" w:hAnsi="黑体" w:eastAsia="仿宋_GB2312" w:cstheme="minorEastAsia"/>
          <w:b/>
          <w:bCs/>
          <w:sz w:val="24"/>
          <w:szCs w:val="24"/>
          <w:u w:val="single"/>
        </w:rPr>
        <w:t>第三笔付款的比例，数值</w:t>
      </w:r>
      <w:permEnd w:id="26"/>
      <w:r>
        <w:rPr>
          <w:rFonts w:hint="eastAsia" w:ascii="仿宋_GB2312" w:hAnsi="黑体" w:eastAsia="仿宋_GB2312" w:cstheme="minorEastAsia"/>
          <w:sz w:val="24"/>
          <w:szCs w:val="24"/>
        </w:rPr>
        <w:t>%即</w:t>
      </w:r>
      <w:permStart w:id="27" w:edGrp="everyone"/>
      <w:r>
        <w:rPr>
          <w:rFonts w:hint="eastAsia" w:ascii="仿宋_GB2312" w:hAnsi="黑体" w:eastAsia="仿宋_GB2312" w:cstheme="minorEastAsia"/>
          <w:b/>
          <w:bCs/>
          <w:sz w:val="24"/>
          <w:szCs w:val="24"/>
          <w:u w:val="single"/>
        </w:rPr>
        <w:t>第三笔付款金额</w:t>
      </w:r>
      <w:permEnd w:id="27"/>
      <w:r>
        <w:rPr>
          <w:rFonts w:hint="eastAsia" w:ascii="仿宋_GB2312" w:hAnsi="黑体" w:eastAsia="仿宋_GB2312" w:cstheme="minorEastAsia"/>
          <w:sz w:val="24"/>
          <w:szCs w:val="24"/>
        </w:rPr>
        <w:t>元作为本合同约定设备的质量保证金，质量保证金在质量保证期内不计利息。待合同设备终验收合格后【</w:t>
      </w:r>
      <w:r>
        <w:rPr>
          <w:rFonts w:hint="eastAsia" w:ascii="仿宋_GB2312" w:hAnsi="黑体" w:eastAsia="仿宋_GB2312" w:cstheme="minorEastAsia"/>
          <w:b/>
          <w:bCs/>
          <w:sz w:val="24"/>
          <w:szCs w:val="24"/>
          <w:u w:val="single"/>
        </w:rPr>
        <w:t>按月数填写支付质量保证金的时长</w:t>
      </w:r>
      <w:r>
        <w:rPr>
          <w:rFonts w:hint="eastAsia" w:ascii="仿宋_GB2312" w:hAnsi="黑体" w:eastAsia="仿宋_GB2312" w:cstheme="minorEastAsia"/>
          <w:sz w:val="24"/>
          <w:szCs w:val="24"/>
        </w:rPr>
        <w:t>】个月，卖方向买方提交质量保证金的收款凭证及设备使用单位的使用情况说明，经买方财务审核无误后支付，</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。如有质量问题，质量保证金予以相应扣除。</w:t>
      </w:r>
    </w:p>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8" w:edGrp="everyone"/>
            <w:r>
              <w:rPr>
                <w:rFonts w:hint="eastAsia" w:ascii="仿宋_GB2312" w:hAnsi="仿宋_GB2312" w:eastAsia="仿宋_GB2312" w:cs="仿宋_GB2312"/>
                <w:b/>
                <w:bCs/>
                <w:w w:val="90"/>
                <w:sz w:val="24"/>
                <w:szCs w:val="24"/>
                <w:u w:val="single"/>
              </w:rPr>
              <w:t>甲方单位全称</w:t>
            </w:r>
            <w:permEnd w:id="2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9" w:edGrp="everyone"/>
            <w:r>
              <w:rPr>
                <w:rFonts w:hint="eastAsia" w:ascii="仿宋_GB2312" w:hAnsi="仿宋_GB2312" w:eastAsia="仿宋_GB2312" w:cs="仿宋_GB2312"/>
                <w:b/>
                <w:bCs/>
                <w:w w:val="90"/>
                <w:sz w:val="24"/>
                <w:szCs w:val="24"/>
                <w:u w:val="single"/>
              </w:rPr>
              <w:t>乙方单位全称</w:t>
            </w:r>
            <w:perm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0" w:edGrp="everyone"/>
            <w:r>
              <w:rPr>
                <w:rFonts w:hint="eastAsia" w:ascii="仿宋_GB2312" w:hAnsi="仿宋_GB2312" w:eastAsia="仿宋_GB2312" w:cs="仿宋_GB2312"/>
                <w:b/>
                <w:bCs/>
                <w:w w:val="90"/>
                <w:sz w:val="24"/>
                <w:szCs w:val="24"/>
                <w:u w:val="single"/>
              </w:rPr>
              <w:t>甲方注册地址，营业执照住所地</w:t>
            </w:r>
            <w:permEnd w:id="3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1" w:edGrp="everyone"/>
            <w:r>
              <w:rPr>
                <w:rFonts w:hint="eastAsia" w:ascii="仿宋_GB2312" w:hAnsi="仿宋_GB2312" w:eastAsia="仿宋_GB2312" w:cs="仿宋_GB2312"/>
                <w:b/>
                <w:bCs/>
                <w:w w:val="90"/>
                <w:sz w:val="24"/>
                <w:szCs w:val="24"/>
                <w:u w:val="single"/>
              </w:rPr>
              <w:t>乙方注册地址，营业执照住所地</w:t>
            </w:r>
            <w:perm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2" w:edGrp="everyone"/>
            <w:r>
              <w:rPr>
                <w:rFonts w:hint="eastAsia" w:ascii="仿宋_GB2312" w:hAnsi="仿宋_GB2312" w:eastAsia="仿宋_GB2312" w:cs="仿宋_GB2312"/>
                <w:b/>
                <w:bCs/>
                <w:w w:val="90"/>
                <w:sz w:val="24"/>
                <w:szCs w:val="24"/>
                <w:u w:val="single"/>
              </w:rPr>
              <w:t>甲方通讯地址，实际联系地址</w:t>
            </w:r>
            <w:permEnd w:id="3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3" w:edGrp="everyone"/>
            <w:r>
              <w:rPr>
                <w:rFonts w:hint="eastAsia" w:ascii="仿宋_GB2312" w:hAnsi="仿宋_GB2312" w:eastAsia="仿宋_GB2312" w:cs="仿宋_GB2312"/>
                <w:b/>
                <w:bCs/>
                <w:w w:val="90"/>
                <w:sz w:val="24"/>
                <w:szCs w:val="24"/>
                <w:u w:val="single"/>
              </w:rPr>
              <w:t>乙方通讯地址，实际联系地址</w:t>
            </w:r>
            <w:perm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4" w:edGrp="everyone"/>
            <w:r>
              <w:rPr>
                <w:rFonts w:hint="eastAsia" w:ascii="仿宋_GB2312" w:hAnsi="仿宋_GB2312" w:eastAsia="仿宋_GB2312" w:cs="仿宋_GB2312"/>
                <w:b/>
                <w:bCs/>
                <w:w w:val="90"/>
                <w:sz w:val="24"/>
                <w:szCs w:val="24"/>
                <w:u w:val="single"/>
              </w:rPr>
              <w:t>甲方法定代表人姓名</w:t>
            </w:r>
            <w:permEnd w:id="3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5" w:edGrp="everyone"/>
            <w:r>
              <w:rPr>
                <w:rFonts w:hint="eastAsia" w:ascii="仿宋_GB2312" w:hAnsi="仿宋_GB2312" w:eastAsia="仿宋_GB2312" w:cs="仿宋_GB2312"/>
                <w:b/>
                <w:bCs/>
                <w:w w:val="90"/>
                <w:sz w:val="24"/>
                <w:szCs w:val="24"/>
                <w:u w:val="single"/>
              </w:rPr>
              <w:t>乙方法定代表人姓名</w:t>
            </w:r>
            <w:perm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6" w:edGrp="everyone"/>
            <w:r>
              <w:rPr>
                <w:rFonts w:hint="eastAsia" w:ascii="仿宋_GB2312" w:hAnsi="仿宋_GB2312" w:eastAsia="仿宋_GB2312" w:cs="仿宋_GB2312"/>
                <w:b/>
                <w:bCs/>
                <w:w w:val="90"/>
                <w:sz w:val="24"/>
                <w:szCs w:val="24"/>
                <w:u w:val="single"/>
              </w:rPr>
              <w:t>甲方授权代表姓名</w:t>
            </w:r>
            <w:permEnd w:id="3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7" w:edGrp="everyone"/>
            <w:r>
              <w:rPr>
                <w:rFonts w:hint="eastAsia" w:ascii="仿宋_GB2312" w:hAnsi="仿宋_GB2312" w:eastAsia="仿宋_GB2312" w:cs="仿宋_GB2312"/>
                <w:b/>
                <w:bCs/>
                <w:w w:val="90"/>
                <w:sz w:val="24"/>
                <w:szCs w:val="24"/>
                <w:u w:val="single"/>
              </w:rPr>
              <w:t>乙方授权代表姓名</w:t>
            </w:r>
            <w:perm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8" w:edGrp="everyone"/>
            <w:r>
              <w:rPr>
                <w:rFonts w:hint="eastAsia" w:ascii="仿宋_GB2312" w:hAnsi="仿宋_GB2312" w:eastAsia="仿宋_GB2312" w:cs="仿宋_GB2312"/>
                <w:b/>
                <w:bCs/>
                <w:w w:val="90"/>
                <w:sz w:val="24"/>
                <w:szCs w:val="24"/>
                <w:u w:val="single"/>
              </w:rPr>
              <w:t>甲方授权代表手机号码</w:t>
            </w:r>
            <w:permEnd w:id="3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9" w:edGrp="everyone"/>
            <w:r>
              <w:rPr>
                <w:rFonts w:hint="eastAsia" w:ascii="仿宋_GB2312" w:hAnsi="仿宋_GB2312" w:eastAsia="仿宋_GB2312" w:cs="仿宋_GB2312"/>
                <w:b/>
                <w:bCs/>
                <w:w w:val="90"/>
                <w:sz w:val="24"/>
                <w:szCs w:val="24"/>
                <w:u w:val="single"/>
              </w:rPr>
              <w:t>乙方授权代表手机号码</w:t>
            </w:r>
            <w:perm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0" w:edGrp="everyone"/>
            <w:r>
              <w:rPr>
                <w:rFonts w:hint="eastAsia" w:ascii="仿宋_GB2312" w:hAnsi="仿宋_GB2312" w:eastAsia="仿宋_GB2312" w:cs="仿宋_GB2312"/>
                <w:b/>
                <w:bCs/>
                <w:w w:val="90"/>
                <w:sz w:val="24"/>
                <w:szCs w:val="24"/>
                <w:u w:val="single"/>
              </w:rPr>
              <w:t>甲方授权代表联系邮箱（非必填）</w:t>
            </w:r>
            <w:permEnd w:id="4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1" w:edGrp="everyone"/>
            <w:r>
              <w:rPr>
                <w:rFonts w:hint="eastAsia" w:ascii="仿宋_GB2312" w:hAnsi="仿宋_GB2312" w:eastAsia="仿宋_GB2312" w:cs="仿宋_GB2312"/>
                <w:b/>
                <w:bCs/>
                <w:w w:val="90"/>
                <w:sz w:val="24"/>
                <w:szCs w:val="24"/>
                <w:u w:val="single"/>
              </w:rPr>
              <w:t>乙方授权代表联系邮箱（非必填）</w:t>
            </w:r>
            <w:perm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2" w:edGrp="everyone"/>
            <w:r>
              <w:rPr>
                <w:rFonts w:hint="eastAsia" w:ascii="仿宋_GB2312" w:hAnsi="仿宋_GB2312" w:eastAsia="仿宋_GB2312" w:cs="仿宋_GB2312"/>
                <w:b/>
                <w:bCs/>
                <w:w w:val="90"/>
                <w:sz w:val="24"/>
                <w:szCs w:val="24"/>
                <w:u w:val="single"/>
              </w:rPr>
              <w:t>甲方开户银行规范全称（非必填）</w:t>
            </w:r>
            <w:permEnd w:id="4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3" w:edGrp="everyone"/>
            <w:r>
              <w:rPr>
                <w:rFonts w:hint="eastAsia" w:ascii="仿宋_GB2312" w:hAnsi="仿宋_GB2312" w:eastAsia="仿宋_GB2312" w:cs="仿宋_GB2312"/>
                <w:b/>
                <w:bCs/>
                <w:w w:val="90"/>
                <w:sz w:val="24"/>
                <w:szCs w:val="24"/>
                <w:u w:val="single"/>
              </w:rPr>
              <w:t>乙方开户银行规范全称</w:t>
            </w:r>
            <w:perm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4" w:edGrp="everyone"/>
            <w:r>
              <w:rPr>
                <w:rFonts w:hint="eastAsia" w:ascii="仿宋_GB2312" w:hAnsi="仿宋_GB2312" w:eastAsia="仿宋_GB2312" w:cs="仿宋_GB2312"/>
                <w:b/>
                <w:bCs/>
                <w:w w:val="90"/>
                <w:sz w:val="24"/>
                <w:szCs w:val="24"/>
                <w:u w:val="single"/>
              </w:rPr>
              <w:t>甲方开户银行联行号（非必填）</w:t>
            </w:r>
            <w:permEnd w:id="4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5" w:edGrp="everyone"/>
            <w:r>
              <w:rPr>
                <w:rFonts w:hint="eastAsia" w:ascii="仿宋_GB2312" w:hAnsi="仿宋_GB2312" w:eastAsia="仿宋_GB2312" w:cs="仿宋_GB2312"/>
                <w:b/>
                <w:bCs/>
                <w:w w:val="90"/>
                <w:sz w:val="24"/>
                <w:szCs w:val="24"/>
                <w:u w:val="single"/>
              </w:rPr>
              <w:t>乙方开户银行联行号</w:t>
            </w:r>
            <w:perm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6" w:edGrp="everyone"/>
            <w:r>
              <w:rPr>
                <w:rFonts w:hint="eastAsia" w:ascii="仿宋_GB2312" w:hAnsi="仿宋_GB2312" w:eastAsia="仿宋_GB2312" w:cs="仿宋_GB2312"/>
                <w:b/>
                <w:bCs/>
                <w:w w:val="90"/>
                <w:sz w:val="24"/>
                <w:szCs w:val="24"/>
                <w:u w:val="single"/>
              </w:rPr>
              <w:t>甲方银行账号（非必填）</w:t>
            </w:r>
            <w:permEnd w:id="4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7" w:edGrp="everyone"/>
            <w:r>
              <w:rPr>
                <w:rFonts w:hint="eastAsia" w:ascii="仿宋_GB2312" w:hAnsi="仿宋_GB2312" w:eastAsia="仿宋_GB2312" w:cs="仿宋_GB2312"/>
                <w:b/>
                <w:bCs/>
                <w:w w:val="90"/>
                <w:sz w:val="24"/>
                <w:szCs w:val="24"/>
                <w:u w:val="single"/>
              </w:rPr>
              <w:t>乙方银行账号</w:t>
            </w:r>
            <w:perm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8" w:edGrp="everyone"/>
            <w:r>
              <w:rPr>
                <w:rFonts w:hint="eastAsia" w:ascii="仿宋_GB2312" w:hAnsi="仿宋_GB2312" w:eastAsia="仿宋_GB2312" w:cs="仿宋_GB2312"/>
                <w:b/>
                <w:bCs/>
                <w:w w:val="90"/>
                <w:sz w:val="24"/>
                <w:szCs w:val="24"/>
                <w:u w:val="single"/>
              </w:rPr>
              <w:t>甲方其他需列明企业信息（非必填）</w:t>
            </w:r>
            <w:permEnd w:id="4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9" w:edGrp="everyone"/>
            <w:r>
              <w:rPr>
                <w:rFonts w:hint="eastAsia" w:ascii="仿宋_GB2312" w:hAnsi="仿宋_GB2312" w:eastAsia="仿宋_GB2312" w:cs="仿宋_GB2312"/>
                <w:b/>
                <w:bCs/>
                <w:w w:val="90"/>
                <w:sz w:val="24"/>
                <w:szCs w:val="24"/>
                <w:u w:val="single"/>
              </w:rPr>
              <w:t>乙方其他需列明企业信息（非必填）</w:t>
            </w:r>
            <w:permEnd w:id="49"/>
          </w:p>
        </w:tc>
      </w:tr>
    </w:tbl>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3.生效条款</w:t>
      </w:r>
    </w:p>
    <w:p>
      <w:pPr>
        <w:spacing w:line="360" w:lineRule="auto"/>
        <w:ind w:firstLine="480" w:firstLineChars="200"/>
        <w:rPr>
          <w:rFonts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4.特殊约定</w:t>
      </w:r>
    </w:p>
    <w:p>
      <w:pPr>
        <w:spacing w:line="360" w:lineRule="auto"/>
        <w:ind w:firstLine="434" w:firstLineChars="200"/>
        <w:rPr>
          <w:rFonts w:ascii="仿宋_GB2312" w:hAnsi="黑体" w:eastAsia="仿宋_GB2312" w:cstheme="minorEastAsia"/>
          <w:sz w:val="24"/>
          <w:szCs w:val="24"/>
        </w:rPr>
      </w:pPr>
      <w:permStart w:id="50" w:edGrp="everyone"/>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ermEnd w:id="50"/>
    </w:p>
    <w:p>
      <w:pPr>
        <w:spacing w:line="360" w:lineRule="auto"/>
        <w:rPr>
          <w:rFonts w:ascii="宋体" w:hAnsi="宋体"/>
          <w:snapToGrid w:val="0"/>
          <w:kern w:val="0"/>
          <w:sz w:val="20"/>
          <w:szCs w:val="20"/>
          <w:lang w:eastAsia="zh-Hans"/>
        </w:rPr>
      </w:pPr>
    </w:p>
    <w:p>
      <w:pPr>
        <w:spacing w:line="360" w:lineRule="auto"/>
        <w:rPr>
          <w:rFonts w:ascii="宋体" w:hAnsi="宋体"/>
          <w:snapToGrid w:val="0"/>
          <w:kern w:val="0"/>
          <w:sz w:val="20"/>
          <w:szCs w:val="20"/>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1" w:edGrp="everyone"/>
      <w:r>
        <w:rPr>
          <w:rFonts w:hint="eastAsia" w:ascii="仿宋_GB2312" w:hAnsi="宋体" w:eastAsia="仿宋_GB2312"/>
          <w:b/>
          <w:bCs/>
          <w:snapToGrid w:val="0"/>
          <w:kern w:val="0"/>
          <w:sz w:val="24"/>
          <w:szCs w:val="24"/>
          <w:u w:val="single"/>
        </w:rPr>
        <w:t>甲方单位全称</w:t>
      </w:r>
      <w:permEnd w:id="51"/>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2" w:edGrp="everyone"/>
      <w:r>
        <w:rPr>
          <w:rFonts w:hint="eastAsia" w:ascii="仿宋_GB2312" w:hAnsi="仿宋_GB2312" w:eastAsia="仿宋_GB2312" w:cs="仿宋_GB2312"/>
          <w:b/>
          <w:bCs/>
          <w:sz w:val="24"/>
          <w:szCs w:val="24"/>
          <w:u w:val="single"/>
        </w:rPr>
        <w:t>乙方单位全称</w:t>
      </w:r>
      <w:permEnd w:id="52"/>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ind w:firstLine="480" w:firstLineChars="200"/>
        <w:rPr>
          <w:rFonts w:ascii="仿宋_GB2312" w:hAnsi="宋体" w:eastAsia="仿宋_GB2312"/>
          <w:snapToGrid w:val="0"/>
          <w:color w:val="000000"/>
          <w:kern w:val="0"/>
          <w:sz w:val="24"/>
          <w:szCs w:val="24"/>
          <w:lang w:eastAsia="zh-Hans"/>
        </w:rPr>
        <w:sectPr>
          <w:footerReference r:id="rId14" w:type="default"/>
          <w:pgSz w:w="11907" w:h="16840"/>
          <w:pgMar w:top="1304" w:right="1418" w:bottom="1304" w:left="1418" w:header="724" w:footer="851" w:gutter="0"/>
          <w:pgNumType w:fmt="decimal"/>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ind w:firstLine="480" w:firstLineChars="200"/>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pPr>
        <w:pStyle w:val="2"/>
        <w:tabs>
          <w:tab w:val="right" w:leader="dot" w:pos="9061"/>
        </w:tabs>
        <w:ind w:left="0" w:firstLine="480" w:firstLineChars="200"/>
        <w:jc w:val="both"/>
        <w:rPr>
          <w:rFonts w:ascii="黑体" w:hAnsi="黑体" w:eastAsia="黑体" w:cs="黑体"/>
          <w:b w:val="0"/>
          <w:sz w:val="24"/>
          <w:szCs w:val="24"/>
        </w:rPr>
      </w:pPr>
      <w:bookmarkStart w:id="1436" w:name="_Toc17619"/>
      <w:bookmarkStart w:id="1437" w:name="_Toc11930"/>
      <w:bookmarkStart w:id="1438" w:name="_Toc16330018"/>
      <w:bookmarkStart w:id="1439" w:name="_Toc11823"/>
      <w:r>
        <w:rPr>
          <w:rFonts w:hint="eastAsia" w:ascii="黑体" w:hAnsi="黑体" w:eastAsia="黑体" w:cs="黑体"/>
          <w:b w:val="0"/>
          <w:sz w:val="24"/>
          <w:szCs w:val="24"/>
        </w:rPr>
        <w:t>1 合同设备</w:t>
      </w:r>
      <w:bookmarkEnd w:id="1436"/>
      <w:bookmarkEnd w:id="1437"/>
      <w:bookmarkEnd w:id="1438"/>
      <w:bookmarkEnd w:id="143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1440" w:name="_Toc32510"/>
      <w:bookmarkStart w:id="1441" w:name="_Toc29026"/>
      <w:bookmarkStart w:id="1442" w:name="_Toc22800"/>
      <w:r>
        <w:rPr>
          <w:rFonts w:hint="eastAsia" w:ascii="仿宋_GB2312" w:hAnsi="仿宋_GB2312" w:eastAsia="仿宋_GB2312" w:cs="仿宋_GB2312"/>
          <w:sz w:val="24"/>
          <w:szCs w:val="24"/>
        </w:rPr>
        <w:t>本合同约定设备的技术规格详见附件《技术协议书》。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pPr>
        <w:pStyle w:val="2"/>
        <w:tabs>
          <w:tab w:val="right" w:leader="dot" w:pos="9061"/>
        </w:tabs>
        <w:ind w:left="0" w:firstLine="480" w:firstLineChars="200"/>
        <w:jc w:val="both"/>
        <w:rPr>
          <w:rFonts w:ascii="黑体" w:hAnsi="黑体" w:eastAsia="黑体" w:cs="黑体"/>
          <w:b w:val="0"/>
          <w:sz w:val="24"/>
          <w:szCs w:val="24"/>
        </w:rPr>
      </w:pPr>
      <w:bookmarkStart w:id="1443" w:name="_Toc16330019"/>
      <w:r>
        <w:rPr>
          <w:rFonts w:hint="eastAsia" w:ascii="黑体" w:hAnsi="黑体" w:eastAsia="黑体" w:cs="黑体"/>
          <w:b w:val="0"/>
          <w:sz w:val="24"/>
          <w:szCs w:val="24"/>
        </w:rPr>
        <w:t>2 包装</w:t>
      </w:r>
      <w:bookmarkEnd w:id="1440"/>
      <w:bookmarkEnd w:id="1441"/>
      <w:bookmarkEnd w:id="1442"/>
      <w:bookmarkEnd w:id="144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pPr>
        <w:pStyle w:val="2"/>
        <w:tabs>
          <w:tab w:val="right" w:leader="dot" w:pos="9061"/>
        </w:tabs>
        <w:ind w:left="0" w:firstLine="480" w:firstLineChars="200"/>
        <w:jc w:val="both"/>
        <w:rPr>
          <w:rFonts w:ascii="黑体" w:hAnsi="黑体" w:eastAsia="黑体" w:cs="黑体"/>
          <w:b w:val="0"/>
          <w:sz w:val="24"/>
          <w:szCs w:val="24"/>
        </w:rPr>
      </w:pPr>
      <w:bookmarkStart w:id="1444" w:name="_Toc16330020"/>
      <w:bookmarkStart w:id="1445" w:name="_Toc27144"/>
      <w:bookmarkStart w:id="1446" w:name="_Toc27453"/>
      <w:bookmarkStart w:id="1447" w:name="_Toc2833"/>
      <w:r>
        <w:rPr>
          <w:rFonts w:hint="eastAsia" w:ascii="黑体" w:hAnsi="黑体" w:eastAsia="黑体" w:cs="黑体"/>
          <w:b w:val="0"/>
          <w:sz w:val="24"/>
          <w:szCs w:val="24"/>
        </w:rPr>
        <w:t>3 运输标记</w:t>
      </w:r>
      <w:bookmarkEnd w:id="1444"/>
      <w:bookmarkEnd w:id="1445"/>
      <w:bookmarkEnd w:id="1446"/>
      <w:bookmarkEnd w:id="144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pStyle w:val="2"/>
        <w:tabs>
          <w:tab w:val="right" w:leader="dot" w:pos="9061"/>
        </w:tabs>
        <w:ind w:left="0" w:firstLine="480" w:firstLineChars="200"/>
        <w:jc w:val="both"/>
        <w:rPr>
          <w:rFonts w:ascii="黑体" w:hAnsi="黑体" w:eastAsia="黑体" w:cs="黑体"/>
          <w:b w:val="0"/>
          <w:sz w:val="24"/>
          <w:szCs w:val="24"/>
        </w:rPr>
      </w:pPr>
      <w:bookmarkStart w:id="1448" w:name="_Toc16133"/>
      <w:bookmarkStart w:id="1449" w:name="_Toc7431"/>
      <w:bookmarkStart w:id="1450" w:name="_Toc10630"/>
      <w:bookmarkStart w:id="1451" w:name="_Toc16330021"/>
      <w:r>
        <w:rPr>
          <w:rFonts w:hint="eastAsia" w:ascii="黑体" w:hAnsi="黑体" w:eastAsia="黑体" w:cs="黑体"/>
          <w:b w:val="0"/>
          <w:sz w:val="24"/>
          <w:szCs w:val="24"/>
        </w:rPr>
        <w:t>4 检验</w:t>
      </w:r>
      <w:bookmarkEnd w:id="1448"/>
      <w:bookmarkEnd w:id="1449"/>
      <w:bookmarkEnd w:id="1450"/>
      <w:bookmarkEnd w:id="145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pPr>
        <w:pStyle w:val="2"/>
        <w:tabs>
          <w:tab w:val="right" w:leader="dot" w:pos="9061"/>
        </w:tabs>
        <w:ind w:left="0" w:firstLine="480" w:firstLineChars="200"/>
        <w:jc w:val="both"/>
        <w:rPr>
          <w:rFonts w:ascii="黑体" w:hAnsi="黑体" w:eastAsia="黑体" w:cs="黑体"/>
          <w:b w:val="0"/>
          <w:sz w:val="24"/>
          <w:szCs w:val="24"/>
        </w:rPr>
      </w:pPr>
      <w:bookmarkStart w:id="1452" w:name="_Toc11217"/>
      <w:bookmarkStart w:id="1453" w:name="_Toc19850"/>
      <w:bookmarkStart w:id="1454" w:name="_Toc16330022"/>
      <w:bookmarkStart w:id="1455" w:name="_Toc24467"/>
      <w:r>
        <w:rPr>
          <w:rFonts w:hint="eastAsia" w:ascii="黑体" w:hAnsi="黑体" w:eastAsia="黑体" w:cs="黑体"/>
          <w:b w:val="0"/>
          <w:sz w:val="24"/>
          <w:szCs w:val="24"/>
        </w:rPr>
        <w:t>5 权利担保</w:t>
      </w:r>
      <w:bookmarkEnd w:id="1452"/>
      <w:bookmarkEnd w:id="1453"/>
      <w:bookmarkEnd w:id="1454"/>
      <w:bookmarkEnd w:id="145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pStyle w:val="2"/>
        <w:tabs>
          <w:tab w:val="right" w:leader="dot" w:pos="9061"/>
        </w:tabs>
        <w:ind w:left="0" w:firstLine="480" w:firstLineChars="200"/>
        <w:jc w:val="both"/>
        <w:rPr>
          <w:rFonts w:ascii="黑体" w:hAnsi="黑体" w:eastAsia="黑体" w:cs="黑体"/>
          <w:b w:val="0"/>
          <w:sz w:val="24"/>
          <w:szCs w:val="24"/>
        </w:rPr>
      </w:pPr>
      <w:bookmarkStart w:id="1456" w:name="_Toc11759"/>
      <w:bookmarkStart w:id="1457" w:name="_Toc14809"/>
      <w:bookmarkStart w:id="1458" w:name="_Toc16330023"/>
      <w:bookmarkStart w:id="1459" w:name="_Toc27500"/>
      <w:r>
        <w:rPr>
          <w:rFonts w:hint="eastAsia" w:ascii="黑体" w:hAnsi="黑体" w:eastAsia="黑体" w:cs="黑体"/>
          <w:b w:val="0"/>
          <w:sz w:val="24"/>
          <w:szCs w:val="24"/>
        </w:rPr>
        <w:t>6 交货</w:t>
      </w:r>
      <w:bookmarkEnd w:id="1456"/>
      <w:bookmarkEnd w:id="1457"/>
      <w:bookmarkEnd w:id="1458"/>
      <w:bookmarkEnd w:id="145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pStyle w:val="2"/>
        <w:tabs>
          <w:tab w:val="right" w:leader="dot" w:pos="9061"/>
        </w:tabs>
        <w:ind w:left="0" w:firstLine="480" w:firstLineChars="200"/>
        <w:jc w:val="both"/>
        <w:rPr>
          <w:rFonts w:ascii="黑体" w:hAnsi="黑体" w:eastAsia="黑体" w:cs="黑体"/>
          <w:b w:val="0"/>
          <w:sz w:val="24"/>
          <w:szCs w:val="24"/>
        </w:rPr>
      </w:pPr>
      <w:bookmarkStart w:id="1460" w:name="_Toc2984"/>
      <w:bookmarkStart w:id="1461" w:name="_Toc25510"/>
      <w:bookmarkStart w:id="1462" w:name="_Toc8024"/>
      <w:bookmarkStart w:id="1463" w:name="_Toc16330024"/>
      <w:r>
        <w:rPr>
          <w:rFonts w:hint="eastAsia" w:ascii="黑体" w:hAnsi="黑体" w:eastAsia="黑体" w:cs="黑体"/>
          <w:b w:val="0"/>
          <w:sz w:val="24"/>
          <w:szCs w:val="24"/>
        </w:rPr>
        <w:t>7 安装、调试</w:t>
      </w:r>
      <w:bookmarkEnd w:id="1460"/>
      <w:bookmarkEnd w:id="1461"/>
      <w:bookmarkEnd w:id="1462"/>
      <w:bookmarkEnd w:id="146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pPr>
        <w:pStyle w:val="2"/>
        <w:tabs>
          <w:tab w:val="right" w:leader="dot" w:pos="9061"/>
        </w:tabs>
        <w:ind w:left="0" w:firstLine="480" w:firstLineChars="200"/>
        <w:jc w:val="both"/>
        <w:rPr>
          <w:rFonts w:ascii="黑体" w:hAnsi="黑体" w:eastAsia="黑体" w:cs="黑体"/>
          <w:b w:val="0"/>
          <w:sz w:val="24"/>
          <w:szCs w:val="24"/>
        </w:rPr>
      </w:pPr>
      <w:bookmarkStart w:id="1464" w:name="_Toc14098"/>
      <w:bookmarkStart w:id="1465" w:name="_Toc14260"/>
      <w:bookmarkStart w:id="1466" w:name="_Toc6350"/>
      <w:bookmarkStart w:id="1467" w:name="_Toc16330025"/>
      <w:r>
        <w:rPr>
          <w:rFonts w:hint="eastAsia" w:ascii="黑体" w:hAnsi="黑体" w:eastAsia="黑体" w:cs="黑体"/>
          <w:b w:val="0"/>
          <w:sz w:val="24"/>
          <w:szCs w:val="24"/>
        </w:rPr>
        <w:t>8 价款与支付</w:t>
      </w:r>
      <w:bookmarkEnd w:id="1464"/>
      <w:bookmarkEnd w:id="1465"/>
      <w:bookmarkEnd w:id="1466"/>
      <w:bookmarkEnd w:id="146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pPr>
        <w:pStyle w:val="2"/>
        <w:tabs>
          <w:tab w:val="right" w:leader="dot" w:pos="9061"/>
        </w:tabs>
        <w:ind w:left="0" w:firstLine="480" w:firstLineChars="200"/>
        <w:jc w:val="both"/>
        <w:rPr>
          <w:rFonts w:ascii="黑体" w:hAnsi="黑体" w:eastAsia="黑体" w:cs="黑体"/>
          <w:b w:val="0"/>
          <w:sz w:val="24"/>
          <w:szCs w:val="24"/>
        </w:rPr>
      </w:pPr>
      <w:bookmarkStart w:id="1468" w:name="_Toc25708"/>
      <w:bookmarkStart w:id="1469" w:name="_Toc6726"/>
      <w:bookmarkStart w:id="1470" w:name="_Toc16330026"/>
      <w:bookmarkStart w:id="1471" w:name="_Toc24085"/>
      <w:r>
        <w:rPr>
          <w:rFonts w:hint="eastAsia" w:ascii="黑体" w:hAnsi="黑体" w:eastAsia="黑体" w:cs="黑体"/>
          <w:b w:val="0"/>
          <w:sz w:val="24"/>
          <w:szCs w:val="24"/>
        </w:rPr>
        <w:t>9 质量保证及售后服务</w:t>
      </w:r>
      <w:bookmarkEnd w:id="1468"/>
      <w:bookmarkEnd w:id="1469"/>
      <w:bookmarkEnd w:id="1470"/>
      <w:bookmarkEnd w:id="147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pPr>
        <w:pStyle w:val="2"/>
        <w:tabs>
          <w:tab w:val="right" w:leader="dot" w:pos="9061"/>
        </w:tabs>
        <w:ind w:left="0" w:firstLine="480" w:firstLineChars="200"/>
        <w:jc w:val="both"/>
        <w:rPr>
          <w:rFonts w:ascii="黑体" w:hAnsi="黑体" w:eastAsia="黑体" w:cs="黑体"/>
          <w:b w:val="0"/>
          <w:sz w:val="24"/>
          <w:szCs w:val="24"/>
        </w:rPr>
      </w:pPr>
      <w:bookmarkStart w:id="1472" w:name="_Toc12927"/>
      <w:bookmarkStart w:id="1473" w:name="_Toc10359"/>
      <w:bookmarkStart w:id="1474" w:name="_Toc16330027"/>
      <w:bookmarkStart w:id="1475" w:name="_Toc15570"/>
      <w:r>
        <w:rPr>
          <w:rFonts w:hint="eastAsia" w:ascii="黑体" w:hAnsi="黑体" w:eastAsia="黑体" w:cs="黑体"/>
          <w:b w:val="0"/>
          <w:sz w:val="24"/>
          <w:szCs w:val="24"/>
        </w:rPr>
        <w:t>10法定责任</w:t>
      </w:r>
      <w:bookmarkEnd w:id="1472"/>
      <w:bookmarkEnd w:id="1473"/>
      <w:bookmarkEnd w:id="1474"/>
      <w:bookmarkEnd w:id="1475"/>
      <w:r>
        <w:rPr>
          <w:rFonts w:hint="eastAsia" w:ascii="黑体" w:hAnsi="黑体" w:eastAsia="黑体" w:cs="黑体"/>
          <w:b w:val="0"/>
          <w:sz w:val="24"/>
          <w:szCs w:val="24"/>
        </w:rPr>
        <w:t>及合规责任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pPr>
        <w:spacing w:line="360"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pPr>
        <w:pStyle w:val="2"/>
        <w:tabs>
          <w:tab w:val="right" w:leader="dot" w:pos="9061"/>
        </w:tabs>
        <w:ind w:left="0" w:firstLine="480" w:firstLineChars="200"/>
        <w:jc w:val="both"/>
        <w:rPr>
          <w:rFonts w:ascii="黑体" w:hAnsi="黑体" w:eastAsia="黑体" w:cs="黑体"/>
          <w:b w:val="0"/>
          <w:sz w:val="24"/>
          <w:szCs w:val="24"/>
        </w:rPr>
      </w:pPr>
      <w:bookmarkStart w:id="1476" w:name="_Toc16330028"/>
      <w:bookmarkStart w:id="1477" w:name="_Toc30381"/>
      <w:bookmarkStart w:id="1478" w:name="_Toc9708"/>
      <w:bookmarkStart w:id="1479" w:name="_Toc27314"/>
      <w:r>
        <w:rPr>
          <w:rFonts w:hint="eastAsia" w:ascii="黑体" w:hAnsi="黑体" w:eastAsia="黑体" w:cs="黑体"/>
          <w:b w:val="0"/>
          <w:sz w:val="24"/>
          <w:szCs w:val="24"/>
        </w:rPr>
        <w:t>11 违约责任</w:t>
      </w:r>
      <w:bookmarkEnd w:id="1476"/>
      <w:bookmarkEnd w:id="1477"/>
      <w:bookmarkEnd w:id="1478"/>
      <w:bookmarkEnd w:id="147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pPr>
        <w:pStyle w:val="2"/>
        <w:tabs>
          <w:tab w:val="right" w:leader="dot" w:pos="9061"/>
        </w:tabs>
        <w:ind w:left="0" w:firstLine="480" w:firstLineChars="200"/>
        <w:jc w:val="both"/>
        <w:rPr>
          <w:rFonts w:ascii="黑体" w:hAnsi="黑体" w:eastAsia="黑体" w:cs="黑体"/>
          <w:b w:val="0"/>
          <w:sz w:val="24"/>
          <w:szCs w:val="24"/>
        </w:rPr>
      </w:pPr>
      <w:bookmarkStart w:id="1480" w:name="_Toc16330029"/>
      <w:bookmarkStart w:id="1481" w:name="_Toc31554"/>
      <w:bookmarkStart w:id="1482" w:name="_Toc1827"/>
      <w:bookmarkStart w:id="1483" w:name="_Toc9172"/>
      <w:r>
        <w:rPr>
          <w:rFonts w:hint="eastAsia" w:ascii="黑体" w:hAnsi="黑体" w:eastAsia="黑体" w:cs="黑体"/>
          <w:b w:val="0"/>
          <w:sz w:val="24"/>
          <w:szCs w:val="24"/>
        </w:rPr>
        <w:t>12 合同的终止与解除</w:t>
      </w:r>
      <w:bookmarkEnd w:id="1480"/>
      <w:bookmarkEnd w:id="1481"/>
      <w:bookmarkEnd w:id="1482"/>
      <w:bookmarkEnd w:id="148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12.3.2卖方所交付的设备不符合本合同约定的质量要求或屡次验收不合格或达不到验收标准的；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pPr>
        <w:pStyle w:val="2"/>
        <w:tabs>
          <w:tab w:val="right" w:leader="dot" w:pos="9061"/>
        </w:tabs>
        <w:ind w:left="0" w:firstLine="480" w:firstLineChars="200"/>
        <w:jc w:val="both"/>
        <w:rPr>
          <w:rFonts w:ascii="黑体" w:hAnsi="黑体" w:eastAsia="黑体" w:cs="黑体"/>
          <w:b w:val="0"/>
          <w:sz w:val="24"/>
          <w:szCs w:val="24"/>
        </w:rPr>
      </w:pPr>
      <w:bookmarkStart w:id="1484" w:name="_Toc31945"/>
      <w:bookmarkStart w:id="1485" w:name="_Toc13671"/>
      <w:bookmarkStart w:id="1486" w:name="_Toc8620"/>
      <w:bookmarkStart w:id="1487" w:name="_Toc16330030"/>
      <w:r>
        <w:rPr>
          <w:rFonts w:hint="eastAsia" w:ascii="黑体" w:hAnsi="黑体" w:eastAsia="黑体" w:cs="黑体"/>
          <w:b w:val="0"/>
          <w:sz w:val="24"/>
          <w:szCs w:val="24"/>
        </w:rPr>
        <w:t>13 不可抗力</w:t>
      </w:r>
      <w:bookmarkEnd w:id="1484"/>
      <w:bookmarkEnd w:id="1485"/>
      <w:bookmarkEnd w:id="1486"/>
      <w:bookmarkEnd w:id="148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pPr>
        <w:pStyle w:val="2"/>
        <w:tabs>
          <w:tab w:val="right" w:leader="dot" w:pos="9061"/>
        </w:tabs>
        <w:ind w:left="0" w:firstLine="480" w:firstLineChars="200"/>
        <w:jc w:val="both"/>
        <w:rPr>
          <w:rFonts w:ascii="黑体" w:hAnsi="黑体" w:eastAsia="黑体" w:cs="黑体"/>
          <w:b w:val="0"/>
          <w:sz w:val="24"/>
          <w:szCs w:val="24"/>
        </w:rPr>
      </w:pPr>
      <w:bookmarkStart w:id="1488" w:name="_Toc31243"/>
      <w:bookmarkStart w:id="1489" w:name="_Toc637"/>
      <w:bookmarkStart w:id="1490" w:name="_Toc30389"/>
      <w:bookmarkStart w:id="1491" w:name="_Toc16330031"/>
      <w:r>
        <w:rPr>
          <w:rFonts w:hint="eastAsia" w:ascii="黑体" w:hAnsi="黑体" w:eastAsia="黑体" w:cs="黑体"/>
          <w:b w:val="0"/>
          <w:sz w:val="24"/>
          <w:szCs w:val="24"/>
        </w:rPr>
        <w:t>14 通讯</w:t>
      </w:r>
      <w:bookmarkEnd w:id="1488"/>
      <w:bookmarkEnd w:id="1489"/>
      <w:bookmarkEnd w:id="1490"/>
      <w:bookmarkEnd w:id="149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pPr>
        <w:pStyle w:val="2"/>
        <w:tabs>
          <w:tab w:val="right" w:leader="dot" w:pos="9061"/>
        </w:tabs>
        <w:ind w:left="0" w:firstLine="480" w:firstLineChars="200"/>
        <w:jc w:val="both"/>
        <w:rPr>
          <w:rFonts w:ascii="黑体" w:hAnsi="黑体" w:eastAsia="黑体" w:cs="黑体"/>
          <w:b w:val="0"/>
          <w:sz w:val="24"/>
          <w:szCs w:val="24"/>
        </w:rPr>
      </w:pPr>
      <w:bookmarkStart w:id="1492" w:name="_Toc11290"/>
      <w:bookmarkStart w:id="1493" w:name="_Toc16330032"/>
      <w:bookmarkStart w:id="1494" w:name="_Toc9915"/>
      <w:bookmarkStart w:id="1495" w:name="_Toc12984"/>
      <w:r>
        <w:rPr>
          <w:rFonts w:hint="eastAsia" w:ascii="黑体" w:hAnsi="黑体" w:eastAsia="黑体" w:cs="黑体"/>
          <w:b w:val="0"/>
          <w:sz w:val="24"/>
          <w:szCs w:val="24"/>
        </w:rPr>
        <w:t>15 适用法律及争议解决</w:t>
      </w:r>
      <w:bookmarkEnd w:id="1492"/>
      <w:bookmarkEnd w:id="1493"/>
      <w:bookmarkEnd w:id="1494"/>
      <w:bookmarkEnd w:id="149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pPr>
        <w:pStyle w:val="2"/>
        <w:tabs>
          <w:tab w:val="right" w:leader="dot" w:pos="9061"/>
        </w:tabs>
        <w:ind w:left="0" w:firstLine="480" w:firstLineChars="200"/>
        <w:jc w:val="both"/>
        <w:rPr>
          <w:rFonts w:ascii="黑体" w:hAnsi="黑体" w:eastAsia="黑体" w:cs="黑体"/>
          <w:b w:val="0"/>
          <w:sz w:val="24"/>
          <w:szCs w:val="24"/>
        </w:rPr>
      </w:pPr>
      <w:bookmarkStart w:id="1496" w:name="_Toc16330033"/>
      <w:bookmarkStart w:id="1497" w:name="_Toc23765"/>
      <w:bookmarkStart w:id="1498" w:name="_Toc18207"/>
      <w:bookmarkStart w:id="1499" w:name="_Toc23906"/>
      <w:r>
        <w:rPr>
          <w:rFonts w:hint="eastAsia" w:ascii="黑体" w:hAnsi="黑体" w:eastAsia="黑体" w:cs="黑体"/>
          <w:b w:val="0"/>
          <w:sz w:val="24"/>
          <w:szCs w:val="24"/>
        </w:rPr>
        <w:t>16 附件</w:t>
      </w:r>
      <w:bookmarkEnd w:id="1496"/>
      <w:bookmarkEnd w:id="1497"/>
      <w:bookmarkEnd w:id="1498"/>
      <w:bookmarkEnd w:id="149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本合同及上述附件内容与固定资产设备项目偏差索赔细则有冲突的，以固定资产设备项目偏差索赔细则约定为准。</w:t>
      </w:r>
    </w:p>
    <w:p>
      <w:pPr>
        <w:pStyle w:val="2"/>
        <w:tabs>
          <w:tab w:val="right" w:leader="dot" w:pos="9061"/>
        </w:tabs>
        <w:ind w:left="0" w:firstLine="480" w:firstLineChars="200"/>
        <w:jc w:val="both"/>
        <w:rPr>
          <w:rFonts w:ascii="黑体" w:hAnsi="黑体" w:eastAsia="黑体" w:cs="黑体"/>
          <w:b w:val="0"/>
          <w:sz w:val="24"/>
          <w:szCs w:val="24"/>
        </w:rPr>
      </w:pPr>
      <w:bookmarkStart w:id="1500" w:name="_Toc17656"/>
      <w:bookmarkStart w:id="1501" w:name="_Toc31331"/>
      <w:bookmarkStart w:id="1502" w:name="_Toc16330034"/>
      <w:bookmarkStart w:id="1503" w:name="_Toc27202"/>
      <w:r>
        <w:rPr>
          <w:rFonts w:hint="eastAsia" w:ascii="黑体" w:hAnsi="黑体" w:eastAsia="黑体" w:cs="黑体"/>
          <w:b w:val="0"/>
          <w:sz w:val="24"/>
          <w:szCs w:val="24"/>
        </w:rPr>
        <w:t>17 其他规定</w:t>
      </w:r>
      <w:bookmarkEnd w:id="1500"/>
      <w:bookmarkEnd w:id="1501"/>
      <w:bookmarkEnd w:id="1502"/>
      <w:bookmarkEnd w:id="150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480" w:firstLineChars="200"/>
        <w:rPr>
          <w:rFonts w:ascii="仿宋_GB2312" w:hAnsi="仿宋_GB2312" w:eastAsia="仿宋_GB2312" w:cs="仿宋_GB2312"/>
          <w:sz w:val="24"/>
          <w:szCs w:val="24"/>
        </w:rPr>
      </w:pPr>
      <w:bookmarkStart w:id="1504" w:name="_Toc17952"/>
      <w:bookmarkStart w:id="1505" w:name="_Toc16330035"/>
      <w:bookmarkStart w:id="1506" w:name="_Toc19077"/>
      <w:bookmarkStart w:id="1507"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504"/>
      <w:bookmarkEnd w:id="1505"/>
      <w:bookmarkEnd w:id="1506"/>
      <w:bookmarkEnd w:id="150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3" w:edGrp="everyone"/>
      <w:r>
        <w:rPr>
          <w:rFonts w:hint="eastAsia" w:ascii="仿宋_GB2312" w:hAnsi="宋体" w:eastAsia="仿宋_GB2312"/>
          <w:b/>
          <w:bCs/>
          <w:snapToGrid w:val="0"/>
          <w:kern w:val="0"/>
          <w:sz w:val="24"/>
          <w:szCs w:val="24"/>
          <w:u w:val="single"/>
        </w:rPr>
        <w:t>甲方单位全称</w:t>
      </w:r>
      <w:permEnd w:id="53"/>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4" w:edGrp="everyone"/>
      <w:r>
        <w:rPr>
          <w:rFonts w:hint="eastAsia" w:ascii="仿宋_GB2312" w:hAnsi="仿宋_GB2312" w:eastAsia="仿宋_GB2312" w:cs="仿宋_GB2312"/>
          <w:b/>
          <w:bCs/>
          <w:sz w:val="24"/>
          <w:szCs w:val="24"/>
          <w:u w:val="single"/>
        </w:rPr>
        <w:t>乙方单位全称</w:t>
      </w:r>
      <w:permEnd w:id="54"/>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sectPr>
          <w:pgSz w:w="11907" w:h="16840"/>
          <w:pgMar w:top="1304" w:right="1418" w:bottom="1304" w:left="1418" w:header="724" w:footer="851" w:gutter="0"/>
          <w:pgNumType w:fmt="decimal"/>
          <w:cols w:space="720" w:num="1"/>
          <w:docGrid w:linePitch="290" w:charSpace="-3931"/>
        </w:sectPr>
      </w:pPr>
    </w:p>
    <w:p>
      <w:pPr>
        <w:rPr>
          <w:highlight w:val="yellow"/>
        </w:rPr>
      </w:pPr>
      <w:r>
        <w:rPr>
          <w:rFonts w:hint="eastAsia" w:ascii="黑体" w:hAnsi="黑体" w:eastAsia="黑体" w:cstheme="minorEastAsia"/>
          <w:sz w:val="28"/>
          <w:szCs w:val="28"/>
        </w:rPr>
        <w:t>附件一：设备清单明细表【作为附件另附】</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1"/>
        <w:gridCol w:w="1066"/>
        <w:gridCol w:w="1046"/>
        <w:gridCol w:w="977"/>
        <w:gridCol w:w="881"/>
        <w:gridCol w:w="997"/>
        <w:gridCol w:w="67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spacing w:line="360" w:lineRule="auto"/>
              <w:jc w:val="center"/>
              <w:rPr>
                <w:rFonts w:ascii="仿宋_GB2312" w:eastAsia="仿宋_GB2312" w:hAnsiTheme="minorEastAsia" w:cstheme="minorEastAsia"/>
              </w:rPr>
            </w:pPr>
          </w:p>
        </w:tc>
        <w:tc>
          <w:tcPr>
            <w:tcW w:w="977" w:type="dxa"/>
            <w:vAlign w:val="center"/>
          </w:tcPr>
          <w:p>
            <w:pPr>
              <w:spacing w:line="360" w:lineRule="auto"/>
              <w:jc w:val="center"/>
              <w:rPr>
                <w:rFonts w:ascii="仿宋_GB2312" w:eastAsia="仿宋_GB2312" w:hAnsiTheme="minorEastAsia" w:cstheme="minorEastAsia"/>
              </w:rPr>
            </w:pPr>
          </w:p>
        </w:tc>
        <w:tc>
          <w:tcPr>
            <w:tcW w:w="881" w:type="dxa"/>
            <w:vAlign w:val="center"/>
          </w:tcPr>
          <w:p>
            <w:pPr>
              <w:spacing w:line="360" w:lineRule="auto"/>
              <w:jc w:val="center"/>
              <w:rPr>
                <w:rFonts w:ascii="仿宋_GB2312" w:eastAsia="仿宋_GB2312" w:hAnsiTheme="minorEastAsia" w:cstheme="minorEastAsia"/>
              </w:rPr>
            </w:pPr>
          </w:p>
        </w:tc>
        <w:tc>
          <w:tcPr>
            <w:tcW w:w="99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r>
    </w:tbl>
    <w:p>
      <w:pPr>
        <w:pStyle w:val="2"/>
        <w:tabs>
          <w:tab w:val="right" w:leader="dot" w:pos="9061"/>
        </w:tabs>
        <w:ind w:left="0"/>
        <w:jc w:val="both"/>
        <w:rPr>
          <w:rFonts w:asciiTheme="minorEastAsia" w:hAnsiTheme="minorEastAsia" w:eastAsiaTheme="minorEastAsia" w:cstheme="minorEastAsia"/>
          <w:sz w:val="20"/>
        </w:rPr>
      </w:pPr>
    </w:p>
    <w:p>
      <w:pPr>
        <w:rPr>
          <w:rFonts w:asciiTheme="minorEastAsia" w:hAnsiTheme="minorEastAsia" w:eastAsiaTheme="minorEastAsia" w:cstheme="minorEastAsia"/>
          <w:sz w:val="20"/>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jc w:val="left"/>
        <w:rPr>
          <w:rFonts w:ascii="仿宋_GB2312" w:hAnsi="仿宋_GB2312" w:eastAsia="仿宋_GB2312" w:cs="仿宋_GB2312"/>
          <w:snapToGrid w:val="0"/>
          <w:color w:val="000000"/>
          <w:kern w:val="0"/>
          <w:sz w:val="24"/>
          <w:szCs w:val="24"/>
          <w:lang w:eastAsia="zh-Hans"/>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spacing w:line="300" w:lineRule="auto"/>
        <w:ind w:firstLine="643" w:firstLineChars="200"/>
        <w:jc w:val="center"/>
        <w:outlineLvl w:val="2"/>
        <w:rPr>
          <w:rFonts w:ascii="方正小标宋简体" w:hAnsi="方正小标宋简体" w:eastAsia="方正小标宋简体" w:cs="方正小标宋简体"/>
          <w:b/>
          <w:bCs/>
          <w:kern w:val="0"/>
          <w:sz w:val="32"/>
          <w:szCs w:val="32"/>
        </w:rPr>
      </w:pPr>
      <w:r>
        <w:rPr>
          <w:rFonts w:hint="eastAsia" w:ascii="方正小标宋简体" w:hAnsi="方正小标宋简体" w:eastAsia="方正小标宋简体" w:cs="方正小标宋简体"/>
          <w:b/>
          <w:bCs/>
          <w:kern w:val="0"/>
          <w:sz w:val="32"/>
          <w:szCs w:val="32"/>
        </w:rPr>
        <w:t xml:space="preserve">附件二 </w:t>
      </w:r>
      <w:r>
        <w:rPr>
          <w:rFonts w:ascii="方正小标宋简体" w:hAnsi="方正小标宋简体" w:eastAsia="方正小标宋简体" w:cs="方正小标宋简体"/>
          <w:b/>
          <w:bCs/>
          <w:kern w:val="0"/>
          <w:sz w:val="32"/>
          <w:szCs w:val="32"/>
        </w:rPr>
        <w:t xml:space="preserve"> 固定资产</w:t>
      </w:r>
      <w:r>
        <w:rPr>
          <w:rFonts w:hint="eastAsia" w:ascii="方正小标宋简体" w:hAnsi="方正小标宋简体" w:eastAsia="方正小标宋简体" w:cs="方正小标宋简体"/>
          <w:b/>
          <w:bCs/>
          <w:kern w:val="0"/>
          <w:sz w:val="32"/>
          <w:szCs w:val="32"/>
        </w:rPr>
        <w:t>设备</w:t>
      </w:r>
      <w:r>
        <w:rPr>
          <w:rFonts w:ascii="方正小标宋简体" w:hAnsi="方正小标宋简体" w:eastAsia="方正小标宋简体" w:cs="方正小标宋简体"/>
          <w:b/>
          <w:bCs/>
          <w:kern w:val="0"/>
          <w:sz w:val="32"/>
          <w:szCs w:val="32"/>
        </w:rPr>
        <w:t>项目偏差索赔细则</w:t>
      </w:r>
    </w:p>
    <w:p>
      <w:pPr>
        <w:spacing w:line="300" w:lineRule="auto"/>
        <w:ind w:firstLine="480" w:firstLineChars="200"/>
        <w:rPr>
          <w:rFonts w:ascii="仿宋_GB2312" w:eastAsia="仿宋_GB2312"/>
          <w:sz w:val="24"/>
          <w:szCs w:val="24"/>
        </w:rPr>
      </w:pPr>
      <w:r>
        <w:rPr>
          <w:rFonts w:hint="eastAsia" w:ascii="仿宋_GB2312" w:hAnsi="仿宋_GB2312" w:eastAsia="仿宋_GB2312" w:cs="仿宋_GB2312"/>
          <w:kern w:val="0"/>
          <w:sz w:val="24"/>
          <w:szCs w:val="24"/>
          <w:lang w:bidi="ar"/>
        </w:rPr>
        <w:t>为规范固定资产项目实施过程中，因卖方原因导致设备各项重要技术指标、项目进度出现偏差，造成项目延期交付或无法通过验收等情况，经协商一致，就索赔扣款事宜订立本细则，双方共同遵守。</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一、固定资产投资项目偏差及索赔细则</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（一）非标设备、产线等生产类固定资产投资项目</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1、产能节拍偏差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产能节拍是指特定时间段内，生产线或生产工序必须完成一个单位产品所需要的时间间隔，以合同/技术协议内的节拍时间（秒/件）为准。</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1.2节拍偏差率核算公式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节拍偏差率=（实际节拍-约定节拍）÷约定节拍×100%</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节拍偏差率3%＜偏差率≤10%：偏差每超出1%，扣减设备合同价款的1%；</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节拍偏差率10%＜偏差率≤30%：属重大偏差，偏差每超出1%，扣减设备合同价款的1%；买方有权全部或部分不予验收付款，买方视情况选择解除合同或继续执行合同；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节拍偏差率＞30%：属根本违约，买方有权不予验收、不予付款，并有权单方解除合同。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当项目涉及多个产品需进行节拍验收时，参照双方在合同内约定的各个产品节拍偏离扣款基数；如无明确约定，按扣款比例=(节拍超差产品数量/需验收节拍产品数量)*100%进行折算。</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2、自动化率偏差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自动化率是指设备在完成其预定功能时不需要人工干预的程度，以合同</w:t>
      </w:r>
      <w:r>
        <w:rPr>
          <w:rFonts w:hint="eastAsia" w:ascii="仿宋_GB2312" w:hAnsi="仿宋_GB2312" w:eastAsia="仿宋_GB2312" w:cs="仿宋_GB2312"/>
          <w:kern w:val="0"/>
          <w:sz w:val="24"/>
          <w:szCs w:val="24"/>
          <w:lang w:bidi="ar"/>
        </w:rPr>
        <w:t>/技术协议</w:t>
      </w:r>
      <w:r>
        <w:rPr>
          <w:rFonts w:hint="eastAsia" w:ascii="仿宋_GB2312" w:hAnsi="仿宋_GB2312" w:eastAsia="仿宋_GB2312" w:cs="仿宋_GB2312"/>
          <w:sz w:val="24"/>
          <w:szCs w:val="24"/>
        </w:rPr>
        <w:t>约定的</w:t>
      </w:r>
      <w:r>
        <w:rPr>
          <w:rFonts w:hint="eastAsia" w:ascii="仿宋_GB2312" w:hAnsi="仿宋_GB2312" w:eastAsia="仿宋_GB2312" w:cs="仿宋_GB2312"/>
          <w:b/>
          <w:sz w:val="24"/>
          <w:szCs w:val="24"/>
        </w:rPr>
        <w:t>自动化率</w:t>
      </w:r>
      <w:r>
        <w:rPr>
          <w:rFonts w:hint="eastAsia" w:ascii="仿宋_GB2312" w:hAnsi="仿宋_GB2312" w:eastAsia="仿宋_GB2312" w:cs="仿宋_GB2312"/>
          <w:sz w:val="24"/>
          <w:szCs w:val="24"/>
        </w:rPr>
        <w:t>为准，按Q/ZZ 30096《产线自动化率核算规范》内规定的计算方法进行核算。</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2.2自动化率偏差核算公式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自动化率偏差=约定自动化率-实际达成自动化率</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自动化率偏差率＜【5】%：视为允许偏差，不扣款；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【5】%≤自动化率偏差率＜【15】%：偏差每高1%，扣减对应合同价款的0.5%；</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设备主要功能、核心性能指标、关键技术参数未达到合同及附件《技术协议》约定标准或国家、行业标准，导致项目无法实现核心产能、工艺要求不满足、整体验收不合格的，视为卖方根本违约。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对于创新性强、技术难度大的挑战性项目，如存在部分关键指标不达标但经买方认定不影响产品、产线使用的，买方可选择让步接收，卖方提供不高于合同总金额的20%的折扣作为对买方让步接收的补偿。</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4.1交付期偏差：</w:t>
      </w:r>
      <w:r>
        <w:rPr>
          <w:rFonts w:hint="eastAsia" w:ascii="仿宋_GB2312" w:hAnsi="仿宋_GB2312" w:eastAsia="仿宋_GB2312" w:cs="仿宋_GB2312"/>
          <w:sz w:val="24"/>
          <w:szCs w:val="24"/>
        </w:rPr>
        <w:t>指设备到货、安装调试等过程周期超出合同约定的时间。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4.2扣款规则：</w:t>
      </w:r>
      <w:r>
        <w:rPr>
          <w:rFonts w:hint="eastAsia" w:ascii="仿宋_GB2312" w:hAnsi="仿宋_GB2312" w:eastAsia="仿宋_GB2312" w:cs="仿宋_GB2312"/>
          <w:sz w:val="24"/>
          <w:szCs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（二）研发、检测类固定资产投资项目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设备主要功能、核心性能指标、关键技术参数未达到合同及附件《技术协议》约定标准或国家、行业标准，导致项目无法实现核心功能、工艺要求不满足、整体验收不合格的，视为卖方根本违约。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对于创新性强、技术难度大的挑战性项目，如存在部分次要指标不达标但经买方认定不影响使用的，买方可选择让步接收，卖方提供不高于合同总金额的20%的折扣作为对买方让步接收的补偿。</w:t>
      </w:r>
    </w:p>
    <w:p>
      <w:pPr>
        <w:widowControl/>
        <w:spacing w:line="300" w:lineRule="auto"/>
        <w:ind w:left="-363" w:firstLine="723" w:firstLineChars="3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left="-363" w:firstLine="843" w:firstLineChars="35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2.1交付期偏差：</w:t>
      </w:r>
      <w:r>
        <w:rPr>
          <w:rFonts w:hint="eastAsia" w:ascii="仿宋_GB2312" w:hAnsi="仿宋_GB2312" w:eastAsia="仿宋_GB2312" w:cs="仿宋_GB2312"/>
          <w:sz w:val="24"/>
          <w:szCs w:val="24"/>
        </w:rPr>
        <w:t>指设备到货、安装调试等过程，因卖方自身原因造成周期超出合同约定的时间。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2.2扣款规则：</w:t>
      </w:r>
      <w:r>
        <w:rPr>
          <w:rFonts w:hint="eastAsia" w:ascii="仿宋_GB2312" w:hAnsi="仿宋_GB2312" w:eastAsia="仿宋_GB2312" w:cs="仿宋_GB2312"/>
          <w:sz w:val="24"/>
          <w:szCs w:val="24"/>
        </w:rPr>
        <w:t>交付期每迟1个工作日，扣减设备合同价款的0.5%，如扣款额超过合同总价款的20%，买方有权就卖方违约而解除合同，且卖方仍须支付上述违约金，并赔偿由此给买方造成的一切损失。</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w:t>
      </w:r>
      <w:r>
        <w:rPr>
          <w:rFonts w:hint="eastAsia" w:ascii="仿宋_GB2312" w:hAnsi="仿宋_GB2312" w:eastAsia="仿宋_GB2312" w:cs="仿宋_GB2312"/>
          <w:sz w:val="24"/>
          <w:szCs w:val="24"/>
        </w:rPr>
        <w:t>针对研发、检测类试验设备特殊卖方（技术垄断、进口）的超期情况，第一次卖方需提前两个月提出书面延期申请并附最新交货期，经买方研判后出具考核结论；第二次超期时，买方按上述扣款规则进行考核。</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二、考核与执行流程</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1、卖方同意，在买方就索赔扣款及违约金通知卖方后，买方有权直接从</w:t>
      </w:r>
      <w:r>
        <w:rPr>
          <w:rFonts w:hint="eastAsia" w:ascii="仿宋_GB2312" w:hAnsi="仿宋_GB2312" w:eastAsia="仿宋_GB2312" w:cs="仿宋_GB2312"/>
          <w:b/>
          <w:sz w:val="24"/>
          <w:szCs w:val="24"/>
        </w:rPr>
        <w:t>项目尾款、履约保证金或质保金</w:t>
      </w:r>
      <w:r>
        <w:rPr>
          <w:rFonts w:hint="eastAsia" w:ascii="仿宋_GB2312" w:hAnsi="仿宋_GB2312" w:eastAsia="仿宋_GB2312" w:cs="仿宋_GB2312"/>
          <w:sz w:val="24"/>
          <w:szCs w:val="24"/>
        </w:rPr>
        <w:t>中优先抵扣相应款项。若抵扣后仍不足以覆盖索赔扣款及违约金金额，卖方应就剩余部分另行向买方支付。</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2、针对同一问题同时触发的多项索赔，不重复扣款，按照索赔金额较高的标准执行，但不同阶段重复发生的不在此限。所有索赔金额不超过合同总金额的30%。</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三、附则</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本细则作为主合同</w:t>
      </w:r>
      <w:r>
        <w:rPr>
          <w:rFonts w:hint="eastAsia" w:ascii="仿宋_GB2312" w:hAnsi="仿宋_GB2312" w:eastAsia="仿宋_GB2312" w:cs="仿宋_GB2312"/>
          <w:b/>
          <w:sz w:val="24"/>
          <w:szCs w:val="24"/>
        </w:rPr>
        <w:t>有效组成部分</w:t>
      </w:r>
      <w:r>
        <w:rPr>
          <w:rFonts w:hint="eastAsia" w:ascii="仿宋_GB2312" w:hAnsi="仿宋_GB2312" w:eastAsia="仿宋_GB2312" w:cs="仿宋_GB2312"/>
          <w:sz w:val="24"/>
          <w:szCs w:val="24"/>
        </w:rPr>
        <w:t>，与合同、技术协议具有同等法律效力；如本细则内容与合同、技术协议约定有冲突的，以本细则为准。</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pPr>
      <w:r>
        <w:rPr>
          <w:rFonts w:ascii="黑体" w:hAnsi="黑体" w:eastAsia="黑体" w:cstheme="minorEastAsia"/>
          <w:sz w:val="28"/>
          <w:szCs w:val="28"/>
        </w:rPr>
        <w:t>附件</w:t>
      </w:r>
      <w:r>
        <w:rPr>
          <w:rFonts w:hint="eastAsia" w:ascii="黑体" w:hAnsi="黑体" w:eastAsia="黑体" w:cstheme="minorEastAsia"/>
          <w:sz w:val="28"/>
          <w:szCs w:val="28"/>
        </w:rPr>
        <w:t>三</w:t>
      </w:r>
      <w:r>
        <w:rPr>
          <w:rFonts w:ascii="黑体" w:hAnsi="黑体" w:eastAsia="黑体" w:cstheme="minorEastAsia"/>
          <w:sz w:val="28"/>
          <w:szCs w:val="28"/>
        </w:rPr>
        <w:t xml:space="preserve"> 技术协议书【作为附件另附】</w:t>
      </w:r>
    </w:p>
    <w:p>
      <w:pPr>
        <w:spacing w:before="118"/>
        <w:ind w:right="30"/>
        <w:jc w:val="center"/>
        <w:outlineLvl w:val="0"/>
        <w:rPr>
          <w:rFonts w:hint="eastAsia" w:ascii="方正小标宋简体" w:hAnsi="方正小标宋简体" w:eastAsia="方正小标宋简体" w:cs="方正小标宋简体"/>
          <w:sz w:val="40"/>
          <w:szCs w:val="21"/>
          <w:highlight w:val="none"/>
        </w:rPr>
      </w:pPr>
    </w:p>
    <w:p>
      <w:pPr>
        <w:rPr>
          <w:rFonts w:hint="eastAsia" w:ascii="方正小标宋简体" w:hAnsi="方正小标宋简体" w:eastAsia="方正小标宋简体" w:cs="方正小标宋简体"/>
          <w:sz w:val="40"/>
          <w:szCs w:val="21"/>
          <w:highlight w:val="none"/>
        </w:rPr>
      </w:pPr>
      <w:r>
        <w:rPr>
          <w:rFonts w:hint="eastAsia" w:ascii="方正小标宋简体" w:hAnsi="方正小标宋简体" w:eastAsia="方正小标宋简体" w:cs="方正小标宋简体"/>
          <w:sz w:val="40"/>
          <w:szCs w:val="21"/>
          <w:highlight w:val="none"/>
        </w:rPr>
        <w:br w:type="page"/>
      </w:r>
    </w:p>
    <w:p>
      <w:pPr>
        <w:spacing w:before="118"/>
        <w:ind w:right="30"/>
        <w:jc w:val="center"/>
        <w:outlineLvl w:val="0"/>
        <w:rPr>
          <w:rFonts w:ascii="楷体" w:hAnsi="楷体" w:eastAsia="楷体" w:cs="楷体"/>
          <w:sz w:val="40"/>
          <w:szCs w:val="21"/>
          <w:highlight w:val="none"/>
        </w:rPr>
      </w:pPr>
      <w:r>
        <w:rPr>
          <w:rFonts w:hint="eastAsia" w:ascii="方正小标宋简体" w:hAnsi="方正小标宋简体" w:eastAsia="方正小标宋简体" w:cs="方正小标宋简体"/>
          <w:sz w:val="40"/>
          <w:szCs w:val="21"/>
          <w:highlight w:val="none"/>
        </w:rPr>
        <w:t>廉洁诚信协议</w:t>
      </w:r>
    </w:p>
    <w:p>
      <w:pPr>
        <w:pStyle w:val="12"/>
        <w:spacing w:before="8" w:after="156"/>
        <w:rPr>
          <w:rFonts w:ascii="楷体" w:hAnsi="楷体" w:eastAsia="楷体" w:cs="楷体"/>
          <w:sz w:val="44"/>
          <w:szCs w:val="28"/>
          <w:highlight w:val="none"/>
        </w:rPr>
      </w:pP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甲方：</w:t>
      </w: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乙方：</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highlight w:val="none"/>
        </w:rPr>
        <w:t>,共同加强廉洁自律建设，甲乙双方在平等、自愿、协商一致的原则下，签订本协议。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1.甲乙双方应当共同遵守国家、地方法律法规以及本协议的约定，在合同的订立、履行过程中廉洁自律，绝不弄虚作假、以次充好，虚结虚算。</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2.乙方声明并承诺甲方人员或其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和其他特定关系人（甲方人员为领导干部的，其他特定关系人包含身边工作人员）</w:t>
      </w:r>
      <w:r>
        <w:rPr>
          <w:rFonts w:ascii="楷体" w:hAnsi="楷体" w:eastAsia="楷体" w:cs="楷体"/>
          <w:spacing w:val="-2"/>
          <w:sz w:val="28"/>
          <w:szCs w:val="28"/>
          <w:highlight w:val="none"/>
        </w:rPr>
        <w:t>没有直接或间接投资乙方或持有乙方股权，没有直接或间接投资乙方关联企业或持有乙方关联企业股权。</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3.乙方承诺乙方或乙方关联企业股东、实际出资人或持股人、高管、主要业务人员不得与甲方人员或其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共同成立公司，不得聘请甲方人员或其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在乙方或乙方关联企业股东或实际出资人或高管或主要业务人员成立的企业中担任高管或为其</w:t>
      </w:r>
      <w:r>
        <w:rPr>
          <w:rFonts w:hint="eastAsia" w:ascii="楷体" w:hAnsi="楷体" w:eastAsia="楷体" w:cs="楷体"/>
          <w:spacing w:val="-2"/>
          <w:sz w:val="28"/>
          <w:szCs w:val="28"/>
          <w:highlight w:val="none"/>
        </w:rPr>
        <w:t>违规</w:t>
      </w:r>
      <w:r>
        <w:rPr>
          <w:rFonts w:ascii="楷体" w:hAnsi="楷体" w:eastAsia="楷体" w:cs="楷体"/>
          <w:spacing w:val="-2"/>
          <w:sz w:val="28"/>
          <w:szCs w:val="28"/>
          <w:highlight w:val="none"/>
        </w:rPr>
        <w:t>发放薪酬。</w:t>
      </w:r>
      <w:r>
        <w:rPr>
          <w:rFonts w:hint="eastAsia" w:ascii="楷体" w:hAnsi="楷体" w:eastAsia="楷体" w:cs="楷体"/>
          <w:spacing w:val="-2"/>
          <w:sz w:val="28"/>
          <w:szCs w:val="28"/>
          <w:highlight w:val="none"/>
        </w:rPr>
        <w:t>违规发放薪酬包括不实际工作而获取薪酬或者虽实际工作但领取明显超出同职级标准薪酬。</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若乙方为甲方</w:t>
      </w:r>
      <w:r>
        <w:rPr>
          <w:rFonts w:ascii="楷体" w:hAnsi="楷体" w:eastAsia="楷体" w:cs="楷体"/>
          <w:spacing w:val="-2"/>
          <w:sz w:val="28"/>
          <w:szCs w:val="28"/>
          <w:highlight w:val="none"/>
        </w:rPr>
        <w:t>新</w:t>
      </w:r>
      <w:r>
        <w:rPr>
          <w:rFonts w:hint="eastAsia" w:ascii="楷体" w:hAnsi="楷体" w:eastAsia="楷体" w:cs="楷体"/>
          <w:spacing w:val="-2"/>
          <w:sz w:val="28"/>
          <w:szCs w:val="28"/>
          <w:highlight w:val="none"/>
        </w:rPr>
        <w:t>合作伙伴</w:t>
      </w:r>
      <w:r>
        <w:rPr>
          <w:rFonts w:ascii="楷体" w:hAnsi="楷体" w:eastAsia="楷体" w:cs="楷体"/>
          <w:spacing w:val="-2"/>
          <w:sz w:val="28"/>
          <w:szCs w:val="28"/>
          <w:highlight w:val="none"/>
        </w:rPr>
        <w:t>，如在本协议签订前乙方存在本条规定情形的，需在本协议签订后30日内，将相关情况报</w:t>
      </w:r>
      <w:r>
        <w:rPr>
          <w:rFonts w:hint="eastAsia" w:ascii="楷体" w:hAnsi="楷体" w:eastAsia="楷体" w:cs="楷体"/>
          <w:spacing w:val="-2"/>
          <w:sz w:val="28"/>
          <w:szCs w:val="28"/>
          <w:highlight w:val="none"/>
        </w:rPr>
        <w:t>甲方所属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w:t>
      </w:r>
      <w:r>
        <w:rPr>
          <w:rFonts w:hint="eastAsia" w:ascii="楷体" w:hAnsi="楷体" w:eastAsia="楷体" w:cs="楷体"/>
          <w:spacing w:val="-2"/>
          <w:sz w:val="28"/>
          <w:szCs w:val="28"/>
          <w:highlight w:val="none"/>
        </w:rPr>
        <w:t>门</w:t>
      </w:r>
      <w:r>
        <w:rPr>
          <w:rFonts w:ascii="楷体" w:hAnsi="楷体" w:eastAsia="楷体" w:cs="楷体"/>
          <w:spacing w:val="-2"/>
          <w:sz w:val="28"/>
          <w:szCs w:val="28"/>
          <w:highlight w:val="none"/>
        </w:rPr>
        <w:t>备案）。</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4.乙方承诺依法开展经营活动，不得有任何形式的商业贿赂行为。乙方一经发现其员工或其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highlight w:val="none"/>
        </w:rPr>
        <w:t>已</w:t>
      </w:r>
      <w:r>
        <w:rPr>
          <w:rFonts w:ascii="楷体" w:hAnsi="楷体" w:eastAsia="楷体" w:cs="楷体"/>
          <w:spacing w:val="-2"/>
          <w:sz w:val="28"/>
          <w:szCs w:val="28"/>
          <w:highlight w:val="none"/>
        </w:rPr>
        <w:t>签订的</w:t>
      </w:r>
      <w:r>
        <w:rPr>
          <w:rFonts w:hint="eastAsia" w:ascii="楷体" w:hAnsi="楷体" w:eastAsia="楷体" w:cs="楷体"/>
          <w:spacing w:val="-2"/>
          <w:sz w:val="28"/>
          <w:szCs w:val="28"/>
          <w:highlight w:val="none"/>
        </w:rPr>
        <w:t>所有合同</w:t>
      </w:r>
      <w:r>
        <w:rPr>
          <w:rFonts w:ascii="楷体" w:hAnsi="楷体" w:eastAsia="楷体" w:cs="楷体"/>
          <w:spacing w:val="-2"/>
          <w:sz w:val="28"/>
          <w:szCs w:val="28"/>
          <w:highlight w:val="none"/>
        </w:rPr>
        <w:t>协议，并要求乙方赔偿。</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5.乙方承诺不以任何理由为甲方人员及其</w:t>
      </w:r>
      <w:r>
        <w:rPr>
          <w:rFonts w:hint="eastAsia" w:ascii="楷体" w:hAnsi="楷体" w:eastAsia="楷体" w:cs="楷体"/>
          <w:spacing w:val="-2"/>
          <w:sz w:val="28"/>
          <w:szCs w:val="28"/>
          <w:highlight w:val="none"/>
        </w:rPr>
        <w:t>配偶、子女及其配偶等亲属和其他特定关系人提供如下：</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a)</w:t>
      </w:r>
      <w:r>
        <w:rPr>
          <w:rFonts w:ascii="楷体" w:hAnsi="楷体" w:eastAsia="楷体" w:cs="楷体"/>
          <w:spacing w:val="-2"/>
          <w:sz w:val="28"/>
          <w:szCs w:val="28"/>
          <w:highlight w:val="none"/>
        </w:rPr>
        <w:t>赠送</w:t>
      </w:r>
      <w:r>
        <w:rPr>
          <w:rFonts w:hint="eastAsia" w:ascii="楷体" w:hAnsi="楷体" w:eastAsia="楷体" w:cs="楷体"/>
          <w:spacing w:val="-2"/>
          <w:sz w:val="28"/>
          <w:szCs w:val="28"/>
          <w:highlight w:val="none"/>
        </w:rPr>
        <w:t>礼品、</w:t>
      </w:r>
      <w:r>
        <w:rPr>
          <w:rFonts w:ascii="楷体" w:hAnsi="楷体" w:eastAsia="楷体" w:cs="楷体"/>
          <w:spacing w:val="-2"/>
          <w:sz w:val="28"/>
          <w:szCs w:val="28"/>
          <w:highlight w:val="none"/>
        </w:rPr>
        <w:t>礼金、</w:t>
      </w:r>
      <w:r>
        <w:rPr>
          <w:rFonts w:hint="eastAsia" w:ascii="楷体" w:hAnsi="楷体" w:eastAsia="楷体" w:cs="楷体"/>
          <w:spacing w:val="-2"/>
          <w:sz w:val="28"/>
          <w:szCs w:val="28"/>
          <w:highlight w:val="none"/>
        </w:rPr>
        <w:t>消费卡（券）、</w:t>
      </w:r>
      <w:r>
        <w:rPr>
          <w:rFonts w:ascii="楷体" w:hAnsi="楷体" w:eastAsia="楷体" w:cs="楷体"/>
          <w:spacing w:val="-2"/>
          <w:sz w:val="28"/>
          <w:szCs w:val="28"/>
          <w:highlight w:val="none"/>
        </w:rPr>
        <w:t>购物卡、充值卡、信用卡</w:t>
      </w:r>
      <w:r>
        <w:rPr>
          <w:rFonts w:hint="eastAsia" w:ascii="楷体" w:hAnsi="楷体" w:eastAsia="楷体" w:cs="楷体"/>
          <w:spacing w:val="-2"/>
          <w:sz w:val="28"/>
          <w:szCs w:val="28"/>
          <w:highlight w:val="none"/>
        </w:rPr>
        <w:t>和</w:t>
      </w:r>
      <w:r>
        <w:rPr>
          <w:rFonts w:ascii="楷体" w:hAnsi="楷体" w:eastAsia="楷体" w:cs="楷体"/>
          <w:spacing w:val="-2"/>
          <w:sz w:val="28"/>
          <w:szCs w:val="28"/>
          <w:highlight w:val="none"/>
        </w:rPr>
        <w:t>有价证券</w:t>
      </w:r>
      <w:r>
        <w:rPr>
          <w:rFonts w:hint="eastAsia" w:ascii="楷体" w:hAnsi="楷体" w:eastAsia="楷体" w:cs="楷体"/>
          <w:spacing w:val="-2"/>
          <w:sz w:val="28"/>
          <w:szCs w:val="28"/>
          <w:highlight w:val="none"/>
        </w:rPr>
        <w:t>、股权、其他金融产品等财物</w:t>
      </w:r>
      <w:r>
        <w:rPr>
          <w:rFonts w:ascii="楷体" w:hAnsi="楷体" w:eastAsia="楷体" w:cs="楷体"/>
          <w:spacing w:val="-2"/>
          <w:sz w:val="28"/>
          <w:szCs w:val="28"/>
          <w:highlight w:val="none"/>
        </w:rPr>
        <w:t>和其他贵重物品；</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b)</w:t>
      </w:r>
      <w:r>
        <w:rPr>
          <w:rFonts w:ascii="楷体" w:hAnsi="楷体" w:eastAsia="楷体" w:cs="楷体"/>
          <w:spacing w:val="-2"/>
          <w:sz w:val="28"/>
          <w:szCs w:val="28"/>
          <w:highlight w:val="none"/>
        </w:rPr>
        <w:t>报销个人费用</w:t>
      </w:r>
      <w:r>
        <w:rPr>
          <w:rFonts w:hint="eastAsia" w:ascii="楷体" w:hAnsi="楷体" w:eastAsia="楷体" w:cs="楷体"/>
          <w:spacing w:val="-2"/>
          <w:sz w:val="28"/>
          <w:szCs w:val="28"/>
          <w:highlight w:val="none"/>
        </w:rPr>
        <w:t>或以讲课费、课题费、咨询费等名义支付费用</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c)</w:t>
      </w:r>
      <w:r>
        <w:rPr>
          <w:rFonts w:ascii="楷体" w:hAnsi="楷体" w:eastAsia="楷体" w:cs="楷体"/>
          <w:spacing w:val="-2"/>
          <w:sz w:val="28"/>
          <w:szCs w:val="28"/>
          <w:highlight w:val="none"/>
        </w:rPr>
        <w:t>以洽谈业务、签订合同等为借口宴请或邀请外出旅游</w:t>
      </w:r>
      <w:r>
        <w:rPr>
          <w:rFonts w:hint="eastAsia" w:ascii="楷体" w:hAnsi="楷体" w:eastAsia="楷体" w:cs="楷体"/>
          <w:spacing w:val="-2"/>
          <w:sz w:val="28"/>
          <w:szCs w:val="28"/>
          <w:highlight w:val="none"/>
        </w:rPr>
        <w:t>、健身、娱乐</w:t>
      </w:r>
      <w:r>
        <w:rPr>
          <w:rFonts w:ascii="楷体" w:hAnsi="楷体" w:eastAsia="楷体" w:cs="楷体"/>
          <w:spacing w:val="-2"/>
          <w:sz w:val="28"/>
          <w:szCs w:val="28"/>
          <w:highlight w:val="none"/>
        </w:rPr>
        <w:t>和进入营业性娱乐场所；</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d)</w:t>
      </w:r>
      <w:r>
        <w:rPr>
          <w:rFonts w:ascii="楷体" w:hAnsi="楷体" w:eastAsia="楷体" w:cs="楷体"/>
          <w:spacing w:val="-2"/>
          <w:sz w:val="28"/>
          <w:szCs w:val="28"/>
          <w:highlight w:val="none"/>
        </w:rPr>
        <w:t>购置或提供通讯、交通工具</w:t>
      </w:r>
      <w:r>
        <w:rPr>
          <w:rFonts w:hint="eastAsia" w:ascii="楷体" w:hAnsi="楷体" w:eastAsia="楷体" w:cs="楷体"/>
          <w:spacing w:val="-2"/>
          <w:sz w:val="28"/>
          <w:szCs w:val="28"/>
          <w:highlight w:val="none"/>
        </w:rPr>
        <w:t>、钱款、住房、车辆等或提供通过民间借贷等金融助其获得大额回报</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e)</w:t>
      </w:r>
      <w:r>
        <w:rPr>
          <w:rFonts w:ascii="楷体" w:hAnsi="楷体" w:eastAsia="楷体" w:cs="楷体"/>
          <w:spacing w:val="-2"/>
          <w:sz w:val="28"/>
          <w:szCs w:val="28"/>
          <w:highlight w:val="none"/>
        </w:rPr>
        <w:t>住房装修、婚丧嫁娶、家属和子女的工作安排以及出国等提供任何金钱或非金钱方式的资助或帮助</w:t>
      </w:r>
      <w:r>
        <w:rPr>
          <w:rFonts w:hint="eastAsia"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f)吸收存款、推销金融产品、经营名贵特产类资源等提供帮助谋取利益；</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g)其他可能影响甲方人员公平、公正的履行职权或者履行职责的情形</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6.乙方应当通过正常途径开展相关业务，决不为谋取不正当利益诱使甲方人员就</w:t>
      </w:r>
      <w:r>
        <w:rPr>
          <w:rFonts w:hint="eastAsia" w:ascii="楷体" w:hAnsi="楷体" w:eastAsia="楷体" w:cs="楷体"/>
          <w:spacing w:val="-2"/>
          <w:sz w:val="28"/>
          <w:szCs w:val="28"/>
          <w:highlight w:val="none"/>
        </w:rPr>
        <w:t>采购、服务或销售、经销的物项种类</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物项</w:t>
      </w:r>
      <w:r>
        <w:rPr>
          <w:rFonts w:ascii="楷体" w:hAnsi="楷体" w:eastAsia="楷体" w:cs="楷体"/>
          <w:spacing w:val="-2"/>
          <w:sz w:val="28"/>
          <w:szCs w:val="28"/>
          <w:highlight w:val="none"/>
        </w:rPr>
        <w:t>数量、价格</w:t>
      </w:r>
      <w:r>
        <w:rPr>
          <w:rFonts w:hint="eastAsia" w:ascii="楷体" w:hAnsi="楷体" w:eastAsia="楷体" w:cs="楷体"/>
          <w:spacing w:val="-2"/>
          <w:sz w:val="28"/>
          <w:szCs w:val="28"/>
          <w:highlight w:val="none"/>
        </w:rPr>
        <w:t>条件</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付款条件、</w:t>
      </w:r>
      <w:r>
        <w:rPr>
          <w:rFonts w:ascii="楷体" w:hAnsi="楷体" w:eastAsia="楷体" w:cs="楷体"/>
          <w:spacing w:val="-2"/>
          <w:sz w:val="28"/>
          <w:szCs w:val="28"/>
          <w:highlight w:val="none"/>
        </w:rPr>
        <w:t>质量问题处理等方面私下商谈或达成默契</w:t>
      </w:r>
      <w:r>
        <w:rPr>
          <w:rFonts w:hint="eastAsia" w:ascii="楷体" w:hAnsi="楷体" w:eastAsia="楷体" w:cs="楷体"/>
          <w:spacing w:val="-2"/>
          <w:sz w:val="28"/>
          <w:szCs w:val="28"/>
          <w:highlight w:val="none"/>
        </w:rPr>
        <w:t>；</w:t>
      </w:r>
      <w:r>
        <w:rPr>
          <w:rFonts w:ascii="楷体" w:hAnsi="楷体" w:eastAsia="楷体" w:cs="楷体"/>
          <w:spacing w:val="-2"/>
          <w:sz w:val="28"/>
          <w:szCs w:val="28"/>
          <w:highlight w:val="none"/>
        </w:rPr>
        <w:t>决不以任何方式诱使甲方人员接受或共同编造虚假议价及质量资料、影响交易价格或交易之达成、违背职务、将合同权利义务转让给第三方及其它损害甲方利益的行为。</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7.若乙方发现甲方人员或其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有任何形式的索贿受贿行为，乙方有责任向甲方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纪委监察部门举报（举报电话：0531-58062233，举报邮箱：jianchabu@sinotruk.com）。甲方不得</w:t>
      </w:r>
      <w:r>
        <w:rPr>
          <w:rFonts w:hint="eastAsia" w:ascii="楷体" w:hAnsi="楷体" w:eastAsia="楷体" w:cs="楷体"/>
          <w:spacing w:val="-2"/>
          <w:sz w:val="28"/>
          <w:szCs w:val="28"/>
          <w:highlight w:val="none"/>
        </w:rPr>
        <w:t>以</w:t>
      </w:r>
      <w:r>
        <w:rPr>
          <w:rFonts w:ascii="楷体" w:hAnsi="楷体" w:eastAsia="楷体" w:cs="楷体"/>
          <w:spacing w:val="-2"/>
          <w:sz w:val="28"/>
          <w:szCs w:val="28"/>
          <w:highlight w:val="none"/>
        </w:rPr>
        <w:t>任何借口对乙方进行报复。对举报属实和严格遵守廉洁协议的乙方，在同等条件下甲方优先考虑与乙方继续合作并给予更优惠的商务合作条件。</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8.若乙方知悉其它与甲方合作的供应商</w:t>
      </w:r>
      <w:r>
        <w:rPr>
          <w:rFonts w:hint="eastAsia" w:ascii="楷体" w:hAnsi="楷体" w:eastAsia="楷体" w:cs="楷体"/>
          <w:spacing w:val="-2"/>
          <w:sz w:val="28"/>
          <w:szCs w:val="28"/>
          <w:highlight w:val="none"/>
        </w:rPr>
        <w:t>、服务商或采购商、经销商等合作伙伴</w:t>
      </w:r>
      <w:r>
        <w:rPr>
          <w:rFonts w:ascii="楷体" w:hAnsi="楷体" w:eastAsia="楷体" w:cs="楷体"/>
          <w:spacing w:val="-2"/>
          <w:sz w:val="28"/>
          <w:szCs w:val="28"/>
          <w:highlight w:val="none"/>
        </w:rPr>
        <w:t>存在违反本协议规定之行为，乙方应向甲方</w:t>
      </w:r>
      <w:r>
        <w:rPr>
          <w:rFonts w:hint="eastAsia" w:ascii="楷体" w:hAnsi="楷体" w:eastAsia="楷体" w:cs="楷体"/>
          <w:spacing w:val="-2"/>
          <w:sz w:val="28"/>
          <w:szCs w:val="28"/>
          <w:highlight w:val="none"/>
        </w:rPr>
        <w:t>或</w:t>
      </w:r>
      <w:r>
        <w:rPr>
          <w:rFonts w:ascii="楷体" w:hAnsi="楷体" w:eastAsia="楷体" w:cs="楷体"/>
          <w:spacing w:val="-2"/>
          <w:sz w:val="28"/>
          <w:szCs w:val="28"/>
          <w:highlight w:val="none"/>
        </w:rPr>
        <w:t>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纪委监察部门检举并提供证据。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9.乙方承诺在双方业务往来期间，不得对甲方人员采取任何手段使其离开甲方到乙方或乙方关联企业任职，若出现上述情况，则属于乙方违约，应承担给甲方造成的一切损失。</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10.乙方承诺不聘任甲方内退领导干部或其他人员在乙方或乙方关联企业工作；乙方承诺不聘任甲方离职或退休三年内的领导干部或其他人员在乙方或乙方关联企业工作。</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highlight w:val="none"/>
        </w:rPr>
        <w:t>等</w:t>
      </w:r>
      <w:r>
        <w:rPr>
          <w:rFonts w:ascii="楷体" w:hAnsi="楷体" w:eastAsia="楷体" w:cs="楷体"/>
          <w:spacing w:val="-2"/>
          <w:sz w:val="28"/>
          <w:szCs w:val="28"/>
          <w:highlight w:val="none"/>
        </w:rPr>
        <w:t>能够对其实际支配的企业或单位。</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14.本协议作为执行</w:t>
      </w:r>
      <w:r>
        <w:rPr>
          <w:rFonts w:hint="eastAsia" w:ascii="楷体" w:hAnsi="楷体" w:eastAsia="楷体" w:cs="楷体"/>
          <w:spacing w:val="-2"/>
          <w:sz w:val="28"/>
          <w:szCs w:val="28"/>
          <w:highlight w:val="none"/>
        </w:rPr>
        <w:t>甲乙双方</w:t>
      </w:r>
      <w:r>
        <w:rPr>
          <w:rFonts w:ascii="楷体" w:hAnsi="楷体" w:eastAsia="楷体" w:cs="楷体"/>
          <w:spacing w:val="-2"/>
          <w:sz w:val="28"/>
          <w:szCs w:val="28"/>
          <w:highlight w:val="none"/>
        </w:rPr>
        <w:t>采购协议</w:t>
      </w:r>
      <w:r>
        <w:rPr>
          <w:rFonts w:hint="eastAsia" w:ascii="楷体" w:hAnsi="楷体" w:eastAsia="楷体" w:cs="楷体"/>
          <w:spacing w:val="-2"/>
          <w:sz w:val="28"/>
          <w:szCs w:val="28"/>
          <w:highlight w:val="none"/>
        </w:rPr>
        <w:t>或其他合作合同、协议</w:t>
      </w:r>
      <w:r>
        <w:rPr>
          <w:rFonts w:ascii="楷体" w:hAnsi="楷体" w:eastAsia="楷体" w:cs="楷体"/>
          <w:spacing w:val="-2"/>
          <w:sz w:val="28"/>
          <w:szCs w:val="28"/>
          <w:highlight w:val="none"/>
        </w:rPr>
        <w:t>的附件，自双方签署之日起生效，此协议在</w:t>
      </w:r>
      <w:r>
        <w:rPr>
          <w:rFonts w:hint="eastAsia" w:ascii="楷体" w:hAnsi="楷体" w:eastAsia="楷体" w:cs="楷体"/>
          <w:spacing w:val="-2"/>
          <w:sz w:val="28"/>
          <w:szCs w:val="28"/>
          <w:highlight w:val="none"/>
        </w:rPr>
        <w:t>甲乙</w:t>
      </w:r>
      <w:r>
        <w:rPr>
          <w:rFonts w:ascii="楷体" w:hAnsi="楷体" w:eastAsia="楷体" w:cs="楷体"/>
          <w:spacing w:val="-2"/>
          <w:sz w:val="28"/>
          <w:szCs w:val="28"/>
          <w:highlight w:val="none"/>
        </w:rPr>
        <w:t>双方</w:t>
      </w:r>
      <w:r>
        <w:rPr>
          <w:rFonts w:hint="eastAsia" w:ascii="楷体" w:hAnsi="楷体" w:eastAsia="楷体" w:cs="楷体"/>
          <w:spacing w:val="-2"/>
          <w:sz w:val="28"/>
          <w:szCs w:val="28"/>
          <w:highlight w:val="none"/>
        </w:rPr>
        <w:t>业务</w:t>
      </w:r>
      <w:r>
        <w:rPr>
          <w:rFonts w:ascii="楷体" w:hAnsi="楷体" w:eastAsia="楷体" w:cs="楷体"/>
          <w:spacing w:val="-2"/>
          <w:sz w:val="28"/>
          <w:szCs w:val="28"/>
          <w:highlight w:val="none"/>
        </w:rPr>
        <w:t>合作期间有效</w:t>
      </w:r>
      <w:r>
        <w:rPr>
          <w:rFonts w:hint="eastAsia" w:ascii="楷体" w:hAnsi="楷体" w:eastAsia="楷体" w:cs="楷体"/>
          <w:spacing w:val="-2"/>
          <w:sz w:val="28"/>
          <w:szCs w:val="28"/>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w:t>
      </w:r>
      <w:r>
        <w:rPr>
          <w:rFonts w:hint="eastAsia" w:ascii="楷体" w:hAnsi="楷体" w:eastAsia="楷体" w:cs="楷体"/>
          <w:spacing w:val="-2"/>
          <w:sz w:val="28"/>
          <w:szCs w:val="28"/>
          <w:highlight w:val="none"/>
        </w:rPr>
        <w:t>5</w:t>
      </w:r>
      <w:r>
        <w:rPr>
          <w:rFonts w:ascii="楷体" w:hAnsi="楷体" w:eastAsia="楷体" w:cs="楷体"/>
          <w:spacing w:val="-2"/>
          <w:sz w:val="28"/>
          <w:szCs w:val="28"/>
          <w:highlight w:val="none"/>
        </w:rPr>
        <w:t>.本协议一式二份，双方各执一份，具有同等法律效力。若产生争议，双方协商解决，协商不成的在甲方所在地有管辖权的法院诉讼解决。</w:t>
      </w:r>
    </w:p>
    <w:p>
      <w:pPr>
        <w:pStyle w:val="12"/>
        <w:spacing w:before="9" w:after="156"/>
        <w:rPr>
          <w:rFonts w:ascii="楷体" w:hAnsi="楷体" w:eastAsia="楷体" w:cs="楷体"/>
          <w:sz w:val="40"/>
          <w:szCs w:val="28"/>
          <w:highlight w:val="none"/>
        </w:rPr>
      </w:pPr>
    </w:p>
    <w:p>
      <w:pPr>
        <w:tabs>
          <w:tab w:val="left" w:pos="5457"/>
        </w:tabs>
        <w:spacing w:before="1"/>
        <w:ind w:left="117"/>
        <w:rPr>
          <w:rFonts w:ascii="楷体" w:hAnsi="楷体" w:eastAsia="楷体" w:cs="楷体"/>
          <w:b/>
          <w:sz w:val="24"/>
          <w:szCs w:val="21"/>
          <w:highlight w:val="none"/>
        </w:rPr>
      </w:pPr>
      <w:r>
        <w:rPr>
          <w:rFonts w:hint="eastAsia" w:ascii="楷体" w:hAnsi="楷体" w:eastAsia="楷体" w:cs="楷体"/>
          <w:b/>
          <w:spacing w:val="-1"/>
          <w:w w:val="99"/>
          <w:sz w:val="24"/>
          <w:szCs w:val="21"/>
          <w:highlight w:val="none"/>
        </w:rPr>
        <w:t>甲方（盖章</w:t>
      </w:r>
      <w:r>
        <w:rPr>
          <w:rFonts w:hint="eastAsia" w:ascii="楷体" w:hAnsi="楷体" w:eastAsia="楷体" w:cs="楷体"/>
          <w:b/>
          <w:spacing w:val="-140"/>
          <w:w w:val="99"/>
          <w:sz w:val="24"/>
          <w:szCs w:val="21"/>
          <w:highlight w:val="none"/>
        </w:rPr>
        <w:t>）</w:t>
      </w:r>
      <w:r>
        <w:rPr>
          <w:rFonts w:hint="eastAsia" w:ascii="楷体" w:hAnsi="楷体" w:eastAsia="楷体" w:cs="楷体"/>
          <w:b/>
          <w:w w:val="99"/>
          <w:sz w:val="24"/>
          <w:szCs w:val="21"/>
          <w:highlight w:val="none"/>
        </w:rPr>
        <w:t>：</w:t>
      </w:r>
      <w:r>
        <w:rPr>
          <w:rFonts w:hint="eastAsia" w:ascii="楷体" w:hAnsi="楷体" w:eastAsia="楷体" w:cs="楷体"/>
          <w:b/>
          <w:sz w:val="24"/>
          <w:szCs w:val="21"/>
          <w:highlight w:val="none"/>
        </w:rPr>
        <w:tab/>
      </w:r>
      <w:r>
        <w:rPr>
          <w:rFonts w:hint="eastAsia" w:ascii="楷体" w:hAnsi="楷体" w:eastAsia="楷体" w:cs="楷体"/>
          <w:b/>
          <w:spacing w:val="-1"/>
          <w:w w:val="99"/>
          <w:sz w:val="24"/>
          <w:szCs w:val="21"/>
          <w:highlight w:val="none"/>
        </w:rPr>
        <w:t>乙方（盖</w:t>
      </w:r>
      <w:r>
        <w:rPr>
          <w:rFonts w:hint="eastAsia" w:ascii="楷体" w:hAnsi="楷体" w:eastAsia="楷体" w:cs="楷体"/>
          <w:b/>
          <w:spacing w:val="2"/>
          <w:w w:val="99"/>
          <w:sz w:val="24"/>
          <w:szCs w:val="21"/>
          <w:highlight w:val="none"/>
        </w:rPr>
        <w:t>章</w:t>
      </w:r>
      <w:r>
        <w:rPr>
          <w:rFonts w:hint="eastAsia" w:ascii="楷体" w:hAnsi="楷体" w:eastAsia="楷体" w:cs="楷体"/>
          <w:b/>
          <w:spacing w:val="-142"/>
          <w:w w:val="99"/>
          <w:sz w:val="24"/>
          <w:szCs w:val="21"/>
          <w:highlight w:val="none"/>
        </w:rPr>
        <w:t>）</w:t>
      </w:r>
      <w:r>
        <w:rPr>
          <w:rFonts w:hint="eastAsia" w:ascii="楷体" w:hAnsi="楷体" w:eastAsia="楷体" w:cs="楷体"/>
          <w:b/>
          <w:w w:val="99"/>
          <w:sz w:val="24"/>
          <w:szCs w:val="21"/>
          <w:highlight w:val="none"/>
        </w:rPr>
        <w:t>：</w:t>
      </w:r>
    </w:p>
    <w:p>
      <w:pPr>
        <w:pStyle w:val="12"/>
        <w:spacing w:after="156"/>
        <w:rPr>
          <w:rFonts w:ascii="楷体" w:hAnsi="楷体" w:eastAsia="楷体" w:cs="楷体"/>
          <w:b/>
          <w:sz w:val="24"/>
          <w:szCs w:val="28"/>
          <w:highlight w:val="none"/>
        </w:rPr>
      </w:pPr>
    </w:p>
    <w:p>
      <w:pPr>
        <w:pStyle w:val="12"/>
        <w:spacing w:before="1"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法定代表/授权代表</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法定代表/授权代表</w:t>
      </w:r>
    </w:p>
    <w:p>
      <w:pPr>
        <w:pStyle w:val="12"/>
        <w:spacing w:after="156"/>
        <w:rPr>
          <w:rFonts w:ascii="楷体" w:hAnsi="楷体" w:eastAsia="楷体" w:cs="楷体"/>
          <w:b/>
          <w:sz w:val="24"/>
          <w:szCs w:val="28"/>
          <w:highlight w:val="none"/>
        </w:rPr>
      </w:pPr>
    </w:p>
    <w:p>
      <w:pPr>
        <w:pStyle w:val="12"/>
        <w:spacing w:before="4"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日</w:t>
      </w:r>
      <w:r>
        <w:rPr>
          <w:rFonts w:hint="eastAsia" w:ascii="楷体" w:hAnsi="楷体" w:eastAsia="楷体" w:cs="楷体"/>
          <w:b/>
          <w:spacing w:val="-4"/>
          <w:sz w:val="24"/>
          <w:szCs w:val="21"/>
          <w:highlight w:val="none"/>
        </w:rPr>
        <w:t xml:space="preserve"> </w:t>
      </w:r>
      <w:r>
        <w:rPr>
          <w:rFonts w:hint="eastAsia" w:ascii="楷体" w:hAnsi="楷体" w:eastAsia="楷体" w:cs="楷体"/>
          <w:b/>
          <w:sz w:val="24"/>
          <w:szCs w:val="21"/>
          <w:highlight w:val="none"/>
        </w:rPr>
        <w:t>期:</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日 期:</w:t>
      </w:r>
    </w:p>
    <w:p>
      <w:pPr>
        <w:tabs>
          <w:tab w:val="left" w:pos="5457"/>
        </w:tabs>
        <w:ind w:left="117"/>
        <w:rPr>
          <w:rFonts w:ascii="楷体" w:hAnsi="楷体" w:eastAsia="楷体" w:cs="楷体"/>
          <w:b/>
          <w:sz w:val="24"/>
          <w:szCs w:val="21"/>
          <w:highlight w:val="none"/>
        </w:rPr>
      </w:pPr>
    </w:p>
    <w:p>
      <w:pPr>
        <w:keepNext/>
        <w:keepLines/>
        <w:jc w:val="center"/>
        <w:outlineLvl w:val="0"/>
        <w:rPr>
          <w:rFonts w:ascii="Calibri" w:hAnsi="Calibri" w:eastAsia="宋体" w:cs="Times New Roman"/>
          <w:b/>
          <w:bCs/>
          <w:kern w:val="44"/>
          <w:sz w:val="36"/>
          <w:szCs w:val="44"/>
          <w:highlight w:val="none"/>
        </w:rPr>
        <w:sectPr>
          <w:footerReference r:id="rId17" w:type="first"/>
          <w:headerReference r:id="rId15" w:type="default"/>
          <w:footerReference r:id="rId16" w:type="default"/>
          <w:pgSz w:w="11906" w:h="16838"/>
          <w:pgMar w:top="1588" w:right="1418" w:bottom="1134" w:left="1418" w:header="851" w:footer="992" w:gutter="0"/>
          <w:pgNumType w:fmt="decimal"/>
          <w:cols w:space="720" w:num="1"/>
          <w:titlePg/>
          <w:docGrid w:type="lines" w:linePitch="312" w:charSpace="0"/>
        </w:sectPr>
      </w:pPr>
    </w:p>
    <w:p>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第六部分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bookmarkEnd w:id="1435"/>
    </w:p>
    <w:p>
      <w:pPr>
        <w:keepNext/>
        <w:keepLines/>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pPr>
        <w:pStyle w:val="17"/>
        <w:rPr>
          <w:rFonts w:ascii="Times New Roman" w:hAnsi="Times New Roman" w:eastAsia="宋体" w:cs="Times New Roman"/>
          <w:b/>
          <w:bCs/>
          <w:color w:val="000000"/>
          <w:sz w:val="24"/>
          <w:szCs w:val="24"/>
          <w:highlight w:val="none"/>
        </w:rPr>
        <w:sectPr>
          <w:footerReference r:id="rId20" w:type="first"/>
          <w:headerReference r:id="rId18" w:type="default"/>
          <w:footerReference r:id="rId1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1508" w:name="_Toc25811"/>
      <w:bookmarkStart w:id="1509" w:name="_Toc212369550"/>
      <w:bookmarkStart w:id="1510" w:name="_Toc353881012"/>
      <w:bookmarkStart w:id="1511" w:name="_Toc639004"/>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508"/>
      <w:bookmarkEnd w:id="1509"/>
      <w:bookmarkEnd w:id="1510"/>
      <w:bookmarkEnd w:id="1511"/>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黑体" w:hAnsi="Calibri" w:eastAsia="黑体" w:cs="Times New Roman"/>
          <w:color w:val="000000"/>
          <w:sz w:val="24"/>
          <w:szCs w:val="24"/>
          <w:highlight w:val="none"/>
        </w:rPr>
      </w:pPr>
    </w:p>
    <w:p>
      <w:pPr>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pPr>
        <w:adjustRightInd w:val="0"/>
        <w:snapToGrid w:val="0"/>
        <w:spacing w:before="93" w:beforeLines="30" w:line="240" w:lineRule="exact"/>
        <w:jc w:val="center"/>
        <w:rPr>
          <w:rFonts w:ascii="宋体" w:hAnsi="Calibri" w:eastAsia="宋体" w:cs="Times New Roman"/>
          <w:sz w:val="24"/>
          <w:szCs w:val="20"/>
          <w:highlight w:val="non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Calibri" w:hAnsi="Calibri" w:eastAsia="黑体" w:cs="Times New Roman"/>
          <w:b/>
          <w:bCs/>
          <w:color w:val="000000"/>
          <w:sz w:val="28"/>
          <w:szCs w:val="20"/>
          <w:highlight w:val="none"/>
        </w:rPr>
      </w:pPr>
    </w:p>
    <w:p>
      <w:pPr>
        <w:pStyle w:val="17"/>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35"/>
              <w:spacing w:before="114"/>
              <w:ind w:left="720"/>
              <w:rPr>
                <w:highlight w:val="none"/>
              </w:rPr>
            </w:pPr>
            <w:r>
              <w:rPr>
                <w:highlight w:val="none"/>
              </w:rPr>
              <w:t xml:space="preserve">企业名称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35"/>
              <w:spacing w:before="114"/>
              <w:ind w:left="720"/>
              <w:rPr>
                <w:highlight w:val="none"/>
              </w:rPr>
            </w:pPr>
            <w:r>
              <w:rPr>
                <w:highlight w:val="none"/>
              </w:rPr>
              <w:t xml:space="preserve">企业地址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35"/>
              <w:spacing w:before="111"/>
              <w:ind w:left="720"/>
              <w:rPr>
                <w:highlight w:val="none"/>
              </w:rPr>
            </w:pPr>
            <w:r>
              <w:rPr>
                <w:highlight w:val="none"/>
              </w:rPr>
              <w:t xml:space="preserve">企业性质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35"/>
              <w:spacing w:before="111"/>
              <w:ind w:left="509"/>
              <w:rPr>
                <w:highlight w:val="none"/>
              </w:rPr>
            </w:pPr>
            <w:r>
              <w:rPr>
                <w:highlight w:val="none"/>
              </w:rPr>
              <w:t xml:space="preserve">企业法人代表  </w:t>
            </w:r>
          </w:p>
        </w:tc>
        <w:tc>
          <w:tcPr>
            <w:tcW w:w="4680" w:type="dxa"/>
            <w:gridSpan w:val="4"/>
          </w:tcPr>
          <w:p>
            <w:pPr>
              <w:pStyle w:val="4"/>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pPr>
              <w:pStyle w:val="135"/>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14"/>
              <w:ind w:left="720"/>
              <w:rPr>
                <w:highlight w:val="none"/>
              </w:rPr>
            </w:pPr>
            <w:r>
              <w:rPr>
                <w:highlight w:val="none"/>
              </w:rPr>
              <w:t xml:space="preserve">品牌区分 </w:t>
            </w:r>
          </w:p>
        </w:tc>
        <w:tc>
          <w:tcPr>
            <w:tcW w:w="7500" w:type="dxa"/>
            <w:gridSpan w:val="6"/>
          </w:tcPr>
          <w:p>
            <w:pPr>
              <w:pStyle w:val="135"/>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78"/>
              <w:ind w:left="720"/>
              <w:rPr>
                <w:highlight w:val="none"/>
              </w:rPr>
            </w:pPr>
            <w:r>
              <w:rPr>
                <w:highlight w:val="none"/>
              </w:rPr>
              <w:t xml:space="preserve">品牌名称 </w:t>
            </w:r>
          </w:p>
        </w:tc>
        <w:tc>
          <w:tcPr>
            <w:tcW w:w="3583" w:type="dxa"/>
            <w:gridSpan w:val="3"/>
            <w:vAlign w:val="center"/>
          </w:tcPr>
          <w:p>
            <w:pPr>
              <w:widowControl/>
              <w:rPr>
                <w:rFonts w:ascii="宋体" w:hAnsi="宋体" w:eastAsia="仿宋_GB2312"/>
                <w:kern w:val="0"/>
                <w:szCs w:val="21"/>
                <w:highlight w:val="none"/>
                <w:lang w:bidi="ar"/>
              </w:rPr>
            </w:pPr>
          </w:p>
        </w:tc>
        <w:tc>
          <w:tcPr>
            <w:tcW w:w="1097" w:type="dxa"/>
          </w:tcPr>
          <w:p>
            <w:pPr>
              <w:pStyle w:val="135"/>
              <w:spacing w:before="15"/>
              <w:ind w:left="279"/>
              <w:rPr>
                <w:highlight w:val="none"/>
              </w:rPr>
            </w:pPr>
            <w:r>
              <w:rPr>
                <w:spacing w:val="-2"/>
                <w:highlight w:val="none"/>
              </w:rPr>
              <w:t>质量</w:t>
            </w:r>
            <w:r>
              <w:rPr>
                <w:highlight w:val="none"/>
              </w:rPr>
              <w:t xml:space="preserve"> </w:t>
            </w:r>
          </w:p>
          <w:p>
            <w:pPr>
              <w:pStyle w:val="135"/>
              <w:spacing w:before="30" w:line="277" w:lineRule="exact"/>
              <w:ind w:left="279"/>
              <w:rPr>
                <w:highlight w:val="none"/>
              </w:rPr>
            </w:pPr>
            <w:r>
              <w:rPr>
                <w:rFonts w:hint="eastAsia"/>
                <w:highlight w:val="none"/>
              </w:rPr>
              <w:t>体系</w:t>
            </w:r>
          </w:p>
        </w:tc>
        <w:tc>
          <w:tcPr>
            <w:tcW w:w="2820" w:type="dxa"/>
            <w:gridSpan w:val="2"/>
          </w:tcPr>
          <w:p>
            <w:pPr>
              <w:pStyle w:val="135"/>
              <w:spacing w:before="158"/>
              <w:jc w:val="center"/>
              <w:rPr>
                <w:sz w:val="24"/>
                <w:highlight w:val="none"/>
              </w:rPr>
            </w:pPr>
            <w:r>
              <w:rPr>
                <w:rFonts w:hint="eastAsia"/>
                <w:kern w:val="0"/>
                <w:szCs w:val="21"/>
                <w:highlight w:val="none"/>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35"/>
              <w:spacing w:before="149"/>
              <w:ind w:left="3345" w:right="3223"/>
              <w:jc w:val="center"/>
              <w:rPr>
                <w:highlight w:val="none"/>
              </w:rPr>
            </w:pPr>
            <w:r>
              <w:rPr>
                <w:rFonts w:hint="eastAsia"/>
                <w:szCs w:val="21"/>
                <w:highlight w:val="none"/>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pPr>
              <w:widowControl/>
              <w:textAlignment w:val="center"/>
              <w:rPr>
                <w:rFonts w:ascii="宋体" w:hAnsi="宋体" w:eastAsia="宋体" w:cs="宋体"/>
                <w:szCs w:val="21"/>
                <w:highlight w:val="none"/>
              </w:rPr>
            </w:pPr>
          </w:p>
        </w:tc>
        <w:tc>
          <w:tcPr>
            <w:tcW w:w="1530"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pPr>
              <w:widowControl/>
              <w:jc w:val="center"/>
              <w:textAlignment w:val="center"/>
              <w:rPr>
                <w:rFonts w:ascii="宋体" w:hAnsi="宋体" w:eastAsia="宋体" w:cs="宋体"/>
                <w:szCs w:val="21"/>
                <w:highlight w:val="none"/>
              </w:rPr>
            </w:pPr>
          </w:p>
        </w:tc>
        <w:tc>
          <w:tcPr>
            <w:tcW w:w="1097" w:type="dxa"/>
            <w:vAlign w:val="center"/>
          </w:tcPr>
          <w:p>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pPr>
              <w:widowControl/>
              <w:jc w:val="center"/>
              <w:textAlignment w:val="center"/>
              <w:rPr>
                <w:rFonts w:ascii="宋体" w:hAnsi="宋体" w:eastAsia="宋体" w:cs="宋体"/>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pPr>
              <w:widowControl/>
              <w:jc w:val="left"/>
              <w:rPr>
                <w:rFonts w:ascii="宋体" w:hAnsi="宋体" w:eastAsia="宋体" w:cs="宋体"/>
                <w:kern w:val="0"/>
                <w:szCs w:val="21"/>
                <w:highlight w:val="none"/>
                <w:lang w:bidi="ar"/>
              </w:rPr>
            </w:pPr>
          </w:p>
        </w:tc>
      </w:tr>
    </w:tbl>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pPr>
        <w:pStyle w:val="17"/>
        <w:rPr>
          <w:rFonts w:ascii="Times New Roman" w:hAnsi="Times New Roman" w:eastAsia="宋体" w:cs="Times New Roman"/>
          <w:b/>
          <w:bCs/>
          <w:color w:val="00000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bl>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22" w:type="first"/>
          <w:footerReference r:id="rId21"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sectPr>
          <w:footerReference r:id="rId24" w:type="first"/>
          <w:footerReference r:id="rId23"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附件5-1</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bl>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rPr>
          <w:rFonts w:ascii="宋体" w:hAnsi="Calibri" w:eastAsia="宋体" w:cs="宋体"/>
          <w:b/>
          <w:bCs/>
          <w:color w:val="000000"/>
          <w:sz w:val="28"/>
          <w:szCs w:val="20"/>
          <w:highlight w:val="none"/>
        </w:rPr>
      </w:pPr>
    </w:p>
    <w:p>
      <w:pPr>
        <w:rPr>
          <w:rFonts w:ascii="宋体" w:hAnsi="Calibri" w:eastAsia="宋体" w:cs="宋体"/>
          <w:b/>
          <w:bCs/>
          <w:color w:val="000000"/>
          <w:sz w:val="28"/>
          <w:szCs w:val="20"/>
          <w:highlight w:val="none"/>
        </w:rPr>
        <w:sectPr>
          <w:footerReference r:id="rId26" w:type="first"/>
          <w:footerReference r:id="rId25"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w:t>
      </w:r>
      <w:r>
        <w:rPr>
          <w:rFonts w:hint="eastAsia" w:ascii="Times New Roman" w:hAnsi="Times New Roman" w:eastAsia="宋体" w:cs="宋体"/>
          <w:b/>
          <w:bCs/>
          <w:color w:val="000000"/>
          <w:sz w:val="24"/>
          <w:szCs w:val="24"/>
          <w:highlight w:val="none"/>
          <w:lang w:val="en-US" w:eastAsia="zh-CN"/>
        </w:rPr>
        <w:t>-2</w:t>
      </w:r>
      <w:r>
        <w:rPr>
          <w:rFonts w:ascii="Times New Roman" w:hAnsi="Times New Roman" w:eastAsia="宋体" w:cs="宋体"/>
          <w:b/>
          <w:bCs/>
          <w:color w:val="000000"/>
          <w:sz w:val="24"/>
          <w:szCs w:val="24"/>
          <w:highlight w:val="none"/>
        </w:rPr>
        <w:t xml:space="preserve"> </w:t>
      </w: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p>
    <w:tbl>
      <w:tblPr>
        <w:tblStyle w:val="133"/>
        <w:tblW w:w="132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471"/>
        <w:gridCol w:w="2472"/>
        <w:gridCol w:w="1474"/>
        <w:gridCol w:w="2014"/>
        <w:gridCol w:w="2608"/>
        <w:gridCol w:w="14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42" w:type="dxa"/>
          </w:tcPr>
          <w:p>
            <w:pPr>
              <w:spacing w:before="97" w:line="186" w:lineRule="auto"/>
              <w:ind w:left="304"/>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471" w:type="dxa"/>
          </w:tcPr>
          <w:p>
            <w:pPr>
              <w:spacing w:before="98" w:line="185" w:lineRule="auto"/>
              <w:ind w:left="10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472" w:type="dxa"/>
          </w:tcPr>
          <w:p>
            <w:pPr>
              <w:spacing w:before="99" w:line="183"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1474" w:type="dxa"/>
          </w:tcPr>
          <w:p>
            <w:pPr>
              <w:spacing w:before="98" w:line="185" w:lineRule="auto"/>
              <w:ind w:left="51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014" w:type="dxa"/>
          </w:tcPr>
          <w:p>
            <w:pPr>
              <w:spacing w:before="100" w:line="182" w:lineRule="auto"/>
              <w:ind w:left="798"/>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2608" w:type="dxa"/>
            <w:tcBorders>
              <w:left w:val="single" w:color="000000" w:sz="4" w:space="0"/>
            </w:tcBorders>
          </w:tcPr>
          <w:p>
            <w:pPr>
              <w:spacing w:before="100" w:line="182" w:lineRule="auto"/>
              <w:ind w:left="1007"/>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496" w:type="dxa"/>
          </w:tcPr>
          <w:p>
            <w:pPr>
              <w:spacing w:before="99" w:line="183" w:lineRule="auto"/>
              <w:ind w:firstLine="420" w:firstLineChars="20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2471"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货物名称</w:t>
            </w:r>
          </w:p>
        </w:tc>
        <w:tc>
          <w:tcPr>
            <w:tcW w:w="247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1474" w:type="dxa"/>
            <w:vAlign w:val="center"/>
          </w:tcPr>
          <w:p>
            <w:pPr>
              <w:spacing w:before="0" w:line="221" w:lineRule="auto"/>
              <w:ind w:left="0"/>
              <w:jc w:val="center"/>
              <w:rPr>
                <w:rFonts w:hint="eastAsia" w:ascii="宋体" w:hAnsi="宋体" w:eastAsia="宋体" w:cs="宋体"/>
                <w:spacing w:val="-1"/>
                <w:szCs w:val="21"/>
                <w:highlight w:val="none"/>
                <w:lang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单位</w:t>
            </w:r>
          </w:p>
        </w:tc>
        <w:tc>
          <w:tcPr>
            <w:tcW w:w="2014" w:type="dxa"/>
            <w:vAlign w:val="center"/>
          </w:tcPr>
          <w:p>
            <w:pPr>
              <w:spacing w:before="0" w:line="221" w:lineRule="auto"/>
              <w:ind w:left="0" w:right="0" w:firstLine="0"/>
              <w:jc w:val="cente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数量</w:t>
            </w:r>
          </w:p>
        </w:tc>
        <w:tc>
          <w:tcPr>
            <w:tcW w:w="2608" w:type="dxa"/>
            <w:tcBorders>
              <w:left w:val="single" w:color="000000" w:sz="4" w:space="0"/>
            </w:tcBorders>
            <w:vAlign w:val="center"/>
          </w:tcPr>
          <w:p>
            <w:pPr>
              <w:spacing w:before="0" w:line="221" w:lineRule="auto"/>
              <w:ind w:left="0" w:leftChars="0"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1496" w:type="dxa"/>
            <w:vAlign w:val="center"/>
          </w:tcPr>
          <w:p>
            <w:pPr>
              <w:spacing w:before="0" w:line="221" w:lineRule="auto"/>
              <w:ind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c>
          <w:tcPr>
            <w:tcW w:w="2471" w:type="dxa"/>
            <w:vAlign w:val="center"/>
          </w:tcPr>
          <w:p>
            <w:pPr>
              <w:jc w:val="center"/>
              <w:rPr>
                <w:rFonts w:hint="eastAsia" w:ascii="宋体" w:hAnsi="宋体" w:eastAsia="宋体" w:cs="宋体"/>
                <w:color w:val="000000"/>
                <w:kern w:val="0"/>
                <w:sz w:val="24"/>
                <w:szCs w:val="24"/>
                <w:highlight w:val="none"/>
                <w:lang w:val="en-US" w:eastAsia="zh-CN" w:bidi="ar-SA"/>
              </w:rPr>
            </w:pPr>
          </w:p>
        </w:tc>
        <w:tc>
          <w:tcPr>
            <w:tcW w:w="2472"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2</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3</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4</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5</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shd w:val="clear" w:color="auto" w:fill="auto"/>
            <w:vAlign w:val="center"/>
          </w:tcPr>
          <w:p>
            <w:pPr>
              <w:adjustRightInd w:val="0"/>
              <w:snapToGrid w:val="0"/>
              <w:spacing w:before="0" w:line="240" w:lineRule="auto"/>
              <w:ind w:left="0" w:leftChars="0"/>
              <w:jc w:val="center"/>
              <w:rPr>
                <w:rFonts w:hint="eastAsia" w:ascii="宋体" w:hAnsi="宋体" w:eastAsia="宋体" w:cs="宋体"/>
                <w:kern w:val="2"/>
                <w:sz w:val="24"/>
                <w:szCs w:val="24"/>
                <w:highlight w:val="none"/>
                <w:lang w:val="en-US" w:eastAsia="zh-CN" w:bidi="ar-SA"/>
              </w:rPr>
            </w:pPr>
          </w:p>
        </w:tc>
        <w:tc>
          <w:tcPr>
            <w:tcW w:w="2471" w:type="dxa"/>
            <w:vAlign w:val="top"/>
          </w:tcPr>
          <w:p>
            <w:pPr>
              <w:rPr>
                <w:rFonts w:hint="default" w:ascii="宋体" w:hAnsi="宋体" w:eastAsia="宋体" w:cs="宋体"/>
                <w:kern w:val="2"/>
                <w:sz w:val="24"/>
                <w:szCs w:val="24"/>
                <w:highlight w:val="none"/>
                <w:lang w:val="en-US" w:eastAsia="zh-CN" w:bidi="ar-SA"/>
              </w:rPr>
            </w:pPr>
            <w:r>
              <w:rPr>
                <w:rFonts w:hint="eastAsia" w:ascii="宋体" w:hAnsi="宋体" w:eastAsia="宋体" w:cstheme="minorBidi"/>
                <w:sz w:val="18"/>
                <w:szCs w:val="18"/>
                <w:highlight w:val="none"/>
              </w:rPr>
              <w:t>以上投标设备不足之处请往下添加序号自行补充</w:t>
            </w:r>
          </w:p>
        </w:tc>
        <w:tc>
          <w:tcPr>
            <w:tcW w:w="2472" w:type="dxa"/>
            <w:vAlign w:val="top"/>
          </w:tcPr>
          <w:p>
            <w:pPr>
              <w:rPr>
                <w:rFonts w:hint="default" w:ascii="宋体" w:hAnsi="宋体" w:eastAsia="宋体" w:cs="宋体"/>
                <w:highlight w:val="none"/>
                <w:lang w:val="en-US" w:eastAsia="zh-CN"/>
              </w:rPr>
            </w:pPr>
          </w:p>
        </w:tc>
        <w:tc>
          <w:tcPr>
            <w:tcW w:w="1474" w:type="dxa"/>
            <w:vAlign w:val="top"/>
          </w:tcPr>
          <w:p>
            <w:pPr>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bl>
    <w:p>
      <w:pPr>
        <w:spacing w:before="78" w:line="219" w:lineRule="auto"/>
        <w:ind w:left="431"/>
        <w:rPr>
          <w:rFonts w:ascii="宋体" w:hAnsi="宋体" w:eastAsia="宋体" w:cs="宋体"/>
          <w:spacing w:val="-6"/>
          <w:szCs w:val="21"/>
          <w:highlight w:val="none"/>
        </w:rPr>
      </w:pPr>
      <w:r>
        <w:rPr>
          <w:rFonts w:ascii="宋体" w:hAnsi="宋体" w:eastAsia="宋体" w:cs="宋体"/>
          <w:spacing w:val="-8"/>
          <w:szCs w:val="21"/>
          <w:highlight w:val="none"/>
        </w:rPr>
        <w:t>注：</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lang w:val="en-US" w:eastAsia="zh-CN"/>
        </w:rPr>
        <w:t>1</w:t>
      </w:r>
      <w:r>
        <w:rPr>
          <w:rFonts w:hint="eastAsia" w:ascii="宋体" w:hAnsi="宋体" w:eastAsia="宋体" w:cs="宋体"/>
          <w:spacing w:val="-6"/>
          <w:szCs w:val="21"/>
          <w:highlight w:val="none"/>
        </w:rPr>
        <w:t>.该明细表所有信息均为必填项，不得删减，可细化可增加。</w:t>
      </w:r>
    </w:p>
    <w:p>
      <w:pPr>
        <w:spacing w:before="78" w:line="219" w:lineRule="auto"/>
        <w:ind w:left="431"/>
        <w:rPr>
          <w:rFonts w:hint="eastAsia" w:ascii="宋体" w:hAnsi="宋体" w:eastAsia="宋体" w:cs="宋体"/>
          <w:b/>
          <w:bCs/>
          <w:spacing w:val="-6"/>
          <w:szCs w:val="21"/>
          <w:highlight w:val="none"/>
          <w:lang w:val="en-US" w:eastAsia="zh-CN"/>
        </w:rPr>
      </w:pPr>
      <w:r>
        <w:rPr>
          <w:rFonts w:hint="eastAsia" w:ascii="宋体" w:hAnsi="宋体" w:eastAsia="宋体" w:cs="宋体"/>
          <w:b/>
          <w:bCs/>
          <w:spacing w:val="-6"/>
          <w:szCs w:val="21"/>
          <w:highlight w:val="none"/>
          <w:lang w:val="en-US" w:eastAsia="zh-CN"/>
        </w:rPr>
        <w:t>2.此表格需在技术标中体现，并明确规格型号、品牌等信息。</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3.此表分项明细需要和附表9-1完全对应。</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4.因填写不规范造成废标及终止招标的，责任由投标人自负。</w:t>
      </w:r>
    </w:p>
    <w:p>
      <w:pPr>
        <w:spacing w:before="78" w:line="219" w:lineRule="auto"/>
        <w:ind w:left="431"/>
        <w:rPr>
          <w:rFonts w:hint="eastAsia" w:ascii="宋体" w:hAnsi="宋体" w:eastAsia="宋体" w:cs="宋体"/>
          <w:b w:val="0"/>
          <w:bCs w:val="0"/>
          <w:spacing w:val="-6"/>
          <w:szCs w:val="21"/>
          <w:highlight w:val="none"/>
          <w:lang w:val="en-US" w:eastAsia="zh-CN"/>
        </w:rPr>
      </w:pPr>
    </w:p>
    <w:p>
      <w:pPr>
        <w:spacing w:line="105" w:lineRule="exact"/>
        <w:rPr>
          <w:highlight w:val="none"/>
        </w:rPr>
      </w:pPr>
    </w:p>
    <w:p>
      <w:pPr>
        <w:rPr>
          <w:rFonts w:hint="default" w:eastAsia="宋体"/>
          <w:highlight w:val="none"/>
          <w:lang w:val="en-US" w:eastAsia="zh-CN"/>
        </w:rPr>
        <w:sectPr>
          <w:footerReference r:id="rId27" w:type="default"/>
          <w:pgSz w:w="16841" w:h="11907" w:orient="landscape"/>
          <w:pgMar w:top="400" w:right="1387" w:bottom="1168" w:left="1473" w:header="0" w:footer="990" w:gutter="0"/>
          <w:pgNumType w:fmt="decimal"/>
          <w:cols w:equalWidth="0" w:num="1">
            <w:col w:w="13980"/>
          </w:cols>
        </w:sectPr>
      </w:pPr>
      <w:r>
        <w:rPr>
          <w:rFonts w:hint="eastAsia" w:ascii="宋体" w:hAnsi="宋体" w:eastAsia="宋体" w:cs="宋体"/>
          <w:spacing w:val="-4"/>
          <w:sz w:val="24"/>
          <w:szCs w:val="24"/>
          <w:highlight w:val="none"/>
        </w:rPr>
        <w:t>投标人(章)：</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lang w:val="en-US" w:eastAsia="zh-CN"/>
        </w:rPr>
        <w:t xml:space="preserve">   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bl>
    <w:p>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highlight w:val="none"/>
        </w:rPr>
      </w:pPr>
    </w:p>
    <w:p>
      <w:pPr>
        <w:rPr>
          <w:rFonts w:ascii="宋体" w:hAnsi="Calibri" w:eastAsia="宋体" w:cs="宋体"/>
          <w:b/>
          <w:bCs/>
          <w:color w:val="000000"/>
          <w:sz w:val="28"/>
          <w:highlight w:val="none"/>
        </w:rPr>
        <w:sectPr>
          <w:footerReference r:id="rId28"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设备质量承诺函</w:t>
      </w:r>
    </w:p>
    <w:p>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30" w:type="first"/>
          <w:footerReference r:id="rId2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附件8</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pPr>
              <w:jc w:val="center"/>
              <w:rPr>
                <w:rFonts w:ascii="Times New Roman" w:hAnsi="Times New Roman" w:eastAsia="宋体" w:cs="Times New Roman"/>
                <w:b/>
                <w:szCs w:val="20"/>
                <w:highlight w:val="none"/>
              </w:rPr>
            </w:pPr>
          </w:p>
        </w:tc>
        <w:tc>
          <w:tcPr>
            <w:tcW w:w="1243" w:type="dxa"/>
            <w:vAlign w:val="center"/>
          </w:tcPr>
          <w:p>
            <w:pPr>
              <w:jc w:val="center"/>
              <w:rPr>
                <w:rFonts w:ascii="Times New Roman" w:hAnsi="Times New Roman" w:eastAsia="宋体" w:cs="Times New Roman"/>
                <w:b/>
                <w:szCs w:val="20"/>
                <w:highlight w:val="none"/>
              </w:rPr>
            </w:pPr>
          </w:p>
        </w:tc>
        <w:tc>
          <w:tcPr>
            <w:tcW w:w="705" w:type="dxa"/>
            <w:vAlign w:val="center"/>
          </w:tcPr>
          <w:p>
            <w:pPr>
              <w:jc w:val="center"/>
              <w:rPr>
                <w:rFonts w:ascii="Times New Roman" w:hAnsi="Times New Roman" w:eastAsia="宋体" w:cs="Times New Roman"/>
                <w:b/>
                <w:szCs w:val="20"/>
                <w:highlight w:val="none"/>
              </w:rPr>
            </w:pPr>
          </w:p>
        </w:tc>
        <w:tc>
          <w:tcPr>
            <w:tcW w:w="699" w:type="dxa"/>
            <w:vAlign w:val="center"/>
          </w:tcPr>
          <w:p>
            <w:pPr>
              <w:jc w:val="center"/>
              <w:rPr>
                <w:rFonts w:ascii="Times New Roman" w:hAnsi="Times New Roman" w:eastAsia="宋体" w:cs="Times New Roman"/>
                <w:b/>
                <w:szCs w:val="20"/>
                <w:highlight w:val="none"/>
              </w:rPr>
            </w:pPr>
          </w:p>
        </w:tc>
      </w:tr>
    </w:tbl>
    <w:p>
      <w:pPr>
        <w:rPr>
          <w:rFonts w:ascii="宋体" w:hAnsi="Arial" w:eastAsia="宋体" w:cs="Times New Roman"/>
          <w:sz w:val="24"/>
          <w:szCs w:val="24"/>
          <w:highlight w:val="none"/>
        </w:rPr>
      </w:pPr>
    </w:p>
    <w:p>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pPr>
        <w:pStyle w:val="17"/>
        <w:rPr>
          <w:rFonts w:hAnsi="宋体" w:eastAsia="宋体" w:cs="Times New Roman"/>
          <w:b/>
          <w:bCs/>
          <w:szCs w:val="21"/>
          <w:highlight w:val="none"/>
        </w:rPr>
      </w:pP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ind w:firstLine="480"/>
        <w:rPr>
          <w:rFonts w:ascii="宋体" w:hAnsi="Calibri" w:eastAsia="宋体" w:cs="Times New Roman"/>
          <w:color w:val="000000"/>
          <w:sz w:val="24"/>
          <w:szCs w:val="24"/>
          <w:highlight w:val="none"/>
        </w:rPr>
      </w:pPr>
    </w:p>
    <w:p>
      <w:pPr>
        <w:pStyle w:val="17"/>
        <w:rPr>
          <w:highlight w:val="none"/>
        </w:rPr>
        <w:sectPr>
          <w:pgSz w:w="11906" w:h="16838"/>
          <w:pgMar w:top="1588" w:right="1418" w:bottom="1134" w:left="1418" w:header="851" w:footer="992" w:gutter="0"/>
          <w:pgNumType w:fmt="decimal"/>
          <w:cols w:space="720" w:num="1"/>
          <w:titlePg/>
          <w:docGrid w:type="lines" w:linePitch="312" w:charSpace="0"/>
        </w:sectPr>
      </w:pPr>
    </w:p>
    <w:p>
      <w:pPr>
        <w:rPr>
          <w:rFonts w:ascii="宋体" w:hAnsi="宋体" w:cs="宋体"/>
          <w:color w:val="000000"/>
          <w:sz w:val="24"/>
          <w:szCs w:val="24"/>
          <w:highlight w:val="none"/>
        </w:rPr>
      </w:pPr>
    </w:p>
    <w:p>
      <w:pPr>
        <w:pStyle w:val="4"/>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 xml:space="preserve">附件9 </w:t>
      </w:r>
      <w:r>
        <w:rPr>
          <w:rFonts w:ascii="宋体" w:hAnsi="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pStyle w:val="5"/>
        <w:spacing w:after="0"/>
        <w:rPr>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4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10"/>
        <w:gridCol w:w="1405"/>
        <w:gridCol w:w="1722"/>
        <w:gridCol w:w="703"/>
        <w:gridCol w:w="550"/>
        <w:gridCol w:w="2550"/>
        <w:gridCol w:w="2510"/>
        <w:gridCol w:w="2196"/>
        <w:gridCol w:w="9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06" w:type="dxa"/>
            <w:vAlign w:val="center"/>
          </w:tcPr>
          <w:p>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2315" w:type="dxa"/>
            <w:gridSpan w:val="2"/>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1722"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703" w:type="dxa"/>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550" w:type="dxa"/>
            <w:vAlign w:val="center"/>
          </w:tcPr>
          <w:p>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2550"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2510" w:type="dxa"/>
            <w:tcBorders>
              <w:right w:val="single" w:color="000000" w:sz="4" w:space="0"/>
            </w:tcBorders>
            <w:vAlign w:val="center"/>
          </w:tcPr>
          <w:p>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2196" w:type="dxa"/>
            <w:tcBorders>
              <w:left w:val="single" w:color="000000" w:sz="4" w:space="0"/>
            </w:tcBorders>
            <w:vAlign w:val="center"/>
          </w:tcPr>
          <w:p>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964" w:type="dxa"/>
            <w:vAlign w:val="center"/>
          </w:tcPr>
          <w:p>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06"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2315" w:type="dxa"/>
            <w:gridSpan w:val="2"/>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货物名称</w:t>
            </w:r>
          </w:p>
        </w:tc>
        <w:tc>
          <w:tcPr>
            <w:tcW w:w="1722"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703"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2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2510" w:type="dxa"/>
            <w:tcBorders>
              <w:righ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2196" w:type="dxa"/>
            <w:tcBorders>
              <w:lef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总价[4×7]（不含税）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964"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default"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eastAsia"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06" w:type="dxa"/>
            <w:vAlign w:val="center"/>
          </w:tcPr>
          <w:p>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2315" w:type="dxa"/>
            <w:gridSpan w:val="2"/>
            <w:shd w:val="clear" w:color="auto" w:fill="auto"/>
          </w:tcPr>
          <w:p>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1722" w:type="dxa"/>
          </w:tcPr>
          <w:p>
            <w:pPr>
              <w:rPr>
                <w:rFonts w:ascii="Arial"/>
                <w:highlight w:val="none"/>
              </w:rPr>
            </w:pPr>
            <w:r>
              <w:rPr>
                <w:rFonts w:hint="eastAsia" w:ascii="宋体" w:hAnsi="宋体" w:eastAsia="宋体" w:cs="宋体"/>
                <w:szCs w:val="21"/>
                <w:highlight w:val="none"/>
              </w:rPr>
              <w:t xml:space="preserve"> </w:t>
            </w:r>
          </w:p>
        </w:tc>
        <w:tc>
          <w:tcPr>
            <w:tcW w:w="703" w:type="dxa"/>
          </w:tcPr>
          <w:p>
            <w:pPr>
              <w:rPr>
                <w:rFonts w:ascii="Arial"/>
                <w:highlight w:val="none"/>
              </w:rPr>
            </w:pPr>
            <w:r>
              <w:rPr>
                <w:rFonts w:hint="eastAsia" w:ascii="宋体" w:hAnsi="宋体" w:eastAsia="宋体" w:cs="宋体"/>
                <w:szCs w:val="21"/>
                <w:highlight w:val="none"/>
              </w:rPr>
              <w:t xml:space="preserve"> </w:t>
            </w:r>
          </w:p>
        </w:tc>
        <w:tc>
          <w:tcPr>
            <w:tcW w:w="550" w:type="dxa"/>
          </w:tcPr>
          <w:p>
            <w:pPr>
              <w:rPr>
                <w:rFonts w:ascii="Arial"/>
                <w:highlight w:val="none"/>
              </w:rPr>
            </w:pPr>
            <w:r>
              <w:rPr>
                <w:rFonts w:hint="eastAsia" w:ascii="宋体" w:hAnsi="宋体" w:eastAsia="宋体" w:cs="宋体"/>
                <w:szCs w:val="21"/>
                <w:highlight w:val="none"/>
              </w:rPr>
              <w:t xml:space="preserve"> </w:t>
            </w:r>
          </w:p>
        </w:tc>
        <w:tc>
          <w:tcPr>
            <w:tcW w:w="2550" w:type="dxa"/>
          </w:tcPr>
          <w:p>
            <w:pPr>
              <w:rPr>
                <w:rFonts w:ascii="Arial"/>
                <w:highlight w:val="none"/>
              </w:rPr>
            </w:pPr>
          </w:p>
        </w:tc>
        <w:tc>
          <w:tcPr>
            <w:tcW w:w="2510" w:type="dxa"/>
            <w:tcBorders>
              <w:right w:val="single" w:color="000000" w:sz="4" w:space="0"/>
            </w:tcBorders>
          </w:tcPr>
          <w:p>
            <w:pPr>
              <w:rPr>
                <w:rFonts w:ascii="Arial"/>
                <w:highlight w:val="none"/>
              </w:rPr>
            </w:pP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516" w:type="dxa"/>
            <w:gridSpan w:val="2"/>
            <w:tcBorders>
              <w:right w:val="single" w:color="000000" w:sz="4" w:space="0"/>
            </w:tcBorders>
          </w:tcPr>
          <w:p>
            <w:pPr>
              <w:jc w:val="center"/>
              <w:rPr>
                <w:rFonts w:ascii="宋体" w:hAnsi="宋体" w:eastAsia="宋体" w:cs="宋体"/>
                <w:spacing w:val="-6"/>
                <w:szCs w:val="21"/>
                <w:highlight w:val="none"/>
              </w:rPr>
            </w:pPr>
          </w:p>
        </w:tc>
        <w:tc>
          <w:tcPr>
            <w:tcW w:w="9440" w:type="dxa"/>
            <w:gridSpan w:val="6"/>
            <w:tcBorders>
              <w:right w:val="single" w:color="000000" w:sz="4" w:space="0"/>
            </w:tcBorders>
          </w:tcPr>
          <w:p>
            <w:pPr>
              <w:jc w:val="center"/>
              <w:rPr>
                <w:rFonts w:ascii="Arial"/>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bl>
    <w:p>
      <w:pPr>
        <w:spacing w:before="58" w:line="219" w:lineRule="auto"/>
        <w:ind w:left="8"/>
        <w:rPr>
          <w:rFonts w:ascii="宋体" w:hAnsi="宋体" w:eastAsia="宋体" w:cs="宋体"/>
          <w:spacing w:val="-8"/>
          <w:szCs w:val="21"/>
          <w:highlight w:val="none"/>
        </w:rPr>
      </w:pPr>
    </w:p>
    <w:p>
      <w:pPr>
        <w:spacing w:before="58" w:line="219" w:lineRule="auto"/>
        <w:ind w:left="8"/>
        <w:rPr>
          <w:rFonts w:ascii="宋体" w:hAnsi="宋体" w:eastAsia="宋体" w:cs="宋体"/>
          <w:spacing w:val="-4"/>
          <w:szCs w:val="21"/>
          <w:highlight w:val="none"/>
        </w:rPr>
      </w:pPr>
      <w:r>
        <w:rPr>
          <w:rFonts w:ascii="宋体" w:hAnsi="宋体" w:eastAsia="宋体" w:cs="宋体"/>
          <w:spacing w:val="-8"/>
          <w:szCs w:val="21"/>
          <w:highlight w:val="none"/>
        </w:rPr>
        <w:t>注：</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1.以上</w:t>
      </w:r>
      <w:r>
        <w:rPr>
          <w:rFonts w:ascii="宋体" w:hAnsi="宋体" w:eastAsia="宋体" w:cs="宋体"/>
          <w:spacing w:val="-5"/>
          <w:szCs w:val="21"/>
          <w:highlight w:val="none"/>
        </w:rPr>
        <w:t>是</w:t>
      </w:r>
      <w:r>
        <w:rPr>
          <w:rFonts w:ascii="宋体" w:hAnsi="宋体" w:eastAsia="宋体" w:cs="宋体"/>
          <w:spacing w:val="-4"/>
          <w:szCs w:val="21"/>
          <w:highlight w:val="none"/>
        </w:rPr>
        <w:t>各单体设备分项报价应包括的内容， 但不限于此，表中“总价合计”构成主机价格的一部分。</w:t>
      </w:r>
    </w:p>
    <w:p>
      <w:pPr>
        <w:spacing w:line="219" w:lineRule="auto"/>
        <w:ind w:left="431"/>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计算的结果与总价不一致，以单价为准修正总价。</w:t>
      </w:r>
    </w:p>
    <w:p>
      <w:pPr>
        <w:spacing w:before="85" w:line="198" w:lineRule="auto"/>
        <w:ind w:left="432"/>
        <w:rPr>
          <w:highlight w:val="none"/>
        </w:rPr>
      </w:pPr>
      <w:r>
        <w:rPr>
          <w:rFonts w:ascii="宋体" w:hAnsi="宋体" w:eastAsia="宋体" w:cs="宋体"/>
          <w:spacing w:val="-4"/>
          <w:szCs w:val="21"/>
          <w:highlight w:val="none"/>
        </w:rPr>
        <w:t>3.此分项报价，仅是为</w:t>
      </w:r>
      <w:r>
        <w:rPr>
          <w:rFonts w:ascii="宋体" w:hAnsi="宋体" w:eastAsia="宋体" w:cs="宋体"/>
          <w:spacing w:val="-2"/>
          <w:szCs w:val="21"/>
          <w:highlight w:val="none"/>
        </w:rPr>
        <w:t>了方便招标人对投标文件进行分析比较，不作为限制订立合同的条件</w:t>
      </w:r>
      <w:r>
        <w:rPr>
          <w:rFonts w:ascii="宋体" w:hAnsi="宋体" w:eastAsia="宋体" w:cs="宋体"/>
          <w:spacing w:val="-2"/>
          <w:sz w:val="24"/>
          <w:szCs w:val="24"/>
          <w:highlight w:val="none"/>
        </w:rPr>
        <w:t>。</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pPr>
        <w:rPr>
          <w:rFonts w:ascii="宋体" w:hAnsi="宋体" w:eastAsia="宋体" w:cs="宋体"/>
          <w:sz w:val="24"/>
          <w:szCs w:val="24"/>
          <w:highlight w:val="none"/>
        </w:r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9-2</w:t>
      </w:r>
    </w:p>
    <w:p>
      <w:pPr>
        <w:spacing w:before="186" w:line="224" w:lineRule="auto"/>
        <w:ind w:left="5342"/>
        <w:rPr>
          <w:rFonts w:ascii="宋体" w:hAnsi="宋体" w:eastAsia="宋体" w:cs="宋体"/>
          <w:sz w:val="24"/>
          <w:szCs w:val="24"/>
          <w:highlight w:val="none"/>
        </w:rPr>
      </w:pPr>
      <w:r>
        <w:rPr>
          <w:rFonts w:ascii="宋体" w:hAnsi="宋体" w:eastAsia="宋体" w:cs="宋体"/>
          <w:spacing w:val="16"/>
          <w:sz w:val="24"/>
          <w:szCs w:val="24"/>
          <w:highlight w:val="none"/>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输及服务分项报价表</w:t>
      </w:r>
    </w:p>
    <w:p>
      <w:pPr>
        <w:spacing w:before="132" w:line="221" w:lineRule="auto"/>
        <w:ind w:left="310"/>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pPr>
              <w:spacing w:line="296" w:lineRule="auto"/>
              <w:rPr>
                <w:rFonts w:ascii="Arial"/>
                <w:highlight w:val="none"/>
              </w:rPr>
            </w:pPr>
          </w:p>
          <w:p>
            <w:pPr>
              <w:spacing w:before="68" w:line="222" w:lineRule="auto"/>
              <w:ind w:left="194"/>
              <w:rPr>
                <w:rFonts w:ascii="宋体" w:hAnsi="宋体" w:eastAsia="宋体" w:cs="宋体"/>
                <w:szCs w:val="21"/>
                <w:highlight w:val="none"/>
              </w:rPr>
            </w:pPr>
            <w:r>
              <w:rPr>
                <w:rFonts w:ascii="宋体" w:hAnsi="宋体" w:eastAsia="宋体" w:cs="宋体"/>
                <w:spacing w:val="-1"/>
                <w:szCs w:val="21"/>
                <w:highlight w:val="none"/>
              </w:rPr>
              <w:t>序号</w:t>
            </w:r>
          </w:p>
        </w:tc>
        <w:tc>
          <w:tcPr>
            <w:tcW w:w="3530" w:type="dxa"/>
            <w:vMerge w:val="restart"/>
            <w:tcBorders>
              <w:bottom w:val="nil"/>
            </w:tcBorders>
          </w:tcPr>
          <w:p>
            <w:pPr>
              <w:spacing w:line="295" w:lineRule="auto"/>
              <w:rPr>
                <w:rFonts w:ascii="Arial"/>
                <w:highlight w:val="none"/>
              </w:rPr>
            </w:pPr>
          </w:p>
          <w:p>
            <w:pPr>
              <w:spacing w:before="68" w:line="221" w:lineRule="auto"/>
              <w:ind w:left="1476"/>
              <w:rPr>
                <w:rFonts w:ascii="宋体" w:hAnsi="宋体" w:eastAsia="宋体" w:cs="宋体"/>
                <w:szCs w:val="21"/>
                <w:highlight w:val="none"/>
              </w:rPr>
            </w:pPr>
            <w:r>
              <w:rPr>
                <w:rFonts w:ascii="宋体" w:hAnsi="宋体" w:eastAsia="宋体" w:cs="宋体"/>
                <w:spacing w:val="-1"/>
                <w:szCs w:val="21"/>
                <w:highlight w:val="none"/>
              </w:rPr>
              <w:t>内  容</w:t>
            </w:r>
          </w:p>
        </w:tc>
        <w:tc>
          <w:tcPr>
            <w:tcW w:w="2159" w:type="dxa"/>
          </w:tcPr>
          <w:p>
            <w:pPr>
              <w:spacing w:before="130" w:line="221" w:lineRule="auto"/>
              <w:ind w:left="766"/>
              <w:rPr>
                <w:rFonts w:ascii="宋体" w:hAnsi="宋体" w:eastAsia="宋体" w:cs="宋体"/>
                <w:szCs w:val="21"/>
                <w:highlight w:val="none"/>
              </w:rPr>
            </w:pPr>
            <w:r>
              <w:rPr>
                <w:rFonts w:ascii="宋体" w:hAnsi="宋体" w:eastAsia="宋体" w:cs="宋体"/>
                <w:spacing w:val="-1"/>
                <w:szCs w:val="21"/>
                <w:highlight w:val="none"/>
              </w:rPr>
              <w:t>数  量</w:t>
            </w:r>
          </w:p>
        </w:tc>
        <w:tc>
          <w:tcPr>
            <w:tcW w:w="218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单价(元)</w:t>
            </w:r>
            <w:r>
              <w:rPr>
                <w:rFonts w:hint="eastAsia" w:ascii="宋体" w:hAnsi="宋体" w:eastAsia="宋体" w:cs="宋体"/>
                <w:spacing w:val="-1"/>
                <w:szCs w:val="21"/>
                <w:highlight w:val="none"/>
              </w:rPr>
              <w:t>（不含税）</w:t>
            </w:r>
          </w:p>
        </w:tc>
        <w:tc>
          <w:tcPr>
            <w:tcW w:w="259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总价(元)</w:t>
            </w:r>
            <w:r>
              <w:rPr>
                <w:rFonts w:hint="eastAsia" w:ascii="宋体" w:hAnsi="宋体" w:eastAsia="宋体" w:cs="宋体"/>
                <w:spacing w:val="-1"/>
                <w:szCs w:val="21"/>
                <w:highlight w:val="none"/>
              </w:rPr>
              <w:t>（不含税）</w:t>
            </w:r>
          </w:p>
        </w:tc>
        <w:tc>
          <w:tcPr>
            <w:tcW w:w="2164" w:type="dxa"/>
          </w:tcPr>
          <w:p>
            <w:pPr>
              <w:spacing w:before="130" w:line="222" w:lineRule="auto"/>
              <w:ind w:left="770"/>
              <w:rPr>
                <w:rFonts w:ascii="宋体" w:hAnsi="宋体" w:eastAsia="宋体" w:cs="宋体"/>
                <w:szCs w:val="21"/>
                <w:highlight w:val="none"/>
              </w:rPr>
            </w:pPr>
            <w:r>
              <w:rPr>
                <w:rFonts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pPr>
              <w:rPr>
                <w:rFonts w:ascii="Arial"/>
                <w:highlight w:val="none"/>
              </w:rPr>
            </w:pPr>
          </w:p>
        </w:tc>
        <w:tc>
          <w:tcPr>
            <w:tcW w:w="3530" w:type="dxa"/>
            <w:vMerge w:val="continue"/>
            <w:tcBorders>
              <w:top w:val="nil"/>
            </w:tcBorders>
          </w:tcPr>
          <w:p>
            <w:pPr>
              <w:rPr>
                <w:rFonts w:ascii="Arial"/>
                <w:highlight w:val="none"/>
              </w:rPr>
            </w:pPr>
          </w:p>
        </w:tc>
        <w:tc>
          <w:tcPr>
            <w:tcW w:w="2159" w:type="dxa"/>
          </w:tcPr>
          <w:p>
            <w:pPr>
              <w:spacing w:before="160" w:line="186" w:lineRule="auto"/>
              <w:ind w:left="1044"/>
              <w:rPr>
                <w:rFonts w:ascii="宋体" w:hAnsi="宋体" w:eastAsia="宋体" w:cs="宋体"/>
                <w:szCs w:val="21"/>
                <w:highlight w:val="none"/>
              </w:rPr>
            </w:pPr>
            <w:r>
              <w:rPr>
                <w:rFonts w:ascii="宋体" w:hAnsi="宋体" w:eastAsia="宋体" w:cs="宋体"/>
                <w:szCs w:val="21"/>
                <w:highlight w:val="none"/>
              </w:rPr>
              <w:t>1</w:t>
            </w:r>
          </w:p>
        </w:tc>
        <w:tc>
          <w:tcPr>
            <w:tcW w:w="2186" w:type="dxa"/>
          </w:tcPr>
          <w:p>
            <w:pPr>
              <w:spacing w:before="161" w:line="185" w:lineRule="auto"/>
              <w:ind w:left="1047"/>
              <w:rPr>
                <w:rFonts w:ascii="宋体" w:hAnsi="宋体" w:eastAsia="宋体" w:cs="宋体"/>
                <w:szCs w:val="21"/>
                <w:highlight w:val="none"/>
              </w:rPr>
            </w:pPr>
            <w:r>
              <w:rPr>
                <w:rFonts w:ascii="宋体" w:hAnsi="宋体" w:eastAsia="宋体" w:cs="宋体"/>
                <w:szCs w:val="21"/>
                <w:highlight w:val="none"/>
              </w:rPr>
              <w:t>2</w:t>
            </w:r>
          </w:p>
        </w:tc>
        <w:tc>
          <w:tcPr>
            <w:tcW w:w="2596" w:type="dxa"/>
          </w:tcPr>
          <w:p>
            <w:pPr>
              <w:spacing w:before="126" w:line="223" w:lineRule="auto"/>
              <w:ind w:left="835"/>
              <w:rPr>
                <w:rFonts w:ascii="宋体" w:hAnsi="宋体" w:eastAsia="宋体" w:cs="宋体"/>
                <w:szCs w:val="21"/>
                <w:highlight w:val="none"/>
              </w:rPr>
            </w:pPr>
            <w:r>
              <w:rPr>
                <w:rFonts w:ascii="宋体" w:hAnsi="宋体" w:eastAsia="宋体" w:cs="宋体"/>
                <w:spacing w:val="-2"/>
                <w:szCs w:val="21"/>
                <w:highlight w:val="none"/>
              </w:rPr>
              <w:t>3 (1</w:t>
            </w:r>
            <w:r>
              <w:rPr>
                <w:rFonts w:ascii="宋体" w:hAnsi="宋体" w:eastAsia="宋体" w:cs="宋体"/>
                <w:spacing w:val="-1"/>
                <w:szCs w:val="21"/>
                <w:highlight w:val="none"/>
              </w:rPr>
              <w:t>×2)</w:t>
            </w:r>
          </w:p>
        </w:tc>
        <w:tc>
          <w:tcPr>
            <w:tcW w:w="2164" w:type="dxa"/>
          </w:tcPr>
          <w:p>
            <w:pPr>
              <w:spacing w:before="161" w:line="185" w:lineRule="auto"/>
              <w:ind w:left="1031"/>
              <w:rPr>
                <w:rFonts w:ascii="宋体" w:hAnsi="宋体" w:eastAsia="宋体" w:cs="宋体"/>
                <w:szCs w:val="21"/>
                <w:highlight w:val="none"/>
              </w:rPr>
            </w:pPr>
            <w:r>
              <w:rPr>
                <w:rFonts w:ascii="宋体" w:hAnsi="宋体" w:eastAsia="宋体" w:cs="宋体"/>
                <w:szCs w:val="21"/>
                <w:highlight w:val="none"/>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4" w:line="185" w:lineRule="auto"/>
              <w:ind w:left="353"/>
              <w:rPr>
                <w:rFonts w:ascii="宋体" w:hAnsi="宋体" w:eastAsia="宋体" w:cs="宋体"/>
                <w:szCs w:val="21"/>
                <w:highlight w:val="none"/>
              </w:rPr>
            </w:pPr>
            <w:r>
              <w:rPr>
                <w:rFonts w:hint="eastAsia" w:ascii="宋体" w:hAnsi="宋体" w:eastAsia="宋体" w:cs="宋体"/>
                <w:szCs w:val="21"/>
                <w:highlight w:val="none"/>
              </w:rPr>
              <w:t>1</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包</w:t>
            </w:r>
            <w:r>
              <w:rPr>
                <w:rFonts w:ascii="宋体" w:hAnsi="宋体" w:eastAsia="宋体" w:cs="宋体"/>
                <w:spacing w:val="-1"/>
                <w:szCs w:val="21"/>
                <w:highlight w:val="none"/>
              </w:rPr>
              <w:t>装费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5" w:line="183" w:lineRule="auto"/>
              <w:ind w:left="355"/>
              <w:rPr>
                <w:rFonts w:ascii="宋体" w:hAnsi="宋体" w:eastAsia="宋体" w:cs="宋体"/>
                <w:szCs w:val="21"/>
                <w:highlight w:val="none"/>
              </w:rPr>
            </w:pPr>
            <w:r>
              <w:rPr>
                <w:rFonts w:hint="eastAsia" w:ascii="宋体" w:hAnsi="宋体" w:eastAsia="宋体" w:cs="宋体"/>
                <w:szCs w:val="21"/>
                <w:highlight w:val="none"/>
              </w:rPr>
              <w:t>2</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运</w:t>
            </w:r>
            <w:r>
              <w:rPr>
                <w:rFonts w:ascii="宋体" w:hAnsi="宋体" w:eastAsia="宋体" w:cs="宋体"/>
                <w:spacing w:val="-1"/>
                <w:szCs w:val="21"/>
                <w:highlight w:val="none"/>
              </w:rPr>
              <w:t>输费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restart"/>
            <w:tcBorders>
              <w:bottom w:val="nil"/>
            </w:tcBorders>
          </w:tcPr>
          <w:p>
            <w:pPr>
              <w:spacing w:line="295" w:lineRule="auto"/>
              <w:rPr>
                <w:rFonts w:ascii="Arial"/>
                <w:highlight w:val="none"/>
              </w:rPr>
            </w:pPr>
          </w:p>
          <w:p>
            <w:pPr>
              <w:spacing w:before="68" w:line="300" w:lineRule="auto"/>
              <w:ind w:left="873" w:right="133" w:hanging="734"/>
              <w:rPr>
                <w:rFonts w:ascii="宋体" w:hAnsi="宋体" w:eastAsia="宋体" w:cs="宋体"/>
                <w:szCs w:val="21"/>
                <w:highlight w:val="none"/>
              </w:rPr>
            </w:pPr>
            <w:r>
              <w:rPr>
                <w:rFonts w:ascii="宋体" w:hAnsi="宋体" w:eastAsia="宋体" w:cs="宋体"/>
                <w:spacing w:val="-1"/>
                <w:szCs w:val="21"/>
                <w:highlight w:val="none"/>
              </w:rPr>
              <w:t>运输方式及</w:t>
            </w:r>
            <w:r>
              <w:rPr>
                <w:rFonts w:ascii="宋体" w:hAnsi="宋体" w:eastAsia="宋体" w:cs="宋体"/>
                <w:szCs w:val="21"/>
                <w:highlight w:val="none"/>
              </w:rPr>
              <w:t xml:space="preserve">运输起止 </w:t>
            </w:r>
            <w:r>
              <w:rPr>
                <w:rFonts w:ascii="宋体" w:hAnsi="宋体" w:eastAsia="宋体" w:cs="宋体"/>
                <w:spacing w:val="-2"/>
                <w:szCs w:val="21"/>
                <w:highlight w:val="none"/>
              </w:rPr>
              <w:t>地</w:t>
            </w:r>
            <w:r>
              <w:rPr>
                <w:rFonts w:ascii="宋体" w:hAnsi="宋体" w:eastAsia="宋体" w:cs="宋体"/>
                <w:spacing w:val="-1"/>
                <w:szCs w:val="21"/>
                <w:highlight w:val="none"/>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pPr>
              <w:spacing w:before="248" w:line="185" w:lineRule="auto"/>
              <w:ind w:left="350"/>
              <w:rPr>
                <w:rFonts w:ascii="宋体" w:hAnsi="宋体" w:eastAsia="宋体" w:cs="宋体"/>
                <w:szCs w:val="21"/>
                <w:highlight w:val="none"/>
              </w:rPr>
            </w:pPr>
            <w:r>
              <w:rPr>
                <w:rFonts w:hint="eastAsia" w:ascii="宋体" w:hAnsi="宋体" w:eastAsia="宋体" w:cs="宋体"/>
                <w:szCs w:val="21"/>
                <w:highlight w:val="none"/>
              </w:rPr>
              <w:t>3</w:t>
            </w:r>
          </w:p>
        </w:tc>
        <w:tc>
          <w:tcPr>
            <w:tcW w:w="3530" w:type="dxa"/>
          </w:tcPr>
          <w:p>
            <w:pPr>
              <w:spacing w:before="212" w:line="221" w:lineRule="auto"/>
              <w:ind w:left="1241"/>
              <w:rPr>
                <w:rFonts w:ascii="宋体" w:hAnsi="宋体" w:eastAsia="宋体" w:cs="宋体"/>
                <w:szCs w:val="21"/>
                <w:highlight w:val="none"/>
              </w:rPr>
            </w:pPr>
            <w:r>
              <w:rPr>
                <w:rFonts w:ascii="宋体" w:hAnsi="宋体" w:eastAsia="宋体" w:cs="宋体"/>
                <w:spacing w:val="-1"/>
                <w:szCs w:val="21"/>
                <w:highlight w:val="none"/>
              </w:rPr>
              <w:t>运输保险费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continue"/>
            <w:tcBorders>
              <w:top w:val="nil"/>
            </w:tcBorders>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2" w:lineRule="auto"/>
              <w:ind w:left="355"/>
              <w:rPr>
                <w:rFonts w:ascii="宋体" w:hAnsi="宋体" w:eastAsia="宋体" w:cs="宋体"/>
                <w:szCs w:val="21"/>
                <w:highlight w:val="none"/>
              </w:rPr>
            </w:pPr>
            <w:r>
              <w:rPr>
                <w:rFonts w:hint="eastAsia" w:ascii="宋体" w:hAnsi="宋体" w:eastAsia="宋体" w:cs="宋体"/>
                <w:szCs w:val="21"/>
                <w:highlight w:val="none"/>
              </w:rPr>
              <w:t>4</w:t>
            </w:r>
          </w:p>
        </w:tc>
        <w:tc>
          <w:tcPr>
            <w:tcW w:w="3530" w:type="dxa"/>
          </w:tcPr>
          <w:p>
            <w:pPr>
              <w:spacing w:before="210" w:line="221" w:lineRule="auto"/>
              <w:ind w:left="1450"/>
              <w:rPr>
                <w:rFonts w:ascii="宋体" w:hAnsi="宋体" w:eastAsia="宋体" w:cs="宋体"/>
                <w:szCs w:val="21"/>
                <w:highlight w:val="none"/>
              </w:rPr>
            </w:pPr>
            <w:r>
              <w:rPr>
                <w:rFonts w:ascii="宋体" w:hAnsi="宋体" w:eastAsia="宋体" w:cs="宋体"/>
                <w:spacing w:val="-2"/>
                <w:szCs w:val="21"/>
                <w:highlight w:val="none"/>
              </w:rPr>
              <w:t>装</w:t>
            </w:r>
            <w:r>
              <w:rPr>
                <w:rFonts w:ascii="宋体" w:hAnsi="宋体" w:eastAsia="宋体" w:cs="宋体"/>
                <w:spacing w:val="-1"/>
                <w:szCs w:val="21"/>
                <w:highlight w:val="none"/>
              </w:rPr>
              <w:t>卸费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7"/>
              <w:rPr>
                <w:rFonts w:ascii="宋体" w:hAnsi="宋体" w:eastAsia="宋体" w:cs="宋体"/>
                <w:szCs w:val="21"/>
                <w:highlight w:val="none"/>
              </w:rPr>
            </w:pPr>
            <w:r>
              <w:rPr>
                <w:rFonts w:ascii="宋体" w:hAnsi="宋体" w:eastAsia="宋体" w:cs="宋体"/>
                <w:spacing w:val="-2"/>
                <w:szCs w:val="21"/>
                <w:highlight w:val="none"/>
              </w:rPr>
              <w:t>发生</w:t>
            </w:r>
            <w:r>
              <w:rPr>
                <w:rFonts w:ascii="宋体" w:hAnsi="宋体" w:eastAsia="宋体" w:cs="宋体"/>
                <w:spacing w:val="-1"/>
                <w:szCs w:val="21"/>
                <w:highlight w:val="none"/>
              </w:rPr>
              <w:t>费用地点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3" w:lineRule="auto"/>
              <w:ind w:left="352"/>
              <w:rPr>
                <w:rFonts w:ascii="宋体" w:hAnsi="宋体" w:eastAsia="宋体" w:cs="宋体"/>
                <w:szCs w:val="21"/>
                <w:highlight w:val="none"/>
              </w:rPr>
            </w:pPr>
            <w:r>
              <w:rPr>
                <w:rFonts w:hint="eastAsia" w:ascii="宋体" w:hAnsi="宋体" w:eastAsia="宋体" w:cs="宋体"/>
                <w:szCs w:val="21"/>
                <w:highlight w:val="none"/>
              </w:rPr>
              <w:t>5</w:t>
            </w:r>
          </w:p>
        </w:tc>
        <w:tc>
          <w:tcPr>
            <w:tcW w:w="3530" w:type="dxa"/>
          </w:tcPr>
          <w:p>
            <w:pPr>
              <w:spacing w:before="211" w:line="221" w:lineRule="auto"/>
              <w:rPr>
                <w:rFonts w:ascii="宋体" w:hAnsi="宋体" w:eastAsia="宋体" w:cs="宋体"/>
                <w:szCs w:val="21"/>
                <w:highlight w:val="none"/>
              </w:rPr>
            </w:pPr>
            <w:r>
              <w:rPr>
                <w:rFonts w:hint="eastAsia" w:ascii="宋体" w:hAnsi="宋体" w:eastAsia="宋体" w:cs="宋体"/>
                <w:spacing w:val="-2"/>
                <w:szCs w:val="21"/>
              </w:rPr>
              <w:t>.......以上</w:t>
            </w:r>
            <w:r>
              <w:rPr>
                <w:rFonts w:hint="eastAsia" w:ascii="宋体" w:hAnsi="宋体" w:eastAsia="宋体" w:cs="宋体"/>
              </w:rPr>
              <w:t>不足之处请往下添加序号自行补充</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6"/>
              <w:rPr>
                <w:rFonts w:ascii="宋体" w:hAnsi="宋体" w:eastAsia="宋体" w:cs="宋体"/>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pPr>
              <w:spacing w:before="211" w:line="219" w:lineRule="auto"/>
              <w:ind w:left="3008"/>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760" w:type="dxa"/>
            <w:gridSpan w:val="2"/>
          </w:tcPr>
          <w:p>
            <w:pPr>
              <w:spacing w:before="211"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line="172" w:lineRule="exact"/>
        <w:rPr>
          <w:highlight w:val="none"/>
        </w:rPr>
      </w:pPr>
    </w:p>
    <w:p>
      <w:pPr>
        <w:spacing w:before="59" w:line="219" w:lineRule="auto"/>
        <w:ind w:left="211"/>
        <w:rPr>
          <w:rFonts w:ascii="宋体" w:hAnsi="宋体" w:eastAsia="宋体" w:cs="宋体"/>
          <w:szCs w:val="21"/>
          <w:highlight w:val="none"/>
        </w:rPr>
      </w:pPr>
      <w:r>
        <w:rPr>
          <w:rFonts w:ascii="宋体" w:hAnsi="宋体" w:eastAsia="宋体" w:cs="宋体"/>
          <w:spacing w:val="-10"/>
          <w:szCs w:val="21"/>
          <w:highlight w:val="none"/>
        </w:rPr>
        <w:t>注：</w:t>
      </w:r>
      <w:r>
        <w:rPr>
          <w:rFonts w:hint="eastAsia" w:ascii="宋体" w:hAnsi="宋体" w:eastAsia="宋体" w:cs="宋体"/>
          <w:spacing w:val="-10"/>
          <w:szCs w:val="21"/>
          <w:highlight w:val="none"/>
        </w:rPr>
        <w:t xml:space="preserve"> </w:t>
      </w:r>
      <w:r>
        <w:rPr>
          <w:rFonts w:ascii="宋体" w:hAnsi="宋体" w:eastAsia="宋体" w:cs="宋体"/>
          <w:spacing w:val="-5"/>
          <w:szCs w:val="21"/>
          <w:highlight w:val="none"/>
        </w:rPr>
        <w:t>1.投标人需另附页给出价格的详细说明。</w:t>
      </w:r>
    </w:p>
    <w:p>
      <w:pPr>
        <w:spacing w:before="77"/>
        <w:ind w:left="633"/>
        <w:rPr>
          <w:rFonts w:ascii="宋体" w:hAnsi="宋体" w:eastAsia="宋体" w:cs="宋体"/>
          <w:szCs w:val="21"/>
          <w:highlight w:val="none"/>
        </w:rPr>
      </w:pPr>
      <w:r>
        <w:rPr>
          <w:rFonts w:ascii="宋体" w:hAnsi="宋体" w:eastAsia="宋体" w:cs="宋体"/>
          <w:spacing w:val="-1"/>
          <w:szCs w:val="21"/>
          <w:highlight w:val="none"/>
        </w:rPr>
        <w:t>2.如果按单价计算的结果与总价不一致，以单</w:t>
      </w:r>
      <w:r>
        <w:rPr>
          <w:rFonts w:ascii="宋体" w:hAnsi="宋体" w:eastAsia="宋体" w:cs="宋体"/>
          <w:szCs w:val="21"/>
          <w:highlight w:val="none"/>
        </w:rPr>
        <w:t>价为准修正总价。</w:t>
      </w:r>
    </w:p>
    <w:p>
      <w:pPr>
        <w:spacing w:before="64" w:line="198" w:lineRule="auto"/>
        <w:ind w:firstLine="606" w:firstLineChars="300"/>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594" w:firstLineChars="300"/>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 w:firstLine="464" w:firstLineChars="200"/>
        <w:rPr>
          <w:rFonts w:ascii="宋体" w:hAnsi="宋体" w:eastAsia="宋体" w:cs="宋体"/>
          <w:spacing w:val="-2"/>
          <w:sz w:val="24"/>
          <w:szCs w:val="24"/>
          <w:highlight w:val="none"/>
        </w:rPr>
      </w:pPr>
      <w:r>
        <w:rPr>
          <w:rFonts w:ascii="宋体" w:hAnsi="宋体" w:eastAsia="宋体" w:cs="宋体"/>
          <w:spacing w:val="-4"/>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 授权代表(签字)：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年  月  日</w:t>
      </w:r>
    </w:p>
    <w:p>
      <w:pPr>
        <w:rPr>
          <w:sz w:val="24"/>
          <w:szCs w:val="24"/>
          <w:highlight w:val="none"/>
        </w:rPr>
        <w:sectPr>
          <w:headerReference r:id="rId31" w:type="default"/>
          <w:footerReference r:id="rId32" w:type="default"/>
          <w:pgSz w:w="16841" w:h="11907"/>
          <w:pgMar w:top="400" w:right="1699" w:bottom="1184" w:left="1481"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9-3</w:t>
      </w:r>
    </w:p>
    <w:p>
      <w:pPr>
        <w:spacing w:before="104" w:line="224" w:lineRule="auto"/>
        <w:ind w:left="5024"/>
        <w:rPr>
          <w:rFonts w:ascii="宋体" w:hAnsi="宋体" w:eastAsia="宋体" w:cs="宋体"/>
          <w:sz w:val="31"/>
          <w:szCs w:val="31"/>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表</w:t>
      </w:r>
    </w:p>
    <w:p>
      <w:pPr>
        <w:spacing w:before="134" w:line="221" w:lineRule="auto"/>
        <w:ind w:left="212"/>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rPr>
          <w:highlight w:val="none"/>
        </w:rPr>
      </w:pPr>
    </w:p>
    <w:p>
      <w:pPr>
        <w:spacing w:line="20" w:lineRule="exact"/>
        <w:rPr>
          <w:highlight w:val="none"/>
        </w:rPr>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36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内       容</w:t>
            </w:r>
          </w:p>
        </w:tc>
        <w:tc>
          <w:tcPr>
            <w:tcW w:w="1126"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单价(元)（不含税）</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44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价格(元)（不含税）</w:t>
            </w:r>
          </w:p>
        </w:tc>
        <w:tc>
          <w:tcPr>
            <w:tcW w:w="332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详 细 说 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0"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现场</w:t>
            </w:r>
            <w:r>
              <w:rPr>
                <w:rFonts w:hint="eastAsia" w:ascii="宋体" w:hAnsi="宋体" w:eastAsia="宋体" w:cs="宋体"/>
                <w:spacing w:val="-1"/>
                <w:szCs w:val="21"/>
                <w:highlight w:val="none"/>
              </w:rPr>
              <w:t>安装调试</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2"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性能考核验</w:t>
            </w:r>
            <w:r>
              <w:rPr>
                <w:rFonts w:ascii="宋体" w:hAnsi="宋体" w:eastAsia="宋体" w:cs="宋体"/>
                <w:szCs w:val="21"/>
                <w:highlight w:val="none"/>
              </w:rPr>
              <w:t>收</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vAlign w:val="center"/>
          </w:tcPr>
          <w:p>
            <w:pPr>
              <w:spacing w:before="303"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3625" w:type="dxa"/>
            <w:vAlign w:val="center"/>
          </w:tcPr>
          <w:p>
            <w:pPr>
              <w:spacing w:before="266" w:line="221" w:lineRule="auto"/>
              <w:jc w:val="center"/>
              <w:rPr>
                <w:rFonts w:ascii="宋体" w:hAnsi="宋体" w:eastAsia="宋体" w:cs="宋体"/>
                <w:szCs w:val="21"/>
                <w:highlight w:val="none"/>
              </w:rPr>
            </w:pPr>
            <w:r>
              <w:rPr>
                <w:rFonts w:hint="eastAsia" w:ascii="宋体" w:hAnsi="宋体" w:eastAsia="宋体" w:cs="宋体"/>
                <w:spacing w:val="-2"/>
                <w:szCs w:val="21"/>
                <w:highlight w:val="none"/>
              </w:rPr>
              <w:t>技术</w:t>
            </w:r>
            <w:r>
              <w:rPr>
                <w:rFonts w:ascii="宋体" w:hAnsi="宋体" w:eastAsia="宋体" w:cs="宋体"/>
                <w:spacing w:val="-2"/>
                <w:szCs w:val="21"/>
                <w:highlight w:val="none"/>
              </w:rPr>
              <w:t>培</w:t>
            </w:r>
            <w:r>
              <w:rPr>
                <w:rFonts w:ascii="宋体" w:hAnsi="宋体" w:eastAsia="宋体" w:cs="宋体"/>
                <w:spacing w:val="-1"/>
                <w:szCs w:val="21"/>
                <w:highlight w:val="none"/>
              </w:rPr>
              <w:t>训费</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6" w:line="182" w:lineRule="auto"/>
              <w:jc w:val="center"/>
              <w:rPr>
                <w:rFonts w:ascii="宋体" w:hAnsi="宋体" w:eastAsia="宋体" w:cs="宋体"/>
                <w:szCs w:val="21"/>
                <w:highlight w:val="none"/>
              </w:rPr>
            </w:pPr>
            <w:r>
              <w:rPr>
                <w:rFonts w:hint="eastAsia" w:ascii="宋体" w:hAnsi="宋体" w:eastAsia="宋体" w:cs="宋体"/>
                <w:szCs w:val="21"/>
                <w:highlight w:val="none"/>
              </w:rPr>
              <w:t>4</w:t>
            </w:r>
          </w:p>
        </w:tc>
        <w:tc>
          <w:tcPr>
            <w:tcW w:w="3625" w:type="dxa"/>
            <w:vAlign w:val="center"/>
          </w:tcPr>
          <w:p>
            <w:pPr>
              <w:spacing w:before="268" w:line="221" w:lineRule="auto"/>
              <w:jc w:val="center"/>
              <w:rPr>
                <w:rFonts w:ascii="宋体" w:hAnsi="宋体" w:eastAsia="宋体" w:cs="宋体"/>
                <w:szCs w:val="21"/>
                <w:highlight w:val="none"/>
              </w:rPr>
            </w:pPr>
            <w:r>
              <w:rPr>
                <w:rFonts w:ascii="宋体" w:hAnsi="宋体" w:eastAsia="宋体" w:cs="宋体"/>
                <w:spacing w:val="15"/>
                <w:szCs w:val="21"/>
                <w:highlight w:val="none"/>
              </w:rPr>
              <w:t>其</w:t>
            </w:r>
            <w:r>
              <w:rPr>
                <w:rFonts w:ascii="宋体" w:hAnsi="宋体" w:eastAsia="宋体" w:cs="宋体"/>
                <w:spacing w:val="12"/>
                <w:szCs w:val="21"/>
                <w:highlight w:val="none"/>
              </w:rPr>
              <w:t>它(列出明细)</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9</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5</w:t>
            </w:r>
          </w:p>
        </w:tc>
        <w:tc>
          <w:tcPr>
            <w:tcW w:w="1126"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2449"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c>
          <w:tcPr>
            <w:tcW w:w="3328" w:type="dxa"/>
            <w:tcBorders>
              <w:lef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bl>
    <w:p>
      <w:pPr>
        <w:spacing w:before="78" w:line="224" w:lineRule="auto"/>
        <w:ind w:firstLine="178" w:firstLineChars="100"/>
        <w:rPr>
          <w:rFonts w:ascii="宋体" w:hAnsi="宋体" w:eastAsia="宋体" w:cs="宋体"/>
          <w:spacing w:val="-8"/>
          <w:szCs w:val="21"/>
          <w:highlight w:val="none"/>
        </w:rPr>
      </w:pPr>
      <w:r>
        <w:rPr>
          <w:rFonts w:ascii="宋体" w:hAnsi="宋体" w:eastAsia="宋体" w:cs="宋体"/>
          <w:spacing w:val="-16"/>
          <w:szCs w:val="21"/>
          <w:highlight w:val="none"/>
        </w:rPr>
        <w:t>注</w:t>
      </w:r>
      <w:r>
        <w:rPr>
          <w:rFonts w:ascii="宋体" w:hAnsi="宋体" w:eastAsia="宋体" w:cs="宋体"/>
          <w:spacing w:val="-8"/>
          <w:szCs w:val="21"/>
          <w:highlight w:val="none"/>
        </w:rPr>
        <w:t xml:space="preserve">： </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1.投标人需给出价格的详细说明。</w:t>
      </w:r>
    </w:p>
    <w:p>
      <w:pPr>
        <w:spacing w:before="75" w:line="219" w:lineRule="auto"/>
        <w:ind w:left="409" w:firstLine="396" w:firstLineChars="200"/>
        <w:rPr>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35" w:line="239" w:lineRule="auto"/>
        <w:ind w:firstLine="824" w:firstLineChars="400"/>
        <w:rPr>
          <w:rFonts w:ascii="宋体" w:hAnsi="宋体" w:eastAsia="宋体" w:cs="宋体"/>
          <w:szCs w:val="21"/>
          <w:highlight w:val="none"/>
        </w:rPr>
      </w:pPr>
      <w:r>
        <w:rPr>
          <w:rFonts w:hint="eastAsia" w:ascii="宋体" w:hAnsi="宋体" w:eastAsia="宋体" w:cs="宋体"/>
          <w:spacing w:val="-2"/>
          <w:szCs w:val="21"/>
          <w:highlight w:val="none"/>
        </w:rPr>
        <w:t>3</w:t>
      </w:r>
      <w:r>
        <w:rPr>
          <w:rFonts w:ascii="宋体" w:hAnsi="宋体" w:eastAsia="宋体" w:cs="宋体"/>
          <w:spacing w:val="-2"/>
          <w:szCs w:val="21"/>
          <w:highlight w:val="none"/>
        </w:rPr>
        <w:t>.此分项</w:t>
      </w:r>
      <w:r>
        <w:rPr>
          <w:rFonts w:ascii="宋体" w:hAnsi="宋体" w:eastAsia="宋体" w:cs="宋体"/>
          <w:spacing w:val="-1"/>
          <w:szCs w:val="21"/>
          <w:highlight w:val="none"/>
        </w:rPr>
        <w:t>报价，仅是为了方便招标人对投标文件进行比较，不作为限制订立合同的条件。</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rPr>
          <w:highlight w:val="none"/>
        </w:rPr>
      </w:pPr>
    </w:p>
    <w:p>
      <w:pPr>
        <w:pStyle w:val="17"/>
        <w:rPr>
          <w:highlight w:val="none"/>
        </w:rPr>
      </w:pPr>
    </w:p>
    <w:p>
      <w:pPr>
        <w:spacing w:before="35" w:line="239" w:lineRule="auto"/>
        <w:ind w:left="724"/>
        <w:rPr>
          <w:rFonts w:ascii="宋体" w:hAnsi="宋体" w:eastAsia="宋体" w:cs="宋体"/>
          <w:spacing w:val="-1"/>
          <w:sz w:val="24"/>
          <w:szCs w:val="24"/>
          <w:highlight w:val="none"/>
        </w:rPr>
      </w:pPr>
      <w:r>
        <w:rPr>
          <w:rFonts w:ascii="宋体" w:hAnsi="宋体" w:eastAsia="宋体" w:cs="宋体"/>
          <w:spacing w:val="-2"/>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年  月  日</w:t>
      </w:r>
    </w:p>
    <w:p>
      <w:pPr>
        <w:spacing w:before="35" w:line="239" w:lineRule="auto"/>
        <w:ind w:left="724"/>
        <w:rPr>
          <w:rFonts w:ascii="宋体" w:hAnsi="宋体" w:eastAsia="宋体" w:cs="宋体"/>
          <w:spacing w:val="-1"/>
          <w:sz w:val="24"/>
          <w:szCs w:val="24"/>
          <w:highlight w:val="none"/>
        </w:rPr>
        <w:sectPr>
          <w:footerReference r:id="rId33" w:type="default"/>
          <w:pgSz w:w="16841" w:h="11907"/>
          <w:pgMar w:top="400" w:right="1699" w:bottom="1184" w:left="1481" w:header="0" w:footer="1022" w:gutter="0"/>
          <w:pgNumType w:fmt="decimal"/>
          <w:cols w:space="720" w:num="1"/>
        </w:sectPr>
      </w:pPr>
    </w:p>
    <w:p>
      <w:pPr>
        <w:pStyle w:val="5"/>
        <w:jc w:val="left"/>
        <w:rPr>
          <w:rFonts w:ascii="宋体" w:hAnsi="宋体" w:eastAsia="宋体" w:cs="宋体"/>
          <w:sz w:val="24"/>
          <w:szCs w:val="24"/>
          <w:highlight w:val="none"/>
        </w:rPr>
      </w:pPr>
      <w:r>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highlight w:val="none"/>
        </w:rPr>
        <w:t xml:space="preserve"> </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4</w:t>
      </w:r>
    </w:p>
    <w:p>
      <w:pPr>
        <w:spacing w:before="125" w:line="294" w:lineRule="auto"/>
        <w:ind w:left="6150" w:right="1626" w:hanging="4500"/>
        <w:rPr>
          <w:rFonts w:ascii="宋体" w:hAnsi="宋体" w:eastAsia="宋体" w:cs="宋体"/>
          <w:sz w:val="24"/>
          <w:szCs w:val="24"/>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highlight w:val="none"/>
        </w:rPr>
        <w:t xml:space="preserve"> </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highlight w:val="none"/>
          <w14:textOutline w14:w="5791" w14:cap="flat" w14:cmpd="sng" w14:algn="ctr">
            <w14:solidFill>
              <w14:srgbClr w14:val="000000"/>
            </w14:solidFill>
            <w14:prstDash w14:val="solid"/>
            <w14:miter w14:val="0"/>
          </w14:textOutline>
        </w:rPr>
        <w:t>表</w:t>
      </w:r>
    </w:p>
    <w:p>
      <w:pPr>
        <w:spacing w:line="220" w:lineRule="auto"/>
        <w:ind w:left="1"/>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72" w:lineRule="exact"/>
        <w:rPr>
          <w:highlight w:val="none"/>
        </w:rPr>
      </w:pPr>
    </w:p>
    <w:tbl>
      <w:tblPr>
        <w:tblStyle w:val="133"/>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pPr>
              <w:spacing w:before="100" w:line="186" w:lineRule="auto"/>
              <w:ind w:left="223"/>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543" w:type="dxa"/>
          </w:tcPr>
          <w:p>
            <w:pPr>
              <w:spacing w:before="101" w:line="185" w:lineRule="auto"/>
              <w:ind w:left="122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100" w:type="dxa"/>
          </w:tcPr>
          <w:p>
            <w:pPr>
              <w:spacing w:before="102" w:line="183" w:lineRule="auto"/>
              <w:ind w:left="100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840" w:type="dxa"/>
          </w:tcPr>
          <w:p>
            <w:pPr>
              <w:spacing w:before="101" w:line="185" w:lineRule="auto"/>
              <w:ind w:left="3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239" w:type="dxa"/>
          </w:tcPr>
          <w:p>
            <w:pPr>
              <w:spacing w:before="103" w:line="182"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1498" w:type="dxa"/>
          </w:tcPr>
          <w:p>
            <w:pPr>
              <w:spacing w:before="102" w:line="183" w:lineRule="auto"/>
              <w:ind w:left="58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6</w:t>
            </w:r>
          </w:p>
        </w:tc>
        <w:tc>
          <w:tcPr>
            <w:tcW w:w="1861" w:type="dxa"/>
          </w:tcPr>
          <w:p>
            <w:pPr>
              <w:spacing w:before="103" w:line="182" w:lineRule="auto"/>
              <w:ind w:left="101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120" w:type="dxa"/>
          </w:tcPr>
          <w:p>
            <w:pPr>
              <w:spacing w:before="102" w:line="183" w:lineRule="auto"/>
              <w:ind w:left="516"/>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c>
          <w:tcPr>
            <w:tcW w:w="1125" w:type="dxa"/>
          </w:tcPr>
          <w:p>
            <w:pPr>
              <w:spacing w:before="102" w:line="183" w:lineRule="auto"/>
              <w:ind w:left="51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 号</w:t>
            </w:r>
          </w:p>
        </w:tc>
        <w:tc>
          <w:tcPr>
            <w:tcW w:w="2543"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工具名称</w:t>
            </w:r>
          </w:p>
        </w:tc>
        <w:tc>
          <w:tcPr>
            <w:tcW w:w="210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规格</w:t>
            </w:r>
          </w:p>
        </w:tc>
        <w:tc>
          <w:tcPr>
            <w:tcW w:w="84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23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名称</w:t>
            </w:r>
          </w:p>
        </w:tc>
        <w:tc>
          <w:tcPr>
            <w:tcW w:w="149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单价（不含税）</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c>
          <w:tcPr>
            <w:tcW w:w="1861"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4×6]（不含税）(元)</w:t>
            </w:r>
          </w:p>
        </w:tc>
        <w:tc>
          <w:tcPr>
            <w:tcW w:w="112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更换</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周期</w:t>
            </w:r>
          </w:p>
        </w:tc>
        <w:tc>
          <w:tcPr>
            <w:tcW w:w="11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spacing w:before="237" w:line="186" w:lineRule="auto"/>
              <w:ind w:left="223"/>
              <w:rPr>
                <w:rFonts w:ascii="宋体" w:hAnsi="宋体" w:eastAsia="宋体" w:cs="宋体"/>
                <w:szCs w:val="21"/>
                <w:highlight w:val="none"/>
              </w:rPr>
            </w:pPr>
            <w:r>
              <w:rPr>
                <w:rFonts w:ascii="宋体" w:hAnsi="宋体" w:eastAsia="宋体" w:cs="宋体"/>
                <w:szCs w:val="21"/>
                <w:highlight w:val="none"/>
              </w:rPr>
              <w:t>1</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spacing w:before="239" w:line="185" w:lineRule="auto"/>
              <w:ind w:left="210"/>
              <w:rPr>
                <w:rFonts w:ascii="宋体" w:hAnsi="宋体" w:eastAsia="宋体" w:cs="宋体"/>
                <w:szCs w:val="21"/>
                <w:highlight w:val="none"/>
              </w:rPr>
            </w:pPr>
            <w:r>
              <w:rPr>
                <w:rFonts w:ascii="宋体" w:hAnsi="宋体" w:eastAsia="宋体" w:cs="宋体"/>
                <w:szCs w:val="21"/>
                <w:highlight w:val="none"/>
              </w:rPr>
              <w:t>2</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pPr>
              <w:spacing w:before="207" w:line="219" w:lineRule="auto"/>
              <w:ind w:left="3416"/>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106" w:type="dxa"/>
            <w:gridSpan w:val="3"/>
          </w:tcPr>
          <w:p>
            <w:pPr>
              <w:spacing w:before="207"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before="69" w:line="219" w:lineRule="auto"/>
        <w:rPr>
          <w:rFonts w:ascii="宋体" w:hAnsi="宋体" w:eastAsia="宋体" w:cs="宋体"/>
          <w:szCs w:val="21"/>
          <w:highlight w:val="none"/>
        </w:rPr>
      </w:pPr>
      <w:r>
        <w:rPr>
          <w:rFonts w:ascii="宋体" w:hAnsi="宋体" w:eastAsia="宋体" w:cs="宋体"/>
          <w:spacing w:val="-3"/>
          <w:szCs w:val="21"/>
          <w:highlight w:val="none"/>
        </w:rPr>
        <w:t>注：1.本表须详细列出质保期内全部随机备品备件和专用工具等的详细价格</w:t>
      </w:r>
      <w:r>
        <w:rPr>
          <w:rFonts w:ascii="宋体" w:hAnsi="宋体" w:eastAsia="宋体" w:cs="宋体"/>
          <w:spacing w:val="-1"/>
          <w:szCs w:val="21"/>
          <w:highlight w:val="none"/>
        </w:rPr>
        <w:t>。</w:t>
      </w:r>
    </w:p>
    <w:p>
      <w:pPr>
        <w:spacing w:before="75" w:line="219" w:lineRule="auto"/>
        <w:ind w:left="409"/>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87" w:line="198" w:lineRule="auto"/>
        <w:ind w:left="411"/>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87" w:line="198" w:lineRule="auto"/>
        <w:ind w:left="411"/>
        <w:rPr>
          <w:rFonts w:ascii="宋体" w:hAnsi="宋体" w:eastAsia="宋体" w:cs="宋体"/>
          <w:spacing w:val="-2"/>
          <w:sz w:val="24"/>
          <w:szCs w:val="24"/>
          <w:highlight w:val="none"/>
        </w:r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年  月  日</w:t>
      </w:r>
    </w:p>
    <w:p>
      <w:pPr>
        <w:spacing w:before="87" w:line="198" w:lineRule="auto"/>
        <w:ind w:left="411"/>
        <w:rPr>
          <w:rFonts w:ascii="宋体" w:hAnsi="宋体" w:eastAsia="宋体" w:cs="宋体"/>
          <w:spacing w:val="-2"/>
          <w:sz w:val="24"/>
          <w:szCs w:val="24"/>
          <w:highlight w:val="none"/>
        </w:rPr>
        <w:sectPr>
          <w:footerReference r:id="rId34" w:type="default"/>
          <w:pgSz w:w="16841" w:h="11907"/>
          <w:pgMar w:top="400" w:right="1500" w:bottom="1184" w:left="1480"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9-5</w:t>
      </w:r>
    </w:p>
    <w:p>
      <w:pPr>
        <w:spacing w:before="253" w:line="224" w:lineRule="auto"/>
        <w:ind w:left="6488"/>
        <w:rPr>
          <w:rFonts w:ascii="宋体" w:hAnsi="宋体" w:eastAsia="宋体" w:cs="宋体"/>
          <w:sz w:val="31"/>
          <w:szCs w:val="31"/>
          <w:highlight w:val="none"/>
        </w:rPr>
      </w:pP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格汇总表</w:t>
      </w:r>
    </w:p>
    <w:p>
      <w:pPr>
        <w:spacing w:before="24" w:line="221" w:lineRule="auto"/>
        <w:ind w:left="211" w:firstLine="2310" w:firstLineChars="1100"/>
        <w:jc w:val="right"/>
        <w:rPr>
          <w:rFonts w:ascii="宋体" w:hAnsi="宋体" w:eastAsia="宋体" w:cs="宋体"/>
          <w:szCs w:val="21"/>
          <w:highlight w:val="none"/>
        </w:rPr>
      </w:pP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27" w:lineRule="exact"/>
        <w:rPr>
          <w:highlight w:val="none"/>
        </w:rPr>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276" w:line="222" w:lineRule="auto"/>
              <w:ind w:left="334"/>
              <w:rPr>
                <w:rFonts w:ascii="宋体" w:hAnsi="宋体" w:eastAsia="宋体" w:cs="宋体"/>
                <w:szCs w:val="21"/>
                <w:highlight w:val="none"/>
              </w:rPr>
            </w:pPr>
            <w:r>
              <w:rPr>
                <w:rFonts w:ascii="宋体" w:hAnsi="宋体" w:eastAsia="宋体" w:cs="宋体"/>
                <w:spacing w:val="-2"/>
                <w:szCs w:val="21"/>
                <w:highlight w:val="none"/>
              </w:rPr>
              <w:t>序</w:t>
            </w:r>
            <w:r>
              <w:rPr>
                <w:rFonts w:ascii="宋体" w:hAnsi="宋体" w:eastAsia="宋体" w:cs="宋体"/>
                <w:spacing w:val="-1"/>
                <w:szCs w:val="21"/>
                <w:highlight w:val="none"/>
              </w:rPr>
              <w:t>号</w:t>
            </w:r>
          </w:p>
        </w:tc>
        <w:tc>
          <w:tcPr>
            <w:tcW w:w="5765" w:type="dxa"/>
          </w:tcPr>
          <w:p>
            <w:pPr>
              <w:spacing w:before="276" w:line="221" w:lineRule="auto"/>
              <w:ind w:left="2544"/>
              <w:rPr>
                <w:rFonts w:ascii="宋体" w:hAnsi="宋体" w:eastAsia="宋体" w:cs="宋体"/>
                <w:szCs w:val="21"/>
                <w:highlight w:val="none"/>
              </w:rPr>
            </w:pPr>
            <w:r>
              <w:rPr>
                <w:rFonts w:ascii="宋体" w:hAnsi="宋体" w:eastAsia="宋体" w:cs="宋体"/>
                <w:spacing w:val="-6"/>
                <w:szCs w:val="21"/>
                <w:highlight w:val="none"/>
              </w:rPr>
              <w:t>内</w:t>
            </w:r>
            <w:r>
              <w:rPr>
                <w:rFonts w:ascii="宋体" w:hAnsi="宋体" w:eastAsia="宋体" w:cs="宋体"/>
                <w:spacing w:val="-4"/>
                <w:szCs w:val="21"/>
                <w:highlight w:val="none"/>
              </w:rPr>
              <w:t xml:space="preserve">   容</w:t>
            </w:r>
          </w:p>
        </w:tc>
        <w:tc>
          <w:tcPr>
            <w:tcW w:w="3354" w:type="dxa"/>
          </w:tcPr>
          <w:p>
            <w:pPr>
              <w:spacing w:before="276" w:line="219" w:lineRule="auto"/>
              <w:jc w:val="center"/>
              <w:rPr>
                <w:rFonts w:ascii="宋体" w:hAnsi="宋体" w:eastAsia="宋体" w:cs="宋体"/>
                <w:szCs w:val="21"/>
                <w:highlight w:val="none"/>
              </w:rPr>
            </w:pPr>
            <w:r>
              <w:rPr>
                <w:rFonts w:ascii="宋体" w:hAnsi="宋体" w:eastAsia="宋体" w:cs="宋体"/>
                <w:spacing w:val="18"/>
                <w:szCs w:val="21"/>
                <w:highlight w:val="none"/>
              </w:rPr>
              <w:t>总</w:t>
            </w:r>
            <w:r>
              <w:rPr>
                <w:rFonts w:ascii="宋体" w:hAnsi="宋体" w:eastAsia="宋体" w:cs="宋体"/>
                <w:spacing w:val="14"/>
                <w:szCs w:val="21"/>
                <w:highlight w:val="none"/>
              </w:rPr>
              <w:t>价(元)</w:t>
            </w:r>
            <w:r>
              <w:rPr>
                <w:rFonts w:hint="eastAsia" w:ascii="宋体" w:hAnsi="宋体" w:eastAsia="宋体" w:cs="宋体"/>
                <w:spacing w:val="-3"/>
                <w:szCs w:val="21"/>
                <w:highlight w:val="none"/>
                <w14:textOutline w14:w="3835" w14:cap="flat" w14:cmpd="sng" w14:algn="ctr">
                  <w14:solidFill>
                    <w14:srgbClr w14:val="000000"/>
                  </w14:solidFill>
                  <w14:prstDash w14:val="solid"/>
                  <w14:miter w14:val="0"/>
                </w14:textOutline>
              </w:rPr>
              <w:t>（不含税）</w:t>
            </w:r>
          </w:p>
        </w:tc>
        <w:tc>
          <w:tcPr>
            <w:tcW w:w="3362" w:type="dxa"/>
          </w:tcPr>
          <w:p>
            <w:pPr>
              <w:spacing w:before="276" w:line="222" w:lineRule="auto"/>
              <w:ind w:left="1215"/>
              <w:rPr>
                <w:rFonts w:ascii="宋体" w:hAnsi="宋体" w:eastAsia="宋体" w:cs="宋体"/>
                <w:szCs w:val="21"/>
                <w:highlight w:val="none"/>
              </w:rPr>
            </w:pPr>
            <w:r>
              <w:rPr>
                <w:rFonts w:ascii="宋体" w:hAnsi="宋体" w:eastAsia="宋体" w:cs="宋体"/>
                <w:spacing w:val="-1"/>
                <w:szCs w:val="21"/>
                <w:highlight w:val="none"/>
              </w:rPr>
              <w:t>备</w:t>
            </w:r>
            <w:r>
              <w:rPr>
                <w:rFonts w:ascii="宋体" w:hAnsi="宋体" w:eastAsia="宋体" w:cs="宋体"/>
                <w:szCs w:val="21"/>
                <w:highlight w:val="no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309" w:line="186" w:lineRule="auto"/>
              <w:ind w:left="508"/>
              <w:rPr>
                <w:rFonts w:ascii="宋体" w:hAnsi="宋体" w:eastAsia="宋体" w:cs="宋体"/>
                <w:szCs w:val="21"/>
                <w:highlight w:val="none"/>
              </w:rPr>
            </w:pPr>
            <w:r>
              <w:rPr>
                <w:rFonts w:ascii="宋体" w:hAnsi="宋体" w:eastAsia="宋体" w:cs="宋体"/>
                <w:szCs w:val="21"/>
                <w:highlight w:val="none"/>
              </w:rPr>
              <w:t>1</w:t>
            </w:r>
          </w:p>
        </w:tc>
        <w:tc>
          <w:tcPr>
            <w:tcW w:w="5765" w:type="dxa"/>
          </w:tcPr>
          <w:p>
            <w:pPr>
              <w:spacing w:before="275" w:line="222" w:lineRule="auto"/>
              <w:ind w:left="2378"/>
              <w:rPr>
                <w:rFonts w:ascii="宋体" w:hAnsi="宋体" w:eastAsia="宋体" w:cs="宋体"/>
                <w:szCs w:val="21"/>
                <w:highlight w:val="none"/>
              </w:rPr>
            </w:pPr>
            <w:r>
              <w:rPr>
                <w:rFonts w:ascii="宋体" w:hAnsi="宋体" w:eastAsia="宋体" w:cs="宋体"/>
                <w:spacing w:val="-17"/>
                <w:szCs w:val="21"/>
                <w:highlight w:val="none"/>
              </w:rPr>
              <w:t>表</w:t>
            </w:r>
            <w:r>
              <w:rPr>
                <w:rFonts w:ascii="宋体" w:hAnsi="宋体" w:eastAsia="宋体" w:cs="宋体"/>
                <w:spacing w:val="-11"/>
                <w:szCs w:val="21"/>
                <w:highlight w:val="none"/>
              </w:rPr>
              <w:t xml:space="preserve"> </w:t>
            </w:r>
            <w:r>
              <w:rPr>
                <w:rFonts w:hint="eastAsia" w:ascii="Times New Roman" w:hAnsi="Times New Roman" w:eastAsia="宋体" w:cs="Times New Roman"/>
                <w:spacing w:val="-11"/>
                <w:szCs w:val="21"/>
                <w:highlight w:val="none"/>
              </w:rPr>
              <w:t>9</w:t>
            </w:r>
            <w:r>
              <w:rPr>
                <w:rFonts w:ascii="Times New Roman" w:hAnsi="Times New Roman" w:eastAsia="Times New Roman" w:cs="Times New Roman"/>
                <w:spacing w:val="-11"/>
                <w:szCs w:val="21"/>
                <w:highlight w:val="none"/>
              </w:rPr>
              <w:t xml:space="preserve">- 1 </w:t>
            </w:r>
            <w:r>
              <w:rPr>
                <w:rFonts w:ascii="宋体" w:hAnsi="宋体" w:eastAsia="宋体" w:cs="宋体"/>
                <w:spacing w:val="-11"/>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pPr>
              <w:spacing w:before="299" w:line="185" w:lineRule="auto"/>
              <w:ind w:left="495"/>
              <w:rPr>
                <w:rFonts w:ascii="宋体" w:hAnsi="宋体" w:eastAsia="宋体" w:cs="宋体"/>
                <w:szCs w:val="21"/>
                <w:highlight w:val="none"/>
              </w:rPr>
            </w:pPr>
            <w:r>
              <w:rPr>
                <w:rFonts w:ascii="宋体" w:hAnsi="宋体" w:eastAsia="宋体" w:cs="宋体"/>
                <w:szCs w:val="21"/>
                <w:highlight w:val="none"/>
              </w:rPr>
              <w:t>2</w:t>
            </w:r>
          </w:p>
        </w:tc>
        <w:tc>
          <w:tcPr>
            <w:tcW w:w="5765" w:type="dxa"/>
          </w:tcPr>
          <w:p>
            <w:pPr>
              <w:spacing w:before="263"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-2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pPr>
              <w:rPr>
                <w:rFonts w:ascii="Arial"/>
                <w:highlight w:val="none"/>
              </w:rPr>
            </w:pPr>
          </w:p>
          <w:p>
            <w:pPr>
              <w:spacing w:before="68" w:line="183" w:lineRule="auto"/>
              <w:ind w:left="497"/>
              <w:rPr>
                <w:rFonts w:ascii="宋体" w:hAnsi="宋体" w:eastAsia="宋体" w:cs="宋体"/>
                <w:szCs w:val="21"/>
                <w:highlight w:val="none"/>
              </w:rPr>
            </w:pPr>
            <w:r>
              <w:rPr>
                <w:rFonts w:ascii="宋体" w:hAnsi="宋体" w:eastAsia="宋体" w:cs="宋体"/>
                <w:szCs w:val="21"/>
                <w:highlight w:val="none"/>
              </w:rPr>
              <w:t>3</w:t>
            </w:r>
          </w:p>
        </w:tc>
        <w:tc>
          <w:tcPr>
            <w:tcW w:w="5765" w:type="dxa"/>
          </w:tcPr>
          <w:p>
            <w:pPr>
              <w:spacing w:before="274"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-3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pPr>
              <w:spacing w:before="300" w:line="185" w:lineRule="auto"/>
              <w:ind w:left="492"/>
              <w:rPr>
                <w:rFonts w:ascii="宋体" w:hAnsi="宋体" w:eastAsia="宋体" w:cs="宋体"/>
                <w:szCs w:val="21"/>
                <w:highlight w:val="none"/>
              </w:rPr>
            </w:pPr>
            <w:r>
              <w:rPr>
                <w:rFonts w:ascii="宋体" w:hAnsi="宋体" w:eastAsia="宋体" w:cs="宋体"/>
                <w:szCs w:val="21"/>
                <w:highlight w:val="none"/>
              </w:rPr>
              <w:t>4</w:t>
            </w:r>
          </w:p>
        </w:tc>
        <w:tc>
          <w:tcPr>
            <w:tcW w:w="5765" w:type="dxa"/>
          </w:tcPr>
          <w:p>
            <w:pPr>
              <w:spacing w:before="265"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-4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highlight w:val="none"/>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r>
    </w:tbl>
    <w:p>
      <w:pPr>
        <w:spacing w:line="291" w:lineRule="auto"/>
        <w:rPr>
          <w:rFonts w:ascii="Arial"/>
          <w:highlight w:val="none"/>
        </w:rPr>
      </w:pPr>
    </w:p>
    <w:p>
      <w:pPr>
        <w:spacing w:before="78" w:line="198" w:lineRule="auto"/>
        <w:ind w:left="211" w:firstLine="202" w:firstLineChars="100"/>
        <w:rPr>
          <w:rFonts w:ascii="宋体" w:hAnsi="宋体" w:eastAsia="宋体" w:cs="宋体"/>
          <w:sz w:val="24"/>
          <w:szCs w:val="24"/>
          <w:highlight w:val="none"/>
        </w:rPr>
      </w:pPr>
      <w:r>
        <w:rPr>
          <w:rFonts w:ascii="宋体" w:hAnsi="宋体" w:eastAsia="宋体" w:cs="宋体"/>
          <w:spacing w:val="-4"/>
          <w:szCs w:val="21"/>
          <w:highlight w:val="none"/>
        </w:rPr>
        <w:t xml:space="preserve">注： </w:t>
      </w:r>
      <w:r>
        <w:rPr>
          <w:rFonts w:hint="eastAsia" w:ascii="宋体" w:hAnsi="宋体" w:eastAsia="宋体" w:cs="宋体"/>
          <w:spacing w:val="-4"/>
          <w:szCs w:val="21"/>
          <w:highlight w:val="none"/>
        </w:rPr>
        <w:t xml:space="preserve"> </w:t>
      </w:r>
      <w:r>
        <w:rPr>
          <w:rFonts w:ascii="宋体" w:hAnsi="宋体" w:eastAsia="宋体" w:cs="宋体"/>
          <w:spacing w:val="-4"/>
          <w:szCs w:val="21"/>
          <w:highlight w:val="none"/>
        </w:rPr>
        <w:t>1.此表格中的总价合</w:t>
      </w:r>
      <w:r>
        <w:rPr>
          <w:rFonts w:ascii="宋体" w:hAnsi="宋体" w:eastAsia="宋体" w:cs="宋体"/>
          <w:spacing w:val="-2"/>
          <w:szCs w:val="21"/>
          <w:highlight w:val="none"/>
        </w:rPr>
        <w:t>计应与“投标货物数量及价目表”及开标一览表的价格一致</w:t>
      </w:r>
      <w:r>
        <w:rPr>
          <w:rFonts w:ascii="宋体" w:hAnsi="宋体" w:eastAsia="宋体" w:cs="宋体"/>
          <w:spacing w:val="-2"/>
          <w:sz w:val="24"/>
          <w:szCs w:val="24"/>
          <w:highlight w:val="none"/>
        </w:rPr>
        <w:t>。</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2.该明细表所有信息均为必填项，不得删减，价格部分不得合并，可细化可增加。</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3.因填写不规范造成废标及终止招标的，责任由投标人自负。</w:t>
      </w:r>
    </w:p>
    <w:p>
      <w:pPr>
        <w:pStyle w:val="17"/>
        <w:rPr>
          <w:highlight w:val="none"/>
        </w:rPr>
      </w:pPr>
    </w:p>
    <w:p>
      <w:pPr>
        <w:pStyle w:val="17"/>
        <w:rPr>
          <w:highlight w:val="none"/>
        </w:rPr>
      </w:pPr>
    </w:p>
    <w:p>
      <w:pPr>
        <w:spacing w:before="140" w:line="220" w:lineRule="auto"/>
        <w:ind w:left="2" w:firstLine="464" w:firstLineChars="200"/>
        <w:rPr>
          <w:rFonts w:ascii="宋体" w:hAnsi="宋体" w:eastAsia="宋体" w:cs="宋体"/>
          <w:spacing w:val="-2"/>
          <w:szCs w:val="21"/>
          <w:highlight w:val="none"/>
        </w:rPr>
        <w:sectPr>
          <w:footerReference r:id="rId35"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 授权代表(签字)：</w:t>
      </w:r>
      <w:r>
        <w:rPr>
          <w:rFonts w:ascii="宋体" w:hAnsi="宋体" w:eastAsia="宋体" w:cs="宋体"/>
          <w:spacing w:val="-2"/>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rPr>
        <w:t>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附件10</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pPr>
        <w:rPr>
          <w:rFonts w:ascii="Calibri" w:hAnsi="Calibri" w:eastAsia="宋体" w:cs="Times New Roman"/>
          <w:szCs w:val="20"/>
          <w:highlight w:val="none"/>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pPr>
        <w:rPr>
          <w:rFonts w:ascii="宋体" w:hAnsi="Calibri" w:eastAsia="宋体" w:cs="Times New Roman"/>
          <w:szCs w:val="20"/>
          <w:highlight w:val="none"/>
        </w:rPr>
      </w:pPr>
    </w:p>
    <w:p>
      <w:pPr>
        <w:rPr>
          <w:rFonts w:ascii="宋体" w:hAnsi="Calibri" w:eastAsia="宋体" w:cs="宋体"/>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附件11 投标人承诺</w:t>
      </w:r>
    </w:p>
    <w:p>
      <w:pPr>
        <w:spacing w:line="272" w:lineRule="auto"/>
        <w:rPr>
          <w:rFonts w:ascii="Arial"/>
          <w:highlight w:val="none"/>
        </w:rPr>
      </w:pPr>
    </w:p>
    <w:p>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pPr>
        <w:rPr>
          <w:highlight w:val="none"/>
        </w:rPr>
      </w:pPr>
    </w:p>
    <w:p>
      <w:pPr>
        <w:spacing w:line="109" w:lineRule="exact"/>
        <w:rPr>
          <w:highlight w:val="none"/>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pPr>
        <w:keepNext/>
        <w:keepLines/>
        <w:rPr>
          <w:rFonts w:ascii="Times New Roman" w:hAnsi="Times New Roman" w:eastAsia="宋体" w:cs="Times New Roman"/>
          <w:b/>
          <w:bCs/>
          <w:color w:val="000000"/>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eastAsia="宋体"/>
          <w:sz w:val="24"/>
          <w:szCs w:val="24"/>
          <w:highlight w:val="none"/>
        </w:rPr>
        <w:sectPr>
          <w:footerReference r:id="rId36"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附件12</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服务承诺函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我代表（投标人名称）对中标合同产品的服务作如下承诺：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pPr>
    </w:p>
    <w:p>
      <w:pPr>
        <w:pStyle w:val="17"/>
        <w:rPr>
          <w:rFonts w:hAnsi="Calibri" w:eastAsia="宋体" w:cs="宋体"/>
          <w:b/>
          <w:bCs/>
          <w:color w:val="000000"/>
          <w:sz w:val="28"/>
          <w:szCs w:val="20"/>
          <w:highlight w:val="none"/>
        </w:rPr>
      </w:pPr>
    </w:p>
    <w:p>
      <w:pPr>
        <w:rPr>
          <w:rFonts w:ascii="宋体" w:hAnsi="Calibri" w:eastAsia="宋体" w:cs="宋体"/>
          <w:b/>
          <w:bCs/>
          <w:color w:val="000000"/>
          <w:sz w:val="28"/>
          <w:szCs w:val="20"/>
          <w:highlight w:val="none"/>
        </w:rPr>
      </w:pPr>
    </w:p>
    <w:p>
      <w:pPr>
        <w:outlineLvl w:val="2"/>
        <w:rPr>
          <w:rFonts w:ascii="Calibri" w:hAnsi="Calibri" w:eastAsia="宋体" w:cs="Times New Roman"/>
          <w:szCs w:val="20"/>
          <w:highlight w:val="none"/>
        </w:rPr>
      </w:pPr>
      <w:r>
        <w:rPr>
          <w:rFonts w:ascii="Calibri" w:hAnsi="Calibri" w:eastAsia="宋体" w:cs="Times New Roman"/>
          <w:szCs w:val="20"/>
          <w:highlight w:val="none"/>
        </w:rPr>
        <w:br w:type="page"/>
      </w:r>
      <w:r>
        <w:rPr>
          <w:rFonts w:hint="eastAsia" w:ascii="Times New Roman" w:hAnsi="Times New Roman" w:eastAsia="宋体" w:cs="Times New Roman"/>
          <w:b/>
          <w:bCs/>
          <w:color w:val="000000"/>
          <w:sz w:val="24"/>
          <w:szCs w:val="24"/>
          <w:highlight w:val="none"/>
        </w:rPr>
        <w:t>附件13 投标文件封面及封口格式</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highlight w:val="none"/>
              </w:rPr>
            </w:pPr>
          </w:p>
          <w:p>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pPr>
              <w:rPr>
                <w:rFonts w:ascii="Times New Roman" w:hAnsi="Times New Roman" w:eastAsia="等线" w:cs="Times New Roman"/>
                <w:b/>
                <w:sz w:val="30"/>
                <w:szCs w:val="30"/>
                <w:highlight w:val="none"/>
              </w:rPr>
            </w:pPr>
          </w:p>
          <w:p>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项目名称：重汽（济南）车桥有限公司</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pStyle w:val="17"/>
        <w:rPr>
          <w:highlight w:val="none"/>
        </w:rPr>
      </w:pPr>
    </w:p>
    <w:p>
      <w:pPr>
        <w:jc w:val="right"/>
        <w:rPr>
          <w:rFonts w:asciiTheme="minorEastAsia" w:hAnsiTheme="minorEastAsia" w:cstheme="minorEastAsia"/>
          <w:sz w:val="20"/>
          <w:szCs w:val="20"/>
          <w:highlight w:val="none"/>
        </w:rPr>
      </w:pPr>
    </w:p>
    <w:p>
      <w:pPr>
        <w:jc w:val="right"/>
        <w:rPr>
          <w:rFonts w:asciiTheme="minorEastAsia" w:hAnsiTheme="minorEastAsia" w:cstheme="minorEastAsia"/>
          <w:sz w:val="20"/>
          <w:szCs w:val="20"/>
          <w:highlight w:val="none"/>
        </w:rPr>
      </w:pPr>
    </w:p>
    <w:p>
      <w:pPr>
        <w:rPr>
          <w:highlight w:val="none"/>
        </w:rPr>
        <w:sectPr>
          <w:headerReference r:id="rId38" w:type="first"/>
          <w:footerReference r:id="rId40" w:type="first"/>
          <w:headerReference r:id="rId37" w:type="default"/>
          <w:footerReference r:id="rId39" w:type="default"/>
          <w:pgSz w:w="11906" w:h="16838"/>
          <w:pgMar w:top="1588" w:right="1418" w:bottom="1134" w:left="1418" w:header="851" w:footer="992" w:gutter="0"/>
          <w:pgNumType w:fmt="decimal"/>
          <w:cols w:space="720" w:num="1"/>
          <w:titlePg/>
          <w:docGrid w:type="lines" w:linePitch="312" w:charSpace="0"/>
        </w:sectPr>
      </w:pPr>
    </w:p>
    <w:p>
      <w:pPr>
        <w:spacing w:line="360" w:lineRule="auto"/>
        <w:outlineLvl w:val="2"/>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附件14</w:t>
      </w:r>
      <w:r>
        <w:rPr>
          <w:rFonts w:hint="eastAsia" w:ascii="Times New Roman" w:hAnsi="Times New Roman" w:eastAsia="宋体" w:cs="Times New Roman"/>
          <w:b/>
          <w:bCs/>
          <w:color w:val="000000"/>
          <w:sz w:val="24"/>
          <w:szCs w:val="24"/>
          <w:highlight w:val="none"/>
          <w:lang w:val="en-US" w:eastAsia="zh-CN"/>
        </w:rPr>
        <w:t>标评分标准 ：</w:t>
      </w: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225"/>
        <w:gridCol w:w="775"/>
        <w:gridCol w:w="5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b/>
                <w:sz w:val="18"/>
                <w:szCs w:val="18"/>
                <w:highlight w:val="none"/>
                <w:lang w:val="en-US" w:eastAsia="zh-CN"/>
              </w:rPr>
              <w:t>一</w:t>
            </w:r>
          </w:p>
        </w:tc>
        <w:tc>
          <w:tcPr>
            <w:tcW w:w="900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eastAsia="宋体" w:cs="宋体"/>
                <w:b/>
                <w:sz w:val="28"/>
                <w:szCs w:val="28"/>
                <w:highlight w:val="none"/>
                <w:lang w:val="en-US" w:eastAsia="zh-CN"/>
              </w:rPr>
              <w:t>技术标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内   容</w:t>
            </w:r>
          </w:p>
        </w:tc>
        <w:tc>
          <w:tcPr>
            <w:tcW w:w="77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标准分</w:t>
            </w:r>
          </w:p>
        </w:tc>
        <w:tc>
          <w:tcPr>
            <w:tcW w:w="5000"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1</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none"/>
                <w:lang w:val="en-US" w:eastAsia="zh-CN"/>
              </w:rPr>
            </w:pPr>
            <w:r>
              <w:rPr>
                <w:rFonts w:hint="default" w:ascii="Arial" w:hAnsi="Arial" w:eastAsia="宋体" w:cs="Arial"/>
                <w:i w:val="0"/>
                <w:iCs w:val="0"/>
                <w:color w:val="000000"/>
                <w:kern w:val="0"/>
                <w:sz w:val="22"/>
                <w:szCs w:val="22"/>
                <w:highlight w:val="none"/>
                <w:u w:val="none"/>
                <w:lang w:val="en-US" w:eastAsia="zh-CN" w:bidi="ar"/>
              </w:rPr>
              <w:t>40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numPr>
                <w:ilvl w:val="0"/>
                <w:numId w:val="11"/>
              </w:numPr>
              <w:suppressLineNumbers w:val="0"/>
              <w:jc w:val="left"/>
              <w:textAlignment w:val="top"/>
              <w:rPr>
                <w:rFonts w:hint="default" w:ascii="宋体" w:hAnsi="宋体" w:eastAsiaTheme="minorEastAsia"/>
                <w:bCs/>
                <w:szCs w:val="21"/>
                <w:highlight w:val="none"/>
                <w:lang w:val="en-US" w:eastAsia="zh-CN"/>
              </w:rPr>
            </w:pPr>
            <w:r>
              <w:rPr>
                <w:rStyle w:val="138"/>
                <w:highlight w:val="none"/>
                <w:lang w:val="en-US" w:eastAsia="zh-CN" w:bidi="ar"/>
              </w:rPr>
              <w:t>标书中技术方案优秀、</w:t>
            </w:r>
            <w:r>
              <w:rPr>
                <w:rStyle w:val="138"/>
                <w:rFonts w:hint="eastAsia"/>
                <w:highlight w:val="none"/>
                <w:lang w:val="en-US" w:eastAsia="zh-CN" w:bidi="ar"/>
              </w:rPr>
              <w:t>根据标书要求对各条项目进行详细描述</w:t>
            </w:r>
            <w:r>
              <w:rPr>
                <w:rStyle w:val="138"/>
                <w:highlight w:val="none"/>
                <w:lang w:val="en-US" w:eastAsia="zh-CN" w:bidi="ar"/>
              </w:rPr>
              <w:t>，</w:t>
            </w:r>
            <w:r>
              <w:rPr>
                <w:rStyle w:val="138"/>
                <w:rFonts w:hint="eastAsia"/>
                <w:highlight w:val="none"/>
                <w:lang w:val="en-US" w:eastAsia="zh-CN" w:bidi="ar"/>
              </w:rPr>
              <w:t>技术方案结合生产现场设计详细可行，</w:t>
            </w:r>
            <w:r>
              <w:rPr>
                <w:rStyle w:val="138"/>
                <w:highlight w:val="none"/>
                <w:lang w:val="en-US" w:eastAsia="zh-CN" w:bidi="ar"/>
              </w:rPr>
              <w:t>酌情得</w:t>
            </w:r>
            <w:r>
              <w:rPr>
                <w:rStyle w:val="185"/>
                <w:rFonts w:eastAsia="宋体"/>
                <w:highlight w:val="none"/>
                <w:lang w:val="en-US" w:eastAsia="zh-CN" w:bidi="ar"/>
              </w:rPr>
              <w:t>25-40</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2</w:t>
            </w:r>
            <w:r>
              <w:rPr>
                <w:rStyle w:val="138"/>
                <w:highlight w:val="none"/>
                <w:lang w:val="en-US" w:eastAsia="zh-CN" w:bidi="ar"/>
              </w:rPr>
              <w:t>、标书中技术方案可行、组织措施不详细，技术水平一般，</w:t>
            </w:r>
            <w:r>
              <w:rPr>
                <w:rStyle w:val="138"/>
                <w:rFonts w:hint="eastAsia"/>
                <w:highlight w:val="none"/>
                <w:lang w:val="en-US" w:eastAsia="zh-CN" w:bidi="ar"/>
              </w:rPr>
              <w:t>基本结合生产现场实际设计，</w:t>
            </w:r>
            <w:r>
              <w:rPr>
                <w:rStyle w:val="138"/>
                <w:highlight w:val="none"/>
                <w:lang w:val="en-US" w:eastAsia="zh-CN" w:bidi="ar"/>
              </w:rPr>
              <w:t>酌情得</w:t>
            </w:r>
            <w:r>
              <w:rPr>
                <w:rStyle w:val="185"/>
                <w:rFonts w:eastAsia="宋体"/>
                <w:highlight w:val="none"/>
                <w:lang w:val="en-US" w:eastAsia="zh-CN" w:bidi="ar"/>
              </w:rPr>
              <w:t>10-24</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3</w:t>
            </w:r>
            <w:r>
              <w:rPr>
                <w:rStyle w:val="138"/>
                <w:highlight w:val="none"/>
                <w:lang w:val="en-US" w:eastAsia="zh-CN" w:bidi="ar"/>
              </w:rPr>
              <w:t>、标书中无可行的技术方案及组织措施，</w:t>
            </w:r>
            <w:r>
              <w:rPr>
                <w:rStyle w:val="138"/>
                <w:rFonts w:hint="eastAsia"/>
                <w:highlight w:val="none"/>
                <w:lang w:val="en-US" w:eastAsia="zh-CN" w:bidi="ar"/>
              </w:rPr>
              <w:t>对项目整体情况了解分析不深入，</w:t>
            </w:r>
            <w:r>
              <w:rPr>
                <w:rStyle w:val="138"/>
                <w:highlight w:val="none"/>
                <w:lang w:val="en-US" w:eastAsia="zh-CN" w:bidi="ar"/>
              </w:rPr>
              <w:t>得</w:t>
            </w:r>
            <w:r>
              <w:rPr>
                <w:rStyle w:val="185"/>
                <w:rFonts w:eastAsia="宋体"/>
                <w:highlight w:val="none"/>
                <w:lang w:val="en-US" w:eastAsia="zh-CN" w:bidi="ar"/>
              </w:rPr>
              <w:t>0</w:t>
            </w:r>
            <w:r>
              <w:rPr>
                <w:rStyle w:val="138"/>
                <w:highlight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2</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业绩</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default" w:ascii="宋体" w:hAnsi="宋体" w:eastAsiaTheme="minorEastAsia"/>
                <w:bCs/>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投标人在</w:t>
            </w:r>
            <w:r>
              <w:rPr>
                <w:rStyle w:val="186"/>
                <w:rFonts w:eastAsia="宋体"/>
                <w:lang w:val="en-US" w:eastAsia="zh-CN" w:bidi="ar"/>
              </w:rPr>
              <w:t>2023</w:t>
            </w:r>
            <w:r>
              <w:rPr>
                <w:rStyle w:val="138"/>
                <w:lang w:val="en-US" w:eastAsia="zh-CN" w:bidi="ar"/>
              </w:rPr>
              <w:t>年</w:t>
            </w:r>
            <w:r>
              <w:rPr>
                <w:rStyle w:val="186"/>
                <w:rFonts w:eastAsia="宋体"/>
                <w:lang w:val="en-US" w:eastAsia="zh-CN" w:bidi="ar"/>
              </w:rPr>
              <w:t>1</w:t>
            </w:r>
            <w:r>
              <w:rPr>
                <w:rStyle w:val="138"/>
                <w:lang w:val="en-US" w:eastAsia="zh-CN" w:bidi="ar"/>
              </w:rPr>
              <w:t>月</w:t>
            </w:r>
            <w:r>
              <w:rPr>
                <w:rStyle w:val="186"/>
                <w:rFonts w:eastAsia="宋体"/>
                <w:lang w:val="en-US" w:eastAsia="zh-CN" w:bidi="ar"/>
              </w:rPr>
              <w:t>1</w:t>
            </w:r>
            <w:r>
              <w:rPr>
                <w:rStyle w:val="138"/>
                <w:lang w:val="en-US" w:eastAsia="zh-CN" w:bidi="ar"/>
              </w:rPr>
              <w:t>日以来</w:t>
            </w:r>
            <w:r>
              <w:rPr>
                <w:rStyle w:val="138"/>
                <w:rFonts w:hint="eastAsia"/>
                <w:lang w:val="en-US" w:eastAsia="zh-CN" w:bidi="ar"/>
              </w:rPr>
              <w:t>类似结构改造、成品设备的合同、交付使用或验收证明</w:t>
            </w:r>
            <w:r>
              <w:rPr>
                <w:rStyle w:val="138"/>
                <w:lang w:val="en-US" w:eastAsia="zh-CN" w:bidi="ar"/>
              </w:rPr>
              <w:t>，提供一份得</w:t>
            </w:r>
            <w:r>
              <w:rPr>
                <w:rStyle w:val="138"/>
                <w:rFonts w:hint="eastAsia"/>
                <w:lang w:val="en-US" w:eastAsia="zh-CN" w:bidi="ar"/>
              </w:rPr>
              <w:t>5</w:t>
            </w:r>
            <w:r>
              <w:rPr>
                <w:rStyle w:val="138"/>
                <w:lang w:val="en-US" w:eastAsia="zh-CN" w:bidi="ar"/>
              </w:rPr>
              <w:t>分，满分10分，</w:t>
            </w:r>
            <w:r>
              <w:rPr>
                <w:rStyle w:val="138"/>
                <w:rFonts w:hint="eastAsia"/>
                <w:lang w:val="en-US" w:eastAsia="zh-CN" w:bidi="ar"/>
              </w:rPr>
              <w:t>无法提供相应资料者</w:t>
            </w:r>
            <w:r>
              <w:rPr>
                <w:rStyle w:val="138"/>
                <w:lang w:val="en-US" w:eastAsia="zh-CN" w:bidi="ar"/>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3</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现场答疑</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2</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宋体"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85"/>
                <w:rFonts w:eastAsia="宋体"/>
                <w:lang w:val="en-US" w:eastAsia="zh-CN" w:bidi="ar"/>
              </w:rPr>
              <w:t>18-2</w:t>
            </w:r>
            <w:r>
              <w:rPr>
                <w:rStyle w:val="185"/>
                <w:rFonts w:hint="eastAsia" w:eastAsia="宋体"/>
                <w:lang w:val="en-US" w:eastAsia="zh-CN" w:bidi="ar"/>
              </w:rPr>
              <w:t>5</w:t>
            </w:r>
            <w:r>
              <w:rPr>
                <w:rStyle w:val="138"/>
                <w:lang w:val="en-US" w:eastAsia="zh-CN" w:bidi="ar"/>
              </w:rPr>
              <w:t>分、评价一般得10-17分；</w:t>
            </w:r>
            <w:r>
              <w:rPr>
                <w:rFonts w:hint="eastAsia" w:ascii="宋体" w:cs="宋体"/>
                <w:kern w:val="0"/>
                <w:szCs w:val="21"/>
              </w:rPr>
              <w:t>若此条缺项不得分</w:t>
            </w:r>
            <w:r>
              <w:rPr>
                <w:rFonts w:hint="eastAsia" w:ascii="宋体" w:cs="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4</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技术条款响应</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87"/>
                <w:rFonts w:eastAsia="宋体"/>
                <w:lang w:val="en-US" w:eastAsia="zh-CN" w:bidi="ar"/>
              </w:rPr>
              <w:t>1</w:t>
            </w:r>
            <w:r>
              <w:rPr>
                <w:rStyle w:val="187"/>
                <w:rFonts w:hint="eastAsia" w:eastAsia="宋体"/>
                <w:lang w:val="en-US" w:eastAsia="zh-CN" w:bidi="ar"/>
              </w:rPr>
              <w:t>5</w:t>
            </w:r>
            <w:r>
              <w:rPr>
                <w:rStyle w:val="138"/>
                <w:lang w:val="en-US" w:eastAsia="zh-CN" w:bidi="ar"/>
              </w:rPr>
              <w:t>分，每一条负偏离扣1分，最低</w:t>
            </w:r>
            <w:r>
              <w:rPr>
                <w:rStyle w:val="187"/>
                <w:rFonts w:eastAsia="宋体"/>
                <w:lang w:val="en-US" w:eastAsia="zh-CN" w:bidi="ar"/>
              </w:rPr>
              <w:t>0</w:t>
            </w:r>
            <w:r>
              <w:rPr>
                <w:rStyle w:val="138"/>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5</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4"/>
                <w:szCs w:val="24"/>
                <w:u w:val="none"/>
                <w:lang w:val="en-US" w:eastAsia="zh-CN" w:bidi="ar"/>
              </w:rPr>
              <w:t>售后服务</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eastAsia" w:ascii="宋体" w:hAnsi="宋体" w:eastAsia="宋体" w:cs="宋体"/>
                <w:i w:val="0"/>
                <w:iCs w:val="0"/>
                <w:color w:val="000000"/>
                <w:kern w:val="0"/>
                <w:sz w:val="24"/>
                <w:szCs w:val="24"/>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9825" w:type="dxa"/>
            <w:gridSpan w:val="4"/>
            <w:tcBorders>
              <w:top w:val="single" w:color="auto" w:sz="4" w:space="0"/>
              <w:left w:val="single" w:color="auto" w:sz="4" w:space="0"/>
              <w:bottom w:val="single" w:color="auto" w:sz="4" w:space="0"/>
              <w:right w:val="single" w:color="auto" w:sz="4" w:space="0"/>
            </w:tcBorders>
            <w:vAlign w:val="center"/>
          </w:tcPr>
          <w:p>
            <w:pPr>
              <w:tabs>
                <w:tab w:val="left" w:pos="7854"/>
              </w:tabs>
              <w:rPr>
                <w:rFonts w:hint="default" w:eastAsiaTheme="minorEastAsia"/>
                <w:szCs w:val="21"/>
                <w:highlight w:val="yellow"/>
                <w:lang w:val="en-US" w:eastAsia="zh-CN"/>
              </w:rPr>
            </w:pPr>
            <w:r>
              <w:rPr>
                <w:rFonts w:hint="eastAsia"/>
                <w:szCs w:val="21"/>
                <w:highlight w:val="none"/>
                <w:lang w:val="en-US" w:eastAsia="zh-CN"/>
              </w:rPr>
              <w:t>技术标得分≥70分，入围商务标。</w:t>
            </w:r>
          </w:p>
        </w:tc>
      </w:tr>
    </w:tbl>
    <w:p>
      <w:pPr>
        <w:rPr>
          <w:rFonts w:hint="eastAsia" w:ascii="宋体" w:hAnsi="宋体" w:eastAsia="宋体" w:cs="宋体"/>
          <w:sz w:val="18"/>
          <w:szCs w:val="18"/>
        </w:rPr>
      </w:pPr>
      <w:r>
        <w:rPr>
          <w:rFonts w:hint="eastAsia" w:ascii="宋体" w:hAnsi="宋体" w:eastAsia="宋体" w:cs="宋体"/>
          <w:sz w:val="18"/>
          <w:szCs w:val="18"/>
        </w:rPr>
        <w:br w:type="page"/>
      </w:r>
    </w:p>
    <w:p>
      <w:pPr>
        <w:pStyle w:val="12"/>
        <w:rPr>
          <w:rFonts w:hint="eastAsia"/>
        </w:rPr>
      </w:pP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二</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eastAsiaTheme="minorEastAsia"/>
                <w:bCs/>
                <w:lang w:val="en-US" w:eastAsia="zh-CN"/>
              </w:rPr>
            </w:pPr>
            <w:r>
              <w:rPr>
                <w:rFonts w:hint="eastAsia" w:ascii="宋体" w:hAnsi="宋体" w:eastAsia="宋体" w:cs="宋体"/>
                <w:b/>
                <w:sz w:val="28"/>
                <w:szCs w:val="28"/>
                <w:lang w:val="en-US" w:eastAsia="zh-CN"/>
              </w:rPr>
              <w:t>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 xml:space="preserve">评标基准价： </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1、评标基准价为所有合理有效的最终投标报价的最低价。</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2、有效的评标基准价得</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分；其他投标人的价格得分按下列公式计算：投标价格得分=</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×（评标基准价/投标报价）。</w:t>
            </w:r>
          </w:p>
          <w:p>
            <w:pPr>
              <w:spacing w:line="420" w:lineRule="exact"/>
              <w:rPr>
                <w:rFonts w:hint="eastAsia" w:ascii="宋体" w:hAnsi="宋体"/>
                <w:bCs/>
              </w:rPr>
            </w:pPr>
            <w:r>
              <w:rPr>
                <w:rFonts w:hint="eastAsia" w:ascii="宋体" w:hAnsi="宋体" w:eastAsia="宋体" w:cs="Times New Roman"/>
                <w:bCs/>
                <w:sz w:val="24"/>
                <w:szCs w:val="24"/>
              </w:rPr>
              <w:t>注：得分值取小数点后两位，不足一个百分点的，按照四舍五入法计算。</w:t>
            </w:r>
            <w:r>
              <w:rPr>
                <w:rFonts w:ascii="宋体" w:hAnsi="宋体" w:eastAsia="宋体" w:cs="Times New Roman"/>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三</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lang w:val="en-US" w:eastAsia="zh-CN"/>
              </w:rPr>
            </w:pPr>
            <w:r>
              <w:rPr>
                <w:rFonts w:hint="eastAsia" w:ascii="宋体" w:hAnsi="宋体" w:eastAsia="宋体" w:cs="宋体"/>
                <w:b/>
                <w:sz w:val="28"/>
                <w:szCs w:val="28"/>
                <w:lang w:val="en-US" w:eastAsia="zh-CN"/>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rPr>
            </w:pPr>
            <w:r>
              <w:rPr>
                <w:rFonts w:hint="eastAsia" w:ascii="宋体" w:hAnsi="Times New Roman" w:eastAsia="宋体" w:cs="Times New Roman"/>
                <w:b/>
                <w:bCs w:val="0"/>
                <w:sz w:val="24"/>
                <w:szCs w:val="24"/>
                <w:lang w:val="en-US" w:eastAsia="zh-CN"/>
              </w:rPr>
              <w:t>综合得分=技术分×40%＋商务标得分×60%</w:t>
            </w:r>
          </w:p>
        </w:tc>
      </w:tr>
    </w:tbl>
    <w:p>
      <w:pPr>
        <w:spacing w:line="360" w:lineRule="auto"/>
        <w:outlineLvl w:val="2"/>
        <w:rPr>
          <w:rFonts w:hint="default" w:ascii="Times New Roman" w:hAnsi="Times New Roman" w:eastAsia="宋体" w:cs="Times New Roman"/>
          <w:b/>
          <w:bCs/>
          <w:color w:val="000000"/>
          <w:sz w:val="24"/>
          <w:szCs w:val="24"/>
          <w:highlight w:val="none"/>
          <w:lang w:val="en-US" w:eastAsia="zh-CN"/>
        </w:rPr>
      </w:pPr>
    </w:p>
    <w:p>
      <w:pPr>
        <w:outlineLvl w:val="2"/>
        <w:rPr>
          <w:rFonts w:ascii="Times New Roman" w:hAnsi="Times New Roman" w:eastAsia="宋体" w:cs="Times New Roman"/>
          <w:b/>
          <w:bCs/>
          <w:color w:val="000000"/>
          <w:sz w:val="24"/>
          <w:szCs w:val="24"/>
        </w:rPr>
      </w:pPr>
    </w:p>
    <w:p/>
    <w:p>
      <w:pPr>
        <w:pStyle w:val="17"/>
        <w:outlineLvl w:val="2"/>
        <w:rPr>
          <w:rFonts w:hint="eastAsia" w:hAnsi="宋体" w:eastAsia="宋体" w:cs="宋体"/>
          <w:b/>
          <w:bCs/>
          <w:color w:val="000000"/>
          <w:sz w:val="24"/>
          <w:szCs w:val="24"/>
          <w:highlight w:val="none"/>
        </w:rPr>
      </w:pPr>
    </w:p>
    <w:p>
      <w:pPr>
        <w:pStyle w:val="17"/>
        <w:outlineLvl w:val="2"/>
        <w:rPr>
          <w:rFonts w:hint="eastAsia" w:hAnsi="宋体" w:eastAsia="宋体" w:cs="宋体"/>
          <w:b/>
          <w:bCs/>
          <w:color w:val="000000"/>
          <w:sz w:val="24"/>
          <w:szCs w:val="24"/>
          <w:highlight w:val="none"/>
        </w:rPr>
      </w:pPr>
    </w:p>
    <w:p>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pPr>
        <w:pStyle w:val="17"/>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pPr>
        <w:pStyle w:val="17"/>
        <w:rPr>
          <w:rFonts w:eastAsia="宋体"/>
          <w:highlight w:val="none"/>
        </w:rPr>
      </w:pP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3"/>
                    <a:stretch>
                      <a:fillRect/>
                    </a:stretch>
                  </pic:blipFill>
                  <pic:spPr>
                    <a:xfrm>
                      <a:off x="0" y="0"/>
                      <a:ext cx="5760085" cy="293337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4"/>
                    <a:stretch>
                      <a:fillRect/>
                    </a:stretch>
                  </pic:blipFill>
                  <pic:spPr>
                    <a:xfrm>
                      <a:off x="0" y="0"/>
                      <a:ext cx="5760085" cy="276670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5"/>
                    <a:stretch>
                      <a:fillRect/>
                    </a:stretch>
                  </pic:blipFill>
                  <pic:spPr>
                    <a:xfrm>
                      <a:off x="0" y="0"/>
                      <a:ext cx="5760085" cy="2870054"/>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6"/>
                    <a:stretch>
                      <a:fillRect/>
                    </a:stretch>
                  </pic:blipFill>
                  <pic:spPr>
                    <a:xfrm>
                      <a:off x="0" y="0"/>
                      <a:ext cx="5760085" cy="2853375"/>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pPr>
        <w:pStyle w:val="17"/>
        <w:rPr>
          <w:highlight w:val="none"/>
        </w:rPr>
      </w:pPr>
    </w:p>
    <w:p>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7"/>
                    <a:stretch>
                      <a:fillRect/>
                    </a:stretch>
                  </pic:blipFill>
                  <pic:spPr>
                    <a:xfrm>
                      <a:off x="0" y="0"/>
                      <a:ext cx="5760085" cy="2810122"/>
                    </a:xfrm>
                    <a:prstGeom prst="rect">
                      <a:avLst/>
                    </a:prstGeom>
                  </pic:spPr>
                </pic:pic>
              </a:graphicData>
            </a:graphic>
          </wp:inline>
        </w:drawing>
      </w:r>
    </w:p>
    <w:p>
      <w:pPr>
        <w:pStyle w:val="17"/>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8"/>
                    <a:stretch>
                      <a:fillRect/>
                    </a:stretch>
                  </pic:blipFill>
                  <pic:spPr>
                    <a:xfrm>
                      <a:off x="0" y="0"/>
                      <a:ext cx="5760085" cy="2820042"/>
                    </a:xfrm>
                    <a:prstGeom prst="rect">
                      <a:avLst/>
                    </a:prstGeom>
                  </pic:spPr>
                </pic:pic>
              </a:graphicData>
            </a:graphic>
          </wp:inline>
        </w:drawing>
      </w:r>
    </w:p>
    <w:p>
      <w:pPr>
        <w:pStyle w:val="17"/>
        <w:rPr>
          <w:highlight w:val="none"/>
        </w:rPr>
      </w:pP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pPr>
        <w:pStyle w:val="17"/>
        <w:rPr>
          <w:highlight w:val="none"/>
        </w:rPr>
      </w:pPr>
      <w:r>
        <w:rPr>
          <w:rFonts w:hint="eastAsia" w:hAnsi="宋体" w:eastAsia="宋体" w:cs="宋体"/>
          <w:b/>
          <w:bCs/>
          <w:color w:val="000000"/>
          <w:sz w:val="24"/>
          <w:szCs w:val="28"/>
          <w:highlight w:val="none"/>
        </w:rPr>
        <w:t>2.配套能力“供货类别”填“直管单位非生产招标 / 工艺设备 / 工艺设备”。</w:t>
      </w:r>
    </w:p>
    <w:p>
      <w:pPr>
        <w:pStyle w:val="17"/>
        <w:rPr>
          <w:highlight w:val="none"/>
        </w:rPr>
        <w:sectPr>
          <w:footerReference r:id="rId41" w:type="default"/>
          <w:pgSz w:w="11906" w:h="16838"/>
          <w:pgMar w:top="1588" w:right="1418" w:bottom="1134" w:left="1418" w:header="851" w:footer="992" w:gutter="0"/>
          <w:pgNumType w:fmt="decimal"/>
          <w:cols w:space="720" w:num="1"/>
          <w:titlePg/>
          <w:docGrid w:type="lines" w:linePitch="312" w:charSpace="0"/>
        </w:sectPr>
      </w:pPr>
    </w:p>
    <w:p>
      <w:pPr>
        <w:pStyle w:val="17"/>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9"/>
                    <a:stretch>
                      <a:fillRect/>
                    </a:stretch>
                  </pic:blipFill>
                  <pic:spPr>
                    <a:xfrm>
                      <a:off x="0" y="0"/>
                      <a:ext cx="5760085" cy="2269864"/>
                    </a:xfrm>
                    <a:prstGeom prst="rect">
                      <a:avLst/>
                    </a:prstGeom>
                  </pic:spPr>
                </pic:pic>
              </a:graphicData>
            </a:graphic>
          </wp:inline>
        </w:drawing>
      </w:r>
    </w:p>
    <w:p>
      <w:pPr>
        <w:rPr>
          <w:highlight w:val="none"/>
        </w:rPr>
      </w:pP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60"/>
                    <a:stretch>
                      <a:fillRect/>
                    </a:stretch>
                  </pic:blipFill>
                  <pic:spPr>
                    <a:xfrm>
                      <a:off x="0" y="0"/>
                      <a:ext cx="5760085" cy="2125673"/>
                    </a:xfrm>
                    <a:prstGeom prst="rect">
                      <a:avLst/>
                    </a:prstGeom>
                  </pic:spPr>
                </pic:pic>
              </a:graphicData>
            </a:graphic>
          </wp:inline>
        </w:drawing>
      </w:r>
    </w:p>
    <w:p>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pPr>
        <w:pStyle w:val="17"/>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61"/>
                    <a:stretch>
                      <a:fillRect/>
                    </a:stretch>
                  </pic:blipFill>
                  <pic:spPr>
                    <a:xfrm>
                      <a:off x="0" y="0"/>
                      <a:ext cx="5490210" cy="2669498"/>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2"/>
                    <a:stretch>
                      <a:fillRect/>
                    </a:stretch>
                  </pic:blipFill>
                  <pic:spPr>
                    <a:xfrm>
                      <a:off x="0" y="0"/>
                      <a:ext cx="5490210" cy="1992743"/>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3"/>
                    <a:stretch>
                      <a:fillRect/>
                    </a:stretch>
                  </pic:blipFill>
                  <pic:spPr>
                    <a:xfrm>
                      <a:off x="0" y="0"/>
                      <a:ext cx="5490210" cy="2544669"/>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4"/>
                    <a:stretch>
                      <a:fillRect/>
                    </a:stretch>
                  </pic:blipFill>
                  <pic:spPr>
                    <a:xfrm>
                      <a:off x="0" y="0"/>
                      <a:ext cx="5760085" cy="1956600"/>
                    </a:xfrm>
                    <a:prstGeom prst="rect">
                      <a:avLst/>
                    </a:prstGeom>
                  </pic:spPr>
                </pic:pic>
              </a:graphicData>
            </a:graphic>
          </wp:inline>
        </w:drawing>
      </w:r>
    </w:p>
    <w:p>
      <w:pPr>
        <w:pStyle w:val="17"/>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int="eastAsia"/>
          <w:highlight w:val="none"/>
          <w:lang w:val="en-US" w:eastAsia="zh-CN"/>
        </w:rPr>
      </w:pPr>
    </w:p>
    <w:sectPr>
      <w:headerReference r:id="rId43" w:type="first"/>
      <w:footerReference r:id="rId45" w:type="first"/>
      <w:headerReference r:id="rId42" w:type="default"/>
      <w:footerReference r:id="rId44"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rdia New">
    <w:altName w:val="Microsoft Sans Serif"/>
    <w:panose1 w:val="020B0304020202020204"/>
    <w:charset w:val="DE"/>
    <w:family w:val="swiss"/>
    <w:pitch w:val="default"/>
    <w:sig w:usb0="00000000" w:usb1="00000000" w:usb2="00000000" w:usb3="00000000" w:csb0="0001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60</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62</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63</w:t>
                    </w:r>
                    <w:r>
                      <w:fldChar w:fldCharType="end"/>
                    </w:r>
                  </w:p>
                </w:txbxContent>
              </v:textbox>
            </v:shape>
          </w:pict>
        </mc:Fallback>
      </mc:AlternateContent>
    </w:r>
    <w:r>
      <w:rPr>
        <w:rFonts w:ascii="Times New Roman" w:hAnsi="Times New Roman" w:eastAsia="Times New Roman" w:cs="Times New Roman"/>
        <w:spacing w:val="-2"/>
        <w:sz w:val="18"/>
        <w:szCs w:val="18"/>
      </w:rPr>
      <w:t>35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w:t>
                    </w:r>
                    <w:r>
                      <w:fldChar w:fldCharType="end"/>
                    </w:r>
                  </w:p>
                </w:txbxContent>
              </v:textbox>
            </v:shape>
          </w:pict>
        </mc:Fallback>
      </mc:AlternateContent>
    </w:r>
  </w:p>
  <w:p>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wbLAu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eMGywLgIAAFcEAAAOAAAAAAAAAAEAIAAAAB8BAABkcnMvZTJvRG9jLnhtbFBLBQYAAAAA&#10;BgAGAFkBAAC/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cRQMsAgAAVg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pJZopVPzy/dvl&#10;x6/Lz6/kddSntn6OsJ1FYGjemgZdM5x7HEbaTeFU/IIQgR/qnq/qiiYQHi/NJrNZCheHb9gAP3m8&#10;bp0P74RRJBoZdShfqyo7bX3oQoeQmE2bTSVlW0KpSZ3Rm+mb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5xFAy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dsktAgAAVg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LSWaKVT8/OP7&#10;+efj+dc3ch31qa2fIWxrERiad6ZB1wznHoeRdlM4Fb8gROCHuqeLuqIJhMdL08l0msLF4Rs2wE+e&#10;rlvnw3thFIlGRh3K16rKjhsfutAhJGbTZl1J2ZZQalJn9ObqO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mzdsk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5"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5926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JxHS0s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HwscsAgAAVg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EfCxywCAABW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MsQwtAgAAVg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TKI+rfUzhD1YBIburenQNcO5x2Gk3VVOxS8IEfih7vGirugC4fHSdDKd5nBx+IYN8LPH&#10;69b58E4YRaJRUIfyJVXZYeNDHzqExGzarBspUwmlJm1Br69e5+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jMsQw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8DFSEsAgAAVg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lGimUPHL92+X&#10;H78uP7+SadSntn6OsJ1FYGjemgZdM5x7HEbaTeFU/IIQgR/qnq/qiiYQHi/NJrNZCheHb9gAP3m8&#10;bp0P74RRJBoZdShfqyo7bX3oQoeQmE2bTSVlW0KpSZ3Rm+nr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wMVIS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233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Tstvc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Tstvc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12" w:space="9"/>
      </w:pBdr>
      <w:jc w:val="both"/>
    </w:pPr>
    <w:r>
      <w:drawing>
        <wp:inline distT="0" distB="0" distL="114300" distR="114300">
          <wp:extent cx="142875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r>
      <w:rPr>
        <w:rFonts w:hint="eastAsia" w:ascii="黑体" w:eastAsia="黑体" w:cs="黑体"/>
        <w:sz w:val="24"/>
        <w:szCs w:val="24"/>
      </w:rPr>
      <w:t>成套货物</w:t>
    </w:r>
    <w:r>
      <w:rPr>
        <w:rFonts w:ascii="黑体" w:eastAsia="黑体" w:cs="黑体"/>
        <w:sz w:val="24"/>
        <w:szCs w:val="24"/>
      </w:rPr>
      <w:t>/</w:t>
    </w:r>
    <w:r>
      <w:rPr>
        <w:rFonts w:hint="eastAsia" w:ascii="黑体" w:eastAsia="黑体" w:cs="黑体"/>
        <w:sz w:val="24"/>
        <w:szCs w:val="24"/>
      </w:rPr>
      <w:t>生产线招标文件技术标书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BF7F6E2F"/>
    <w:multiLevelType w:val="singleLevel"/>
    <w:tmpl w:val="BF7F6E2F"/>
    <w:lvl w:ilvl="0" w:tentative="0">
      <w:start w:val="1"/>
      <w:numFmt w:val="decimal"/>
      <w:suff w:val="nothing"/>
      <w:lvlText w:val="%1、"/>
      <w:lvlJc w:val="left"/>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5">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6">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7">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A612DE2"/>
    <w:multiLevelType w:val="singleLevel"/>
    <w:tmpl w:val="7A612DE2"/>
    <w:lvl w:ilvl="0" w:tentative="0">
      <w:start w:val="2"/>
      <w:numFmt w:val="decimal"/>
      <w:lvlText w:val="%1."/>
      <w:lvlJc w:val="left"/>
      <w:pPr>
        <w:tabs>
          <w:tab w:val="left" w:pos="312"/>
        </w:tabs>
      </w:pPr>
    </w:lvl>
  </w:abstractNum>
  <w:abstractNum w:abstractNumId="10">
    <w:nsid w:val="7E9713E7"/>
    <w:multiLevelType w:val="singleLevel"/>
    <w:tmpl w:val="7E9713E7"/>
    <w:lvl w:ilvl="0" w:tentative="0">
      <w:start w:val="4"/>
      <w:numFmt w:val="chineseCounting"/>
      <w:suff w:val="space"/>
      <w:lvlText w:val="第%1部分"/>
      <w:lvlJc w:val="left"/>
      <w:rPr>
        <w:rFonts w:hint="eastAsia"/>
      </w:rPr>
    </w:lvl>
  </w:abstractNum>
  <w:num w:numId="1">
    <w:abstractNumId w:val="8"/>
  </w:num>
  <w:num w:numId="2">
    <w:abstractNumId w:val="0"/>
  </w:num>
  <w:num w:numId="3">
    <w:abstractNumId w:val="9"/>
  </w:num>
  <w:num w:numId="4">
    <w:abstractNumId w:val="5"/>
  </w:num>
  <w:num w:numId="5">
    <w:abstractNumId w:val="3"/>
  </w:num>
  <w:num w:numId="6">
    <w:abstractNumId w:val="7"/>
  </w:num>
  <w:num w:numId="7">
    <w:abstractNumId w:val="2"/>
  </w:num>
  <w:num w:numId="8">
    <w:abstractNumId w:val="6"/>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547A000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2F6C4C"/>
    <w:rsid w:val="003A4540"/>
    <w:rsid w:val="003B4D7D"/>
    <w:rsid w:val="003D6656"/>
    <w:rsid w:val="003E0AB3"/>
    <w:rsid w:val="00401C42"/>
    <w:rsid w:val="004076DE"/>
    <w:rsid w:val="00423213"/>
    <w:rsid w:val="00460AFB"/>
    <w:rsid w:val="00470130"/>
    <w:rsid w:val="00483B0A"/>
    <w:rsid w:val="004B5126"/>
    <w:rsid w:val="004F7838"/>
    <w:rsid w:val="00503391"/>
    <w:rsid w:val="00552960"/>
    <w:rsid w:val="0056018A"/>
    <w:rsid w:val="00567344"/>
    <w:rsid w:val="005829DC"/>
    <w:rsid w:val="005C0B4E"/>
    <w:rsid w:val="005C421F"/>
    <w:rsid w:val="005F16F0"/>
    <w:rsid w:val="0062689F"/>
    <w:rsid w:val="0065185D"/>
    <w:rsid w:val="00680629"/>
    <w:rsid w:val="00686C52"/>
    <w:rsid w:val="006F1414"/>
    <w:rsid w:val="007432BF"/>
    <w:rsid w:val="007525BF"/>
    <w:rsid w:val="0075280E"/>
    <w:rsid w:val="007800DC"/>
    <w:rsid w:val="007838AA"/>
    <w:rsid w:val="00783D5E"/>
    <w:rsid w:val="00785FD6"/>
    <w:rsid w:val="007B212D"/>
    <w:rsid w:val="00806A61"/>
    <w:rsid w:val="00824BFD"/>
    <w:rsid w:val="008453B3"/>
    <w:rsid w:val="00845824"/>
    <w:rsid w:val="008D3B56"/>
    <w:rsid w:val="008D5CEF"/>
    <w:rsid w:val="009360F9"/>
    <w:rsid w:val="00964F00"/>
    <w:rsid w:val="009B511E"/>
    <w:rsid w:val="009E0F5E"/>
    <w:rsid w:val="00A21EB2"/>
    <w:rsid w:val="00A31561"/>
    <w:rsid w:val="00A54E95"/>
    <w:rsid w:val="00A80564"/>
    <w:rsid w:val="00A960B2"/>
    <w:rsid w:val="00AD7338"/>
    <w:rsid w:val="00AE6633"/>
    <w:rsid w:val="00B01FF1"/>
    <w:rsid w:val="00B426C4"/>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94578"/>
    <w:rsid w:val="00DB5225"/>
    <w:rsid w:val="00DD1E5E"/>
    <w:rsid w:val="00DE6417"/>
    <w:rsid w:val="00E16182"/>
    <w:rsid w:val="00E1627A"/>
    <w:rsid w:val="00E34C35"/>
    <w:rsid w:val="00E64BF7"/>
    <w:rsid w:val="00E650A8"/>
    <w:rsid w:val="00E878B4"/>
    <w:rsid w:val="00EA52E2"/>
    <w:rsid w:val="00EB3D00"/>
    <w:rsid w:val="00F71720"/>
    <w:rsid w:val="00FE040F"/>
    <w:rsid w:val="00FE42B3"/>
    <w:rsid w:val="014832F2"/>
    <w:rsid w:val="014C6B51"/>
    <w:rsid w:val="014D51C1"/>
    <w:rsid w:val="01714809"/>
    <w:rsid w:val="0179546C"/>
    <w:rsid w:val="01C52478"/>
    <w:rsid w:val="027408EE"/>
    <w:rsid w:val="02963F39"/>
    <w:rsid w:val="02B3095A"/>
    <w:rsid w:val="02B50726"/>
    <w:rsid w:val="02BA7274"/>
    <w:rsid w:val="03251978"/>
    <w:rsid w:val="0325718A"/>
    <w:rsid w:val="03A04F32"/>
    <w:rsid w:val="042921B6"/>
    <w:rsid w:val="043342B8"/>
    <w:rsid w:val="043B72BB"/>
    <w:rsid w:val="04461EC1"/>
    <w:rsid w:val="04504B3F"/>
    <w:rsid w:val="04510922"/>
    <w:rsid w:val="046B5540"/>
    <w:rsid w:val="04786935"/>
    <w:rsid w:val="049D18BB"/>
    <w:rsid w:val="04AD02B8"/>
    <w:rsid w:val="04DE51C8"/>
    <w:rsid w:val="04DF17D4"/>
    <w:rsid w:val="04EE7F1F"/>
    <w:rsid w:val="05355B4E"/>
    <w:rsid w:val="05412745"/>
    <w:rsid w:val="05491761"/>
    <w:rsid w:val="05A351AD"/>
    <w:rsid w:val="05F257ED"/>
    <w:rsid w:val="05F9748A"/>
    <w:rsid w:val="06266F78"/>
    <w:rsid w:val="063E7B7A"/>
    <w:rsid w:val="06582413"/>
    <w:rsid w:val="06682E69"/>
    <w:rsid w:val="066A28A8"/>
    <w:rsid w:val="067E33B8"/>
    <w:rsid w:val="06B96433"/>
    <w:rsid w:val="06E82FCB"/>
    <w:rsid w:val="06F34B95"/>
    <w:rsid w:val="07426476"/>
    <w:rsid w:val="07571DAC"/>
    <w:rsid w:val="07612C2A"/>
    <w:rsid w:val="077C18EB"/>
    <w:rsid w:val="07867620"/>
    <w:rsid w:val="08916B94"/>
    <w:rsid w:val="089D4136"/>
    <w:rsid w:val="08D5567E"/>
    <w:rsid w:val="08DD171B"/>
    <w:rsid w:val="08E64121"/>
    <w:rsid w:val="09097B66"/>
    <w:rsid w:val="090F1795"/>
    <w:rsid w:val="0942017F"/>
    <w:rsid w:val="0968268E"/>
    <w:rsid w:val="09BA1FBB"/>
    <w:rsid w:val="09CB139F"/>
    <w:rsid w:val="0A0106F5"/>
    <w:rsid w:val="0A112AB7"/>
    <w:rsid w:val="0A4E5482"/>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807235"/>
    <w:rsid w:val="0D9308F8"/>
    <w:rsid w:val="0DE76C3D"/>
    <w:rsid w:val="0E1A1D85"/>
    <w:rsid w:val="0E1B0427"/>
    <w:rsid w:val="0E303356"/>
    <w:rsid w:val="0E750568"/>
    <w:rsid w:val="0E9C3C97"/>
    <w:rsid w:val="0F2D7A80"/>
    <w:rsid w:val="0F4277E5"/>
    <w:rsid w:val="0F930041"/>
    <w:rsid w:val="0FA75561"/>
    <w:rsid w:val="0FB83603"/>
    <w:rsid w:val="0FCA77F1"/>
    <w:rsid w:val="0FCD5DCC"/>
    <w:rsid w:val="10043197"/>
    <w:rsid w:val="10270545"/>
    <w:rsid w:val="103409DF"/>
    <w:rsid w:val="104B4477"/>
    <w:rsid w:val="108A1D4B"/>
    <w:rsid w:val="10A10111"/>
    <w:rsid w:val="10BE093E"/>
    <w:rsid w:val="10E20BD8"/>
    <w:rsid w:val="111B0FE9"/>
    <w:rsid w:val="112C77F4"/>
    <w:rsid w:val="113440E3"/>
    <w:rsid w:val="114755AB"/>
    <w:rsid w:val="115F67A8"/>
    <w:rsid w:val="119A7465"/>
    <w:rsid w:val="11C07DA5"/>
    <w:rsid w:val="11C2491E"/>
    <w:rsid w:val="11F36B75"/>
    <w:rsid w:val="12491386"/>
    <w:rsid w:val="12E60579"/>
    <w:rsid w:val="12EB0F02"/>
    <w:rsid w:val="130D1D87"/>
    <w:rsid w:val="13695B36"/>
    <w:rsid w:val="1372609F"/>
    <w:rsid w:val="13D03611"/>
    <w:rsid w:val="13D73572"/>
    <w:rsid w:val="14504752"/>
    <w:rsid w:val="145A6A37"/>
    <w:rsid w:val="1467440F"/>
    <w:rsid w:val="14D7277E"/>
    <w:rsid w:val="15400323"/>
    <w:rsid w:val="15433A9B"/>
    <w:rsid w:val="15BC31A1"/>
    <w:rsid w:val="15FC2F04"/>
    <w:rsid w:val="16181FAC"/>
    <w:rsid w:val="168756A0"/>
    <w:rsid w:val="16F94849"/>
    <w:rsid w:val="17045E51"/>
    <w:rsid w:val="172011D4"/>
    <w:rsid w:val="17252C3B"/>
    <w:rsid w:val="17312619"/>
    <w:rsid w:val="173C25C7"/>
    <w:rsid w:val="173F0A2E"/>
    <w:rsid w:val="17770BC2"/>
    <w:rsid w:val="17860E2F"/>
    <w:rsid w:val="17A119AA"/>
    <w:rsid w:val="180E4708"/>
    <w:rsid w:val="18586F2B"/>
    <w:rsid w:val="19087FDA"/>
    <w:rsid w:val="19A766B9"/>
    <w:rsid w:val="19CE76BA"/>
    <w:rsid w:val="19F26070"/>
    <w:rsid w:val="19F97C8B"/>
    <w:rsid w:val="1A1523CE"/>
    <w:rsid w:val="1AA44EB0"/>
    <w:rsid w:val="1AA730BD"/>
    <w:rsid w:val="1ADF38C8"/>
    <w:rsid w:val="1B214D48"/>
    <w:rsid w:val="1B2B1506"/>
    <w:rsid w:val="1B333D5D"/>
    <w:rsid w:val="1B4D1AE3"/>
    <w:rsid w:val="1B4F7512"/>
    <w:rsid w:val="1B587618"/>
    <w:rsid w:val="1B5F19C7"/>
    <w:rsid w:val="1B612DA1"/>
    <w:rsid w:val="1B8C2514"/>
    <w:rsid w:val="1BF367A5"/>
    <w:rsid w:val="1C1C709B"/>
    <w:rsid w:val="1C400DBE"/>
    <w:rsid w:val="1C47643B"/>
    <w:rsid w:val="1C4F6795"/>
    <w:rsid w:val="1C9F6814"/>
    <w:rsid w:val="1CE7377A"/>
    <w:rsid w:val="1D5C514E"/>
    <w:rsid w:val="1D865D14"/>
    <w:rsid w:val="1D8705EC"/>
    <w:rsid w:val="1DEC0E7D"/>
    <w:rsid w:val="1DF20628"/>
    <w:rsid w:val="1DF63B37"/>
    <w:rsid w:val="1E43150B"/>
    <w:rsid w:val="1EA93E80"/>
    <w:rsid w:val="1ECE150A"/>
    <w:rsid w:val="1ED33FB6"/>
    <w:rsid w:val="1EE81332"/>
    <w:rsid w:val="1F1C3BAF"/>
    <w:rsid w:val="1F32415A"/>
    <w:rsid w:val="1F542F9A"/>
    <w:rsid w:val="1F702632"/>
    <w:rsid w:val="1F7E2174"/>
    <w:rsid w:val="1FB64E98"/>
    <w:rsid w:val="1FEA7809"/>
    <w:rsid w:val="20062169"/>
    <w:rsid w:val="20107567"/>
    <w:rsid w:val="20605D1D"/>
    <w:rsid w:val="20AB56C6"/>
    <w:rsid w:val="21093CBF"/>
    <w:rsid w:val="21547789"/>
    <w:rsid w:val="2176507C"/>
    <w:rsid w:val="21A1039B"/>
    <w:rsid w:val="21AE2AB8"/>
    <w:rsid w:val="21BE35AF"/>
    <w:rsid w:val="21C11174"/>
    <w:rsid w:val="22113368"/>
    <w:rsid w:val="22244B28"/>
    <w:rsid w:val="22467FD4"/>
    <w:rsid w:val="229451FD"/>
    <w:rsid w:val="22A12DB6"/>
    <w:rsid w:val="22AE7FBA"/>
    <w:rsid w:val="236356D1"/>
    <w:rsid w:val="23A91C83"/>
    <w:rsid w:val="23C962E8"/>
    <w:rsid w:val="241E7B2F"/>
    <w:rsid w:val="246D2675"/>
    <w:rsid w:val="247E4FED"/>
    <w:rsid w:val="24AD78E0"/>
    <w:rsid w:val="24B30BE8"/>
    <w:rsid w:val="24E34060"/>
    <w:rsid w:val="253A0491"/>
    <w:rsid w:val="254E0478"/>
    <w:rsid w:val="257D2ECD"/>
    <w:rsid w:val="25B14925"/>
    <w:rsid w:val="25E036B2"/>
    <w:rsid w:val="25E9082A"/>
    <w:rsid w:val="25F42473"/>
    <w:rsid w:val="269C17B8"/>
    <w:rsid w:val="26AF2D79"/>
    <w:rsid w:val="26B34B91"/>
    <w:rsid w:val="270075A9"/>
    <w:rsid w:val="270D66E8"/>
    <w:rsid w:val="27514612"/>
    <w:rsid w:val="278B0DAB"/>
    <w:rsid w:val="278D3850"/>
    <w:rsid w:val="279C6B0E"/>
    <w:rsid w:val="27A64735"/>
    <w:rsid w:val="27CC4DF2"/>
    <w:rsid w:val="280D64D7"/>
    <w:rsid w:val="281864F2"/>
    <w:rsid w:val="286903EF"/>
    <w:rsid w:val="287F5DD3"/>
    <w:rsid w:val="288047CB"/>
    <w:rsid w:val="289E62FA"/>
    <w:rsid w:val="28FD6E90"/>
    <w:rsid w:val="291E2CA6"/>
    <w:rsid w:val="29331862"/>
    <w:rsid w:val="29622B06"/>
    <w:rsid w:val="297B5976"/>
    <w:rsid w:val="297D349C"/>
    <w:rsid w:val="299741EC"/>
    <w:rsid w:val="299E147F"/>
    <w:rsid w:val="29BD6726"/>
    <w:rsid w:val="29C32A87"/>
    <w:rsid w:val="29CF26DC"/>
    <w:rsid w:val="2A1C5DA0"/>
    <w:rsid w:val="2A200D39"/>
    <w:rsid w:val="2A507EFF"/>
    <w:rsid w:val="2A7C0D61"/>
    <w:rsid w:val="2ADC05A4"/>
    <w:rsid w:val="2AEF2177"/>
    <w:rsid w:val="2B161149"/>
    <w:rsid w:val="2B1B2F6C"/>
    <w:rsid w:val="2B391645"/>
    <w:rsid w:val="2B6F0D7F"/>
    <w:rsid w:val="2B844FB6"/>
    <w:rsid w:val="2B8716BD"/>
    <w:rsid w:val="2B8A1EA0"/>
    <w:rsid w:val="2B8B76FF"/>
    <w:rsid w:val="2BD5034F"/>
    <w:rsid w:val="2CDF446E"/>
    <w:rsid w:val="2D025012"/>
    <w:rsid w:val="2D4178F0"/>
    <w:rsid w:val="2DAE631A"/>
    <w:rsid w:val="2DD877E0"/>
    <w:rsid w:val="2DE616C9"/>
    <w:rsid w:val="2DFC2451"/>
    <w:rsid w:val="2E3422F8"/>
    <w:rsid w:val="2E607565"/>
    <w:rsid w:val="2E6E566D"/>
    <w:rsid w:val="2E7F188E"/>
    <w:rsid w:val="2EBC0905"/>
    <w:rsid w:val="2EC73739"/>
    <w:rsid w:val="2EFB1B0E"/>
    <w:rsid w:val="2F4D56BE"/>
    <w:rsid w:val="2F5C684F"/>
    <w:rsid w:val="2F63756E"/>
    <w:rsid w:val="2F6A0BF4"/>
    <w:rsid w:val="2F77098D"/>
    <w:rsid w:val="2FEC3129"/>
    <w:rsid w:val="303D3985"/>
    <w:rsid w:val="306A6644"/>
    <w:rsid w:val="30717AD3"/>
    <w:rsid w:val="307610EA"/>
    <w:rsid w:val="307776D1"/>
    <w:rsid w:val="30862574"/>
    <w:rsid w:val="30B631E1"/>
    <w:rsid w:val="30BD737C"/>
    <w:rsid w:val="30DF2A6F"/>
    <w:rsid w:val="30E860A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5B2774"/>
    <w:rsid w:val="335F1E64"/>
    <w:rsid w:val="33A3397D"/>
    <w:rsid w:val="33A4642E"/>
    <w:rsid w:val="33D4039C"/>
    <w:rsid w:val="33D47E05"/>
    <w:rsid w:val="33D65FD5"/>
    <w:rsid w:val="33DE547F"/>
    <w:rsid w:val="33E505BB"/>
    <w:rsid w:val="3413677D"/>
    <w:rsid w:val="342B544B"/>
    <w:rsid w:val="345E036E"/>
    <w:rsid w:val="34C47852"/>
    <w:rsid w:val="34D66F92"/>
    <w:rsid w:val="34DE1E4F"/>
    <w:rsid w:val="34F07DB1"/>
    <w:rsid w:val="35092435"/>
    <w:rsid w:val="359009FB"/>
    <w:rsid w:val="35D32111"/>
    <w:rsid w:val="35D354B8"/>
    <w:rsid w:val="35D4025C"/>
    <w:rsid w:val="362666BC"/>
    <w:rsid w:val="368A6B11"/>
    <w:rsid w:val="37085B1F"/>
    <w:rsid w:val="372E04CB"/>
    <w:rsid w:val="378B76CC"/>
    <w:rsid w:val="37CA01F4"/>
    <w:rsid w:val="381274A5"/>
    <w:rsid w:val="38206BF2"/>
    <w:rsid w:val="38E070F2"/>
    <w:rsid w:val="390D33AB"/>
    <w:rsid w:val="391E6D06"/>
    <w:rsid w:val="3A074847"/>
    <w:rsid w:val="3A685AA2"/>
    <w:rsid w:val="3A830B2E"/>
    <w:rsid w:val="3A9F2A6E"/>
    <w:rsid w:val="3AA90FE6"/>
    <w:rsid w:val="3AA9318F"/>
    <w:rsid w:val="3AB62DA0"/>
    <w:rsid w:val="3ACA1B91"/>
    <w:rsid w:val="3B0D21A6"/>
    <w:rsid w:val="3B451BFD"/>
    <w:rsid w:val="3B69577B"/>
    <w:rsid w:val="3B702D85"/>
    <w:rsid w:val="3B7D3FD5"/>
    <w:rsid w:val="3B823DDF"/>
    <w:rsid w:val="3BC431AC"/>
    <w:rsid w:val="3BD827B4"/>
    <w:rsid w:val="3C237ED3"/>
    <w:rsid w:val="3C460D90"/>
    <w:rsid w:val="3C4D2D59"/>
    <w:rsid w:val="3CAA596A"/>
    <w:rsid w:val="3CAF1D22"/>
    <w:rsid w:val="3CB1587B"/>
    <w:rsid w:val="3CB735F2"/>
    <w:rsid w:val="3CCD42E3"/>
    <w:rsid w:val="3CF84DD4"/>
    <w:rsid w:val="3D037D04"/>
    <w:rsid w:val="3D186684"/>
    <w:rsid w:val="3D363C36"/>
    <w:rsid w:val="3D6A1B31"/>
    <w:rsid w:val="3D8B2178"/>
    <w:rsid w:val="3DB34909"/>
    <w:rsid w:val="3DD115F5"/>
    <w:rsid w:val="3DE435F0"/>
    <w:rsid w:val="3DE5122C"/>
    <w:rsid w:val="3DF37E53"/>
    <w:rsid w:val="3EC314F9"/>
    <w:rsid w:val="3ED26DE9"/>
    <w:rsid w:val="3EED17D0"/>
    <w:rsid w:val="3F0C0304"/>
    <w:rsid w:val="3F774839"/>
    <w:rsid w:val="3F7D3D9E"/>
    <w:rsid w:val="3F9410E8"/>
    <w:rsid w:val="3FEC147E"/>
    <w:rsid w:val="40376375"/>
    <w:rsid w:val="412732B7"/>
    <w:rsid w:val="4127791F"/>
    <w:rsid w:val="41281794"/>
    <w:rsid w:val="413C1FDF"/>
    <w:rsid w:val="41806A69"/>
    <w:rsid w:val="41B0259C"/>
    <w:rsid w:val="41BC6F1C"/>
    <w:rsid w:val="41C061C4"/>
    <w:rsid w:val="41EF2363"/>
    <w:rsid w:val="41F77860"/>
    <w:rsid w:val="424A4B98"/>
    <w:rsid w:val="42581D3A"/>
    <w:rsid w:val="42ED2EA4"/>
    <w:rsid w:val="42F6649D"/>
    <w:rsid w:val="42FE0080"/>
    <w:rsid w:val="43315D2E"/>
    <w:rsid w:val="43670C99"/>
    <w:rsid w:val="43824A1C"/>
    <w:rsid w:val="43AE09CA"/>
    <w:rsid w:val="43B1743B"/>
    <w:rsid w:val="43D110E1"/>
    <w:rsid w:val="43D61CCF"/>
    <w:rsid w:val="43DF072A"/>
    <w:rsid w:val="43E873C9"/>
    <w:rsid w:val="44905B1F"/>
    <w:rsid w:val="45316885"/>
    <w:rsid w:val="45326A50"/>
    <w:rsid w:val="45334280"/>
    <w:rsid w:val="454E56C4"/>
    <w:rsid w:val="458464CB"/>
    <w:rsid w:val="45A95EE9"/>
    <w:rsid w:val="45FB0F21"/>
    <w:rsid w:val="46167166"/>
    <w:rsid w:val="46255415"/>
    <w:rsid w:val="4636719A"/>
    <w:rsid w:val="46380A1F"/>
    <w:rsid w:val="46BF3973"/>
    <w:rsid w:val="4714591E"/>
    <w:rsid w:val="47200EE3"/>
    <w:rsid w:val="47435AC2"/>
    <w:rsid w:val="47544B78"/>
    <w:rsid w:val="47587AF7"/>
    <w:rsid w:val="476B0980"/>
    <w:rsid w:val="47745A86"/>
    <w:rsid w:val="47E239AC"/>
    <w:rsid w:val="480F4B73"/>
    <w:rsid w:val="487974BD"/>
    <w:rsid w:val="48895562"/>
    <w:rsid w:val="48DB38E3"/>
    <w:rsid w:val="49001B5E"/>
    <w:rsid w:val="49376DB0"/>
    <w:rsid w:val="49804BB7"/>
    <w:rsid w:val="49826DCB"/>
    <w:rsid w:val="499013E7"/>
    <w:rsid w:val="49C8088A"/>
    <w:rsid w:val="4A0F6D68"/>
    <w:rsid w:val="4A301C93"/>
    <w:rsid w:val="4A3302AB"/>
    <w:rsid w:val="4A4060F4"/>
    <w:rsid w:val="4A572A17"/>
    <w:rsid w:val="4A6F2535"/>
    <w:rsid w:val="4AC85D49"/>
    <w:rsid w:val="4AE308A9"/>
    <w:rsid w:val="4B117A90"/>
    <w:rsid w:val="4B260F2D"/>
    <w:rsid w:val="4B9A1456"/>
    <w:rsid w:val="4BA32C82"/>
    <w:rsid w:val="4BE70627"/>
    <w:rsid w:val="4BFC24EE"/>
    <w:rsid w:val="4C0A5AE1"/>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DA4744"/>
    <w:rsid w:val="4F0170F3"/>
    <w:rsid w:val="4F08773C"/>
    <w:rsid w:val="4F31409F"/>
    <w:rsid w:val="4F576D80"/>
    <w:rsid w:val="4F5E670E"/>
    <w:rsid w:val="4F846A83"/>
    <w:rsid w:val="4F883E6C"/>
    <w:rsid w:val="50070E2C"/>
    <w:rsid w:val="501112F3"/>
    <w:rsid w:val="504B57F2"/>
    <w:rsid w:val="50850D04"/>
    <w:rsid w:val="50C5433A"/>
    <w:rsid w:val="50C62BC7"/>
    <w:rsid w:val="50D3475E"/>
    <w:rsid w:val="50F72A66"/>
    <w:rsid w:val="5123368C"/>
    <w:rsid w:val="5130747C"/>
    <w:rsid w:val="51417051"/>
    <w:rsid w:val="515C765A"/>
    <w:rsid w:val="51905BB3"/>
    <w:rsid w:val="51946FCB"/>
    <w:rsid w:val="51AC406F"/>
    <w:rsid w:val="51DD796B"/>
    <w:rsid w:val="51DF373B"/>
    <w:rsid w:val="52846D9A"/>
    <w:rsid w:val="52BC4786"/>
    <w:rsid w:val="52C96FAF"/>
    <w:rsid w:val="52EF4CB5"/>
    <w:rsid w:val="52F959F0"/>
    <w:rsid w:val="5302488E"/>
    <w:rsid w:val="53136173"/>
    <w:rsid w:val="53163E96"/>
    <w:rsid w:val="534B12B7"/>
    <w:rsid w:val="539442AF"/>
    <w:rsid w:val="539A4AC7"/>
    <w:rsid w:val="53D61877"/>
    <w:rsid w:val="542631B6"/>
    <w:rsid w:val="542B3971"/>
    <w:rsid w:val="543D6020"/>
    <w:rsid w:val="5447483C"/>
    <w:rsid w:val="547A000A"/>
    <w:rsid w:val="54862A07"/>
    <w:rsid w:val="54942CAE"/>
    <w:rsid w:val="54A61722"/>
    <w:rsid w:val="54B0031A"/>
    <w:rsid w:val="54B31FAF"/>
    <w:rsid w:val="54D44008"/>
    <w:rsid w:val="54FB10D7"/>
    <w:rsid w:val="54FD46FE"/>
    <w:rsid w:val="55326D63"/>
    <w:rsid w:val="555413F3"/>
    <w:rsid w:val="555D1A10"/>
    <w:rsid w:val="55C300FC"/>
    <w:rsid w:val="56AC4A78"/>
    <w:rsid w:val="56C2011A"/>
    <w:rsid w:val="56CB4F97"/>
    <w:rsid w:val="56DB16B9"/>
    <w:rsid w:val="574D00A2"/>
    <w:rsid w:val="5778511F"/>
    <w:rsid w:val="577A3463"/>
    <w:rsid w:val="579F27B0"/>
    <w:rsid w:val="57AA4E5A"/>
    <w:rsid w:val="57AA72A2"/>
    <w:rsid w:val="57F967AD"/>
    <w:rsid w:val="58052975"/>
    <w:rsid w:val="58063909"/>
    <w:rsid w:val="580F5357"/>
    <w:rsid w:val="583D3C73"/>
    <w:rsid w:val="584D1A65"/>
    <w:rsid w:val="584F5C44"/>
    <w:rsid w:val="58E525CA"/>
    <w:rsid w:val="58EE7372"/>
    <w:rsid w:val="59227E09"/>
    <w:rsid w:val="593D045A"/>
    <w:rsid w:val="5960739E"/>
    <w:rsid w:val="5973556C"/>
    <w:rsid w:val="59896D0A"/>
    <w:rsid w:val="59B72684"/>
    <w:rsid w:val="5A7140A7"/>
    <w:rsid w:val="5A8E6A07"/>
    <w:rsid w:val="5A9579AE"/>
    <w:rsid w:val="5AA91A93"/>
    <w:rsid w:val="5AB0697E"/>
    <w:rsid w:val="5AC468CD"/>
    <w:rsid w:val="5B342B9A"/>
    <w:rsid w:val="5B5953B0"/>
    <w:rsid w:val="5B630802"/>
    <w:rsid w:val="5B807F68"/>
    <w:rsid w:val="5BA72CE5"/>
    <w:rsid w:val="5C034D53"/>
    <w:rsid w:val="5C0A43A9"/>
    <w:rsid w:val="5C647631"/>
    <w:rsid w:val="5C7B276E"/>
    <w:rsid w:val="5CC96BFE"/>
    <w:rsid w:val="5D722852"/>
    <w:rsid w:val="5DA13E95"/>
    <w:rsid w:val="5DE51034"/>
    <w:rsid w:val="5DF60588"/>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60177697"/>
    <w:rsid w:val="602329DB"/>
    <w:rsid w:val="607777D6"/>
    <w:rsid w:val="60863D99"/>
    <w:rsid w:val="608F5287"/>
    <w:rsid w:val="60B50B3A"/>
    <w:rsid w:val="60BC76A1"/>
    <w:rsid w:val="60D62EB6"/>
    <w:rsid w:val="610B7637"/>
    <w:rsid w:val="612279BA"/>
    <w:rsid w:val="615F5624"/>
    <w:rsid w:val="61D215CF"/>
    <w:rsid w:val="61D73926"/>
    <w:rsid w:val="625C563D"/>
    <w:rsid w:val="626A1704"/>
    <w:rsid w:val="627921C2"/>
    <w:rsid w:val="62B362C8"/>
    <w:rsid w:val="62C1330E"/>
    <w:rsid w:val="633D0FCB"/>
    <w:rsid w:val="6342085E"/>
    <w:rsid w:val="636F415C"/>
    <w:rsid w:val="64464B44"/>
    <w:rsid w:val="644C0547"/>
    <w:rsid w:val="6488096B"/>
    <w:rsid w:val="64917820"/>
    <w:rsid w:val="649E018F"/>
    <w:rsid w:val="64AA1CC5"/>
    <w:rsid w:val="65200BA4"/>
    <w:rsid w:val="6528341F"/>
    <w:rsid w:val="656B2909"/>
    <w:rsid w:val="658D448B"/>
    <w:rsid w:val="65970AF2"/>
    <w:rsid w:val="65A3045D"/>
    <w:rsid w:val="65C21C5B"/>
    <w:rsid w:val="65D97752"/>
    <w:rsid w:val="65E25E59"/>
    <w:rsid w:val="66307F76"/>
    <w:rsid w:val="66580EAF"/>
    <w:rsid w:val="66694D0D"/>
    <w:rsid w:val="667B4472"/>
    <w:rsid w:val="66F041A8"/>
    <w:rsid w:val="6721178A"/>
    <w:rsid w:val="6739399A"/>
    <w:rsid w:val="673B1CC5"/>
    <w:rsid w:val="673F39DE"/>
    <w:rsid w:val="674C5D22"/>
    <w:rsid w:val="675045B1"/>
    <w:rsid w:val="67663AF8"/>
    <w:rsid w:val="67762CFD"/>
    <w:rsid w:val="677A678D"/>
    <w:rsid w:val="677F7E04"/>
    <w:rsid w:val="67B77327"/>
    <w:rsid w:val="67D30B32"/>
    <w:rsid w:val="68011379"/>
    <w:rsid w:val="68252C37"/>
    <w:rsid w:val="683338F6"/>
    <w:rsid w:val="68817BAC"/>
    <w:rsid w:val="689A5E59"/>
    <w:rsid w:val="68A94E70"/>
    <w:rsid w:val="68EE72DF"/>
    <w:rsid w:val="68FE744E"/>
    <w:rsid w:val="690B4C92"/>
    <w:rsid w:val="69485FEA"/>
    <w:rsid w:val="69677DC0"/>
    <w:rsid w:val="69937EC7"/>
    <w:rsid w:val="69D64558"/>
    <w:rsid w:val="6A042548"/>
    <w:rsid w:val="6A3739C7"/>
    <w:rsid w:val="6A471EFD"/>
    <w:rsid w:val="6A505A87"/>
    <w:rsid w:val="6A755CB7"/>
    <w:rsid w:val="6AB57116"/>
    <w:rsid w:val="6B17424A"/>
    <w:rsid w:val="6B2218FA"/>
    <w:rsid w:val="6B686C59"/>
    <w:rsid w:val="6B691672"/>
    <w:rsid w:val="6BAB2744"/>
    <w:rsid w:val="6BAF2C82"/>
    <w:rsid w:val="6BC06C3D"/>
    <w:rsid w:val="6BE97F42"/>
    <w:rsid w:val="6C270A6A"/>
    <w:rsid w:val="6C2905D4"/>
    <w:rsid w:val="6C5E6A51"/>
    <w:rsid w:val="6C6513C3"/>
    <w:rsid w:val="6C744268"/>
    <w:rsid w:val="6C913746"/>
    <w:rsid w:val="6CA64085"/>
    <w:rsid w:val="6CD62D03"/>
    <w:rsid w:val="6CD97FB6"/>
    <w:rsid w:val="6D0E5050"/>
    <w:rsid w:val="6D4B22B8"/>
    <w:rsid w:val="6D930013"/>
    <w:rsid w:val="6DBE0F5A"/>
    <w:rsid w:val="6DD54C21"/>
    <w:rsid w:val="6E1A1656"/>
    <w:rsid w:val="6E231DD6"/>
    <w:rsid w:val="6E274D51"/>
    <w:rsid w:val="6E5A5288"/>
    <w:rsid w:val="6E9A5523"/>
    <w:rsid w:val="6EE013EE"/>
    <w:rsid w:val="6EE079F1"/>
    <w:rsid w:val="6EE42C42"/>
    <w:rsid w:val="6F7F7CB0"/>
    <w:rsid w:val="6FE0165C"/>
    <w:rsid w:val="6FE10C44"/>
    <w:rsid w:val="6FE32EFA"/>
    <w:rsid w:val="70222744"/>
    <w:rsid w:val="706D25DF"/>
    <w:rsid w:val="706D2B21"/>
    <w:rsid w:val="707B1384"/>
    <w:rsid w:val="70857A34"/>
    <w:rsid w:val="70985D3C"/>
    <w:rsid w:val="70ED4030"/>
    <w:rsid w:val="70F81685"/>
    <w:rsid w:val="71047C73"/>
    <w:rsid w:val="7107096A"/>
    <w:rsid w:val="7109004F"/>
    <w:rsid w:val="71103167"/>
    <w:rsid w:val="712E56F7"/>
    <w:rsid w:val="713175C0"/>
    <w:rsid w:val="71691ABB"/>
    <w:rsid w:val="71AE1AEA"/>
    <w:rsid w:val="71CF3B6C"/>
    <w:rsid w:val="71DB032D"/>
    <w:rsid w:val="71F80F33"/>
    <w:rsid w:val="721101F2"/>
    <w:rsid w:val="722922C6"/>
    <w:rsid w:val="727176A7"/>
    <w:rsid w:val="72AC2584"/>
    <w:rsid w:val="72CB03A1"/>
    <w:rsid w:val="72E415CF"/>
    <w:rsid w:val="72FD73D1"/>
    <w:rsid w:val="732D4B5D"/>
    <w:rsid w:val="73393C88"/>
    <w:rsid w:val="7362513F"/>
    <w:rsid w:val="73771D49"/>
    <w:rsid w:val="73A1354E"/>
    <w:rsid w:val="74006876"/>
    <w:rsid w:val="745B5755"/>
    <w:rsid w:val="747607E0"/>
    <w:rsid w:val="74A11E7D"/>
    <w:rsid w:val="74B43D16"/>
    <w:rsid w:val="74C4654A"/>
    <w:rsid w:val="75387844"/>
    <w:rsid w:val="753A79B9"/>
    <w:rsid w:val="75590B0A"/>
    <w:rsid w:val="7582279F"/>
    <w:rsid w:val="75843EB5"/>
    <w:rsid w:val="75BB71AF"/>
    <w:rsid w:val="75F01962"/>
    <w:rsid w:val="75F145C2"/>
    <w:rsid w:val="760E19DF"/>
    <w:rsid w:val="764B79CF"/>
    <w:rsid w:val="764E52E0"/>
    <w:rsid w:val="76557F3E"/>
    <w:rsid w:val="76676A53"/>
    <w:rsid w:val="76961750"/>
    <w:rsid w:val="76A3294D"/>
    <w:rsid w:val="76B620A1"/>
    <w:rsid w:val="76F20814"/>
    <w:rsid w:val="77462524"/>
    <w:rsid w:val="776C358D"/>
    <w:rsid w:val="779A6594"/>
    <w:rsid w:val="77A21064"/>
    <w:rsid w:val="77E34EB2"/>
    <w:rsid w:val="78071E5D"/>
    <w:rsid w:val="780B56E4"/>
    <w:rsid w:val="781564B8"/>
    <w:rsid w:val="781B2E5F"/>
    <w:rsid w:val="78224ACF"/>
    <w:rsid w:val="783E7E0B"/>
    <w:rsid w:val="78CD6DCC"/>
    <w:rsid w:val="78CE0BEB"/>
    <w:rsid w:val="78D07CAF"/>
    <w:rsid w:val="78DE12D7"/>
    <w:rsid w:val="79210683"/>
    <w:rsid w:val="799C3465"/>
    <w:rsid w:val="79B14EC4"/>
    <w:rsid w:val="7A2A6B4A"/>
    <w:rsid w:val="7A304F8E"/>
    <w:rsid w:val="7A3507F6"/>
    <w:rsid w:val="7A681070"/>
    <w:rsid w:val="7A860C7C"/>
    <w:rsid w:val="7AB879FE"/>
    <w:rsid w:val="7AC34054"/>
    <w:rsid w:val="7AF64429"/>
    <w:rsid w:val="7B072683"/>
    <w:rsid w:val="7B284B90"/>
    <w:rsid w:val="7B3264DD"/>
    <w:rsid w:val="7B81188A"/>
    <w:rsid w:val="7B8416D3"/>
    <w:rsid w:val="7B9E2902"/>
    <w:rsid w:val="7BC854E2"/>
    <w:rsid w:val="7BE67FFA"/>
    <w:rsid w:val="7C0562EC"/>
    <w:rsid w:val="7C067A45"/>
    <w:rsid w:val="7C27683F"/>
    <w:rsid w:val="7C3A6597"/>
    <w:rsid w:val="7CB14B4D"/>
    <w:rsid w:val="7CB43C54"/>
    <w:rsid w:val="7CD57FDE"/>
    <w:rsid w:val="7CF26969"/>
    <w:rsid w:val="7D25523C"/>
    <w:rsid w:val="7D2A660C"/>
    <w:rsid w:val="7D6C2781"/>
    <w:rsid w:val="7DB23041"/>
    <w:rsid w:val="7E253FEC"/>
    <w:rsid w:val="7E5F7809"/>
    <w:rsid w:val="7ED56C53"/>
    <w:rsid w:val="7EEA1BAF"/>
    <w:rsid w:val="7F5460D4"/>
    <w:rsid w:val="7F55289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line="480" w:lineRule="exact"/>
      <w:outlineLvl w:val="4"/>
    </w:pPr>
    <w:rPr>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4"/>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5"/>
    <w:qFormat/>
    <w:uiPriority w:val="0"/>
    <w:pPr>
      <w:jc w:val="left"/>
    </w:pPr>
  </w:style>
  <w:style w:type="paragraph" w:styleId="12">
    <w:name w:val="Body Text"/>
    <w:basedOn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3"/>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Plain Text"/>
    <w:basedOn w:val="1"/>
    <w:link w:val="76"/>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7"/>
    <w:qFormat/>
    <w:uiPriority w:val="0"/>
    <w:pPr>
      <w:ind w:left="100" w:leftChars="2500"/>
    </w:pPr>
    <w:rPr>
      <w:sz w:val="24"/>
    </w:r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71"/>
    <w:qFormat/>
    <w:uiPriority w:val="0"/>
    <w:rPr>
      <w:sz w:val="18"/>
    </w:rPr>
  </w:style>
  <w:style w:type="paragraph" w:styleId="22">
    <w:name w:val="footer"/>
    <w:basedOn w:val="1"/>
    <w:link w:val="77"/>
    <w:qFormat/>
    <w:uiPriority w:val="99"/>
    <w:pPr>
      <w:tabs>
        <w:tab w:val="center" w:pos="4153"/>
        <w:tab w:val="right" w:pos="8306"/>
      </w:tabs>
      <w:snapToGrid w:val="0"/>
      <w:jc w:val="left"/>
    </w:pPr>
    <w:rPr>
      <w:sz w:val="18"/>
    </w:rPr>
  </w:style>
  <w:style w:type="paragraph" w:styleId="23">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7"/>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link w:val="66"/>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6"/>
    <w:qFormat/>
    <w:uiPriority w:val="0"/>
    <w:rPr>
      <w:b/>
    </w:rPr>
  </w:style>
  <w:style w:type="paragraph" w:styleId="35">
    <w:name w:val="Body Text First Indent 2"/>
    <w:basedOn w:val="13"/>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Definition"/>
    <w:basedOn w:val="38"/>
    <w:semiHidden/>
    <w:unhideWhenUsed/>
    <w:qFormat/>
    <w:uiPriority w:val="99"/>
    <w:rPr>
      <w:i/>
      <w:iCs/>
      <w:vertAlign w:val="baseline"/>
    </w:rPr>
  </w:style>
  <w:style w:type="character" w:styleId="44">
    <w:name w:val="HTML Acronym"/>
    <w:basedOn w:val="38"/>
    <w:qFormat/>
    <w:uiPriority w:val="99"/>
  </w:style>
  <w:style w:type="character" w:styleId="45">
    <w:name w:val="Hyperlink"/>
    <w:basedOn w:val="38"/>
    <w:qFormat/>
    <w:uiPriority w:val="99"/>
    <w:rPr>
      <w:color w:val="1F4F88"/>
      <w:u w:val="none"/>
    </w:rPr>
  </w:style>
  <w:style w:type="character" w:styleId="46">
    <w:name w:val="HTML Code"/>
    <w:basedOn w:val="38"/>
    <w:semiHidden/>
    <w:unhideWhenUsed/>
    <w:qFormat/>
    <w:uiPriority w:val="99"/>
    <w:rPr>
      <w:rFonts w:ascii="Consolas" w:hAnsi="Consolas" w:eastAsia="Consolas" w:cs="Consolas"/>
      <w:sz w:val="21"/>
      <w:szCs w:val="21"/>
    </w:rPr>
  </w:style>
  <w:style w:type="character" w:styleId="47">
    <w:name w:val="annotation reference"/>
    <w:basedOn w:val="38"/>
    <w:qFormat/>
    <w:uiPriority w:val="99"/>
    <w:rPr>
      <w:sz w:val="21"/>
    </w:rPr>
  </w:style>
  <w:style w:type="character" w:styleId="48">
    <w:name w:val="HTML Keyboard"/>
    <w:basedOn w:val="38"/>
    <w:semiHidden/>
    <w:unhideWhenUsed/>
    <w:qFormat/>
    <w:uiPriority w:val="99"/>
    <w:rPr>
      <w:rFonts w:hint="default" w:ascii="Consolas" w:hAnsi="Consolas" w:eastAsia="Consolas" w:cs="Consolas"/>
      <w:sz w:val="21"/>
      <w:szCs w:val="21"/>
    </w:rPr>
  </w:style>
  <w:style w:type="character" w:styleId="49">
    <w:name w:val="HTML Sample"/>
    <w:basedOn w:val="38"/>
    <w:semiHidden/>
    <w:unhideWhenUsed/>
    <w:qFormat/>
    <w:uiPriority w:val="99"/>
    <w:rPr>
      <w:rFonts w:hint="default" w:ascii="Consolas" w:hAnsi="Consolas" w:eastAsia="Consolas" w:cs="Consolas"/>
      <w:sz w:val="21"/>
      <w:szCs w:val="21"/>
    </w:rPr>
  </w:style>
  <w:style w:type="paragraph" w:customStyle="1" w:styleId="50">
    <w:name w:val="Fließtext"/>
    <w:basedOn w:val="1"/>
    <w:qFormat/>
    <w:uiPriority w:val="99"/>
    <w:pPr>
      <w:widowControl/>
      <w:ind w:left="1134"/>
      <w:jc w:val="left"/>
    </w:pPr>
    <w:rPr>
      <w:rFonts w:ascii="Arial" w:hAnsi="Arial"/>
      <w:kern w:val="0"/>
      <w:szCs w:val="20"/>
      <w:lang w:val="de-DE" w:eastAsia="de-DE"/>
    </w:rPr>
  </w:style>
  <w:style w:type="character" w:customStyle="1" w:styleId="51">
    <w:name w:val="标题 1 字符"/>
    <w:basedOn w:val="38"/>
    <w:link w:val="2"/>
    <w:qFormat/>
    <w:uiPriority w:val="9"/>
    <w:rPr>
      <w:rFonts w:ascii="Calibri" w:hAnsi="Calibri" w:eastAsia="宋体" w:cs="Times New Roman"/>
      <w:b/>
      <w:bCs/>
      <w:kern w:val="44"/>
      <w:sz w:val="36"/>
      <w:szCs w:val="44"/>
    </w:rPr>
  </w:style>
  <w:style w:type="character" w:customStyle="1" w:styleId="52">
    <w:name w:val="标题 2 字符"/>
    <w:basedOn w:val="38"/>
    <w:link w:val="3"/>
    <w:qFormat/>
    <w:uiPriority w:val="9"/>
    <w:rPr>
      <w:rFonts w:ascii="Arial" w:hAnsi="Arial" w:eastAsia="宋体" w:cs="Times New Roman"/>
      <w:b/>
      <w:bCs/>
      <w:sz w:val="24"/>
      <w:szCs w:val="32"/>
    </w:rPr>
  </w:style>
  <w:style w:type="character" w:customStyle="1" w:styleId="53">
    <w:name w:val="标题 3 字符"/>
    <w:basedOn w:val="38"/>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0"/>
    <w:qFormat/>
    <w:locked/>
    <w:uiPriority w:val="0"/>
  </w:style>
  <w:style w:type="character" w:customStyle="1" w:styleId="56">
    <w:name w:val="批注主题 字符"/>
    <w:link w:val="34"/>
    <w:qFormat/>
    <w:locked/>
    <w:uiPriority w:val="0"/>
    <w:rPr>
      <w:b/>
    </w:rPr>
  </w:style>
  <w:style w:type="character" w:customStyle="1" w:styleId="57">
    <w:name w:val="正文文本缩进 3 字符"/>
    <w:link w:val="28"/>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38"/>
    <w:qFormat/>
    <w:uiPriority w:val="0"/>
    <w:rPr>
      <w:rFonts w:cs="Times New Roman"/>
    </w:rPr>
  </w:style>
  <w:style w:type="character" w:customStyle="1" w:styleId="63">
    <w:name w:val="页眉 字符"/>
    <w:link w:val="23"/>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1"/>
    <w:qFormat/>
    <w:locked/>
    <w:uiPriority w:val="0"/>
  </w:style>
  <w:style w:type="character" w:customStyle="1" w:styleId="66">
    <w:name w:val="标题 字符"/>
    <w:link w:val="33"/>
    <w:qFormat/>
    <w:locked/>
    <w:uiPriority w:val="0"/>
    <w:rPr>
      <w:rFonts w:ascii="Arial" w:hAnsi="Arial"/>
      <w:b/>
      <w:sz w:val="32"/>
    </w:rPr>
  </w:style>
  <w:style w:type="character" w:customStyle="1" w:styleId="67">
    <w:name w:val="日期 字符"/>
    <w:link w:val="19"/>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1"/>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9"/>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17"/>
    <w:qFormat/>
    <w:locked/>
    <w:uiPriority w:val="0"/>
    <w:rPr>
      <w:rFonts w:ascii="宋体" w:hAnsi="Courier New"/>
    </w:rPr>
  </w:style>
  <w:style w:type="character" w:customStyle="1" w:styleId="77">
    <w:name w:val="页脚 字符"/>
    <w:link w:val="22"/>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38"/>
    <w:semiHidden/>
    <w:qFormat/>
    <w:uiPriority w:val="99"/>
  </w:style>
  <w:style w:type="character" w:customStyle="1" w:styleId="82">
    <w:name w:val="批注文字 字符11"/>
    <w:basedOn w:val="38"/>
    <w:qFormat/>
    <w:uiPriority w:val="0"/>
    <w:rPr>
      <w:rFonts w:cs="Times New Roman"/>
      <w:kern w:val="2"/>
      <w:sz w:val="21"/>
    </w:rPr>
  </w:style>
  <w:style w:type="character" w:customStyle="1" w:styleId="83">
    <w:name w:val="正文文本缩进 字符"/>
    <w:basedOn w:val="38"/>
    <w:link w:val="13"/>
    <w:qFormat/>
    <w:uiPriority w:val="99"/>
    <w:rPr>
      <w:rFonts w:ascii="Calibri" w:hAnsi="Calibri" w:eastAsia="宋体" w:cs="Times New Roman"/>
      <w:szCs w:val="20"/>
    </w:rPr>
  </w:style>
  <w:style w:type="character" w:customStyle="1" w:styleId="84">
    <w:name w:val="文档结构图 字符1"/>
    <w:basedOn w:val="38"/>
    <w:semiHidden/>
    <w:qFormat/>
    <w:uiPriority w:val="99"/>
    <w:rPr>
      <w:rFonts w:ascii="Microsoft YaHei UI" w:eastAsia="Microsoft YaHei UI"/>
      <w:sz w:val="18"/>
      <w:szCs w:val="18"/>
    </w:rPr>
  </w:style>
  <w:style w:type="character" w:customStyle="1" w:styleId="85">
    <w:name w:val="文档结构图 字符11"/>
    <w:basedOn w:val="38"/>
    <w:semiHidden/>
    <w:qFormat/>
    <w:uiPriority w:val="99"/>
    <w:rPr>
      <w:rFonts w:ascii="Microsoft YaHei UI" w:eastAsia="Microsoft YaHei UI" w:cs="Times New Roman"/>
      <w:kern w:val="2"/>
      <w:sz w:val="18"/>
      <w:szCs w:val="18"/>
    </w:rPr>
  </w:style>
  <w:style w:type="character" w:customStyle="1" w:styleId="86">
    <w:name w:val="正文文本 字符"/>
    <w:basedOn w:val="38"/>
    <w:link w:val="12"/>
    <w:qFormat/>
    <w:uiPriority w:val="99"/>
    <w:rPr>
      <w:rFonts w:ascii="Calibri" w:hAnsi="Calibri" w:eastAsia="新宋体" w:cs="Times New Roman"/>
      <w:szCs w:val="21"/>
    </w:rPr>
  </w:style>
  <w:style w:type="character" w:customStyle="1" w:styleId="87">
    <w:name w:val="纯文本 字符1"/>
    <w:basedOn w:val="38"/>
    <w:semiHidden/>
    <w:qFormat/>
    <w:uiPriority w:val="99"/>
    <w:rPr>
      <w:rFonts w:hAnsi="Courier New" w:cs="Courier New" w:asciiTheme="minorEastAsia"/>
    </w:rPr>
  </w:style>
  <w:style w:type="character" w:customStyle="1" w:styleId="88">
    <w:name w:val="纯文本 字符11"/>
    <w:basedOn w:val="38"/>
    <w:qFormat/>
    <w:uiPriority w:val="0"/>
    <w:rPr>
      <w:rFonts w:hAnsi="Courier New" w:cs="Courier New" w:asciiTheme="minorEastAsia" w:eastAsiaTheme="minorEastAsia"/>
      <w:kern w:val="2"/>
      <w:sz w:val="21"/>
    </w:rPr>
  </w:style>
  <w:style w:type="character" w:customStyle="1" w:styleId="89">
    <w:name w:val="页眉 字符1"/>
    <w:basedOn w:val="38"/>
    <w:semiHidden/>
    <w:qFormat/>
    <w:uiPriority w:val="99"/>
    <w:rPr>
      <w:sz w:val="18"/>
      <w:szCs w:val="18"/>
    </w:rPr>
  </w:style>
  <w:style w:type="character" w:customStyle="1" w:styleId="90">
    <w:name w:val="页眉 字符11"/>
    <w:basedOn w:val="38"/>
    <w:semiHidden/>
    <w:qFormat/>
    <w:uiPriority w:val="99"/>
    <w:rPr>
      <w:rFonts w:cs="Times New Roman"/>
      <w:kern w:val="2"/>
      <w:sz w:val="18"/>
      <w:szCs w:val="18"/>
    </w:rPr>
  </w:style>
  <w:style w:type="character" w:customStyle="1" w:styleId="91">
    <w:name w:val="批注框文本 字符1"/>
    <w:basedOn w:val="38"/>
    <w:semiHidden/>
    <w:qFormat/>
    <w:uiPriority w:val="99"/>
    <w:rPr>
      <w:sz w:val="18"/>
      <w:szCs w:val="18"/>
    </w:rPr>
  </w:style>
  <w:style w:type="character" w:customStyle="1" w:styleId="92">
    <w:name w:val="批注框文本 字符11"/>
    <w:basedOn w:val="38"/>
    <w:semiHidden/>
    <w:qFormat/>
    <w:uiPriority w:val="99"/>
    <w:rPr>
      <w:rFonts w:cs="Times New Roman"/>
      <w:kern w:val="2"/>
      <w:sz w:val="18"/>
      <w:szCs w:val="18"/>
    </w:rPr>
  </w:style>
  <w:style w:type="character" w:customStyle="1" w:styleId="93">
    <w:name w:val="日期 字符1"/>
    <w:basedOn w:val="38"/>
    <w:semiHidden/>
    <w:qFormat/>
    <w:uiPriority w:val="99"/>
  </w:style>
  <w:style w:type="character" w:customStyle="1" w:styleId="94">
    <w:name w:val="日期 字符11"/>
    <w:basedOn w:val="38"/>
    <w:semiHidden/>
    <w:qFormat/>
    <w:uiPriority w:val="99"/>
    <w:rPr>
      <w:rFonts w:cs="Times New Roman"/>
      <w:kern w:val="2"/>
      <w:sz w:val="21"/>
    </w:rPr>
  </w:style>
  <w:style w:type="character" w:customStyle="1" w:styleId="95">
    <w:name w:val="页脚 字符1"/>
    <w:basedOn w:val="38"/>
    <w:semiHidden/>
    <w:qFormat/>
    <w:uiPriority w:val="99"/>
    <w:rPr>
      <w:sz w:val="18"/>
      <w:szCs w:val="18"/>
    </w:rPr>
  </w:style>
  <w:style w:type="character" w:customStyle="1" w:styleId="96">
    <w:name w:val="页脚 字符11"/>
    <w:basedOn w:val="38"/>
    <w:semiHidden/>
    <w:qFormat/>
    <w:uiPriority w:val="99"/>
    <w:rPr>
      <w:rFonts w:cs="Times New Roman"/>
      <w:kern w:val="2"/>
      <w:sz w:val="18"/>
      <w:szCs w:val="18"/>
    </w:rPr>
  </w:style>
  <w:style w:type="character" w:customStyle="1" w:styleId="97">
    <w:name w:val="正文文本缩进 2 字符1"/>
    <w:basedOn w:val="38"/>
    <w:semiHidden/>
    <w:qFormat/>
    <w:uiPriority w:val="99"/>
  </w:style>
  <w:style w:type="character" w:customStyle="1" w:styleId="98">
    <w:name w:val="正文文本缩进 2 字符11"/>
    <w:basedOn w:val="38"/>
    <w:semiHidden/>
    <w:qFormat/>
    <w:uiPriority w:val="99"/>
    <w:rPr>
      <w:rFonts w:cs="Times New Roman"/>
      <w:kern w:val="2"/>
      <w:sz w:val="21"/>
    </w:rPr>
  </w:style>
  <w:style w:type="character" w:customStyle="1" w:styleId="99">
    <w:name w:val="正文文本缩进 3 字符1"/>
    <w:basedOn w:val="38"/>
    <w:semiHidden/>
    <w:qFormat/>
    <w:uiPriority w:val="99"/>
    <w:rPr>
      <w:sz w:val="16"/>
      <w:szCs w:val="16"/>
    </w:rPr>
  </w:style>
  <w:style w:type="character" w:customStyle="1" w:styleId="100">
    <w:name w:val="正文文本缩进 3 字符11"/>
    <w:basedOn w:val="38"/>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38"/>
    <w:qFormat/>
    <w:uiPriority w:val="10"/>
    <w:rPr>
      <w:rFonts w:asciiTheme="majorHAnsi" w:hAnsiTheme="majorHAnsi" w:eastAsiaTheme="majorEastAsia" w:cstheme="majorBidi"/>
      <w:b/>
      <w:bCs/>
      <w:sz w:val="32"/>
      <w:szCs w:val="32"/>
    </w:rPr>
  </w:style>
  <w:style w:type="character" w:customStyle="1" w:styleId="104">
    <w:name w:val="标题 字符11"/>
    <w:basedOn w:val="38"/>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17"/>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无间隔1"/>
    <w:qFormat/>
    <w:uiPriority w:val="0"/>
    <w:rPr>
      <w:rFonts w:ascii="Calibri" w:hAnsi="Calibri" w:eastAsia="Calibri" w:cs="Times New Roman"/>
      <w:szCs w:val="22"/>
      <w:lang w:val="en-GB" w:eastAsia="en-US" w:bidi="ar-SA"/>
    </w:rPr>
  </w:style>
  <w:style w:type="character" w:customStyle="1" w:styleId="138">
    <w:name w:val="font21"/>
    <w:basedOn w:val="38"/>
    <w:qFormat/>
    <w:uiPriority w:val="0"/>
    <w:rPr>
      <w:rFonts w:hint="eastAsia" w:ascii="宋体" w:hAnsi="宋体" w:eastAsia="宋体" w:cs="宋体"/>
      <w:color w:val="000000"/>
      <w:sz w:val="24"/>
      <w:szCs w:val="24"/>
      <w:u w:val="none"/>
    </w:rPr>
  </w:style>
  <w:style w:type="character" w:customStyle="1" w:styleId="139">
    <w:name w:val="font01"/>
    <w:basedOn w:val="38"/>
    <w:qFormat/>
    <w:uiPriority w:val="0"/>
    <w:rPr>
      <w:rFonts w:hint="eastAsia" w:ascii="宋体" w:hAnsi="宋体" w:eastAsia="宋体" w:cs="宋体"/>
      <w:color w:val="000000"/>
      <w:sz w:val="18"/>
      <w:szCs w:val="18"/>
      <w:u w:val="none"/>
    </w:rPr>
  </w:style>
  <w:style w:type="character" w:customStyle="1" w:styleId="140">
    <w:name w:val="15"/>
    <w:qFormat/>
    <w:uiPriority w:val="0"/>
    <w:rPr>
      <w:rFonts w:hint="eastAsia" w:ascii="微软雅黑" w:hAnsi="微软雅黑" w:eastAsia="微软雅黑"/>
      <w:color w:val="000000"/>
      <w:sz w:val="22"/>
      <w:szCs w:val="22"/>
    </w:rPr>
  </w:style>
  <w:style w:type="paragraph" w:customStyle="1" w:styleId="141">
    <w:name w:val="1正文段落"/>
    <w:basedOn w:val="1"/>
    <w:qFormat/>
    <w:uiPriority w:val="0"/>
    <w:pPr>
      <w:spacing w:line="360" w:lineRule="auto"/>
      <w:ind w:firstLine="480" w:firstLineChars="200"/>
      <w:jc w:val="left"/>
    </w:pPr>
    <w:rPr>
      <w:kern w:val="0"/>
      <w:szCs w:val="20"/>
    </w:rPr>
  </w:style>
  <w:style w:type="character" w:customStyle="1" w:styleId="142">
    <w:name w:val="ant-tree-checkbox8"/>
    <w:basedOn w:val="38"/>
    <w:qFormat/>
    <w:uiPriority w:val="0"/>
  </w:style>
  <w:style w:type="character" w:customStyle="1" w:styleId="143">
    <w:name w:val="ant-select-tree-iconele"/>
    <w:basedOn w:val="38"/>
    <w:qFormat/>
    <w:uiPriority w:val="0"/>
  </w:style>
  <w:style w:type="character" w:customStyle="1" w:styleId="144">
    <w:name w:val="wea-dropdown-triangle"/>
    <w:basedOn w:val="38"/>
    <w:qFormat/>
    <w:uiPriority w:val="0"/>
  </w:style>
  <w:style w:type="character" w:customStyle="1" w:styleId="145">
    <w:name w:val="button"/>
    <w:basedOn w:val="38"/>
    <w:qFormat/>
    <w:uiPriority w:val="0"/>
  </w:style>
  <w:style w:type="character" w:customStyle="1" w:styleId="146">
    <w:name w:val="button1"/>
    <w:basedOn w:val="38"/>
    <w:qFormat/>
    <w:uiPriority w:val="0"/>
  </w:style>
  <w:style w:type="character" w:customStyle="1" w:styleId="147">
    <w:name w:val="hover34"/>
    <w:basedOn w:val="38"/>
    <w:qFormat/>
    <w:uiPriority w:val="0"/>
    <w:rPr>
      <w:color w:val="009DFF"/>
    </w:rPr>
  </w:style>
  <w:style w:type="character" w:customStyle="1" w:styleId="148">
    <w:name w:val="hover35"/>
    <w:basedOn w:val="38"/>
    <w:qFormat/>
    <w:uiPriority w:val="0"/>
    <w:rPr>
      <w:color w:val="009DFF"/>
    </w:rPr>
  </w:style>
  <w:style w:type="character" w:customStyle="1" w:styleId="149">
    <w:name w:val="first-of-type"/>
    <w:basedOn w:val="38"/>
    <w:qFormat/>
    <w:uiPriority w:val="0"/>
    <w:rPr>
      <w:color w:val="FF0000"/>
    </w:rPr>
  </w:style>
  <w:style w:type="character" w:customStyle="1" w:styleId="150">
    <w:name w:val="first-of-type1"/>
    <w:basedOn w:val="38"/>
    <w:qFormat/>
    <w:uiPriority w:val="0"/>
    <w:rPr>
      <w:color w:val="FF0000"/>
    </w:rPr>
  </w:style>
  <w:style w:type="character" w:customStyle="1" w:styleId="151">
    <w:name w:val="not-pass-node"/>
    <w:basedOn w:val="38"/>
    <w:qFormat/>
    <w:uiPriority w:val="0"/>
    <w:rPr>
      <w:bdr w:val="single" w:color="5ABD6B" w:sz="6" w:space="0"/>
      <w:shd w:val="clear" w:fill="BFF3C3"/>
    </w:rPr>
  </w:style>
  <w:style w:type="character" w:customStyle="1" w:styleId="152">
    <w:name w:val="ant-tree-switcher8"/>
    <w:basedOn w:val="38"/>
    <w:qFormat/>
    <w:uiPriority w:val="0"/>
  </w:style>
  <w:style w:type="character" w:customStyle="1" w:styleId="153">
    <w:name w:val="ant-radio+*"/>
    <w:basedOn w:val="38"/>
    <w:qFormat/>
    <w:uiPriority w:val="0"/>
  </w:style>
  <w:style w:type="character" w:customStyle="1" w:styleId="154">
    <w:name w:val="ant-select-tree-checkbox"/>
    <w:basedOn w:val="38"/>
    <w:qFormat/>
    <w:uiPriority w:val="0"/>
  </w:style>
  <w:style w:type="character" w:customStyle="1" w:styleId="155">
    <w:name w:val="isrevision"/>
    <w:basedOn w:val="38"/>
    <w:qFormat/>
    <w:uiPriority w:val="0"/>
    <w:rPr>
      <w:color w:val="000000"/>
      <w:sz w:val="18"/>
      <w:szCs w:val="18"/>
      <w:bdr w:val="single" w:color="E9E9E9" w:sz="6" w:space="0"/>
      <w:shd w:val="clear" w:fill="FFFFFF"/>
    </w:rPr>
  </w:style>
  <w:style w:type="character" w:customStyle="1" w:styleId="156">
    <w:name w:val="disabled4"/>
    <w:basedOn w:val="38"/>
    <w:qFormat/>
    <w:uiPriority w:val="0"/>
    <w:rPr>
      <w:color w:val="AAAAAA"/>
      <w:shd w:val="clear" w:fill="F7F7F7"/>
    </w:rPr>
  </w:style>
  <w:style w:type="character" w:customStyle="1" w:styleId="157">
    <w:name w:val="auto-pass-node"/>
    <w:basedOn w:val="38"/>
    <w:qFormat/>
    <w:uiPriority w:val="0"/>
    <w:rPr>
      <w:bdr w:val="single" w:color="DC4446" w:sz="6" w:space="0"/>
      <w:shd w:val="clear" w:fill="A9E2FF"/>
    </w:rPr>
  </w:style>
  <w:style w:type="character" w:customStyle="1" w:styleId="158">
    <w:name w:val="ant-tree-iconele"/>
    <w:basedOn w:val="38"/>
    <w:qFormat/>
    <w:uiPriority w:val="0"/>
  </w:style>
  <w:style w:type="character" w:customStyle="1" w:styleId="159">
    <w:name w:val="wea-thumbnails-doc-content-subtitle"/>
    <w:basedOn w:val="38"/>
    <w:qFormat/>
    <w:uiPriority w:val="0"/>
    <w:rPr>
      <w:color w:val="9A9A9A"/>
    </w:rPr>
  </w:style>
  <w:style w:type="character" w:customStyle="1" w:styleId="160">
    <w:name w:val="ant-select-tree-switcher"/>
    <w:basedOn w:val="38"/>
    <w:qFormat/>
    <w:uiPriority w:val="0"/>
  </w:style>
  <w:style w:type="character" w:customStyle="1" w:styleId="161">
    <w:name w:val="ant-table-row-expand-icon3"/>
    <w:basedOn w:val="38"/>
    <w:qFormat/>
    <w:uiPriority w:val="0"/>
    <w:rPr>
      <w:vanish/>
    </w:rPr>
  </w:style>
  <w:style w:type="character" w:customStyle="1" w:styleId="162">
    <w:name w:val="passed-node"/>
    <w:basedOn w:val="38"/>
    <w:qFormat/>
    <w:uiPriority w:val="0"/>
    <w:rPr>
      <w:bdr w:val="single" w:color="49A8D4" w:sz="6" w:space="0"/>
      <w:shd w:val="clear" w:fill="A9E3FF"/>
    </w:rPr>
  </w:style>
  <w:style w:type="character" w:customStyle="1" w:styleId="163">
    <w:name w:val="current-node"/>
    <w:basedOn w:val="38"/>
    <w:qFormat/>
    <w:uiPriority w:val="0"/>
    <w:rPr>
      <w:bdr w:val="single" w:color="F5B87B" w:sz="6" w:space="0"/>
      <w:shd w:val="clear" w:fill="FFE8CC"/>
    </w:rPr>
  </w:style>
  <w:style w:type="character" w:customStyle="1" w:styleId="164">
    <w:name w:val="tmpztreemove_arrow"/>
    <w:basedOn w:val="38"/>
    <w:qFormat/>
    <w:uiPriority w:val="0"/>
  </w:style>
  <w:style w:type="character" w:customStyle="1" w:styleId="165">
    <w:name w:val="ant-tree-switcher10"/>
    <w:basedOn w:val="38"/>
    <w:qFormat/>
    <w:uiPriority w:val="0"/>
  </w:style>
  <w:style w:type="character" w:customStyle="1" w:styleId="166">
    <w:name w:val="ant-table-row-expand-icon"/>
    <w:basedOn w:val="38"/>
    <w:qFormat/>
    <w:uiPriority w:val="0"/>
    <w:rPr>
      <w:vanish/>
    </w:rPr>
  </w:style>
  <w:style w:type="character" w:customStyle="1" w:styleId="167">
    <w:name w:val="ant-select-tree-checkbox2"/>
    <w:basedOn w:val="38"/>
    <w:qFormat/>
    <w:uiPriority w:val="0"/>
  </w:style>
  <w:style w:type="character" w:customStyle="1" w:styleId="168">
    <w:name w:val="disabled"/>
    <w:basedOn w:val="38"/>
    <w:qFormat/>
    <w:uiPriority w:val="0"/>
    <w:rPr>
      <w:color w:val="AAAAAA"/>
      <w:shd w:val="clear" w:fill="F7F7F7"/>
    </w:rPr>
  </w:style>
  <w:style w:type="character" w:customStyle="1" w:styleId="169">
    <w:name w:val="ant-tree-checkbox7"/>
    <w:basedOn w:val="38"/>
    <w:qFormat/>
    <w:uiPriority w:val="0"/>
  </w:style>
  <w:style w:type="character" w:customStyle="1" w:styleId="170">
    <w:name w:val="ant-table-row-expand-icon4"/>
    <w:basedOn w:val="38"/>
    <w:qFormat/>
    <w:uiPriority w:val="0"/>
    <w:rPr>
      <w:vanish/>
    </w:rPr>
  </w:style>
  <w:style w:type="character" w:customStyle="1" w:styleId="171">
    <w:name w:val="hover30"/>
    <w:basedOn w:val="38"/>
    <w:qFormat/>
    <w:uiPriority w:val="0"/>
    <w:rPr>
      <w:color w:val="009DFF"/>
    </w:rPr>
  </w:style>
  <w:style w:type="character" w:customStyle="1" w:styleId="172">
    <w:name w:val="hover31"/>
    <w:basedOn w:val="38"/>
    <w:qFormat/>
    <w:uiPriority w:val="0"/>
    <w:rPr>
      <w:color w:val="009DFF"/>
    </w:rPr>
  </w:style>
  <w:style w:type="character" w:customStyle="1" w:styleId="173">
    <w:name w:val="ant-tree-checkbox"/>
    <w:basedOn w:val="38"/>
    <w:qFormat/>
    <w:uiPriority w:val="0"/>
  </w:style>
  <w:style w:type="character" w:customStyle="1" w:styleId="174">
    <w:name w:val="ant-tree-switcher"/>
    <w:basedOn w:val="38"/>
    <w:qFormat/>
    <w:uiPriority w:val="0"/>
  </w:style>
  <w:style w:type="character" w:customStyle="1" w:styleId="175">
    <w:name w:val="wea-dropdown-triangle2"/>
    <w:basedOn w:val="38"/>
    <w:qFormat/>
    <w:uiPriority w:val="0"/>
  </w:style>
  <w:style w:type="character" w:customStyle="1" w:styleId="176">
    <w:name w:val="ant-tree-switcher9"/>
    <w:basedOn w:val="38"/>
    <w:qFormat/>
    <w:uiPriority w:val="0"/>
  </w:style>
  <w:style w:type="character" w:customStyle="1" w:styleId="177">
    <w:name w:val="hover32"/>
    <w:basedOn w:val="38"/>
    <w:qFormat/>
    <w:uiPriority w:val="0"/>
    <w:rPr>
      <w:color w:val="009DFF"/>
    </w:rPr>
  </w:style>
  <w:style w:type="character" w:customStyle="1" w:styleId="178">
    <w:name w:val="ant-tree-switcher7"/>
    <w:basedOn w:val="38"/>
    <w:qFormat/>
    <w:uiPriority w:val="0"/>
  </w:style>
  <w:style w:type="character" w:customStyle="1" w:styleId="179">
    <w:name w:val="hover25"/>
    <w:basedOn w:val="38"/>
    <w:qFormat/>
    <w:uiPriority w:val="0"/>
    <w:rPr>
      <w:color w:val="009DFF"/>
    </w:rPr>
  </w:style>
  <w:style w:type="character" w:customStyle="1" w:styleId="180">
    <w:name w:val="hover26"/>
    <w:basedOn w:val="38"/>
    <w:qFormat/>
    <w:uiPriority w:val="0"/>
    <w:rPr>
      <w:color w:val="009DFF"/>
    </w:rPr>
  </w:style>
  <w:style w:type="paragraph" w:customStyle="1" w:styleId="181">
    <w:name w:val="Table Text"/>
    <w:basedOn w:val="1"/>
    <w:semiHidden/>
    <w:qFormat/>
    <w:uiPriority w:val="0"/>
    <w:rPr>
      <w:rFonts w:ascii="宋体" w:hAnsi="宋体" w:eastAsia="宋体" w:cs="宋体"/>
      <w:sz w:val="24"/>
      <w:szCs w:val="24"/>
      <w:lang w:val="en-US" w:eastAsia="en-US" w:bidi="ar-SA"/>
    </w:rPr>
  </w:style>
  <w:style w:type="paragraph" w:styleId="182">
    <w:name w:val="No Spacing"/>
    <w:qFormat/>
    <w:uiPriority w:val="1"/>
    <w:rPr>
      <w:rFonts w:ascii="等线" w:hAnsi="等线" w:eastAsia="等线" w:cs="Times New Roman"/>
      <w:sz w:val="21"/>
      <w:szCs w:val="21"/>
      <w:lang w:val="en-US" w:eastAsia="zh-CN" w:bidi="ar-SA"/>
    </w:rPr>
  </w:style>
  <w:style w:type="character" w:customStyle="1" w:styleId="183">
    <w:name w:val="Classification"/>
    <w:qFormat/>
    <w:uiPriority w:val="99"/>
    <w:rPr>
      <w:rFonts w:ascii="Calibri" w:hAnsi="Calibri" w:eastAsia="宋体" w:cs="Cordia New"/>
      <w:b/>
      <w:bCs/>
      <w:caps/>
      <w:color w:val="000000"/>
      <w:spacing w:val="20"/>
      <w:sz w:val="24"/>
      <w:szCs w:val="24"/>
    </w:rPr>
  </w:style>
  <w:style w:type="paragraph" w:customStyle="1" w:styleId="184">
    <w:name w:val="WPSOffice手动目录 2"/>
    <w:qFormat/>
    <w:uiPriority w:val="0"/>
    <w:pPr>
      <w:ind w:leftChars="200"/>
    </w:pPr>
    <w:rPr>
      <w:rFonts w:ascii="Times New Roman" w:hAnsi="Times New Roman" w:eastAsia="宋体" w:cs="Times New Roman"/>
      <w:lang w:val="en-US" w:eastAsia="zh-CN" w:bidi="ar-SA"/>
    </w:rPr>
  </w:style>
  <w:style w:type="character" w:customStyle="1" w:styleId="185">
    <w:name w:val="font11"/>
    <w:basedOn w:val="38"/>
    <w:qFormat/>
    <w:uiPriority w:val="0"/>
    <w:rPr>
      <w:rFonts w:hint="default" w:ascii="Arial" w:hAnsi="Arial" w:cs="Arial"/>
      <w:color w:val="000000"/>
      <w:sz w:val="22"/>
      <w:szCs w:val="22"/>
      <w:u w:val="none"/>
    </w:rPr>
  </w:style>
  <w:style w:type="character" w:customStyle="1" w:styleId="186">
    <w:name w:val="font41"/>
    <w:basedOn w:val="38"/>
    <w:qFormat/>
    <w:uiPriority w:val="0"/>
    <w:rPr>
      <w:rFonts w:hint="default" w:ascii="Arial" w:hAnsi="Arial" w:cs="Arial"/>
      <w:color w:val="000000"/>
      <w:sz w:val="22"/>
      <w:szCs w:val="22"/>
      <w:u w:val="none"/>
    </w:rPr>
  </w:style>
  <w:style w:type="character" w:customStyle="1" w:styleId="187">
    <w:name w:val="font51"/>
    <w:basedOn w:val="38"/>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19.png"/><Relationship Id="rId63" Type="http://schemas.openxmlformats.org/officeDocument/2006/relationships/image" Target="media/image18.png"/><Relationship Id="rId62" Type="http://schemas.openxmlformats.org/officeDocument/2006/relationships/image" Target="media/image17.png"/><Relationship Id="rId61" Type="http://schemas.openxmlformats.org/officeDocument/2006/relationships/image" Target="media/image16.png"/><Relationship Id="rId60" Type="http://schemas.openxmlformats.org/officeDocument/2006/relationships/image" Target="media/image15.png"/><Relationship Id="rId6" Type="http://schemas.openxmlformats.org/officeDocument/2006/relationships/footer" Target="footer2.xml"/><Relationship Id="rId59" Type="http://schemas.openxmlformats.org/officeDocument/2006/relationships/image" Target="media/image14.png"/><Relationship Id="rId58" Type="http://schemas.openxmlformats.org/officeDocument/2006/relationships/image" Target="media/image13.png"/><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footer" Target="foot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theme" Target="theme/theme1.xml"/><Relationship Id="rId45" Type="http://schemas.openxmlformats.org/officeDocument/2006/relationships/footer" Target="footer31.xml"/><Relationship Id="rId44" Type="http://schemas.openxmlformats.org/officeDocument/2006/relationships/footer" Target="footer30.xml"/><Relationship Id="rId43" Type="http://schemas.openxmlformats.org/officeDocument/2006/relationships/header" Target="header12.xml"/><Relationship Id="rId42" Type="http://schemas.openxmlformats.org/officeDocument/2006/relationships/header" Target="header11.xml"/><Relationship Id="rId41" Type="http://schemas.openxmlformats.org/officeDocument/2006/relationships/footer" Target="footer29.xml"/><Relationship Id="rId40" Type="http://schemas.openxmlformats.org/officeDocument/2006/relationships/footer" Target="footer28.xml"/><Relationship Id="rId4" Type="http://schemas.openxmlformats.org/officeDocument/2006/relationships/header" Target="header2.xml"/><Relationship Id="rId39" Type="http://schemas.openxmlformats.org/officeDocument/2006/relationships/footer" Target="footer27.xml"/><Relationship Id="rId38" Type="http://schemas.openxmlformats.org/officeDocument/2006/relationships/header" Target="header10.xml"/><Relationship Id="rId37" Type="http://schemas.openxmlformats.org/officeDocument/2006/relationships/header" Target="header9.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header" Target="header8.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F31A-5289-4A72-A8F8-0A4209FE792D}">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1421</Words>
  <Characters>1552</Characters>
  <Lines>364</Lines>
  <Paragraphs>102</Paragraphs>
  <TotalTime>6</TotalTime>
  <ScaleCrop>false</ScaleCrop>
  <LinksUpToDate>false</LinksUpToDate>
  <CharactersWithSpaces>1652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李月兵</cp:lastModifiedBy>
  <dcterms:modified xsi:type="dcterms:W3CDTF">2026-07-31T06:16:01Z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1B94890D458546A0893309FACB3FC194_13</vt:lpwstr>
  </property>
  <property fmtid="{D5CDD505-2E9C-101B-9397-08002B2CF9AE}" pid="4" name="KSOTemplateDocerSaveRecord">
    <vt:lpwstr>eyJoZGlkIjoiOTkzZWRkNjVmODY5NjY2ODY0ZWJmMDdhNGZiZTE3MjkiLCJ1c2VySWQiOiI1MDMyNjc5ODcifQ==</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